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AB40C" w14:textId="77777777" w:rsidR="0022705D" w:rsidRDefault="0022705D" w:rsidP="00E44B80">
      <w:pPr>
        <w:jc w:val="center"/>
        <w:rPr>
          <w:b/>
          <w:noProof/>
          <w:szCs w:val="20"/>
          <w:lang w:eastAsia="zh-CN"/>
        </w:rPr>
      </w:pPr>
    </w:p>
    <w:p w14:paraId="0C4C4E58" w14:textId="78C81CED" w:rsidR="00E44B80" w:rsidRPr="00F637B3" w:rsidRDefault="00E44B80" w:rsidP="00E44B80">
      <w:pPr>
        <w:jc w:val="center"/>
        <w:rPr>
          <w:b/>
          <w:szCs w:val="20"/>
        </w:rPr>
      </w:pPr>
      <w:r w:rsidRPr="00F637B3">
        <w:rPr>
          <w:b/>
          <w:noProof/>
          <w:szCs w:val="20"/>
          <w:lang w:eastAsia="en-AU"/>
        </w:rPr>
        <w:drawing>
          <wp:inline distT="0" distB="0" distL="0" distR="0" wp14:anchorId="1FD1BB56" wp14:editId="4C0C8259">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0CE22D9" w14:textId="644FF1B3" w:rsidR="00E44B80" w:rsidRPr="00810F30" w:rsidRDefault="00BC5CC8" w:rsidP="00810F30">
      <w:pPr>
        <w:pStyle w:val="Title"/>
        <w:spacing w:before="2600"/>
      </w:pPr>
      <w:r>
        <w:t xml:space="preserve">MSAC </w:t>
      </w:r>
      <w:r w:rsidR="008B2610" w:rsidRPr="001906CD">
        <w:t xml:space="preserve">Application </w:t>
      </w:r>
      <w:r>
        <w:t>1634</w:t>
      </w:r>
    </w:p>
    <w:p w14:paraId="61FC8492" w14:textId="77777777" w:rsidR="000F264A" w:rsidRPr="00091826" w:rsidRDefault="000F264A" w:rsidP="00810F30">
      <w:pPr>
        <w:pStyle w:val="TitleBlue"/>
        <w:spacing w:before="720" w:after="720"/>
        <w:rPr>
          <w:szCs w:val="20"/>
        </w:rPr>
      </w:pPr>
      <w:r w:rsidRPr="00B42DE6">
        <w:t>Comprehensive</w:t>
      </w:r>
      <w:r w:rsidRPr="000F5EB0">
        <w:rPr>
          <w:szCs w:val="20"/>
        </w:rPr>
        <w:t xml:space="preserve"> genomic profiling of </w:t>
      </w:r>
      <w:r>
        <w:rPr>
          <w:szCs w:val="20"/>
        </w:rPr>
        <w:t xml:space="preserve">non-small cell </w:t>
      </w:r>
      <w:r w:rsidRPr="000F5EB0">
        <w:rPr>
          <w:szCs w:val="20"/>
        </w:rPr>
        <w:t xml:space="preserve">lung cancer tumour tissue specimens using </w:t>
      </w:r>
      <w:r>
        <w:rPr>
          <w:szCs w:val="20"/>
        </w:rPr>
        <w:t xml:space="preserve">next generation sequencing </w:t>
      </w:r>
      <w:r w:rsidRPr="000F5EB0">
        <w:rPr>
          <w:szCs w:val="20"/>
        </w:rPr>
        <w:t>assay</w:t>
      </w:r>
      <w:r>
        <w:rPr>
          <w:szCs w:val="20"/>
        </w:rPr>
        <w:t>s</w:t>
      </w:r>
    </w:p>
    <w:p w14:paraId="26BEE231" w14:textId="5C8DAE65"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03F8341E" w14:textId="34BA624F"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63F40CDB"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249E22F9" w14:textId="6D5A4105" w:rsidR="008B2610" w:rsidRPr="00825773" w:rsidRDefault="009F5758" w:rsidP="003F7CB9">
      <w:pPr>
        <w:spacing w:before="0" w:after="0"/>
        <w:rPr>
          <w:lang w:val="fr-FR"/>
        </w:rPr>
      </w:pPr>
      <w:r w:rsidRPr="00825773">
        <w:rPr>
          <w:lang w:val="fr-FR"/>
        </w:rPr>
        <w:t>Phone: +61 2 6289 7550</w:t>
      </w:r>
    </w:p>
    <w:p w14:paraId="61B07622" w14:textId="3A7D523B" w:rsidR="009F5758" w:rsidRPr="00825773" w:rsidRDefault="009F5758" w:rsidP="003F7CB9">
      <w:pPr>
        <w:spacing w:before="0" w:after="0"/>
        <w:rPr>
          <w:lang w:val="fr-FR"/>
        </w:rPr>
      </w:pPr>
      <w:r w:rsidRPr="00825773">
        <w:rPr>
          <w:lang w:val="fr-FR"/>
        </w:rPr>
        <w:t>Fax: +61 2 6289 5540</w:t>
      </w:r>
    </w:p>
    <w:p w14:paraId="49B0E1B9" w14:textId="2076CC7B" w:rsidR="009F5758" w:rsidRPr="00825773" w:rsidRDefault="009F5758" w:rsidP="003F7CB9">
      <w:pPr>
        <w:spacing w:before="0" w:after="0"/>
        <w:rPr>
          <w:lang w:val="fr-FR"/>
        </w:rPr>
      </w:pPr>
      <w:r w:rsidRPr="00825773">
        <w:rPr>
          <w:lang w:val="fr-FR"/>
        </w:rPr>
        <w:t>Email:</w:t>
      </w:r>
      <w:r w:rsidR="00EA7FBA">
        <w:rPr>
          <w:lang w:val="fr-FR"/>
        </w:rPr>
        <w:t xml:space="preserve"> </w:t>
      </w:r>
      <w:hyperlink r:id="rId9" w:tooltip="click here to email the Department of Health HTA Team" w:history="1">
        <w:r w:rsidRPr="00825773">
          <w:rPr>
            <w:rStyle w:val="Hyperlink"/>
            <w:szCs w:val="20"/>
            <w:lang w:val="fr-FR"/>
          </w:rPr>
          <w:t>hta@health.gov.au</w:t>
        </w:r>
      </w:hyperlink>
    </w:p>
    <w:p w14:paraId="21D05B36" w14:textId="4ACE05BE" w:rsidR="009F5758" w:rsidRPr="0014063F" w:rsidRDefault="009F5758" w:rsidP="003F7CB9">
      <w:pPr>
        <w:spacing w:before="0" w:after="0"/>
        <w:rPr>
          <w:lang w:val="fr-FR"/>
        </w:rPr>
      </w:pPr>
      <w:r w:rsidRPr="00305A42">
        <w:rPr>
          <w:lang w:val="fr-FR"/>
        </w:rPr>
        <w:t xml:space="preserve">Website: </w:t>
      </w:r>
      <w:hyperlink r:id="rId10" w:tooltip="click here to visit the Medical Services Advisory Committee website" w:history="1">
        <w:r w:rsidR="008E6227" w:rsidRPr="00305A42">
          <w:rPr>
            <w:rStyle w:val="Hyperlink"/>
            <w:lang w:val="fr-FR"/>
          </w:rPr>
          <w:t>www.msac.gov.au</w:t>
        </w:r>
      </w:hyperlink>
    </w:p>
    <w:p w14:paraId="5147FAC3" w14:textId="77777777" w:rsidR="00E04FB3" w:rsidRPr="00C776B1" w:rsidRDefault="00D73646" w:rsidP="00415C74">
      <w:pPr>
        <w:pStyle w:val="Heading1"/>
      </w:pPr>
      <w:bookmarkStart w:id="0" w:name="_Toc443555803"/>
      <w:r w:rsidRPr="0014063F">
        <w:rPr>
          <w:rStyle w:val="IntenseReference"/>
          <w:lang w:val="fr-FR"/>
        </w:rPr>
        <w:br w:type="page"/>
      </w:r>
      <w:bookmarkEnd w:id="0"/>
      <w:r w:rsidR="00494011">
        <w:lastRenderedPageBreak/>
        <w:t>PART 1</w:t>
      </w:r>
      <w:r w:rsidR="00F93784">
        <w:t xml:space="preserve"> – </w:t>
      </w:r>
      <w:r w:rsidR="00E04FB3" w:rsidRPr="00C776B1">
        <w:t>APPLICANT DETAILS</w:t>
      </w:r>
    </w:p>
    <w:p w14:paraId="516BE401"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3316DA0C" w14:textId="30916854" w:rsidR="00C171FB" w:rsidRDefault="00C171FB" w:rsidP="00C171FB">
      <w:pPr>
        <w:pBdr>
          <w:top w:val="single" w:sz="4" w:space="1" w:color="auto"/>
          <w:left w:val="single" w:sz="4" w:space="4" w:color="auto"/>
          <w:bottom w:val="single" w:sz="4" w:space="1" w:color="auto"/>
          <w:right w:val="single" w:sz="4" w:space="4" w:color="auto"/>
        </w:pBdr>
      </w:pPr>
      <w:r>
        <w:t>Corporation / partnership details (where relevant):</w:t>
      </w:r>
    </w:p>
    <w:p w14:paraId="555C2E3D" w14:textId="7A308DC7" w:rsidR="00213778" w:rsidRDefault="003C74DF" w:rsidP="00C171FB">
      <w:pPr>
        <w:pBdr>
          <w:top w:val="single" w:sz="4" w:space="1" w:color="auto"/>
          <w:left w:val="single" w:sz="4" w:space="4" w:color="auto"/>
          <w:bottom w:val="single" w:sz="4" w:space="1" w:color="auto"/>
          <w:right w:val="single" w:sz="4" w:space="4" w:color="auto"/>
        </w:pBdr>
      </w:pPr>
      <w:r>
        <w:t>This application</w:t>
      </w:r>
      <w:r w:rsidR="0013160D">
        <w:t xml:space="preserve"> has been prepared as </w:t>
      </w:r>
      <w:r>
        <w:t>a partne</w:t>
      </w:r>
      <w:r w:rsidR="002F314E">
        <w:t>rship between Roche Pro</w:t>
      </w:r>
      <w:r w:rsidR="00652F5E">
        <w:t>ducts (Roche Pharmaceuticals)</w:t>
      </w:r>
      <w:r w:rsidR="007F08A5">
        <w:t xml:space="preserve"> and Roche Diagnostics</w:t>
      </w:r>
      <w:r w:rsidR="00165DF2">
        <w:t>.</w:t>
      </w:r>
    </w:p>
    <w:p w14:paraId="0EB7D67A" w14:textId="6C12661D"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287685">
        <w:rPr>
          <w:szCs w:val="20"/>
        </w:rPr>
        <w:t>Roche Products Pty Limited</w:t>
      </w:r>
    </w:p>
    <w:p w14:paraId="3DABD12D" w14:textId="54D32585"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CB5BA4" w:rsidRPr="00F874F1">
        <w:rPr>
          <w:szCs w:val="20"/>
        </w:rPr>
        <w:t>70 000 132 865</w:t>
      </w:r>
    </w:p>
    <w:p w14:paraId="0ADA17F0" w14:textId="285F5474" w:rsidR="00C171FB" w:rsidRDefault="00C171FB" w:rsidP="00B03BFF">
      <w:pPr>
        <w:pBdr>
          <w:top w:val="single" w:sz="4" w:space="1" w:color="auto"/>
          <w:left w:val="single" w:sz="4" w:space="4" w:color="auto"/>
          <w:bottom w:val="single" w:sz="4" w:space="1" w:color="auto"/>
          <w:right w:val="single" w:sz="4" w:space="4" w:color="auto"/>
        </w:pBdr>
        <w:rPr>
          <w:szCs w:val="20"/>
        </w:rPr>
      </w:pPr>
      <w:r>
        <w:t xml:space="preserve">Business trading name: </w:t>
      </w:r>
      <w:r w:rsidR="00F73BE4">
        <w:rPr>
          <w:szCs w:val="20"/>
        </w:rPr>
        <w:t>Roche Products</w:t>
      </w:r>
    </w:p>
    <w:p w14:paraId="21B6E172" w14:textId="10BF923B" w:rsidR="00165DF2" w:rsidRDefault="00165DF2" w:rsidP="00B03BFF">
      <w:pPr>
        <w:pBdr>
          <w:top w:val="single" w:sz="4" w:space="1" w:color="auto"/>
          <w:left w:val="single" w:sz="4" w:space="4" w:color="auto"/>
          <w:bottom w:val="single" w:sz="4" w:space="1" w:color="auto"/>
          <w:right w:val="single" w:sz="4" w:space="4" w:color="auto"/>
        </w:pBdr>
        <w:rPr>
          <w:szCs w:val="20"/>
        </w:rPr>
      </w:pPr>
    </w:p>
    <w:p w14:paraId="2819FBAA" w14:textId="77777777" w:rsidR="006E7FFB" w:rsidRPr="00F73BE4" w:rsidRDefault="006E7FFB" w:rsidP="006E7FFB">
      <w:pPr>
        <w:pBdr>
          <w:top w:val="single" w:sz="4" w:space="1" w:color="auto"/>
          <w:left w:val="single" w:sz="4" w:space="4" w:color="auto"/>
          <w:bottom w:val="single" w:sz="4" w:space="1" w:color="auto"/>
          <w:right w:val="single" w:sz="4" w:space="4" w:color="auto"/>
        </w:pBdr>
      </w:pPr>
      <w:r w:rsidRPr="00F73BE4">
        <w:t xml:space="preserve">Corporation name: </w:t>
      </w:r>
      <w:r w:rsidRPr="00F73BE4">
        <w:rPr>
          <w:szCs w:val="20"/>
        </w:rPr>
        <w:t>Roche Diagnostics Australia Pty Limited</w:t>
      </w:r>
    </w:p>
    <w:p w14:paraId="07D860E2" w14:textId="3E96262B" w:rsidR="006E7FFB" w:rsidRPr="00F73BE4" w:rsidRDefault="006E7FFB" w:rsidP="006E7FFB">
      <w:pPr>
        <w:pBdr>
          <w:top w:val="single" w:sz="4" w:space="1" w:color="auto"/>
          <w:left w:val="single" w:sz="4" w:space="4" w:color="auto"/>
          <w:bottom w:val="single" w:sz="4" w:space="1" w:color="auto"/>
          <w:right w:val="single" w:sz="4" w:space="4" w:color="auto"/>
        </w:pBdr>
      </w:pPr>
      <w:r w:rsidRPr="00F73BE4">
        <w:t xml:space="preserve">ABN: </w:t>
      </w:r>
      <w:r w:rsidRPr="00F73BE4">
        <w:rPr>
          <w:szCs w:val="20"/>
        </w:rPr>
        <w:t>29 003 001</w:t>
      </w:r>
      <w:r w:rsidR="004F5B00">
        <w:rPr>
          <w:szCs w:val="20"/>
        </w:rPr>
        <w:t xml:space="preserve"> 205</w:t>
      </w:r>
    </w:p>
    <w:p w14:paraId="69FD0788" w14:textId="7CADA36F" w:rsidR="00F73BE4" w:rsidRPr="00F73BE4" w:rsidRDefault="006E7FFB" w:rsidP="00B03BFF">
      <w:pPr>
        <w:pBdr>
          <w:top w:val="single" w:sz="4" w:space="1" w:color="auto"/>
          <w:left w:val="single" w:sz="4" w:space="4" w:color="auto"/>
          <w:bottom w:val="single" w:sz="4" w:space="1" w:color="auto"/>
          <w:right w:val="single" w:sz="4" w:space="4" w:color="auto"/>
        </w:pBdr>
        <w:rPr>
          <w:szCs w:val="20"/>
        </w:rPr>
      </w:pPr>
      <w:r w:rsidRPr="00F73BE4">
        <w:t xml:space="preserve">Business trading name: </w:t>
      </w:r>
      <w:r w:rsidRPr="00F73BE4">
        <w:rPr>
          <w:szCs w:val="20"/>
        </w:rPr>
        <w:t>Roche Diagnostics</w:t>
      </w:r>
    </w:p>
    <w:p w14:paraId="6BD4FBD8" w14:textId="1F932539" w:rsidR="00C171FB" w:rsidRPr="00C171FB" w:rsidRDefault="00C171FB" w:rsidP="00C171FB">
      <w:pPr>
        <w:rPr>
          <w:b/>
        </w:rPr>
      </w:pPr>
      <w:r>
        <w:rPr>
          <w:b/>
        </w:rPr>
        <w:t xml:space="preserve">Primary contact name: </w:t>
      </w:r>
      <w:r w:rsidR="009B057C" w:rsidRPr="00810F30">
        <w:rPr>
          <w:b/>
          <w:bCs/>
        </w:rPr>
        <w:t>REDACTED</w:t>
      </w:r>
    </w:p>
    <w:p w14:paraId="64CE8D5F"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50D6FD3A" w14:textId="38762433" w:rsidR="00C171FB" w:rsidRPr="00252577" w:rsidRDefault="00D24CAE" w:rsidP="00C171FB">
      <w:pPr>
        <w:pBdr>
          <w:top w:val="single" w:sz="4" w:space="1" w:color="auto"/>
          <w:left w:val="single" w:sz="4" w:space="4" w:color="auto"/>
          <w:bottom w:val="single" w:sz="4" w:space="1" w:color="auto"/>
          <w:right w:val="single" w:sz="4" w:space="4" w:color="auto"/>
        </w:pBdr>
      </w:pPr>
      <w:r w:rsidRPr="00252577">
        <w:t xml:space="preserve">Mobile: </w:t>
      </w:r>
      <w:r w:rsidR="009B057C" w:rsidRPr="00810F30">
        <w:rPr>
          <w:b/>
          <w:bCs/>
        </w:rPr>
        <w:t>REDACTED</w:t>
      </w:r>
    </w:p>
    <w:p w14:paraId="62BD890A" w14:textId="100D1B2E" w:rsidR="00C171FB" w:rsidRPr="00252577" w:rsidRDefault="00D24CAE" w:rsidP="00C171FB">
      <w:pPr>
        <w:pBdr>
          <w:top w:val="single" w:sz="4" w:space="1" w:color="auto"/>
          <w:left w:val="single" w:sz="4" w:space="4" w:color="auto"/>
          <w:bottom w:val="single" w:sz="4" w:space="1" w:color="auto"/>
          <w:right w:val="single" w:sz="4" w:space="4" w:color="auto"/>
        </w:pBdr>
      </w:pPr>
      <w:r w:rsidRPr="00252577">
        <w:t xml:space="preserve">Email: </w:t>
      </w:r>
      <w:r w:rsidR="009B057C" w:rsidRPr="00810F30">
        <w:rPr>
          <w:b/>
          <w:bCs/>
        </w:rPr>
        <w:t>REDACTED</w:t>
      </w:r>
    </w:p>
    <w:p w14:paraId="1C3F1ED9" w14:textId="77777777" w:rsidR="00C171FB" w:rsidRPr="00252577" w:rsidRDefault="00C171FB" w:rsidP="00C171FB">
      <w:pPr>
        <w:rPr>
          <w:b/>
        </w:rPr>
      </w:pPr>
    </w:p>
    <w:p w14:paraId="3C8F38FC" w14:textId="37D741ED" w:rsidR="00C171FB" w:rsidRPr="00247107" w:rsidRDefault="00C171FB" w:rsidP="00C171FB">
      <w:pPr>
        <w:rPr>
          <w:b/>
        </w:rPr>
      </w:pPr>
      <w:r w:rsidRPr="00247107">
        <w:rPr>
          <w:b/>
        </w:rPr>
        <w:t xml:space="preserve">Alternative contact name: </w:t>
      </w:r>
      <w:r w:rsidR="009B057C">
        <w:rPr>
          <w:bCs/>
        </w:rPr>
        <w:t>REDACTED</w:t>
      </w:r>
    </w:p>
    <w:p w14:paraId="5D89E054"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0D6FECFB" w14:textId="304D5BB8" w:rsidR="00C171FB" w:rsidRDefault="00C171FB" w:rsidP="00C171FB">
      <w:pPr>
        <w:pBdr>
          <w:top w:val="single" w:sz="4" w:space="1" w:color="auto"/>
          <w:left w:val="single" w:sz="4" w:space="4" w:color="auto"/>
          <w:bottom w:val="single" w:sz="4" w:space="1" w:color="auto"/>
          <w:right w:val="single" w:sz="4" w:space="4" w:color="auto"/>
        </w:pBdr>
      </w:pPr>
      <w:r>
        <w:t>Business:</w:t>
      </w:r>
      <w:r w:rsidR="004E0140">
        <w:t xml:space="preserve"> </w:t>
      </w:r>
      <w:r w:rsidR="009B057C" w:rsidRPr="00810F30">
        <w:rPr>
          <w:b/>
          <w:bCs/>
        </w:rPr>
        <w:t>REDACTED</w:t>
      </w:r>
    </w:p>
    <w:p w14:paraId="19E31355" w14:textId="18C46C34" w:rsidR="00C171FB" w:rsidRPr="0053648A" w:rsidRDefault="00C171FB" w:rsidP="00C171FB">
      <w:pPr>
        <w:pBdr>
          <w:top w:val="single" w:sz="4" w:space="1" w:color="auto"/>
          <w:left w:val="single" w:sz="4" w:space="4" w:color="auto"/>
          <w:bottom w:val="single" w:sz="4" w:space="1" w:color="auto"/>
          <w:right w:val="single" w:sz="4" w:space="4" w:color="auto"/>
        </w:pBdr>
      </w:pPr>
      <w:r w:rsidRPr="0053648A">
        <w:t xml:space="preserve">Mobile: </w:t>
      </w:r>
      <w:r w:rsidR="009B057C" w:rsidRPr="00810F30">
        <w:rPr>
          <w:b/>
          <w:bCs/>
        </w:rPr>
        <w:t>REDACTED</w:t>
      </w:r>
    </w:p>
    <w:p w14:paraId="3769558F" w14:textId="08A82B53" w:rsidR="00C171FB" w:rsidRPr="0053648A" w:rsidRDefault="00C171FB" w:rsidP="00C171FB">
      <w:pPr>
        <w:pBdr>
          <w:top w:val="single" w:sz="4" w:space="1" w:color="auto"/>
          <w:left w:val="single" w:sz="4" w:space="4" w:color="auto"/>
          <w:bottom w:val="single" w:sz="4" w:space="1" w:color="auto"/>
          <w:right w:val="single" w:sz="4" w:space="4" w:color="auto"/>
        </w:pBdr>
      </w:pPr>
      <w:r w:rsidRPr="0053648A">
        <w:t xml:space="preserve">Email: </w:t>
      </w:r>
      <w:r w:rsidR="009B057C" w:rsidRPr="00810F30">
        <w:rPr>
          <w:b/>
          <w:bCs/>
        </w:rPr>
        <w:t>REDACTED</w:t>
      </w:r>
    </w:p>
    <w:p w14:paraId="5F0412D5" w14:textId="77777777" w:rsidR="00C171FB" w:rsidRPr="0053648A" w:rsidRDefault="00C171FB" w:rsidP="00C171FB"/>
    <w:p w14:paraId="3A5364F3" w14:textId="77777777" w:rsidR="00534C5F" w:rsidRPr="00154B00" w:rsidRDefault="00494011" w:rsidP="004A0BF4">
      <w:pPr>
        <w:pStyle w:val="Heading2"/>
      </w:pPr>
      <w:r>
        <w:t xml:space="preserve">(a) </w:t>
      </w:r>
      <w:r w:rsidR="00534C5F">
        <w:t>Are you a lobbyist acting on behalf of an Applicant?</w:t>
      </w:r>
    </w:p>
    <w:p w14:paraId="2C548383"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07C47">
        <w:rPr>
          <w:szCs w:val="20"/>
        </w:rPr>
      </w:r>
      <w:r w:rsidR="00607C47">
        <w:rPr>
          <w:szCs w:val="20"/>
        </w:rPr>
        <w:fldChar w:fldCharType="separate"/>
      </w:r>
      <w:r w:rsidRPr="00753C44">
        <w:rPr>
          <w:szCs w:val="20"/>
        </w:rPr>
        <w:fldChar w:fldCharType="end"/>
      </w:r>
      <w:r>
        <w:rPr>
          <w:szCs w:val="20"/>
        </w:rPr>
        <w:t xml:space="preserve"> Yes</w:t>
      </w:r>
    </w:p>
    <w:p w14:paraId="41460C23" w14:textId="2DF78E21" w:rsidR="00A6491A" w:rsidRPr="00753C44" w:rsidRDefault="00E248DD"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607C47">
        <w:rPr>
          <w:szCs w:val="20"/>
        </w:rPr>
      </w:r>
      <w:r w:rsidR="00607C47">
        <w:rPr>
          <w:szCs w:val="20"/>
        </w:rPr>
        <w:fldChar w:fldCharType="separate"/>
      </w:r>
      <w:r>
        <w:rPr>
          <w:szCs w:val="20"/>
        </w:rPr>
        <w:fldChar w:fldCharType="end"/>
      </w:r>
      <w:bookmarkEnd w:id="1"/>
      <w:r w:rsidR="00A6491A">
        <w:rPr>
          <w:szCs w:val="20"/>
        </w:rPr>
        <w:t xml:space="preserve"> No</w:t>
      </w:r>
    </w:p>
    <w:p w14:paraId="374C627F" w14:textId="77777777" w:rsidR="00534C5F" w:rsidRPr="00154B00" w:rsidRDefault="00534C5F" w:rsidP="00FD4715">
      <w:pPr>
        <w:pStyle w:val="Heading2"/>
        <w:numPr>
          <w:ilvl w:val="0"/>
          <w:numId w:val="2"/>
        </w:numPr>
      </w:pPr>
      <w:r w:rsidRPr="00154B00">
        <w:t xml:space="preserve">If yes, </w:t>
      </w:r>
      <w:r>
        <w:t xml:space="preserve">are </w:t>
      </w:r>
      <w:r w:rsidRPr="00FE33A6">
        <w:t>you</w:t>
      </w:r>
      <w:r>
        <w:t xml:space="preserve"> listed on the Register of Lobbyists?</w:t>
      </w:r>
    </w:p>
    <w:p w14:paraId="1E9136B8" w14:textId="1584D1A9" w:rsidR="00A6491A" w:rsidRPr="00753C44" w:rsidRDefault="00980334" w:rsidP="00A6491A">
      <w:pPr>
        <w:spacing w:before="0" w:after="0"/>
        <w:ind w:left="426"/>
        <w:rPr>
          <w:szCs w:val="20"/>
        </w:rPr>
      </w:pPr>
      <w:r>
        <w:rPr>
          <w:szCs w:val="20"/>
        </w:rPr>
        <w:t>N/A</w:t>
      </w:r>
    </w:p>
    <w:p w14:paraId="43ECF182" w14:textId="77777777" w:rsidR="00E04FB3" w:rsidRDefault="00E04FB3" w:rsidP="005C333E">
      <w:pPr>
        <w:spacing w:before="0" w:after="0"/>
        <w:ind w:left="426"/>
        <w:rPr>
          <w:b/>
          <w:szCs w:val="20"/>
        </w:rPr>
      </w:pPr>
      <w:r w:rsidRPr="00154B00">
        <w:rPr>
          <w:b/>
          <w:szCs w:val="20"/>
        </w:rPr>
        <w:br w:type="page"/>
      </w:r>
    </w:p>
    <w:p w14:paraId="73F9D8B2"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52FB2803" w14:textId="5E50BDD9" w:rsidR="000B3CD0" w:rsidRDefault="000B3CD0" w:rsidP="00730C04">
      <w:pPr>
        <w:pStyle w:val="Heading2"/>
      </w:pPr>
      <w:r w:rsidRPr="00154B00">
        <w:t>Application title</w:t>
      </w:r>
    </w:p>
    <w:p w14:paraId="083AE4F8" w14:textId="054FA901" w:rsidR="009056C5" w:rsidRPr="00091826" w:rsidRDefault="0050464D" w:rsidP="00810F30">
      <w:pPr>
        <w:ind w:left="360"/>
        <w:rPr>
          <w:szCs w:val="20"/>
        </w:rPr>
      </w:pPr>
      <w:r w:rsidRPr="000F5EB0">
        <w:rPr>
          <w:szCs w:val="20"/>
        </w:rPr>
        <w:t xml:space="preserve">Comprehensive genomic profiling of </w:t>
      </w:r>
      <w:r w:rsidR="00C87354">
        <w:rPr>
          <w:szCs w:val="20"/>
        </w:rPr>
        <w:t xml:space="preserve">non-small cell </w:t>
      </w:r>
      <w:r w:rsidRPr="000F5EB0">
        <w:rPr>
          <w:szCs w:val="20"/>
        </w:rPr>
        <w:t xml:space="preserve">lung cancer tumour tissue specimens using </w:t>
      </w:r>
      <w:r w:rsidR="00247107">
        <w:rPr>
          <w:szCs w:val="20"/>
        </w:rPr>
        <w:t xml:space="preserve">next generation sequencing </w:t>
      </w:r>
      <w:r w:rsidRPr="000F5EB0">
        <w:rPr>
          <w:szCs w:val="20"/>
        </w:rPr>
        <w:t>assay</w:t>
      </w:r>
      <w:r w:rsidR="00B10464">
        <w:rPr>
          <w:szCs w:val="20"/>
        </w:rPr>
        <w:t>s</w:t>
      </w:r>
    </w:p>
    <w:p w14:paraId="566EA475" w14:textId="77777777" w:rsidR="009B4E1E" w:rsidRPr="000F5EB0" w:rsidRDefault="009B4E1E" w:rsidP="004A0BF4">
      <w:pPr>
        <w:pStyle w:val="Heading2"/>
      </w:pPr>
      <w:r w:rsidRPr="000F5EB0">
        <w:t>Provide a succinct description of the medical condition relevant to the proposed service</w:t>
      </w:r>
      <w:r w:rsidR="000955E7" w:rsidRPr="000F5EB0">
        <w:t xml:space="preserve"> (no more than 150 words</w:t>
      </w:r>
      <w:r w:rsidR="00F93784" w:rsidRPr="000F5EB0">
        <w:t xml:space="preserve"> – </w:t>
      </w:r>
      <w:r w:rsidR="00C847AE" w:rsidRPr="000F5EB0">
        <w:t>further</w:t>
      </w:r>
      <w:r w:rsidR="00F93784" w:rsidRPr="000F5EB0">
        <w:t xml:space="preserve"> information will be </w:t>
      </w:r>
      <w:r w:rsidR="00C847AE" w:rsidRPr="000F5EB0">
        <w:t xml:space="preserve">requested </w:t>
      </w:r>
      <w:r w:rsidR="003F2711" w:rsidRPr="000F5EB0">
        <w:t>at Part F</w:t>
      </w:r>
      <w:r w:rsidR="00C847AE" w:rsidRPr="000F5EB0">
        <w:t xml:space="preserve"> of the Application Form</w:t>
      </w:r>
      <w:r w:rsidR="000955E7" w:rsidRPr="000F5EB0">
        <w:t>)</w:t>
      </w:r>
    </w:p>
    <w:p w14:paraId="24DEBFF7" w14:textId="758D94ED" w:rsidR="004D315B" w:rsidRPr="000F5EB0" w:rsidRDefault="004D315B" w:rsidP="00810F30">
      <w:pPr>
        <w:ind w:left="360"/>
        <w:rPr>
          <w:szCs w:val="20"/>
        </w:rPr>
      </w:pPr>
      <w:r w:rsidRPr="000F5EB0">
        <w:rPr>
          <w:szCs w:val="20"/>
        </w:rPr>
        <w:t xml:space="preserve">Lung cancer is the fifth most commonly diagnosed cancer in Australia. Based on projections of lung cancer incidence </w:t>
      </w:r>
      <w:r w:rsidR="00BC0146">
        <w:t xml:space="preserve">outlined in the background document to the PD-(L)1 checkpoint inhibitor stakeholder meeting </w:t>
      </w:r>
      <w:r w:rsidR="00897EBD">
        <w:fldChar w:fldCharType="begin"/>
      </w:r>
      <w:r w:rsidR="00B078F9">
        <w:instrText xml:space="preserve"> ADDIN EN.CITE &lt;EndNote&gt;&lt;Cite&gt;&lt;Author&gt;DoH&lt;/Author&gt;&lt;Year&gt;2019&lt;/Year&gt;&lt;RecNum&gt;7934&lt;/RecNum&gt;&lt;DisplayText&gt;(DoH 2019)&lt;/DisplayText&gt;&lt;record&gt;&lt;rec-number&gt;7934&lt;/rec-number&gt;&lt;foreign-keys&gt;&lt;key app="EN" db-id="rxtrxwppgpd2wde2swb5es9g90ffpzr5dx2p" timestamp="1573080362"&gt;7934&lt;/key&gt;&lt;/foreign-keys&gt;&lt;ref-type name="Government Document"&gt;46&lt;/ref-type&gt;&lt;contributors&gt;&lt;authors&gt;&lt;author&gt;DoH,&lt;/author&gt;&lt;/authors&gt;&lt;secondary-authors&gt;&lt;author&gt;Department of Health&lt;/author&gt;&lt;/secondary-authors&gt;&lt;/contributors&gt;&lt;titles&gt;&lt;title&gt;PD-(L)1 checkpoint inhibitor stakeholder meeting&lt;/title&gt;&lt;/titles&gt;&lt;dates&gt;&lt;year&gt;2019&lt;/year&gt;&lt;/dates&gt;&lt;urls&gt;&lt;/urls&gt;&lt;/record&gt;&lt;/Cite&gt;&lt;/EndNote&gt;</w:instrText>
      </w:r>
      <w:r w:rsidR="00897EBD">
        <w:fldChar w:fldCharType="separate"/>
      </w:r>
      <w:r w:rsidR="00897EBD">
        <w:rPr>
          <w:noProof/>
        </w:rPr>
        <w:t>(DoH 2019)</w:t>
      </w:r>
      <w:r w:rsidR="00897EBD">
        <w:fldChar w:fldCharType="end"/>
      </w:r>
      <w:r w:rsidRPr="000F5EB0">
        <w:rPr>
          <w:szCs w:val="20"/>
        </w:rPr>
        <w:t xml:space="preserve"> there </w:t>
      </w:r>
      <w:r w:rsidR="00AD54D8">
        <w:rPr>
          <w:szCs w:val="20"/>
        </w:rPr>
        <w:t xml:space="preserve">will be </w:t>
      </w:r>
      <w:r w:rsidR="00882859">
        <w:rPr>
          <w:szCs w:val="20"/>
        </w:rPr>
        <w:t>12,</w:t>
      </w:r>
      <w:r w:rsidR="00AD54D8">
        <w:rPr>
          <w:szCs w:val="20"/>
        </w:rPr>
        <w:t>990</w:t>
      </w:r>
      <w:r w:rsidR="00EE79B3">
        <w:rPr>
          <w:szCs w:val="20"/>
        </w:rPr>
        <w:t xml:space="preserve"> </w:t>
      </w:r>
      <w:r w:rsidRPr="000F5EB0">
        <w:rPr>
          <w:szCs w:val="20"/>
        </w:rPr>
        <w:t xml:space="preserve">new cases of lung cancer in Australia in </w:t>
      </w:r>
      <w:r w:rsidR="000C19C3">
        <w:rPr>
          <w:szCs w:val="20"/>
        </w:rPr>
        <w:t>20</w:t>
      </w:r>
      <w:r w:rsidR="00AD54D8">
        <w:rPr>
          <w:szCs w:val="20"/>
        </w:rPr>
        <w:t>20</w:t>
      </w:r>
      <w:r w:rsidR="006107BC">
        <w:rPr>
          <w:szCs w:val="20"/>
        </w:rPr>
        <w:t>.</w:t>
      </w:r>
      <w:r w:rsidR="004416A5">
        <w:rPr>
          <w:szCs w:val="20"/>
        </w:rPr>
        <w:t xml:space="preserve"> </w:t>
      </w:r>
      <w:r w:rsidRPr="000F5EB0">
        <w:rPr>
          <w:szCs w:val="20"/>
        </w:rPr>
        <w:t>There are two broad classes of lung cancer: non-small cell lung cancer (NSCLC) and small</w:t>
      </w:r>
      <w:r w:rsidR="00360048">
        <w:rPr>
          <w:szCs w:val="20"/>
        </w:rPr>
        <w:t xml:space="preserve"> </w:t>
      </w:r>
      <w:r w:rsidRPr="000F5EB0">
        <w:rPr>
          <w:szCs w:val="20"/>
        </w:rPr>
        <w:t xml:space="preserve">cell lung cancer (SCLC). This application </w:t>
      </w:r>
      <w:r w:rsidR="00EB78D3">
        <w:rPr>
          <w:szCs w:val="20"/>
        </w:rPr>
        <w:t xml:space="preserve">is focused on </w:t>
      </w:r>
      <w:r w:rsidR="00DF4A69">
        <w:rPr>
          <w:szCs w:val="20"/>
        </w:rPr>
        <w:t>NSCLC</w:t>
      </w:r>
      <w:r w:rsidRPr="000F5EB0">
        <w:rPr>
          <w:szCs w:val="20"/>
        </w:rPr>
        <w:t>.</w:t>
      </w:r>
    </w:p>
    <w:p w14:paraId="1077266C" w14:textId="3BC8C742" w:rsidR="004D315B" w:rsidRPr="000F5EB0" w:rsidRDefault="004D315B" w:rsidP="00810F30">
      <w:pPr>
        <w:ind w:left="360"/>
        <w:rPr>
          <w:szCs w:val="20"/>
        </w:rPr>
      </w:pPr>
      <w:r w:rsidRPr="000F5EB0">
        <w:rPr>
          <w:szCs w:val="20"/>
        </w:rPr>
        <w:t xml:space="preserve">Patients with </w:t>
      </w:r>
      <w:r w:rsidR="002069A6">
        <w:rPr>
          <w:szCs w:val="20"/>
        </w:rPr>
        <w:t xml:space="preserve">NSCLC </w:t>
      </w:r>
      <w:r w:rsidRPr="000F5EB0">
        <w:rPr>
          <w:szCs w:val="20"/>
        </w:rPr>
        <w:t xml:space="preserve">that are diagnosed early may be managed by surgical removal (resection) of their tumour. In circumstances where surgical resection is not appropriate due to advanced disease, or when a patient experiences disease progression following surgical resection, management with systemic therapy is recommended. The selection of the appropriate systemic therapy to use in </w:t>
      </w:r>
      <w:r w:rsidR="00394EBB">
        <w:rPr>
          <w:szCs w:val="20"/>
        </w:rPr>
        <w:t xml:space="preserve">NSCLC </w:t>
      </w:r>
      <w:r w:rsidRPr="000F5EB0">
        <w:rPr>
          <w:szCs w:val="20"/>
        </w:rPr>
        <w:t xml:space="preserve">patients is increasingly being guided by the identification of molecular biomarkers in a patient’s tumour. This application relates to the use of comprehensive genomic profiling (CGP) of </w:t>
      </w:r>
      <w:r w:rsidR="00394EBB">
        <w:rPr>
          <w:szCs w:val="20"/>
        </w:rPr>
        <w:t xml:space="preserve">NSCLC </w:t>
      </w:r>
      <w:r w:rsidRPr="000F5EB0">
        <w:rPr>
          <w:szCs w:val="20"/>
        </w:rPr>
        <w:t xml:space="preserve">tumour tissue </w:t>
      </w:r>
      <w:r w:rsidR="006C298C">
        <w:rPr>
          <w:szCs w:val="20"/>
        </w:rPr>
        <w:t xml:space="preserve">using </w:t>
      </w:r>
      <w:r w:rsidR="0002088E">
        <w:rPr>
          <w:szCs w:val="20"/>
        </w:rPr>
        <w:t xml:space="preserve">next generation sequencing (NGS) </w:t>
      </w:r>
      <w:r w:rsidR="006C298C">
        <w:rPr>
          <w:szCs w:val="20"/>
        </w:rPr>
        <w:t>assay</w:t>
      </w:r>
      <w:r w:rsidR="0002088E">
        <w:rPr>
          <w:szCs w:val="20"/>
        </w:rPr>
        <w:t>s</w:t>
      </w:r>
      <w:r w:rsidR="006C298C">
        <w:rPr>
          <w:szCs w:val="20"/>
        </w:rPr>
        <w:t xml:space="preserve"> </w:t>
      </w:r>
      <w:r w:rsidRPr="000F5EB0">
        <w:rPr>
          <w:szCs w:val="20"/>
        </w:rPr>
        <w:t>in patients being considered for treatment with systemic therapy.</w:t>
      </w:r>
    </w:p>
    <w:p w14:paraId="2D2F58FB" w14:textId="602A9F3C" w:rsidR="00804C0A" w:rsidRDefault="004D315B" w:rsidP="00810F30">
      <w:pPr>
        <w:ind w:left="360"/>
        <w:rPr>
          <w:i/>
          <w:szCs w:val="20"/>
        </w:rPr>
      </w:pPr>
      <w:r w:rsidRPr="000F5EB0">
        <w:rPr>
          <w:i/>
          <w:szCs w:val="20"/>
        </w:rPr>
        <w:t xml:space="preserve">Note: </w:t>
      </w:r>
      <w:r w:rsidR="00157F0D">
        <w:rPr>
          <w:i/>
          <w:szCs w:val="20"/>
        </w:rPr>
        <w:t xml:space="preserve">Next generation sequencing </w:t>
      </w:r>
      <w:r w:rsidRPr="000F5EB0">
        <w:rPr>
          <w:i/>
          <w:szCs w:val="20"/>
        </w:rPr>
        <w:t>assay</w:t>
      </w:r>
      <w:r w:rsidR="00157F0D">
        <w:rPr>
          <w:i/>
          <w:szCs w:val="20"/>
        </w:rPr>
        <w:t xml:space="preserve">s </w:t>
      </w:r>
      <w:r w:rsidR="00085722">
        <w:rPr>
          <w:i/>
          <w:szCs w:val="20"/>
        </w:rPr>
        <w:t xml:space="preserve">may be used to </w:t>
      </w:r>
      <w:r w:rsidR="00B5425A">
        <w:rPr>
          <w:i/>
          <w:szCs w:val="20"/>
        </w:rPr>
        <w:t xml:space="preserve">identify molecular alterations </w:t>
      </w:r>
      <w:r w:rsidR="009D6EA9">
        <w:rPr>
          <w:i/>
          <w:szCs w:val="20"/>
        </w:rPr>
        <w:t xml:space="preserve">from DNA or RNA </w:t>
      </w:r>
      <w:r w:rsidR="00FF6F25">
        <w:rPr>
          <w:i/>
          <w:szCs w:val="20"/>
        </w:rPr>
        <w:t xml:space="preserve">extracted from </w:t>
      </w:r>
      <w:r w:rsidR="007E35AF">
        <w:rPr>
          <w:i/>
          <w:szCs w:val="20"/>
        </w:rPr>
        <w:t>multiple tumour types</w:t>
      </w:r>
      <w:r w:rsidRPr="000F5EB0">
        <w:rPr>
          <w:i/>
          <w:szCs w:val="20"/>
        </w:rPr>
        <w:t>. This application is focus</w:t>
      </w:r>
      <w:r w:rsidR="00F25991">
        <w:rPr>
          <w:i/>
          <w:szCs w:val="20"/>
        </w:rPr>
        <w:t>ed</w:t>
      </w:r>
      <w:r w:rsidRPr="000F5EB0">
        <w:rPr>
          <w:i/>
          <w:szCs w:val="20"/>
        </w:rPr>
        <w:t xml:space="preserve"> on patients with </w:t>
      </w:r>
      <w:r w:rsidR="00E665D4">
        <w:rPr>
          <w:i/>
          <w:szCs w:val="20"/>
        </w:rPr>
        <w:t xml:space="preserve">NSCLC </w:t>
      </w:r>
      <w:r w:rsidRPr="000F5EB0">
        <w:rPr>
          <w:i/>
          <w:szCs w:val="20"/>
        </w:rPr>
        <w:t xml:space="preserve">only. The decision to focus the application on </w:t>
      </w:r>
      <w:r w:rsidR="00E665D4">
        <w:rPr>
          <w:i/>
          <w:szCs w:val="20"/>
        </w:rPr>
        <w:t>NSCLC</w:t>
      </w:r>
      <w:r w:rsidRPr="000F5EB0">
        <w:rPr>
          <w:i/>
          <w:szCs w:val="20"/>
        </w:rPr>
        <w:t xml:space="preserve"> was made after a discussion with representatives from the Department of Health during a meeting </w:t>
      </w:r>
      <w:r w:rsidR="009C16ED">
        <w:rPr>
          <w:i/>
          <w:szCs w:val="20"/>
        </w:rPr>
        <w:t>held</w:t>
      </w:r>
      <w:r w:rsidRPr="000F5EB0">
        <w:rPr>
          <w:i/>
          <w:szCs w:val="20"/>
        </w:rPr>
        <w:t xml:space="preserve"> 29</w:t>
      </w:r>
      <w:r w:rsidRPr="000F5EB0">
        <w:rPr>
          <w:i/>
          <w:szCs w:val="20"/>
          <w:vertAlign w:val="superscript"/>
        </w:rPr>
        <w:t>th</w:t>
      </w:r>
      <w:r w:rsidRPr="000F5EB0">
        <w:rPr>
          <w:i/>
          <w:szCs w:val="20"/>
        </w:rPr>
        <w:t xml:space="preserve"> </w:t>
      </w:r>
      <w:r w:rsidR="00826FB3">
        <w:rPr>
          <w:i/>
          <w:szCs w:val="20"/>
        </w:rPr>
        <w:t>May</w:t>
      </w:r>
      <w:r w:rsidRPr="000F5EB0">
        <w:rPr>
          <w:i/>
          <w:szCs w:val="20"/>
        </w:rPr>
        <w:t xml:space="preserve"> 2018. At this meeting it was suggested that any MSAC application would benefit from focusing on a discrete population. </w:t>
      </w:r>
      <w:r w:rsidR="00360D8C">
        <w:rPr>
          <w:i/>
          <w:szCs w:val="20"/>
        </w:rPr>
        <w:t>Non-small cell l</w:t>
      </w:r>
      <w:r w:rsidRPr="000F5EB0">
        <w:rPr>
          <w:i/>
          <w:szCs w:val="20"/>
        </w:rPr>
        <w:t>ung cancer is proposed as being an appropriate</w:t>
      </w:r>
      <w:r w:rsidR="00787F4B">
        <w:rPr>
          <w:i/>
          <w:szCs w:val="20"/>
        </w:rPr>
        <w:t>, high need</w:t>
      </w:r>
      <w:r w:rsidRPr="000F5EB0">
        <w:rPr>
          <w:i/>
          <w:szCs w:val="20"/>
        </w:rPr>
        <w:t xml:space="preserve"> discrete patient population as there are multiple biomarker tests associated with the identification of multiple treatments currently listed on the Pharmaceutical Benefits Scheme (PBS) or under active clinical development. All </w:t>
      </w:r>
      <w:r w:rsidR="009C16ED">
        <w:rPr>
          <w:i/>
          <w:szCs w:val="20"/>
        </w:rPr>
        <w:t xml:space="preserve">molecular </w:t>
      </w:r>
      <w:r w:rsidRPr="000F5EB0">
        <w:rPr>
          <w:i/>
          <w:szCs w:val="20"/>
        </w:rPr>
        <w:t xml:space="preserve">biomarker tests currently funded on the MBS for NSCLC patients may be consolidated with the use of </w:t>
      </w:r>
      <w:r w:rsidR="00F13294">
        <w:rPr>
          <w:i/>
          <w:szCs w:val="20"/>
        </w:rPr>
        <w:t xml:space="preserve">a </w:t>
      </w:r>
      <w:r w:rsidR="00A86FFD">
        <w:rPr>
          <w:i/>
          <w:szCs w:val="20"/>
        </w:rPr>
        <w:t xml:space="preserve">NGS </w:t>
      </w:r>
      <w:r w:rsidRPr="000F5EB0">
        <w:rPr>
          <w:i/>
          <w:szCs w:val="20"/>
        </w:rPr>
        <w:t>assay</w:t>
      </w:r>
      <w:r w:rsidR="00642F73">
        <w:rPr>
          <w:i/>
          <w:szCs w:val="20"/>
        </w:rPr>
        <w:t>.</w:t>
      </w:r>
    </w:p>
    <w:p w14:paraId="6DA7F657" w14:textId="74C03A79" w:rsidR="002C3345" w:rsidRDefault="004D315B" w:rsidP="00810F30">
      <w:pPr>
        <w:ind w:left="360"/>
        <w:rPr>
          <w:i/>
          <w:szCs w:val="20"/>
        </w:rPr>
      </w:pPr>
      <w:r w:rsidRPr="000F5EB0">
        <w:rPr>
          <w:i/>
          <w:szCs w:val="20"/>
        </w:rPr>
        <w:t>Based on the results of ongoing clinical trials</w:t>
      </w:r>
      <w:r w:rsidR="008F3C33">
        <w:rPr>
          <w:i/>
          <w:szCs w:val="20"/>
        </w:rPr>
        <w:t>,</w:t>
      </w:r>
      <w:r w:rsidRPr="000F5EB0">
        <w:rPr>
          <w:i/>
          <w:szCs w:val="20"/>
        </w:rPr>
        <w:t xml:space="preserve"> the use of CGP in patients with rare cancers, cancers of unknown primary origin, or patients with very late stage disease who have limited treatment options may become established as part of clinical care. In this context, CGP would be used to identify the presence of mutations with </w:t>
      </w:r>
      <w:r w:rsidRPr="00561445">
        <w:rPr>
          <w:i/>
          <w:szCs w:val="20"/>
        </w:rPr>
        <w:t>a corresponding targeted therapy based on the rationale that patients will achieve better outcomes (in terms of treatment benefit and/or reduced toxicity) if they are matched to a targeted treatment based on the genomic profile of their disease</w:t>
      </w:r>
      <w:r w:rsidRPr="00A0349D">
        <w:rPr>
          <w:i/>
          <w:szCs w:val="20"/>
        </w:rPr>
        <w:t>.</w:t>
      </w:r>
      <w:r w:rsidR="004378B3" w:rsidRPr="00A0349D">
        <w:rPr>
          <w:i/>
          <w:szCs w:val="20"/>
        </w:rPr>
        <w:t xml:space="preserve"> </w:t>
      </w:r>
      <w:r w:rsidR="00C75E4D" w:rsidRPr="00A0349D">
        <w:rPr>
          <w:i/>
          <w:szCs w:val="20"/>
        </w:rPr>
        <w:t xml:space="preserve">Roche </w:t>
      </w:r>
      <w:r w:rsidR="002D41E7" w:rsidRPr="00A0349D">
        <w:rPr>
          <w:i/>
          <w:szCs w:val="20"/>
        </w:rPr>
        <w:t xml:space="preserve">Products and Roche </w:t>
      </w:r>
      <w:r w:rsidR="00C75E4D" w:rsidRPr="00A0349D">
        <w:rPr>
          <w:i/>
          <w:szCs w:val="20"/>
        </w:rPr>
        <w:t>Diagnostics</w:t>
      </w:r>
      <w:r w:rsidR="004378B3" w:rsidRPr="00A0349D">
        <w:rPr>
          <w:i/>
          <w:szCs w:val="20"/>
        </w:rPr>
        <w:t xml:space="preserve"> note</w:t>
      </w:r>
      <w:r w:rsidR="004378B3" w:rsidRPr="00561445">
        <w:rPr>
          <w:i/>
          <w:szCs w:val="20"/>
        </w:rPr>
        <w:t xml:space="preserve"> that NTRK testing </w:t>
      </w:r>
      <w:r w:rsidR="008C5475">
        <w:rPr>
          <w:i/>
          <w:szCs w:val="20"/>
        </w:rPr>
        <w:t xml:space="preserve">of solid tumours </w:t>
      </w:r>
      <w:r w:rsidR="004378B3" w:rsidRPr="00561445">
        <w:rPr>
          <w:i/>
          <w:szCs w:val="20"/>
        </w:rPr>
        <w:t xml:space="preserve">to identify patients eligible for treatment with larotrectinib </w:t>
      </w:r>
      <w:r w:rsidR="00977EF2">
        <w:rPr>
          <w:i/>
          <w:szCs w:val="20"/>
        </w:rPr>
        <w:t xml:space="preserve">and </w:t>
      </w:r>
      <w:r w:rsidR="000C2DF6">
        <w:rPr>
          <w:i/>
          <w:szCs w:val="20"/>
        </w:rPr>
        <w:t>microsatellite</w:t>
      </w:r>
      <w:r w:rsidR="00416F4A">
        <w:rPr>
          <w:i/>
          <w:szCs w:val="20"/>
        </w:rPr>
        <w:t xml:space="preserve"> instab</w:t>
      </w:r>
      <w:r w:rsidR="0098167E">
        <w:rPr>
          <w:i/>
          <w:szCs w:val="20"/>
        </w:rPr>
        <w:t>ility</w:t>
      </w:r>
      <w:r w:rsidR="00EF5A80">
        <w:rPr>
          <w:i/>
          <w:szCs w:val="20"/>
        </w:rPr>
        <w:t>/</w:t>
      </w:r>
      <w:r w:rsidR="002330D3">
        <w:rPr>
          <w:i/>
          <w:szCs w:val="20"/>
        </w:rPr>
        <w:t>DNA mismatch repair</w:t>
      </w:r>
      <w:r w:rsidR="0098167E">
        <w:rPr>
          <w:i/>
          <w:szCs w:val="20"/>
        </w:rPr>
        <w:t xml:space="preserve"> (MSI</w:t>
      </w:r>
      <w:r w:rsidR="002330D3">
        <w:rPr>
          <w:i/>
          <w:szCs w:val="20"/>
        </w:rPr>
        <w:t>/dMMR</w:t>
      </w:r>
      <w:r w:rsidR="0098167E">
        <w:rPr>
          <w:i/>
          <w:szCs w:val="20"/>
        </w:rPr>
        <w:t>) testing</w:t>
      </w:r>
      <w:r w:rsidR="00C13366">
        <w:rPr>
          <w:i/>
          <w:szCs w:val="20"/>
        </w:rPr>
        <w:t xml:space="preserve"> </w:t>
      </w:r>
      <w:r w:rsidR="00C13366" w:rsidRPr="00561445">
        <w:rPr>
          <w:i/>
          <w:szCs w:val="20"/>
        </w:rPr>
        <w:t xml:space="preserve">to identify patients eligible for treatment with </w:t>
      </w:r>
      <w:r w:rsidR="007A28D0">
        <w:rPr>
          <w:i/>
          <w:szCs w:val="20"/>
        </w:rPr>
        <w:t xml:space="preserve">pembrolizumab are </w:t>
      </w:r>
      <w:r w:rsidR="00F92888" w:rsidRPr="00561445">
        <w:rPr>
          <w:i/>
          <w:szCs w:val="20"/>
        </w:rPr>
        <w:t xml:space="preserve">the basis of current MSAC </w:t>
      </w:r>
      <w:r w:rsidR="003C6EDF" w:rsidRPr="00561445">
        <w:rPr>
          <w:i/>
          <w:szCs w:val="20"/>
        </w:rPr>
        <w:t>Application</w:t>
      </w:r>
      <w:r w:rsidR="007A28D0">
        <w:rPr>
          <w:i/>
          <w:szCs w:val="20"/>
        </w:rPr>
        <w:t>s</w:t>
      </w:r>
      <w:r w:rsidR="00F92888" w:rsidRPr="00561445">
        <w:rPr>
          <w:i/>
          <w:szCs w:val="20"/>
        </w:rPr>
        <w:t xml:space="preserve"> (</w:t>
      </w:r>
      <w:r w:rsidR="003C6EDF" w:rsidRPr="00561445">
        <w:rPr>
          <w:i/>
          <w:szCs w:val="20"/>
        </w:rPr>
        <w:t>application 160</w:t>
      </w:r>
      <w:r w:rsidR="00434AEB">
        <w:rPr>
          <w:i/>
          <w:szCs w:val="20"/>
        </w:rPr>
        <w:t>2</w:t>
      </w:r>
      <w:r w:rsidR="00B209DC">
        <w:rPr>
          <w:i/>
          <w:szCs w:val="20"/>
        </w:rPr>
        <w:t xml:space="preserve"> and </w:t>
      </w:r>
      <w:r w:rsidR="00EF5A80">
        <w:rPr>
          <w:i/>
          <w:szCs w:val="20"/>
        </w:rPr>
        <w:t>1508</w:t>
      </w:r>
      <w:r w:rsidR="003C6EDF" w:rsidRPr="00561445">
        <w:rPr>
          <w:i/>
          <w:szCs w:val="20"/>
        </w:rPr>
        <w:t>).</w:t>
      </w:r>
      <w:r w:rsidRPr="00561445">
        <w:rPr>
          <w:i/>
          <w:szCs w:val="20"/>
        </w:rPr>
        <w:t xml:space="preserve"> </w:t>
      </w:r>
      <w:r w:rsidR="00D240D2">
        <w:rPr>
          <w:i/>
          <w:szCs w:val="20"/>
        </w:rPr>
        <w:t>Whil</w:t>
      </w:r>
      <w:r w:rsidR="0040527E">
        <w:rPr>
          <w:i/>
          <w:szCs w:val="20"/>
        </w:rPr>
        <w:t>e</w:t>
      </w:r>
      <w:r w:rsidR="00D240D2">
        <w:rPr>
          <w:i/>
          <w:szCs w:val="20"/>
        </w:rPr>
        <w:t xml:space="preserve"> these molecular alterations may be identified </w:t>
      </w:r>
      <w:r w:rsidR="00D90B75">
        <w:rPr>
          <w:i/>
          <w:szCs w:val="20"/>
        </w:rPr>
        <w:t xml:space="preserve">by </w:t>
      </w:r>
      <w:r w:rsidR="008A2B9A">
        <w:rPr>
          <w:i/>
          <w:szCs w:val="20"/>
        </w:rPr>
        <w:t>some</w:t>
      </w:r>
      <w:r w:rsidR="00D90B75">
        <w:rPr>
          <w:i/>
          <w:szCs w:val="20"/>
        </w:rPr>
        <w:t xml:space="preserve"> NGS assays i</w:t>
      </w:r>
      <w:r w:rsidRPr="00561445">
        <w:rPr>
          <w:i/>
          <w:szCs w:val="20"/>
        </w:rPr>
        <w:t>t is proposed that the use of</w:t>
      </w:r>
      <w:r w:rsidR="003F7468" w:rsidRPr="00561445">
        <w:rPr>
          <w:i/>
          <w:szCs w:val="20"/>
        </w:rPr>
        <w:t xml:space="preserve"> </w:t>
      </w:r>
      <w:r w:rsidR="00810FB2">
        <w:rPr>
          <w:i/>
          <w:szCs w:val="20"/>
        </w:rPr>
        <w:t>NGS assays</w:t>
      </w:r>
      <w:r w:rsidR="00276D8C" w:rsidRPr="00561445">
        <w:rPr>
          <w:i/>
          <w:szCs w:val="20"/>
        </w:rPr>
        <w:t xml:space="preserve"> in treatment </w:t>
      </w:r>
      <w:r w:rsidRPr="00561445">
        <w:rPr>
          <w:i/>
          <w:szCs w:val="20"/>
        </w:rPr>
        <w:t>context</w:t>
      </w:r>
      <w:r w:rsidR="00276D8C" w:rsidRPr="00561445">
        <w:rPr>
          <w:i/>
          <w:szCs w:val="20"/>
        </w:rPr>
        <w:t>s outside of NSCLC</w:t>
      </w:r>
      <w:r w:rsidR="0037367D">
        <w:rPr>
          <w:i/>
          <w:szCs w:val="20"/>
        </w:rPr>
        <w:t xml:space="preserve"> would be the basis of </w:t>
      </w:r>
      <w:r w:rsidRPr="00561445">
        <w:rPr>
          <w:i/>
          <w:szCs w:val="20"/>
        </w:rPr>
        <w:t xml:space="preserve">subsequent MSAC </w:t>
      </w:r>
      <w:r w:rsidR="00276D8C" w:rsidRPr="00561445">
        <w:rPr>
          <w:i/>
          <w:szCs w:val="20"/>
        </w:rPr>
        <w:t>assessments</w:t>
      </w:r>
      <w:r w:rsidRPr="00561445">
        <w:rPr>
          <w:i/>
          <w:szCs w:val="20"/>
        </w:rPr>
        <w:t>.</w:t>
      </w:r>
    </w:p>
    <w:p w14:paraId="5FA25FA4" w14:textId="77777777" w:rsidR="000955E7" w:rsidRPr="000F5EB0" w:rsidRDefault="000955E7" w:rsidP="004A0BF4">
      <w:pPr>
        <w:pStyle w:val="Heading2"/>
      </w:pPr>
      <w:r w:rsidRPr="000F5EB0">
        <w:t>Prov</w:t>
      </w:r>
      <w:r w:rsidR="00D11EB1" w:rsidRPr="000F5EB0">
        <w:t>i</w:t>
      </w:r>
      <w:r w:rsidRPr="000F5EB0">
        <w:t>de a succinct description of the proposed medical service (no more than 150 words</w:t>
      </w:r>
      <w:r w:rsidR="00C847AE" w:rsidRPr="000F5EB0">
        <w:t xml:space="preserve"> </w:t>
      </w:r>
      <w:r w:rsidR="00F93784" w:rsidRPr="000F5EB0">
        <w:t xml:space="preserve">– </w:t>
      </w:r>
      <w:r w:rsidR="00C847AE" w:rsidRPr="000F5EB0">
        <w:t>further</w:t>
      </w:r>
      <w:r w:rsidR="00F93784" w:rsidRPr="000F5EB0">
        <w:t xml:space="preserve"> information will be </w:t>
      </w:r>
      <w:r w:rsidR="00C847AE" w:rsidRPr="000F5EB0">
        <w:t>requested</w:t>
      </w:r>
      <w:r w:rsidR="00F93784" w:rsidRPr="000F5EB0">
        <w:t xml:space="preserve"> </w:t>
      </w:r>
      <w:r w:rsidR="00883641" w:rsidRPr="000F5EB0">
        <w:t>at</w:t>
      </w:r>
      <w:r w:rsidR="00C847AE" w:rsidRPr="000F5EB0">
        <w:t xml:space="preserve"> </w:t>
      </w:r>
      <w:r w:rsidR="00026412" w:rsidRPr="000F5EB0">
        <w:t>Part 6</w:t>
      </w:r>
      <w:r w:rsidR="00C847AE" w:rsidRPr="000F5EB0">
        <w:t xml:space="preserve"> of the Application Form</w:t>
      </w:r>
      <w:r w:rsidRPr="000F5EB0">
        <w:t>)</w:t>
      </w:r>
    </w:p>
    <w:p w14:paraId="67FEBEDD" w14:textId="3D6F2188" w:rsidR="000D5C79" w:rsidRPr="000F5EB0" w:rsidRDefault="00990C53" w:rsidP="00810F30">
      <w:pPr>
        <w:spacing w:before="100" w:beforeAutospacing="1" w:after="100" w:afterAutospacing="1"/>
        <w:ind w:left="360"/>
        <w:rPr>
          <w:szCs w:val="20"/>
        </w:rPr>
      </w:pPr>
      <w:r>
        <w:rPr>
          <w:szCs w:val="20"/>
        </w:rPr>
        <w:t xml:space="preserve">Next generation sequencing </w:t>
      </w:r>
      <w:r w:rsidR="00927EDB">
        <w:rPr>
          <w:szCs w:val="20"/>
        </w:rPr>
        <w:t xml:space="preserve">assays </w:t>
      </w:r>
      <w:r w:rsidR="00497725">
        <w:rPr>
          <w:szCs w:val="20"/>
        </w:rPr>
        <w:t xml:space="preserve">facilitate the </w:t>
      </w:r>
      <w:r w:rsidR="005940AC">
        <w:rPr>
          <w:szCs w:val="20"/>
        </w:rPr>
        <w:t xml:space="preserve">CGP </w:t>
      </w:r>
      <w:r w:rsidR="00497725">
        <w:rPr>
          <w:szCs w:val="20"/>
        </w:rPr>
        <w:t xml:space="preserve">of </w:t>
      </w:r>
      <w:r w:rsidR="005E54FA">
        <w:rPr>
          <w:szCs w:val="20"/>
        </w:rPr>
        <w:t xml:space="preserve">tumour </w:t>
      </w:r>
      <w:r w:rsidR="00561445">
        <w:rPr>
          <w:szCs w:val="20"/>
        </w:rPr>
        <w:t>tissue</w:t>
      </w:r>
      <w:r w:rsidR="005E54FA">
        <w:rPr>
          <w:szCs w:val="20"/>
        </w:rPr>
        <w:t xml:space="preserve"> </w:t>
      </w:r>
      <w:r w:rsidR="007A5989">
        <w:rPr>
          <w:szCs w:val="20"/>
        </w:rPr>
        <w:t xml:space="preserve">through their ability to </w:t>
      </w:r>
      <w:r w:rsidR="000D5C79" w:rsidRPr="000F5EB0">
        <w:rPr>
          <w:szCs w:val="20"/>
        </w:rPr>
        <w:t>identify four classes of genomic alteration</w:t>
      </w:r>
      <w:r w:rsidR="00742191">
        <w:rPr>
          <w:szCs w:val="20"/>
        </w:rPr>
        <w:t>s</w:t>
      </w:r>
      <w:r w:rsidR="000D5C79" w:rsidRPr="000F5EB0">
        <w:rPr>
          <w:szCs w:val="20"/>
        </w:rPr>
        <w:t>: base substitutions</w:t>
      </w:r>
      <w:r w:rsidR="00FC76E8">
        <w:rPr>
          <w:szCs w:val="20"/>
        </w:rPr>
        <w:t xml:space="preserve"> (single nuc</w:t>
      </w:r>
      <w:r w:rsidR="00DB6E46">
        <w:rPr>
          <w:szCs w:val="20"/>
        </w:rPr>
        <w:t>leotide variants)</w:t>
      </w:r>
      <w:r w:rsidR="000D5C79" w:rsidRPr="000F5EB0">
        <w:rPr>
          <w:szCs w:val="20"/>
        </w:rPr>
        <w:t xml:space="preserve">; insertions and deletions; copy number alterations; and gene </w:t>
      </w:r>
      <w:r w:rsidR="00FC76E8">
        <w:rPr>
          <w:szCs w:val="20"/>
        </w:rPr>
        <w:t>fusions (</w:t>
      </w:r>
      <w:r w:rsidR="000D5C79" w:rsidRPr="000F5EB0">
        <w:rPr>
          <w:szCs w:val="20"/>
        </w:rPr>
        <w:t>rearrangements</w:t>
      </w:r>
      <w:r w:rsidR="00FC76E8">
        <w:rPr>
          <w:szCs w:val="20"/>
        </w:rPr>
        <w:t>)</w:t>
      </w:r>
      <w:r w:rsidR="000D5C79" w:rsidRPr="000F5EB0">
        <w:rPr>
          <w:szCs w:val="20"/>
        </w:rPr>
        <w:t>.</w:t>
      </w:r>
    </w:p>
    <w:p w14:paraId="32ED22FD" w14:textId="5518D854" w:rsidR="000D5C79" w:rsidRPr="000F5EB0" w:rsidRDefault="000D5C79" w:rsidP="00810F30">
      <w:pPr>
        <w:spacing w:before="100" w:beforeAutospacing="1" w:after="100" w:afterAutospacing="1"/>
        <w:ind w:left="360"/>
        <w:rPr>
          <w:szCs w:val="20"/>
        </w:rPr>
      </w:pPr>
      <w:r w:rsidRPr="000F5EB0">
        <w:rPr>
          <w:szCs w:val="20"/>
        </w:rPr>
        <w:t xml:space="preserve">By simultaneously testing </w:t>
      </w:r>
      <w:r w:rsidR="007F548C">
        <w:rPr>
          <w:szCs w:val="20"/>
        </w:rPr>
        <w:t xml:space="preserve">multiple </w:t>
      </w:r>
      <w:r w:rsidRPr="000F5EB0">
        <w:rPr>
          <w:szCs w:val="20"/>
        </w:rPr>
        <w:t>genes for multiple types of</w:t>
      </w:r>
      <w:r w:rsidR="00980C4B">
        <w:rPr>
          <w:szCs w:val="20"/>
        </w:rPr>
        <w:t xml:space="preserve"> genomic</w:t>
      </w:r>
      <w:r w:rsidRPr="000F5EB0">
        <w:rPr>
          <w:szCs w:val="20"/>
        </w:rPr>
        <w:t xml:space="preserve"> alterations, </w:t>
      </w:r>
      <w:r w:rsidR="00D31497">
        <w:rPr>
          <w:szCs w:val="20"/>
        </w:rPr>
        <w:t xml:space="preserve">NGS </w:t>
      </w:r>
      <w:r w:rsidRPr="000F5EB0">
        <w:rPr>
          <w:szCs w:val="20"/>
        </w:rPr>
        <w:t>assay</w:t>
      </w:r>
      <w:r w:rsidR="00FB69FE">
        <w:rPr>
          <w:szCs w:val="20"/>
        </w:rPr>
        <w:t>s</w:t>
      </w:r>
      <w:r w:rsidRPr="000F5EB0">
        <w:rPr>
          <w:szCs w:val="20"/>
        </w:rPr>
        <w:t xml:space="preserve"> provide clinician</w:t>
      </w:r>
      <w:r w:rsidR="00F61B3C" w:rsidRPr="000F5EB0">
        <w:rPr>
          <w:szCs w:val="20"/>
        </w:rPr>
        <w:t>s</w:t>
      </w:r>
      <w:r w:rsidRPr="000F5EB0">
        <w:rPr>
          <w:szCs w:val="20"/>
        </w:rPr>
        <w:t xml:space="preserve"> with detailed information on the biomarker status of patients, including the presence of </w:t>
      </w:r>
      <w:r w:rsidR="00980C4B">
        <w:rPr>
          <w:szCs w:val="20"/>
        </w:rPr>
        <w:t>genomic alterations</w:t>
      </w:r>
      <w:r w:rsidRPr="000F5EB0">
        <w:rPr>
          <w:szCs w:val="20"/>
        </w:rPr>
        <w:t xml:space="preserve"> for which a targeted therapy is available.</w:t>
      </w:r>
      <w:r w:rsidR="00955406">
        <w:rPr>
          <w:szCs w:val="20"/>
        </w:rPr>
        <w:t xml:space="preserve"> The use of CGP using NGS assays </w:t>
      </w:r>
      <w:r w:rsidR="007A3DC0">
        <w:rPr>
          <w:szCs w:val="20"/>
        </w:rPr>
        <w:t xml:space="preserve">is also able </w:t>
      </w:r>
      <w:r w:rsidR="007A3DC0">
        <w:rPr>
          <w:szCs w:val="20"/>
        </w:rPr>
        <w:lastRenderedPageBreak/>
        <w:t xml:space="preserve">to provide information on </w:t>
      </w:r>
      <w:r w:rsidR="0048281E">
        <w:rPr>
          <w:szCs w:val="20"/>
        </w:rPr>
        <w:t xml:space="preserve">genomic signatures including Tumour Mutation Burden (TMB) and </w:t>
      </w:r>
      <w:r w:rsidR="00E010E8">
        <w:rPr>
          <w:szCs w:val="20"/>
        </w:rPr>
        <w:t>microsatellite instability (MSI).</w:t>
      </w:r>
    </w:p>
    <w:p w14:paraId="4E6423AB" w14:textId="6A0D94FE" w:rsidR="000D5C79" w:rsidRDefault="00C504E4" w:rsidP="00810F30">
      <w:pPr>
        <w:spacing w:before="100" w:beforeAutospacing="1" w:after="100" w:afterAutospacing="1"/>
        <w:ind w:left="360"/>
        <w:rPr>
          <w:szCs w:val="20"/>
        </w:rPr>
      </w:pPr>
      <w:r>
        <w:rPr>
          <w:szCs w:val="20"/>
        </w:rPr>
        <w:t>T</w:t>
      </w:r>
      <w:r w:rsidR="000D5C79" w:rsidRPr="000F5EB0">
        <w:rPr>
          <w:szCs w:val="20"/>
        </w:rPr>
        <w:t xml:space="preserve">he consolidation of multiple </w:t>
      </w:r>
      <w:r>
        <w:rPr>
          <w:szCs w:val="20"/>
        </w:rPr>
        <w:t xml:space="preserve">molecular </w:t>
      </w:r>
      <w:r w:rsidR="000D5C79" w:rsidRPr="000F5EB0">
        <w:rPr>
          <w:szCs w:val="20"/>
        </w:rPr>
        <w:t xml:space="preserve">biomarker tests into a single </w:t>
      </w:r>
      <w:r w:rsidR="001E6C49">
        <w:rPr>
          <w:szCs w:val="20"/>
        </w:rPr>
        <w:t xml:space="preserve">NGS </w:t>
      </w:r>
      <w:r w:rsidR="000D5C79" w:rsidRPr="000F5EB0">
        <w:rPr>
          <w:szCs w:val="20"/>
        </w:rPr>
        <w:t>assay</w:t>
      </w:r>
      <w:r w:rsidR="009F66EE">
        <w:rPr>
          <w:szCs w:val="20"/>
        </w:rPr>
        <w:t xml:space="preserve"> </w:t>
      </w:r>
      <w:r w:rsidR="000D5C79" w:rsidRPr="000F5EB0">
        <w:rPr>
          <w:szCs w:val="20"/>
        </w:rPr>
        <w:t>avoids the need to perform a sequence of biomarker tests</w:t>
      </w:r>
      <w:r w:rsidR="00907490">
        <w:rPr>
          <w:szCs w:val="20"/>
        </w:rPr>
        <w:t xml:space="preserve">. This may </w:t>
      </w:r>
      <w:r w:rsidR="00241BE2">
        <w:rPr>
          <w:szCs w:val="20"/>
        </w:rPr>
        <w:t xml:space="preserve">lead to a </w:t>
      </w:r>
      <w:r w:rsidR="000D5C79" w:rsidRPr="000F5EB0">
        <w:rPr>
          <w:szCs w:val="20"/>
        </w:rPr>
        <w:t>reduc</w:t>
      </w:r>
      <w:r w:rsidR="00241BE2">
        <w:rPr>
          <w:szCs w:val="20"/>
        </w:rPr>
        <w:t xml:space="preserve">tion in </w:t>
      </w:r>
      <w:r w:rsidR="000D5C79" w:rsidRPr="000F5EB0">
        <w:rPr>
          <w:szCs w:val="20"/>
        </w:rPr>
        <w:t>the number of procedures performed to obtain further biopsy material when the original sample is depleted.</w:t>
      </w:r>
    </w:p>
    <w:p w14:paraId="4B3B3632" w14:textId="6C291F59" w:rsidR="00E62E92" w:rsidRDefault="00092836" w:rsidP="00810F30">
      <w:pPr>
        <w:spacing w:before="100" w:beforeAutospacing="1" w:after="100" w:afterAutospacing="1"/>
        <w:ind w:left="360"/>
        <w:rPr>
          <w:i/>
          <w:iCs/>
          <w:szCs w:val="20"/>
        </w:rPr>
      </w:pPr>
      <w:r>
        <w:rPr>
          <w:i/>
          <w:iCs/>
          <w:szCs w:val="20"/>
        </w:rPr>
        <w:t xml:space="preserve">Note: </w:t>
      </w:r>
      <w:r w:rsidR="002B0F69">
        <w:rPr>
          <w:i/>
          <w:iCs/>
          <w:szCs w:val="20"/>
        </w:rPr>
        <w:t xml:space="preserve">As part of the reform to the regulatory requirements for IVD </w:t>
      </w:r>
      <w:r w:rsidR="003B5186">
        <w:rPr>
          <w:i/>
          <w:iCs/>
          <w:szCs w:val="20"/>
        </w:rPr>
        <w:t xml:space="preserve">medical devices </w:t>
      </w:r>
      <w:r w:rsidR="002606B5">
        <w:rPr>
          <w:i/>
          <w:iCs/>
          <w:szCs w:val="20"/>
        </w:rPr>
        <w:t xml:space="preserve">being implemented by the Therapeutic Goods Administration (TGA), </w:t>
      </w:r>
      <w:r w:rsidR="00805FEF">
        <w:rPr>
          <w:i/>
          <w:iCs/>
          <w:szCs w:val="20"/>
        </w:rPr>
        <w:t xml:space="preserve">an IVD medical device </w:t>
      </w:r>
      <w:r w:rsidR="00DE0B86">
        <w:rPr>
          <w:i/>
          <w:iCs/>
          <w:szCs w:val="20"/>
        </w:rPr>
        <w:t xml:space="preserve">which provides information that is essential </w:t>
      </w:r>
      <w:r w:rsidR="001603C8">
        <w:rPr>
          <w:i/>
          <w:iCs/>
          <w:szCs w:val="20"/>
        </w:rPr>
        <w:t>for the safe and effective use of a corres</w:t>
      </w:r>
      <w:r w:rsidR="005D2B91">
        <w:rPr>
          <w:i/>
          <w:iCs/>
          <w:szCs w:val="20"/>
        </w:rPr>
        <w:t>ponding medicine or bio</w:t>
      </w:r>
      <w:r w:rsidR="003B5186">
        <w:rPr>
          <w:i/>
          <w:iCs/>
          <w:szCs w:val="20"/>
        </w:rPr>
        <w:t xml:space="preserve">logical </w:t>
      </w:r>
      <w:r w:rsidR="00581693">
        <w:rPr>
          <w:i/>
          <w:iCs/>
          <w:szCs w:val="20"/>
        </w:rPr>
        <w:t xml:space="preserve">will be deemed </w:t>
      </w:r>
      <w:r w:rsidR="006153AC">
        <w:rPr>
          <w:i/>
          <w:iCs/>
          <w:szCs w:val="20"/>
        </w:rPr>
        <w:t>an ‘IVD companion diagnostic’</w:t>
      </w:r>
      <w:r w:rsidR="0078525A">
        <w:rPr>
          <w:i/>
          <w:iCs/>
          <w:szCs w:val="20"/>
        </w:rPr>
        <w:t xml:space="preserve">. </w:t>
      </w:r>
      <w:r w:rsidR="00642633">
        <w:rPr>
          <w:i/>
          <w:iCs/>
          <w:szCs w:val="20"/>
        </w:rPr>
        <w:t xml:space="preserve">The </w:t>
      </w:r>
      <w:r w:rsidR="007A36C4">
        <w:rPr>
          <w:i/>
          <w:iCs/>
          <w:szCs w:val="20"/>
        </w:rPr>
        <w:t>I</w:t>
      </w:r>
      <w:r w:rsidR="00642633">
        <w:rPr>
          <w:i/>
          <w:iCs/>
          <w:szCs w:val="20"/>
        </w:rPr>
        <w:t>nstruction</w:t>
      </w:r>
      <w:r w:rsidR="007A36C4">
        <w:rPr>
          <w:i/>
          <w:iCs/>
          <w:szCs w:val="20"/>
        </w:rPr>
        <w:t>s for Use (IFU) for IVD companion diagnostics</w:t>
      </w:r>
      <w:r w:rsidR="00617772">
        <w:rPr>
          <w:i/>
          <w:iCs/>
          <w:szCs w:val="20"/>
        </w:rPr>
        <w:t xml:space="preserve"> must stipulate how the IVD is intended for use with the cor</w:t>
      </w:r>
      <w:r w:rsidR="00223588">
        <w:rPr>
          <w:i/>
          <w:iCs/>
          <w:szCs w:val="20"/>
        </w:rPr>
        <w:t xml:space="preserve">responding </w:t>
      </w:r>
      <w:r w:rsidR="00AD35E2">
        <w:rPr>
          <w:i/>
          <w:iCs/>
          <w:szCs w:val="20"/>
        </w:rPr>
        <w:t>medicine</w:t>
      </w:r>
      <w:r w:rsidR="00E62E92">
        <w:rPr>
          <w:i/>
          <w:iCs/>
          <w:szCs w:val="20"/>
        </w:rPr>
        <w:t>.</w:t>
      </w:r>
    </w:p>
    <w:p w14:paraId="21FC07E2" w14:textId="21002178" w:rsidR="00237F84" w:rsidRDefault="000263F5" w:rsidP="00810F30">
      <w:pPr>
        <w:spacing w:before="100" w:beforeAutospacing="1" w:after="100" w:afterAutospacing="1"/>
        <w:ind w:left="360"/>
        <w:rPr>
          <w:i/>
          <w:iCs/>
          <w:szCs w:val="20"/>
        </w:rPr>
      </w:pPr>
      <w:r>
        <w:rPr>
          <w:i/>
          <w:iCs/>
          <w:szCs w:val="20"/>
        </w:rPr>
        <w:t xml:space="preserve">The </w:t>
      </w:r>
      <w:r w:rsidR="00C20033">
        <w:rPr>
          <w:i/>
          <w:iCs/>
          <w:szCs w:val="20"/>
        </w:rPr>
        <w:t>FoundationOne® CDx</w:t>
      </w:r>
      <w:r w:rsidR="007950AF">
        <w:rPr>
          <w:i/>
          <w:iCs/>
          <w:szCs w:val="20"/>
        </w:rPr>
        <w:t xml:space="preserve"> assay is a NGS assay </w:t>
      </w:r>
      <w:r w:rsidR="002B3BB3">
        <w:rPr>
          <w:i/>
          <w:iCs/>
          <w:szCs w:val="20"/>
        </w:rPr>
        <w:t xml:space="preserve">able to </w:t>
      </w:r>
      <w:r w:rsidR="005B06DF">
        <w:rPr>
          <w:i/>
          <w:iCs/>
          <w:szCs w:val="20"/>
        </w:rPr>
        <w:t>perform CG</w:t>
      </w:r>
      <w:r w:rsidR="007500A0">
        <w:rPr>
          <w:i/>
          <w:iCs/>
          <w:szCs w:val="20"/>
        </w:rPr>
        <w:t xml:space="preserve">P using DNA </w:t>
      </w:r>
      <w:r w:rsidR="00237F84">
        <w:rPr>
          <w:i/>
          <w:iCs/>
          <w:szCs w:val="20"/>
        </w:rPr>
        <w:t>isolated</w:t>
      </w:r>
      <w:r w:rsidR="007500A0">
        <w:rPr>
          <w:i/>
          <w:iCs/>
          <w:szCs w:val="20"/>
        </w:rPr>
        <w:t xml:space="preserve"> </w:t>
      </w:r>
      <w:r w:rsidR="00C20733">
        <w:rPr>
          <w:i/>
          <w:iCs/>
          <w:szCs w:val="20"/>
        </w:rPr>
        <w:t xml:space="preserve">from solid tumour specimens (including NSCLC). This assay is currently FDA-approved as an </w:t>
      </w:r>
      <w:r w:rsidR="0053730C">
        <w:rPr>
          <w:i/>
          <w:iCs/>
          <w:szCs w:val="20"/>
        </w:rPr>
        <w:t xml:space="preserve">IVD companion diagnostic </w:t>
      </w:r>
      <w:r w:rsidR="003B7DBC">
        <w:rPr>
          <w:i/>
          <w:iCs/>
          <w:szCs w:val="20"/>
        </w:rPr>
        <w:t xml:space="preserve">to identify </w:t>
      </w:r>
      <w:r w:rsidR="00C55C10">
        <w:rPr>
          <w:i/>
          <w:iCs/>
          <w:szCs w:val="20"/>
        </w:rPr>
        <w:t xml:space="preserve">patients who may benefit </w:t>
      </w:r>
      <w:r w:rsidR="00ED46EF">
        <w:rPr>
          <w:i/>
          <w:iCs/>
          <w:szCs w:val="20"/>
        </w:rPr>
        <w:t xml:space="preserve">from treatment with a range of targeted therapies. </w:t>
      </w:r>
      <w:r w:rsidR="00C20733">
        <w:rPr>
          <w:i/>
          <w:iCs/>
          <w:szCs w:val="20"/>
        </w:rPr>
        <w:t xml:space="preserve"> </w:t>
      </w:r>
      <w:r w:rsidR="00237F84" w:rsidRPr="00237F84">
        <w:rPr>
          <w:i/>
          <w:iCs/>
          <w:szCs w:val="20"/>
        </w:rPr>
        <w:t xml:space="preserve">Currently, the testing of tumour specimens using the </w:t>
      </w:r>
      <w:r w:rsidR="00C20033">
        <w:rPr>
          <w:i/>
          <w:iCs/>
          <w:szCs w:val="20"/>
        </w:rPr>
        <w:t>FoundationOne® CDx</w:t>
      </w:r>
      <w:r w:rsidR="00237F84">
        <w:rPr>
          <w:i/>
          <w:iCs/>
          <w:szCs w:val="20"/>
        </w:rPr>
        <w:t xml:space="preserve"> </w:t>
      </w:r>
      <w:r w:rsidR="00237F84" w:rsidRPr="00237F84">
        <w:rPr>
          <w:i/>
          <w:iCs/>
          <w:szCs w:val="20"/>
        </w:rPr>
        <w:t xml:space="preserve">assay is performed in centralised laboratories located outside of Australia. On this basis, testing using the </w:t>
      </w:r>
      <w:r w:rsidR="00C20033">
        <w:rPr>
          <w:i/>
          <w:iCs/>
          <w:szCs w:val="20"/>
        </w:rPr>
        <w:t>FoundationOne® CDx</w:t>
      </w:r>
      <w:r w:rsidR="00237F84">
        <w:rPr>
          <w:i/>
          <w:iCs/>
          <w:szCs w:val="20"/>
        </w:rPr>
        <w:t xml:space="preserve"> </w:t>
      </w:r>
      <w:r w:rsidR="00237F84" w:rsidRPr="00237F84">
        <w:rPr>
          <w:i/>
          <w:iCs/>
          <w:szCs w:val="20"/>
        </w:rPr>
        <w:t xml:space="preserve"> assay would not currently be eligible for funding through the MBS as part of the service is rendered outside of Australia.</w:t>
      </w:r>
      <w:r w:rsidR="00536750">
        <w:rPr>
          <w:i/>
          <w:iCs/>
          <w:szCs w:val="20"/>
        </w:rPr>
        <w:t xml:space="preserve"> Foundation Medicine </w:t>
      </w:r>
      <w:r w:rsidR="005A34D6">
        <w:rPr>
          <w:i/>
          <w:iCs/>
          <w:szCs w:val="20"/>
        </w:rPr>
        <w:t xml:space="preserve">and Roche Sequencing </w:t>
      </w:r>
      <w:r w:rsidR="00754531">
        <w:rPr>
          <w:i/>
          <w:iCs/>
          <w:szCs w:val="20"/>
        </w:rPr>
        <w:t>Solutions</w:t>
      </w:r>
      <w:r w:rsidR="005A34D6">
        <w:rPr>
          <w:i/>
          <w:iCs/>
          <w:szCs w:val="20"/>
        </w:rPr>
        <w:t xml:space="preserve"> (Roche Dia</w:t>
      </w:r>
      <w:r w:rsidR="00754531">
        <w:rPr>
          <w:i/>
          <w:iCs/>
          <w:szCs w:val="20"/>
        </w:rPr>
        <w:t xml:space="preserve">gnostics) are </w:t>
      </w:r>
      <w:r w:rsidR="006F48F1">
        <w:rPr>
          <w:i/>
          <w:iCs/>
          <w:szCs w:val="20"/>
        </w:rPr>
        <w:t xml:space="preserve">developing </w:t>
      </w:r>
      <w:r w:rsidR="00254388">
        <w:rPr>
          <w:i/>
          <w:iCs/>
          <w:szCs w:val="20"/>
        </w:rPr>
        <w:t>a NG</w:t>
      </w:r>
      <w:r w:rsidR="00511B1E">
        <w:rPr>
          <w:i/>
          <w:iCs/>
          <w:szCs w:val="20"/>
        </w:rPr>
        <w:t>S CGP panel</w:t>
      </w:r>
      <w:r w:rsidR="006403E7">
        <w:rPr>
          <w:i/>
          <w:iCs/>
          <w:szCs w:val="20"/>
        </w:rPr>
        <w:t xml:space="preserve"> based on the </w:t>
      </w:r>
      <w:r w:rsidR="00C20033">
        <w:rPr>
          <w:i/>
          <w:iCs/>
          <w:szCs w:val="20"/>
        </w:rPr>
        <w:t>FoundationOne® CDx</w:t>
      </w:r>
      <w:r w:rsidR="006403E7">
        <w:rPr>
          <w:i/>
          <w:iCs/>
          <w:szCs w:val="20"/>
        </w:rPr>
        <w:t xml:space="preserve"> </w:t>
      </w:r>
      <w:r w:rsidR="006403E7" w:rsidRPr="00237F84">
        <w:rPr>
          <w:i/>
          <w:iCs/>
          <w:szCs w:val="20"/>
        </w:rPr>
        <w:t>assay</w:t>
      </w:r>
      <w:r w:rsidR="007E3EBB">
        <w:rPr>
          <w:i/>
          <w:iCs/>
          <w:szCs w:val="20"/>
        </w:rPr>
        <w:t xml:space="preserve"> that will </w:t>
      </w:r>
      <w:r w:rsidR="00F7171E">
        <w:rPr>
          <w:i/>
          <w:iCs/>
          <w:szCs w:val="20"/>
        </w:rPr>
        <w:t xml:space="preserve">enable </w:t>
      </w:r>
      <w:r w:rsidR="007E3EBB">
        <w:rPr>
          <w:i/>
          <w:iCs/>
          <w:szCs w:val="20"/>
        </w:rPr>
        <w:t>laboratories</w:t>
      </w:r>
      <w:r w:rsidR="00F7171E">
        <w:rPr>
          <w:i/>
          <w:iCs/>
          <w:szCs w:val="20"/>
        </w:rPr>
        <w:t xml:space="preserve"> to perform </w:t>
      </w:r>
      <w:r w:rsidR="00BE4EB7">
        <w:rPr>
          <w:i/>
          <w:iCs/>
          <w:szCs w:val="20"/>
        </w:rPr>
        <w:t>CGP locally</w:t>
      </w:r>
      <w:r w:rsidR="00F12655">
        <w:rPr>
          <w:rStyle w:val="FootnoteReference"/>
          <w:i/>
          <w:iCs/>
          <w:szCs w:val="20"/>
        </w:rPr>
        <w:footnoteReference w:id="1"/>
      </w:r>
      <w:r w:rsidR="00A02F73">
        <w:rPr>
          <w:i/>
          <w:iCs/>
          <w:szCs w:val="20"/>
        </w:rPr>
        <w:t xml:space="preserve"> and be </w:t>
      </w:r>
      <w:r w:rsidR="00F12655">
        <w:rPr>
          <w:i/>
          <w:iCs/>
          <w:szCs w:val="20"/>
        </w:rPr>
        <w:t>eligible for funding through the MBS.</w:t>
      </w:r>
    </w:p>
    <w:p w14:paraId="73B4DABF" w14:textId="0CE78D25" w:rsidR="00B263F1" w:rsidRDefault="00B263F1" w:rsidP="00810F30">
      <w:pPr>
        <w:spacing w:before="100" w:beforeAutospacing="1" w:after="100" w:afterAutospacing="1"/>
        <w:ind w:left="360"/>
        <w:rPr>
          <w:i/>
          <w:iCs/>
          <w:szCs w:val="20"/>
        </w:rPr>
      </w:pPr>
      <w:r>
        <w:rPr>
          <w:i/>
          <w:iCs/>
          <w:szCs w:val="20"/>
        </w:rPr>
        <w:t xml:space="preserve">Roche and </w:t>
      </w:r>
      <w:r w:rsidR="0028256E">
        <w:rPr>
          <w:i/>
          <w:iCs/>
          <w:szCs w:val="20"/>
        </w:rPr>
        <w:t xml:space="preserve">Illumina </w:t>
      </w:r>
      <w:r w:rsidR="00A54E64">
        <w:rPr>
          <w:i/>
          <w:iCs/>
          <w:szCs w:val="20"/>
        </w:rPr>
        <w:t xml:space="preserve">have recently entered into a </w:t>
      </w:r>
      <w:r w:rsidR="008773F8">
        <w:rPr>
          <w:i/>
          <w:iCs/>
          <w:szCs w:val="20"/>
        </w:rPr>
        <w:t xml:space="preserve">partnership to </w:t>
      </w:r>
      <w:r w:rsidR="0068696D">
        <w:rPr>
          <w:i/>
          <w:iCs/>
          <w:szCs w:val="20"/>
        </w:rPr>
        <w:t>develop</w:t>
      </w:r>
      <w:r w:rsidR="00470E3E">
        <w:rPr>
          <w:i/>
          <w:iCs/>
          <w:szCs w:val="20"/>
        </w:rPr>
        <w:t xml:space="preserve"> IVD companion diagnostics </w:t>
      </w:r>
      <w:r w:rsidR="00FC35DB">
        <w:rPr>
          <w:i/>
          <w:iCs/>
          <w:szCs w:val="20"/>
        </w:rPr>
        <w:t>for the Illumina Next</w:t>
      </w:r>
      <w:r w:rsidR="00651C3C">
        <w:rPr>
          <w:i/>
          <w:iCs/>
          <w:szCs w:val="20"/>
        </w:rPr>
        <w:t>Seq</w:t>
      </w:r>
      <w:r w:rsidR="00651C3C">
        <w:rPr>
          <w:rFonts w:cstheme="minorHAnsi"/>
          <w:i/>
          <w:iCs/>
          <w:szCs w:val="20"/>
        </w:rPr>
        <w:t>™</w:t>
      </w:r>
      <w:r w:rsidR="009A5498">
        <w:rPr>
          <w:i/>
          <w:iCs/>
          <w:szCs w:val="20"/>
        </w:rPr>
        <w:t xml:space="preserve"> 550Dx </w:t>
      </w:r>
      <w:r w:rsidR="000A5611">
        <w:rPr>
          <w:i/>
          <w:iCs/>
          <w:szCs w:val="20"/>
        </w:rPr>
        <w:t>S</w:t>
      </w:r>
      <w:r w:rsidR="009A5498">
        <w:rPr>
          <w:i/>
          <w:iCs/>
          <w:szCs w:val="20"/>
        </w:rPr>
        <w:t>ystem</w:t>
      </w:r>
      <w:r w:rsidR="00F57A9C">
        <w:rPr>
          <w:rStyle w:val="FootnoteReference"/>
          <w:i/>
          <w:iCs/>
          <w:szCs w:val="20"/>
        </w:rPr>
        <w:footnoteReference w:id="2"/>
      </w:r>
      <w:r w:rsidR="009A5498">
        <w:rPr>
          <w:i/>
          <w:iCs/>
          <w:szCs w:val="20"/>
        </w:rPr>
        <w:t xml:space="preserve">. </w:t>
      </w:r>
      <w:r w:rsidR="0065313F">
        <w:rPr>
          <w:i/>
          <w:iCs/>
          <w:szCs w:val="20"/>
        </w:rPr>
        <w:t xml:space="preserve">Through this agreement Roche will develop and commercialise </w:t>
      </w:r>
      <w:r w:rsidR="00AD2B66">
        <w:rPr>
          <w:i/>
          <w:iCs/>
          <w:szCs w:val="20"/>
        </w:rPr>
        <w:t>IVD</w:t>
      </w:r>
      <w:r w:rsidR="001330A5">
        <w:rPr>
          <w:i/>
          <w:iCs/>
          <w:szCs w:val="20"/>
        </w:rPr>
        <w:t xml:space="preserve"> tests</w:t>
      </w:r>
      <w:r w:rsidR="0070197A">
        <w:rPr>
          <w:i/>
          <w:iCs/>
          <w:szCs w:val="20"/>
        </w:rPr>
        <w:t xml:space="preserve"> based on NGS </w:t>
      </w:r>
      <w:r w:rsidR="002E6E84">
        <w:rPr>
          <w:i/>
          <w:iCs/>
          <w:szCs w:val="20"/>
        </w:rPr>
        <w:t xml:space="preserve">technologies </w:t>
      </w:r>
      <w:r w:rsidR="00147F6C">
        <w:rPr>
          <w:i/>
          <w:iCs/>
          <w:szCs w:val="20"/>
        </w:rPr>
        <w:t>for use on</w:t>
      </w:r>
      <w:r w:rsidR="00562817">
        <w:rPr>
          <w:i/>
          <w:iCs/>
          <w:szCs w:val="20"/>
        </w:rPr>
        <w:t xml:space="preserve"> the Illu</w:t>
      </w:r>
      <w:r w:rsidR="000A5611">
        <w:rPr>
          <w:i/>
          <w:iCs/>
          <w:szCs w:val="20"/>
        </w:rPr>
        <w:t xml:space="preserve">mina </w:t>
      </w:r>
      <w:r w:rsidR="00562817">
        <w:rPr>
          <w:i/>
          <w:iCs/>
          <w:szCs w:val="20"/>
        </w:rPr>
        <w:t>NextSeq 550D</w:t>
      </w:r>
      <w:r w:rsidR="000A5611">
        <w:rPr>
          <w:i/>
          <w:iCs/>
          <w:szCs w:val="20"/>
        </w:rPr>
        <w:t>x System</w:t>
      </w:r>
      <w:r w:rsidR="0000428A">
        <w:rPr>
          <w:i/>
          <w:iCs/>
          <w:szCs w:val="20"/>
        </w:rPr>
        <w:t>.</w:t>
      </w:r>
    </w:p>
    <w:p w14:paraId="2F39FCB3" w14:textId="040038F2" w:rsidR="00AB7FE7" w:rsidRDefault="00AB7FE7" w:rsidP="00810F30">
      <w:pPr>
        <w:ind w:left="360"/>
        <w:rPr>
          <w:i/>
          <w:szCs w:val="20"/>
        </w:rPr>
      </w:pPr>
      <w:r>
        <w:rPr>
          <w:i/>
          <w:szCs w:val="20"/>
        </w:rPr>
        <w:t>As per the framework established by the ‘Regulatory requirements for in-house IVDs (Version 2.2, September 2018)’ published by the Therapeutic Goods Administration (TGA), local laboratories are able to purchase Research Use Only (RUO) products from commercial suppliers and develop an in-vitro diagnostic (IVD) test. The development of an in-house IVD must be undertaken within the framework established by the ‘Requirement for the development and use of in-house in vitro diagnostic medical devices (IVDs) (Fourth Edition 2018)’ document published by the Department of Health. Alternatively, local laboratories may use any NGS assay which has been included in the Australian Register of Therapeutic Goods (ARTG) as an IVD companion diagnostic per the Instructions for Use (IFU) of the IVD companion diagnostic assay. As such, it is possible for CGP to be undertaken using NGS assays classified as being for RUO or IVD companion diagnostics within the regulatory framework for IVD testing in Australia.</w:t>
      </w:r>
    </w:p>
    <w:p w14:paraId="2619C903" w14:textId="577FC5C4" w:rsidR="00092836" w:rsidRPr="00092836" w:rsidRDefault="00BF0807" w:rsidP="00810F30">
      <w:pPr>
        <w:spacing w:before="100" w:beforeAutospacing="1" w:after="100" w:afterAutospacing="1"/>
        <w:ind w:left="360"/>
        <w:rPr>
          <w:i/>
          <w:iCs/>
          <w:szCs w:val="20"/>
        </w:rPr>
      </w:pPr>
      <w:r>
        <w:rPr>
          <w:i/>
          <w:iCs/>
          <w:szCs w:val="20"/>
        </w:rPr>
        <w:t xml:space="preserve">Given the </w:t>
      </w:r>
      <w:r w:rsidR="00593DEC">
        <w:rPr>
          <w:i/>
          <w:iCs/>
          <w:szCs w:val="20"/>
        </w:rPr>
        <w:t>forthcoming availa</w:t>
      </w:r>
      <w:r w:rsidR="00120F8A">
        <w:rPr>
          <w:i/>
          <w:iCs/>
          <w:szCs w:val="20"/>
        </w:rPr>
        <w:t>bility of multiple commercial CGP NGS assay</w:t>
      </w:r>
      <w:r w:rsidR="00EA14A9">
        <w:rPr>
          <w:i/>
          <w:iCs/>
          <w:szCs w:val="20"/>
        </w:rPr>
        <w:t>s</w:t>
      </w:r>
      <w:r w:rsidR="009136FC">
        <w:rPr>
          <w:i/>
          <w:iCs/>
          <w:szCs w:val="20"/>
        </w:rPr>
        <w:t xml:space="preserve"> with IVD companion diagnostic claims </w:t>
      </w:r>
      <w:r w:rsidR="005C2888">
        <w:rPr>
          <w:i/>
          <w:iCs/>
          <w:szCs w:val="20"/>
        </w:rPr>
        <w:t xml:space="preserve">and the capacity of local </w:t>
      </w:r>
      <w:r w:rsidR="00AC3FFD">
        <w:rPr>
          <w:i/>
          <w:iCs/>
          <w:szCs w:val="20"/>
        </w:rPr>
        <w:t xml:space="preserve">laboratories to develop their own </w:t>
      </w:r>
      <w:r w:rsidR="00DE3254">
        <w:rPr>
          <w:i/>
          <w:iCs/>
          <w:szCs w:val="20"/>
        </w:rPr>
        <w:t>in-house IVD under the regulatory framework</w:t>
      </w:r>
      <w:r w:rsidR="006309C4">
        <w:rPr>
          <w:i/>
          <w:iCs/>
          <w:szCs w:val="20"/>
        </w:rPr>
        <w:t xml:space="preserve"> established by the TGA</w:t>
      </w:r>
      <w:r w:rsidR="007101E3">
        <w:rPr>
          <w:i/>
          <w:iCs/>
          <w:szCs w:val="20"/>
        </w:rPr>
        <w:t xml:space="preserve"> it is proposed that th</w:t>
      </w:r>
      <w:r w:rsidR="005273C1">
        <w:rPr>
          <w:i/>
          <w:iCs/>
          <w:szCs w:val="20"/>
        </w:rPr>
        <w:t xml:space="preserve">e assessment of </w:t>
      </w:r>
      <w:r w:rsidR="006209AB">
        <w:rPr>
          <w:i/>
          <w:iCs/>
          <w:szCs w:val="20"/>
        </w:rPr>
        <w:t>C</w:t>
      </w:r>
      <w:r w:rsidR="005273C1">
        <w:rPr>
          <w:i/>
          <w:iCs/>
          <w:szCs w:val="20"/>
        </w:rPr>
        <w:t xml:space="preserve">GP of </w:t>
      </w:r>
      <w:r w:rsidR="00964253">
        <w:rPr>
          <w:i/>
          <w:iCs/>
          <w:szCs w:val="20"/>
        </w:rPr>
        <w:t xml:space="preserve">tumour tissue from </w:t>
      </w:r>
      <w:r w:rsidR="005273C1">
        <w:rPr>
          <w:i/>
          <w:iCs/>
          <w:szCs w:val="20"/>
        </w:rPr>
        <w:t>NSCLC</w:t>
      </w:r>
      <w:r w:rsidR="00964253">
        <w:rPr>
          <w:i/>
          <w:iCs/>
          <w:szCs w:val="20"/>
        </w:rPr>
        <w:t xml:space="preserve"> patients </w:t>
      </w:r>
      <w:r w:rsidR="00746D07">
        <w:rPr>
          <w:i/>
          <w:iCs/>
          <w:szCs w:val="20"/>
        </w:rPr>
        <w:t xml:space="preserve">is not limited </w:t>
      </w:r>
      <w:r w:rsidR="00545804">
        <w:rPr>
          <w:i/>
          <w:iCs/>
          <w:szCs w:val="20"/>
        </w:rPr>
        <w:t xml:space="preserve">to a specific brand of NGS assay. </w:t>
      </w:r>
      <w:r w:rsidR="006E0EB5">
        <w:rPr>
          <w:i/>
          <w:iCs/>
          <w:szCs w:val="20"/>
        </w:rPr>
        <w:t xml:space="preserve">It is anticipated that the </w:t>
      </w:r>
      <w:r w:rsidR="003F2C83">
        <w:rPr>
          <w:i/>
          <w:iCs/>
          <w:szCs w:val="20"/>
        </w:rPr>
        <w:t>evidence</w:t>
      </w:r>
      <w:r w:rsidR="000725E4">
        <w:rPr>
          <w:i/>
          <w:iCs/>
          <w:szCs w:val="20"/>
        </w:rPr>
        <w:t xml:space="preserve"> supporting the </w:t>
      </w:r>
      <w:r w:rsidR="00DE168E">
        <w:rPr>
          <w:i/>
          <w:iCs/>
          <w:szCs w:val="20"/>
        </w:rPr>
        <w:t xml:space="preserve">approval of the </w:t>
      </w:r>
      <w:r w:rsidR="00C20033">
        <w:rPr>
          <w:i/>
          <w:iCs/>
          <w:szCs w:val="20"/>
        </w:rPr>
        <w:t>FoundationOne® CDx</w:t>
      </w:r>
      <w:r w:rsidR="00DE168E">
        <w:rPr>
          <w:i/>
          <w:iCs/>
          <w:szCs w:val="20"/>
        </w:rPr>
        <w:t xml:space="preserve"> assay </w:t>
      </w:r>
      <w:r w:rsidR="00C34341">
        <w:rPr>
          <w:i/>
          <w:iCs/>
          <w:szCs w:val="20"/>
        </w:rPr>
        <w:t xml:space="preserve">as an IVD companion diagnostic </w:t>
      </w:r>
      <w:r w:rsidR="00E647D3">
        <w:rPr>
          <w:i/>
          <w:iCs/>
          <w:szCs w:val="20"/>
        </w:rPr>
        <w:t>will</w:t>
      </w:r>
      <w:r w:rsidR="00F973FA">
        <w:rPr>
          <w:i/>
          <w:iCs/>
          <w:szCs w:val="20"/>
        </w:rPr>
        <w:t xml:space="preserve"> represent </w:t>
      </w:r>
      <w:r w:rsidR="003073EA">
        <w:rPr>
          <w:i/>
          <w:iCs/>
          <w:szCs w:val="20"/>
        </w:rPr>
        <w:t xml:space="preserve">critical </w:t>
      </w:r>
      <w:r w:rsidR="00FE0A82">
        <w:rPr>
          <w:i/>
          <w:iCs/>
          <w:szCs w:val="20"/>
        </w:rPr>
        <w:t>evidence provided to MSAC in the</w:t>
      </w:r>
      <w:r w:rsidR="00014554">
        <w:rPr>
          <w:i/>
          <w:iCs/>
          <w:szCs w:val="20"/>
        </w:rPr>
        <w:t xml:space="preserve"> Applicant Developed Assessment Report</w:t>
      </w:r>
      <w:r w:rsidR="00985052">
        <w:rPr>
          <w:i/>
          <w:iCs/>
          <w:szCs w:val="20"/>
        </w:rPr>
        <w:t xml:space="preserve"> but that </w:t>
      </w:r>
      <w:r w:rsidR="00EA1EE1">
        <w:rPr>
          <w:i/>
          <w:iCs/>
          <w:szCs w:val="20"/>
        </w:rPr>
        <w:t xml:space="preserve">additional evidence relating to the use of CGP </w:t>
      </w:r>
      <w:r w:rsidR="00AB49BB">
        <w:rPr>
          <w:i/>
          <w:iCs/>
          <w:szCs w:val="20"/>
        </w:rPr>
        <w:t>using NGS reported for other assays</w:t>
      </w:r>
      <w:r w:rsidR="0056740D">
        <w:rPr>
          <w:i/>
          <w:iCs/>
          <w:szCs w:val="20"/>
        </w:rPr>
        <w:t xml:space="preserve"> </w:t>
      </w:r>
      <w:r w:rsidR="00AB49BB">
        <w:rPr>
          <w:i/>
          <w:iCs/>
          <w:szCs w:val="20"/>
        </w:rPr>
        <w:t>will also be presented for MSAC consideration.</w:t>
      </w:r>
    </w:p>
    <w:p w14:paraId="5D778B0F" w14:textId="12C98BDD" w:rsidR="00D11EB1" w:rsidRPr="000F5EB0" w:rsidRDefault="00BD5C8D" w:rsidP="004A0BF4">
      <w:pPr>
        <w:pStyle w:val="Heading2"/>
        <w:rPr>
          <w:rStyle w:val="Strong"/>
          <w:rFonts w:asciiTheme="minorHAnsi" w:eastAsiaTheme="minorHAnsi" w:hAnsiTheme="minorHAnsi" w:cstheme="minorBidi"/>
          <w:b/>
        </w:rPr>
      </w:pPr>
      <w:r w:rsidRPr="000F5EB0">
        <w:rPr>
          <w:rStyle w:val="Strong"/>
          <w:rFonts w:asciiTheme="minorHAnsi" w:eastAsiaTheme="minorHAnsi" w:hAnsiTheme="minorHAnsi" w:cstheme="minorBidi"/>
          <w:b/>
        </w:rPr>
        <w:t xml:space="preserve"> </w:t>
      </w:r>
      <w:r w:rsidR="00730C04" w:rsidRPr="000F5EB0">
        <w:rPr>
          <w:rStyle w:val="Strong"/>
          <w:rFonts w:asciiTheme="minorHAnsi" w:eastAsiaTheme="minorHAnsi" w:hAnsiTheme="minorHAnsi" w:cstheme="minorBidi"/>
          <w:b/>
        </w:rPr>
        <w:t xml:space="preserve">(a) </w:t>
      </w:r>
      <w:r w:rsidR="00D11EB1" w:rsidRPr="000F5EB0">
        <w:rPr>
          <w:rStyle w:val="Strong"/>
          <w:rFonts w:asciiTheme="minorHAnsi" w:eastAsiaTheme="minorHAnsi" w:hAnsiTheme="minorHAnsi" w:cstheme="minorBidi"/>
          <w:b/>
        </w:rPr>
        <w:t>Is this a request for MBS funding?</w:t>
      </w:r>
    </w:p>
    <w:p w14:paraId="4E1EA879" w14:textId="772B3B14" w:rsidR="00753C44" w:rsidRPr="000F5EB0" w:rsidRDefault="000D5C79" w:rsidP="00810F30">
      <w:pPr>
        <w:spacing w:before="0" w:after="0"/>
        <w:ind w:left="284" w:firstLine="76"/>
        <w:rPr>
          <w:szCs w:val="20"/>
        </w:rPr>
      </w:pPr>
      <w:r w:rsidRPr="000F5EB0">
        <w:rPr>
          <w:szCs w:val="20"/>
        </w:rPr>
        <w:fldChar w:fldCharType="begin">
          <w:ffData>
            <w:name w:val="Check1"/>
            <w:enabled/>
            <w:calcOnExit w:val="0"/>
            <w:checkBox>
              <w:sizeAuto/>
              <w:default w:val="1"/>
            </w:checkBox>
          </w:ffData>
        </w:fldChar>
      </w:r>
      <w:bookmarkStart w:id="2" w:name="Check1"/>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bookmarkEnd w:id="2"/>
      <w:r w:rsidR="006B6390" w:rsidRPr="000F5EB0">
        <w:rPr>
          <w:szCs w:val="20"/>
        </w:rPr>
        <w:t xml:space="preserve"> Yes</w:t>
      </w:r>
    </w:p>
    <w:p w14:paraId="093204A0" w14:textId="02550C56" w:rsidR="00810F30" w:rsidRDefault="006B6390" w:rsidP="00810F30">
      <w:pPr>
        <w:spacing w:before="0" w:after="0"/>
        <w:ind w:left="284" w:firstLine="76"/>
        <w:rPr>
          <w:szCs w:val="20"/>
        </w:rPr>
      </w:pPr>
      <w:r w:rsidRPr="000F5EB0">
        <w:rPr>
          <w:szCs w:val="20"/>
        </w:rPr>
        <w:fldChar w:fldCharType="begin">
          <w:ffData>
            <w:name w:val="Check2"/>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No</w:t>
      </w:r>
    </w:p>
    <w:p w14:paraId="03CD9EE3" w14:textId="5474B498" w:rsidR="00753C44" w:rsidRPr="000F5EB0" w:rsidRDefault="00810F30" w:rsidP="00810F30">
      <w:pPr>
        <w:spacing w:before="0" w:after="200" w:line="276" w:lineRule="auto"/>
        <w:rPr>
          <w:szCs w:val="20"/>
        </w:rPr>
      </w:pPr>
      <w:r>
        <w:rPr>
          <w:szCs w:val="20"/>
        </w:rPr>
        <w:br w:type="page"/>
      </w:r>
    </w:p>
    <w:p w14:paraId="5EE8195B" w14:textId="77777777" w:rsidR="000B3CD0" w:rsidRPr="000F5EB0" w:rsidRDefault="000B3CD0" w:rsidP="00FD4715">
      <w:pPr>
        <w:pStyle w:val="Heading2"/>
        <w:numPr>
          <w:ilvl w:val="0"/>
          <w:numId w:val="3"/>
        </w:numPr>
        <w:rPr>
          <w:rStyle w:val="Strong"/>
          <w:rFonts w:asciiTheme="minorHAnsi" w:eastAsiaTheme="minorHAnsi" w:hAnsiTheme="minorHAnsi" w:cstheme="minorBidi"/>
          <w:b/>
        </w:rPr>
      </w:pPr>
      <w:r w:rsidRPr="000F5EB0">
        <w:rPr>
          <w:rStyle w:val="Strong"/>
          <w:rFonts w:asciiTheme="minorHAnsi" w:eastAsiaTheme="minorHAnsi" w:hAnsiTheme="minorHAnsi" w:cstheme="minorBidi"/>
          <w:b/>
        </w:rPr>
        <w:lastRenderedPageBreak/>
        <w:t>I</w:t>
      </w:r>
      <w:r w:rsidR="003020B5" w:rsidRPr="000F5EB0">
        <w:rPr>
          <w:rStyle w:val="Strong"/>
          <w:rFonts w:asciiTheme="minorHAnsi" w:eastAsiaTheme="minorHAnsi" w:hAnsiTheme="minorHAnsi" w:cstheme="minorBidi"/>
          <w:b/>
        </w:rPr>
        <w:t xml:space="preserve">f </w:t>
      </w:r>
      <w:r w:rsidR="00D11EB1" w:rsidRPr="000F5EB0">
        <w:rPr>
          <w:rStyle w:val="Strong"/>
          <w:rFonts w:asciiTheme="minorHAnsi" w:eastAsiaTheme="minorHAnsi" w:hAnsiTheme="minorHAnsi" w:cstheme="minorBidi"/>
          <w:b/>
        </w:rPr>
        <w:t xml:space="preserve">yes, is </w:t>
      </w:r>
      <w:r w:rsidRPr="000F5EB0">
        <w:rPr>
          <w:rStyle w:val="Strong"/>
          <w:rFonts w:asciiTheme="minorHAnsi" w:eastAsiaTheme="minorHAnsi" w:hAnsiTheme="minorHAnsi" w:cstheme="minorBidi"/>
          <w:b/>
        </w:rPr>
        <w:t>the medical service</w:t>
      </w:r>
      <w:r w:rsidR="005D0677" w:rsidRPr="000F5EB0">
        <w:rPr>
          <w:rStyle w:val="Strong"/>
          <w:rFonts w:asciiTheme="minorHAnsi" w:eastAsiaTheme="minorHAnsi" w:hAnsiTheme="minorHAnsi" w:cstheme="minorBidi"/>
          <w:b/>
        </w:rPr>
        <w:t>(s)</w:t>
      </w:r>
      <w:r w:rsidRPr="000F5EB0">
        <w:rPr>
          <w:rStyle w:val="Strong"/>
          <w:rFonts w:asciiTheme="minorHAnsi" w:eastAsiaTheme="minorHAnsi" w:hAnsiTheme="minorHAnsi" w:cstheme="minorBidi"/>
          <w:b/>
        </w:rPr>
        <w:t xml:space="preserve"> </w:t>
      </w:r>
      <w:r w:rsidR="00F83566" w:rsidRPr="000F5EB0">
        <w:rPr>
          <w:rStyle w:val="Strong"/>
          <w:rFonts w:asciiTheme="minorHAnsi" w:eastAsiaTheme="minorHAnsi" w:hAnsiTheme="minorHAnsi" w:cstheme="minorBidi"/>
          <w:b/>
        </w:rPr>
        <w:t xml:space="preserve">proposed to be </w:t>
      </w:r>
      <w:r w:rsidRPr="000F5EB0">
        <w:rPr>
          <w:rStyle w:val="Strong"/>
          <w:rFonts w:asciiTheme="minorHAnsi" w:eastAsiaTheme="minorHAnsi" w:hAnsiTheme="minorHAnsi" w:cstheme="minorBidi"/>
          <w:b/>
        </w:rPr>
        <w:t xml:space="preserve">covered under an existing </w:t>
      </w:r>
      <w:r w:rsidR="00F83566" w:rsidRPr="000F5EB0">
        <w:rPr>
          <w:rStyle w:val="Strong"/>
          <w:rFonts w:asciiTheme="minorHAnsi" w:eastAsiaTheme="minorHAnsi" w:hAnsiTheme="minorHAnsi" w:cstheme="minorBidi"/>
          <w:b/>
        </w:rPr>
        <w:t>MBS item number</w:t>
      </w:r>
      <w:r w:rsidR="005D0677" w:rsidRPr="000F5EB0">
        <w:rPr>
          <w:rStyle w:val="Strong"/>
          <w:rFonts w:asciiTheme="minorHAnsi" w:eastAsiaTheme="minorHAnsi" w:hAnsiTheme="minorHAnsi" w:cstheme="minorBidi"/>
          <w:b/>
        </w:rPr>
        <w:t>(s)</w:t>
      </w:r>
      <w:r w:rsidR="003020B5" w:rsidRPr="000F5EB0">
        <w:rPr>
          <w:rStyle w:val="Strong"/>
          <w:rFonts w:asciiTheme="minorHAnsi" w:eastAsiaTheme="minorHAnsi" w:hAnsiTheme="minorHAnsi" w:cstheme="minorBidi"/>
          <w:b/>
        </w:rPr>
        <w:t xml:space="preserve"> or is a new MBS item</w:t>
      </w:r>
      <w:r w:rsidR="005D0677" w:rsidRPr="000F5EB0">
        <w:rPr>
          <w:rStyle w:val="Strong"/>
          <w:rFonts w:asciiTheme="minorHAnsi" w:eastAsiaTheme="minorHAnsi" w:hAnsiTheme="minorHAnsi" w:cstheme="minorBidi"/>
          <w:b/>
        </w:rPr>
        <w:t>(s)</w:t>
      </w:r>
      <w:r w:rsidR="003020B5" w:rsidRPr="000F5EB0">
        <w:rPr>
          <w:rStyle w:val="Strong"/>
          <w:rFonts w:asciiTheme="minorHAnsi" w:eastAsiaTheme="minorHAnsi" w:hAnsiTheme="minorHAnsi" w:cstheme="minorBidi"/>
          <w:b/>
        </w:rPr>
        <w:t xml:space="preserve"> being sought altogether</w:t>
      </w:r>
      <w:r w:rsidRPr="000F5EB0">
        <w:rPr>
          <w:rStyle w:val="Strong"/>
          <w:rFonts w:asciiTheme="minorHAnsi" w:eastAsiaTheme="minorHAnsi" w:hAnsiTheme="minorHAnsi" w:cstheme="minorBidi"/>
          <w:b/>
        </w:rPr>
        <w:t>?</w:t>
      </w:r>
    </w:p>
    <w:p w14:paraId="0921B0D9" w14:textId="77777777" w:rsidR="00753C44" w:rsidRPr="000F5EB0" w:rsidRDefault="006B6390" w:rsidP="00810F30">
      <w:pPr>
        <w:spacing w:before="0" w:after="0"/>
        <w:ind w:left="720"/>
        <w:rPr>
          <w:szCs w:val="20"/>
        </w:rPr>
      </w:pPr>
      <w:r w:rsidRPr="000F5EB0">
        <w:rPr>
          <w:szCs w:val="20"/>
        </w:rPr>
        <w:fldChar w:fldCharType="begin">
          <w:ffData>
            <w:name w:val="Check2"/>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w:t>
      </w:r>
      <w:r w:rsidR="00753C44" w:rsidRPr="000F5EB0">
        <w:rPr>
          <w:szCs w:val="20"/>
        </w:rPr>
        <w:t>Amendment to existing MBS item(s)</w:t>
      </w:r>
    </w:p>
    <w:p w14:paraId="6C8A20D0" w14:textId="020BDF01" w:rsidR="00753C44" w:rsidRPr="000F5EB0" w:rsidRDefault="000D5C79" w:rsidP="00810F30">
      <w:pPr>
        <w:spacing w:before="0" w:after="0"/>
        <w:ind w:left="720"/>
        <w:rPr>
          <w:szCs w:val="20"/>
        </w:rPr>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6B6390" w:rsidRPr="000F5EB0">
        <w:rPr>
          <w:szCs w:val="20"/>
        </w:rPr>
        <w:t xml:space="preserve"> </w:t>
      </w:r>
      <w:r w:rsidR="00753C44" w:rsidRPr="000F5EB0">
        <w:rPr>
          <w:szCs w:val="20"/>
        </w:rPr>
        <w:t>New MBS item(s)</w:t>
      </w:r>
    </w:p>
    <w:p w14:paraId="0A19BD4F" w14:textId="10F102C6" w:rsidR="000B3CD0" w:rsidRPr="000F5EB0" w:rsidRDefault="000B3CD0" w:rsidP="00FD4715">
      <w:pPr>
        <w:pStyle w:val="Heading2"/>
        <w:numPr>
          <w:ilvl w:val="0"/>
          <w:numId w:val="3"/>
        </w:numPr>
        <w:rPr>
          <w:rStyle w:val="Strong"/>
          <w:rFonts w:asciiTheme="minorHAnsi" w:eastAsiaTheme="minorHAnsi" w:hAnsiTheme="minorHAnsi" w:cstheme="minorBidi"/>
          <w:b/>
        </w:rPr>
      </w:pPr>
      <w:r w:rsidRPr="000F5EB0">
        <w:rPr>
          <w:rStyle w:val="Strong"/>
          <w:rFonts w:asciiTheme="minorHAnsi" w:eastAsiaTheme="minorHAnsi" w:hAnsiTheme="minorHAnsi" w:cstheme="minorBidi"/>
          <w:b/>
        </w:rPr>
        <w:t xml:space="preserve">If </w:t>
      </w:r>
      <w:r w:rsidR="00126B33" w:rsidRPr="000F5EB0">
        <w:rPr>
          <w:rStyle w:val="Strong"/>
          <w:rFonts w:asciiTheme="minorHAnsi" w:eastAsiaTheme="minorHAnsi" w:hAnsiTheme="minorHAnsi" w:cstheme="minorBidi"/>
          <w:b/>
        </w:rPr>
        <w:t xml:space="preserve">an amendment </w:t>
      </w:r>
      <w:r w:rsidR="003020B5" w:rsidRPr="000F5EB0">
        <w:rPr>
          <w:rStyle w:val="Strong"/>
          <w:rFonts w:asciiTheme="minorHAnsi" w:eastAsiaTheme="minorHAnsi" w:hAnsiTheme="minorHAnsi" w:cstheme="minorBidi"/>
          <w:b/>
        </w:rPr>
        <w:t xml:space="preserve">to </w:t>
      </w:r>
      <w:r w:rsidR="00126B33" w:rsidRPr="000F5EB0">
        <w:rPr>
          <w:rStyle w:val="Strong"/>
          <w:rFonts w:asciiTheme="minorHAnsi" w:eastAsiaTheme="minorHAnsi" w:hAnsiTheme="minorHAnsi" w:cstheme="minorBidi"/>
          <w:b/>
        </w:rPr>
        <w:t xml:space="preserve">an </w:t>
      </w:r>
      <w:r w:rsidR="003020B5" w:rsidRPr="000F5EB0">
        <w:rPr>
          <w:rStyle w:val="Strong"/>
          <w:rFonts w:asciiTheme="minorHAnsi" w:eastAsiaTheme="minorHAnsi" w:hAnsiTheme="minorHAnsi" w:cstheme="minorBidi"/>
          <w:b/>
        </w:rPr>
        <w:t>existing item</w:t>
      </w:r>
      <w:r w:rsidR="005D0677" w:rsidRPr="000F5EB0">
        <w:rPr>
          <w:rStyle w:val="Strong"/>
          <w:rFonts w:asciiTheme="minorHAnsi" w:eastAsiaTheme="minorHAnsi" w:hAnsiTheme="minorHAnsi" w:cstheme="minorBidi"/>
          <w:b/>
        </w:rPr>
        <w:t>(s)</w:t>
      </w:r>
      <w:r w:rsidR="00126B33" w:rsidRPr="000F5EB0">
        <w:rPr>
          <w:rStyle w:val="Strong"/>
          <w:rFonts w:asciiTheme="minorHAnsi" w:eastAsiaTheme="minorHAnsi" w:hAnsiTheme="minorHAnsi" w:cstheme="minorBidi"/>
          <w:b/>
        </w:rPr>
        <w:t xml:space="preserve"> is being sought</w:t>
      </w:r>
      <w:r w:rsidR="003020B5" w:rsidRPr="000F5EB0">
        <w:rPr>
          <w:rStyle w:val="Strong"/>
          <w:rFonts w:asciiTheme="minorHAnsi" w:eastAsiaTheme="minorHAnsi" w:hAnsiTheme="minorHAnsi" w:cstheme="minorBidi"/>
          <w:b/>
        </w:rPr>
        <w:t>,</w:t>
      </w:r>
      <w:r w:rsidRPr="000F5EB0">
        <w:rPr>
          <w:rStyle w:val="Strong"/>
          <w:rFonts w:asciiTheme="minorHAnsi" w:eastAsiaTheme="minorHAnsi" w:hAnsiTheme="minorHAnsi" w:cstheme="minorBidi"/>
          <w:b/>
        </w:rPr>
        <w:t xml:space="preserve"> please </w:t>
      </w:r>
      <w:r w:rsidR="00126B33" w:rsidRPr="000F5EB0">
        <w:rPr>
          <w:rStyle w:val="Strong"/>
          <w:rFonts w:asciiTheme="minorHAnsi" w:eastAsiaTheme="minorHAnsi" w:hAnsiTheme="minorHAnsi" w:cstheme="minorBidi"/>
          <w:b/>
        </w:rPr>
        <w:t xml:space="preserve">list </w:t>
      </w:r>
      <w:r w:rsidRPr="000F5EB0">
        <w:rPr>
          <w:rStyle w:val="Strong"/>
          <w:rFonts w:asciiTheme="minorHAnsi" w:eastAsiaTheme="minorHAnsi" w:hAnsiTheme="minorHAnsi" w:cstheme="minorBidi"/>
          <w:b/>
        </w:rPr>
        <w:t xml:space="preserve">the relevant MBS item number(s) </w:t>
      </w:r>
      <w:r w:rsidR="009C03FB" w:rsidRPr="000F5EB0">
        <w:rPr>
          <w:rStyle w:val="Strong"/>
          <w:rFonts w:asciiTheme="minorHAnsi" w:eastAsiaTheme="minorHAnsi" w:hAnsiTheme="minorHAnsi" w:cstheme="minorBidi"/>
          <w:b/>
        </w:rPr>
        <w:t xml:space="preserve">that </w:t>
      </w:r>
      <w:r w:rsidR="00126B33" w:rsidRPr="000F5EB0">
        <w:rPr>
          <w:rStyle w:val="Strong"/>
          <w:rFonts w:asciiTheme="minorHAnsi" w:eastAsiaTheme="minorHAnsi" w:hAnsiTheme="minorHAnsi" w:cstheme="minorBidi"/>
          <w:b/>
        </w:rPr>
        <w:t xml:space="preserve">are </w:t>
      </w:r>
      <w:r w:rsidR="005A6AB9" w:rsidRPr="000F5EB0">
        <w:rPr>
          <w:rStyle w:val="Strong"/>
          <w:rFonts w:asciiTheme="minorHAnsi" w:eastAsiaTheme="minorHAnsi" w:hAnsiTheme="minorHAnsi" w:cstheme="minorBidi"/>
          <w:b/>
        </w:rPr>
        <w:t xml:space="preserve">to be </w:t>
      </w:r>
      <w:r w:rsidR="00126B33" w:rsidRPr="000F5EB0">
        <w:rPr>
          <w:rStyle w:val="Strong"/>
          <w:rFonts w:asciiTheme="minorHAnsi" w:eastAsiaTheme="minorHAnsi" w:hAnsiTheme="minorHAnsi" w:cstheme="minorBidi"/>
          <w:b/>
        </w:rPr>
        <w:t xml:space="preserve">amended </w:t>
      </w:r>
      <w:r w:rsidR="005A6AB9" w:rsidRPr="000F5EB0">
        <w:rPr>
          <w:rStyle w:val="Strong"/>
          <w:rFonts w:asciiTheme="minorHAnsi" w:eastAsiaTheme="minorHAnsi" w:hAnsiTheme="minorHAnsi" w:cstheme="minorBidi"/>
          <w:b/>
        </w:rPr>
        <w:t xml:space="preserve">to </w:t>
      </w:r>
      <w:r w:rsidR="00A93F58" w:rsidRPr="000F5EB0">
        <w:rPr>
          <w:rStyle w:val="Strong"/>
          <w:rFonts w:asciiTheme="minorHAnsi" w:eastAsiaTheme="minorHAnsi" w:hAnsiTheme="minorHAnsi" w:cstheme="minorBidi"/>
          <w:b/>
        </w:rPr>
        <w:t xml:space="preserve">include </w:t>
      </w:r>
      <w:r w:rsidR="005A6AB9" w:rsidRPr="000F5EB0">
        <w:rPr>
          <w:rStyle w:val="Strong"/>
          <w:rFonts w:asciiTheme="minorHAnsi" w:eastAsiaTheme="minorHAnsi" w:hAnsiTheme="minorHAnsi" w:cstheme="minorBidi"/>
          <w:b/>
        </w:rPr>
        <w:t>the proposed medical service</w:t>
      </w:r>
      <w:r w:rsidR="00802553" w:rsidRPr="000F5EB0">
        <w:rPr>
          <w:rStyle w:val="Strong"/>
          <w:rFonts w:asciiTheme="minorHAnsi" w:eastAsiaTheme="minorHAnsi" w:hAnsiTheme="minorHAnsi" w:cstheme="minorBidi"/>
          <w:b/>
        </w:rPr>
        <w:t>:</w:t>
      </w:r>
    </w:p>
    <w:p w14:paraId="188028FD" w14:textId="64159400" w:rsidR="003D795C" w:rsidRPr="000F5EB0" w:rsidRDefault="002C48DC" w:rsidP="00810F30">
      <w:pPr>
        <w:ind w:left="284" w:firstLine="436"/>
      </w:pPr>
      <w:r w:rsidRPr="000F5EB0">
        <w:t>Not applicable</w:t>
      </w:r>
    </w:p>
    <w:p w14:paraId="07B1289D" w14:textId="77777777" w:rsidR="006C0843" w:rsidRPr="000F5EB0" w:rsidRDefault="006C0843" w:rsidP="00FD4715">
      <w:pPr>
        <w:pStyle w:val="Heading2"/>
        <w:numPr>
          <w:ilvl w:val="0"/>
          <w:numId w:val="3"/>
        </w:numPr>
        <w:rPr>
          <w:rStyle w:val="Strong"/>
          <w:rFonts w:asciiTheme="minorHAnsi" w:eastAsiaTheme="minorHAnsi" w:hAnsiTheme="minorHAnsi" w:cstheme="minorBidi"/>
          <w:b/>
        </w:rPr>
      </w:pPr>
      <w:r w:rsidRPr="000F5EB0">
        <w:rPr>
          <w:rStyle w:val="Strong"/>
          <w:rFonts w:asciiTheme="minorHAnsi" w:eastAsiaTheme="minorHAnsi" w:hAnsiTheme="minorHAnsi" w:cstheme="minorBidi"/>
          <w:b/>
        </w:rPr>
        <w:t>If an amendment to an existing item</w:t>
      </w:r>
      <w:r w:rsidR="003E30FB" w:rsidRPr="000F5EB0">
        <w:rPr>
          <w:rStyle w:val="Strong"/>
          <w:rFonts w:asciiTheme="minorHAnsi" w:eastAsiaTheme="minorHAnsi" w:hAnsiTheme="minorHAnsi" w:cstheme="minorBidi"/>
          <w:b/>
        </w:rPr>
        <w:t>(s)</w:t>
      </w:r>
      <w:r w:rsidRPr="000F5EB0">
        <w:rPr>
          <w:rStyle w:val="Strong"/>
          <w:rFonts w:asciiTheme="minorHAnsi" w:eastAsiaTheme="minorHAnsi" w:hAnsiTheme="minorHAnsi" w:cstheme="minorBidi"/>
          <w:b/>
        </w:rPr>
        <w:t xml:space="preserve"> is being sought, what is the nature of the amendment</w:t>
      </w:r>
      <w:r w:rsidR="00C01121" w:rsidRPr="000F5EB0">
        <w:rPr>
          <w:rStyle w:val="Strong"/>
          <w:rFonts w:asciiTheme="minorHAnsi" w:eastAsiaTheme="minorHAnsi" w:hAnsiTheme="minorHAnsi" w:cstheme="minorBidi"/>
          <w:b/>
        </w:rPr>
        <w:t>(s)</w:t>
      </w:r>
      <w:r w:rsidR="00E06102" w:rsidRPr="000F5EB0">
        <w:rPr>
          <w:rStyle w:val="Strong"/>
          <w:rFonts w:asciiTheme="minorHAnsi" w:eastAsiaTheme="minorHAnsi" w:hAnsiTheme="minorHAnsi" w:cstheme="minorBidi"/>
          <w:b/>
        </w:rPr>
        <w:t>?</w:t>
      </w:r>
    </w:p>
    <w:p w14:paraId="326FB314" w14:textId="77777777" w:rsidR="002A270B" w:rsidRPr="000F5EB0" w:rsidRDefault="002A270B" w:rsidP="00FD4715">
      <w:pPr>
        <w:pStyle w:val="ListParagraph"/>
        <w:numPr>
          <w:ilvl w:val="0"/>
          <w:numId w:val="13"/>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An amendment to the way the service is clinically delivered under the existing item(s)</w:t>
      </w:r>
    </w:p>
    <w:p w14:paraId="0235C7E8" w14:textId="77777777" w:rsidR="002A270B" w:rsidRPr="000F5EB0" w:rsidRDefault="002A270B" w:rsidP="00FD4715">
      <w:pPr>
        <w:pStyle w:val="ListParagraph"/>
        <w:numPr>
          <w:ilvl w:val="0"/>
          <w:numId w:val="13"/>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An amendment to the patient population under the existing item(s)</w:t>
      </w:r>
    </w:p>
    <w:p w14:paraId="6442C740" w14:textId="77777777" w:rsidR="002A270B" w:rsidRPr="000F5EB0" w:rsidRDefault="002A270B" w:rsidP="00FD4715">
      <w:pPr>
        <w:pStyle w:val="ListParagraph"/>
        <w:numPr>
          <w:ilvl w:val="0"/>
          <w:numId w:val="13"/>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An amendment to the schedule fee of the existing item(s)</w:t>
      </w:r>
    </w:p>
    <w:p w14:paraId="70E2D663" w14:textId="77777777" w:rsidR="002A270B" w:rsidRPr="000F5EB0" w:rsidRDefault="002A270B" w:rsidP="00FD4715">
      <w:pPr>
        <w:pStyle w:val="ListParagraph"/>
        <w:numPr>
          <w:ilvl w:val="0"/>
          <w:numId w:val="13"/>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An amendment to the time and complexity of an existing item(s)</w:t>
      </w:r>
    </w:p>
    <w:p w14:paraId="494799A3" w14:textId="77777777" w:rsidR="002A270B" w:rsidRPr="000F5EB0" w:rsidRDefault="002A270B" w:rsidP="00FD4715">
      <w:pPr>
        <w:pStyle w:val="ListParagraph"/>
        <w:numPr>
          <w:ilvl w:val="0"/>
          <w:numId w:val="13"/>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Access to an existing item(s) by a different health practitioner group</w:t>
      </w:r>
    </w:p>
    <w:p w14:paraId="5ADDDDDA" w14:textId="77777777" w:rsidR="002A270B" w:rsidRPr="000F5EB0" w:rsidRDefault="002A270B" w:rsidP="00FD4715">
      <w:pPr>
        <w:pStyle w:val="ListParagraph"/>
        <w:numPr>
          <w:ilvl w:val="0"/>
          <w:numId w:val="13"/>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Minor amendments to the item descriptor that does not affect how the service is delivered</w:t>
      </w:r>
    </w:p>
    <w:p w14:paraId="0C94D3A8" w14:textId="77777777" w:rsidR="002A270B" w:rsidRPr="000F5EB0" w:rsidRDefault="002A270B" w:rsidP="00FD4715">
      <w:pPr>
        <w:pStyle w:val="ListParagraph"/>
        <w:numPr>
          <w:ilvl w:val="0"/>
          <w:numId w:val="13"/>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An amendment to an existing specific single consultation item</w:t>
      </w:r>
    </w:p>
    <w:p w14:paraId="4488973E" w14:textId="77777777" w:rsidR="002A270B" w:rsidRPr="000F5EB0" w:rsidRDefault="002A270B" w:rsidP="00FD4715">
      <w:pPr>
        <w:pStyle w:val="ListParagraph"/>
        <w:numPr>
          <w:ilvl w:val="0"/>
          <w:numId w:val="13"/>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An amendment to an existing global consultation item(s)</w:t>
      </w:r>
    </w:p>
    <w:p w14:paraId="471EFCBD" w14:textId="77777777" w:rsidR="002A270B" w:rsidRPr="000F5EB0" w:rsidRDefault="004A263B" w:rsidP="00FD4715">
      <w:pPr>
        <w:pStyle w:val="ListParagraph"/>
        <w:numPr>
          <w:ilvl w:val="0"/>
          <w:numId w:val="13"/>
        </w:numPr>
        <w:ind w:left="851" w:hanging="425"/>
        <w:rPr>
          <w:rStyle w:val="Strong"/>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002A270B" w:rsidRPr="000F5EB0">
        <w:rPr>
          <w:rStyle w:val="Strong"/>
          <w:b w:val="0"/>
        </w:rPr>
        <w:t>Other (please describe below)</w:t>
      </w:r>
      <w:r w:rsidR="00A6491A" w:rsidRPr="000F5EB0">
        <w:rPr>
          <w:rStyle w:val="Strong"/>
          <w:b w:val="0"/>
        </w:rPr>
        <w:t>:</w:t>
      </w:r>
    </w:p>
    <w:p w14:paraId="0AD2C8FD" w14:textId="19E2E7A3" w:rsidR="002A270B" w:rsidRPr="000F5EB0" w:rsidRDefault="002A270B" w:rsidP="00A6491A">
      <w:pPr>
        <w:ind w:left="284"/>
      </w:pPr>
    </w:p>
    <w:p w14:paraId="53753BB8" w14:textId="77777777" w:rsidR="00534C5F" w:rsidRPr="000F5EB0" w:rsidRDefault="000770BA" w:rsidP="00FD4715">
      <w:pPr>
        <w:pStyle w:val="Heading2"/>
        <w:numPr>
          <w:ilvl w:val="0"/>
          <w:numId w:val="3"/>
        </w:numPr>
        <w:rPr>
          <w:rStyle w:val="Strong"/>
          <w:rFonts w:asciiTheme="minorHAnsi" w:eastAsiaTheme="minorHAnsi" w:hAnsiTheme="minorHAnsi" w:cstheme="minorBidi"/>
          <w:b/>
        </w:rPr>
      </w:pPr>
      <w:r w:rsidRPr="000F5EB0">
        <w:rPr>
          <w:rStyle w:val="Strong"/>
          <w:rFonts w:asciiTheme="minorHAnsi" w:eastAsiaTheme="minorHAnsi" w:hAnsiTheme="minorHAnsi" w:cstheme="minorBidi"/>
          <w:b/>
        </w:rPr>
        <w:t>If a new item</w:t>
      </w:r>
      <w:r w:rsidR="005D0677" w:rsidRPr="000F5EB0">
        <w:rPr>
          <w:rStyle w:val="Strong"/>
          <w:rFonts w:asciiTheme="minorHAnsi" w:eastAsiaTheme="minorHAnsi" w:hAnsiTheme="minorHAnsi" w:cstheme="minorBidi"/>
          <w:b/>
        </w:rPr>
        <w:t>(s)</w:t>
      </w:r>
      <w:r w:rsidR="003433D1" w:rsidRPr="000F5EB0">
        <w:rPr>
          <w:rStyle w:val="Strong"/>
          <w:rFonts w:asciiTheme="minorHAnsi" w:eastAsiaTheme="minorHAnsi" w:hAnsiTheme="minorHAnsi" w:cstheme="minorBidi"/>
          <w:b/>
        </w:rPr>
        <w:t xml:space="preserve"> is being requested</w:t>
      </w:r>
      <w:r w:rsidRPr="000F5EB0">
        <w:rPr>
          <w:rStyle w:val="Strong"/>
          <w:rFonts w:asciiTheme="minorHAnsi" w:eastAsiaTheme="minorHAnsi" w:hAnsiTheme="minorHAnsi" w:cstheme="minorBidi"/>
          <w:b/>
        </w:rPr>
        <w:t>, what is the nature of the change to the MBS being sought?</w:t>
      </w:r>
    </w:p>
    <w:p w14:paraId="5380E952" w14:textId="77777777" w:rsidR="006B6390" w:rsidRPr="000F5EB0" w:rsidRDefault="006B6390" w:rsidP="00FD4715">
      <w:pPr>
        <w:pStyle w:val="ListParagraph"/>
        <w:numPr>
          <w:ilvl w:val="0"/>
          <w:numId w:val="14"/>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A new item which also seeks to allow access to the MBS for a specific health practitioner group</w:t>
      </w:r>
    </w:p>
    <w:p w14:paraId="1383C2B6" w14:textId="43AEEFB3" w:rsidR="006B6390" w:rsidRPr="000F5EB0" w:rsidRDefault="00DD6D33" w:rsidP="00FD4715">
      <w:pPr>
        <w:pStyle w:val="ListParagraph"/>
        <w:numPr>
          <w:ilvl w:val="0"/>
          <w:numId w:val="14"/>
        </w:numPr>
        <w:spacing w:before="0" w:after="0"/>
        <w:ind w:left="851" w:hanging="425"/>
        <w:rPr>
          <w:rStyle w:val="Strong"/>
          <w:b w:val="0"/>
        </w:rPr>
      </w:pPr>
      <w:r w:rsidRPr="000F5EB0">
        <w:rPr>
          <w:b/>
          <w:szCs w:val="20"/>
        </w:rPr>
        <w:fldChar w:fldCharType="begin">
          <w:ffData>
            <w:name w:val=""/>
            <w:enabled/>
            <w:calcOnExit w:val="0"/>
            <w:checkBox>
              <w:sizeAuto/>
              <w:default w:val="1"/>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006B6390" w:rsidRPr="000F5EB0">
        <w:rPr>
          <w:b/>
          <w:szCs w:val="20"/>
        </w:rPr>
        <w:t xml:space="preserve"> </w:t>
      </w:r>
      <w:r w:rsidR="006B6390" w:rsidRPr="000F5EB0">
        <w:rPr>
          <w:rStyle w:val="Strong"/>
          <w:b w:val="0"/>
        </w:rPr>
        <w:t>A new item that is proposing a way of clinically delivering a service that is new to the MBS (in terms of new technology and / or population)</w:t>
      </w:r>
    </w:p>
    <w:p w14:paraId="40D18461" w14:textId="77777777" w:rsidR="006B6390" w:rsidRPr="000F5EB0" w:rsidRDefault="006B6390" w:rsidP="00FD4715">
      <w:pPr>
        <w:pStyle w:val="ListParagraph"/>
        <w:numPr>
          <w:ilvl w:val="0"/>
          <w:numId w:val="14"/>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A new item for a specific single consultation item</w:t>
      </w:r>
    </w:p>
    <w:p w14:paraId="40D042EC" w14:textId="77777777" w:rsidR="006B6390" w:rsidRPr="000F5EB0" w:rsidRDefault="006B6390" w:rsidP="00FD4715">
      <w:pPr>
        <w:pStyle w:val="ListParagraph"/>
        <w:numPr>
          <w:ilvl w:val="0"/>
          <w:numId w:val="14"/>
        </w:numPr>
        <w:spacing w:before="0" w:after="0"/>
        <w:ind w:left="851" w:hanging="425"/>
        <w:rPr>
          <w:rStyle w:val="Strong"/>
          <w:b w:val="0"/>
        </w:rPr>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rPr>
          <w:rStyle w:val="Strong"/>
          <w:b w:val="0"/>
        </w:rPr>
        <w:t>A new item for a global consultation item(s)</w:t>
      </w:r>
    </w:p>
    <w:p w14:paraId="10A42EBB" w14:textId="77777777" w:rsidR="003027BB" w:rsidRPr="000F5EB0" w:rsidRDefault="00F30C22" w:rsidP="00FD4715">
      <w:pPr>
        <w:pStyle w:val="Heading2"/>
        <w:numPr>
          <w:ilvl w:val="0"/>
          <w:numId w:val="3"/>
        </w:numPr>
        <w:rPr>
          <w:rStyle w:val="Strong"/>
          <w:rFonts w:asciiTheme="minorHAnsi" w:eastAsiaTheme="minorHAnsi" w:hAnsiTheme="minorHAnsi" w:cstheme="minorBidi"/>
          <w:b/>
        </w:rPr>
      </w:pPr>
      <w:r w:rsidRPr="000F5EB0">
        <w:rPr>
          <w:rStyle w:val="Strong"/>
          <w:rFonts w:asciiTheme="minorHAnsi" w:eastAsiaTheme="minorHAnsi" w:hAnsiTheme="minorHAnsi" w:cstheme="minorBidi"/>
          <w:b/>
        </w:rPr>
        <w:t>Is the proposed service seeking public funding other than the MBS?</w:t>
      </w:r>
    </w:p>
    <w:p w14:paraId="05A16AFE" w14:textId="77777777" w:rsidR="000A5B32" w:rsidRPr="000F5EB0" w:rsidRDefault="000A5B32" w:rsidP="00A6491A">
      <w:pPr>
        <w:spacing w:before="0" w:after="0"/>
        <w:ind w:left="284"/>
        <w:rPr>
          <w:szCs w:val="20"/>
        </w:rPr>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Yes</w:t>
      </w:r>
    </w:p>
    <w:p w14:paraId="1C924873" w14:textId="58DED8DE" w:rsidR="00626365" w:rsidRDefault="00DD6D33" w:rsidP="00626365">
      <w:pPr>
        <w:spacing w:before="0" w:after="0"/>
        <w:ind w:left="284"/>
        <w:rPr>
          <w:szCs w:val="20"/>
        </w:rPr>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0A5B32" w:rsidRPr="000F5EB0">
        <w:rPr>
          <w:szCs w:val="20"/>
        </w:rPr>
        <w:t xml:space="preserve"> No</w:t>
      </w:r>
    </w:p>
    <w:p w14:paraId="1F81DFA7" w14:textId="77777777" w:rsidR="003027BB" w:rsidRPr="000F5EB0" w:rsidRDefault="003027BB" w:rsidP="00FD4715">
      <w:pPr>
        <w:pStyle w:val="Heading2"/>
        <w:numPr>
          <w:ilvl w:val="0"/>
          <w:numId w:val="3"/>
        </w:numPr>
        <w:rPr>
          <w:rStyle w:val="Strong"/>
          <w:rFonts w:asciiTheme="minorHAnsi" w:eastAsiaTheme="minorHAnsi" w:hAnsiTheme="minorHAnsi" w:cstheme="minorBidi"/>
          <w:b/>
        </w:rPr>
      </w:pPr>
      <w:r w:rsidRPr="000F5EB0">
        <w:rPr>
          <w:rStyle w:val="Strong"/>
          <w:rFonts w:asciiTheme="minorHAnsi" w:eastAsiaTheme="minorHAnsi" w:hAnsiTheme="minorHAnsi" w:cstheme="minorBidi"/>
          <w:b/>
        </w:rPr>
        <w:t>If yes, please advise:</w:t>
      </w:r>
    </w:p>
    <w:p w14:paraId="546DC9BB" w14:textId="01353E64" w:rsidR="000A5B32" w:rsidRPr="00E70DA0" w:rsidRDefault="00E70DA0" w:rsidP="00A6491A">
      <w:pPr>
        <w:ind w:left="284"/>
        <w:rPr>
          <w:rStyle w:val="Strong"/>
          <w:b w:val="0"/>
          <w:bCs/>
        </w:rPr>
      </w:pPr>
      <w:r w:rsidRPr="00E70DA0">
        <w:rPr>
          <w:rStyle w:val="Strong"/>
          <w:b w:val="0"/>
          <w:bCs/>
        </w:rPr>
        <w:t>Not applicable</w:t>
      </w:r>
    </w:p>
    <w:p w14:paraId="12E0F064" w14:textId="77777777" w:rsidR="000B3CD0" w:rsidRPr="000F5EB0" w:rsidRDefault="000B3CD0" w:rsidP="00730C04">
      <w:pPr>
        <w:pStyle w:val="Heading2"/>
      </w:pPr>
      <w:r w:rsidRPr="000F5EB0">
        <w:t>What is the type of service:</w:t>
      </w:r>
    </w:p>
    <w:p w14:paraId="5A72DD8E" w14:textId="77777777" w:rsidR="00A6594E" w:rsidRPr="000F5EB0" w:rsidRDefault="00A6594E" w:rsidP="00A6491A">
      <w:pPr>
        <w:spacing w:before="0" w:after="0"/>
        <w:ind w:left="284"/>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Therapeutic medical service</w:t>
      </w:r>
    </w:p>
    <w:p w14:paraId="03AA7764" w14:textId="314624AA" w:rsidR="00A6594E" w:rsidRPr="000F5EB0" w:rsidRDefault="00DD6D33" w:rsidP="00A6491A">
      <w:pPr>
        <w:spacing w:before="0" w:after="0"/>
        <w:ind w:left="284"/>
      </w:pPr>
      <w:r w:rsidRPr="000F5EB0">
        <w:rPr>
          <w:b/>
          <w:szCs w:val="20"/>
        </w:rPr>
        <w:fldChar w:fldCharType="begin">
          <w:ffData>
            <w:name w:val=""/>
            <w:enabled/>
            <w:calcOnExit w:val="0"/>
            <w:checkBox>
              <w:sizeAuto/>
              <w:default w:val="1"/>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00A6594E" w:rsidRPr="000F5EB0">
        <w:rPr>
          <w:b/>
          <w:szCs w:val="20"/>
        </w:rPr>
        <w:t xml:space="preserve"> </w:t>
      </w:r>
      <w:r w:rsidR="00A6594E" w:rsidRPr="000F5EB0">
        <w:t>Investigative medical service</w:t>
      </w:r>
    </w:p>
    <w:p w14:paraId="3DB2F2E6" w14:textId="77777777" w:rsidR="00A6594E" w:rsidRPr="000F5EB0" w:rsidRDefault="00A6594E" w:rsidP="00A6491A">
      <w:pPr>
        <w:spacing w:before="0" w:after="0"/>
        <w:ind w:left="284"/>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Single consultation medical service</w:t>
      </w:r>
    </w:p>
    <w:p w14:paraId="151D248B" w14:textId="77777777" w:rsidR="00A6594E" w:rsidRPr="000F5EB0" w:rsidRDefault="00A6594E" w:rsidP="00A6491A">
      <w:pPr>
        <w:spacing w:before="0" w:after="0"/>
        <w:ind w:left="284"/>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Global consultation medical service</w:t>
      </w:r>
    </w:p>
    <w:p w14:paraId="1A0FAACF" w14:textId="77777777" w:rsidR="00A6594E" w:rsidRPr="000F5EB0" w:rsidRDefault="00A6594E" w:rsidP="00A6491A">
      <w:pPr>
        <w:spacing w:before="0" w:after="0"/>
        <w:ind w:left="284"/>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Allied health service</w:t>
      </w:r>
    </w:p>
    <w:p w14:paraId="66189785" w14:textId="77777777" w:rsidR="00A6594E" w:rsidRPr="000F5EB0" w:rsidRDefault="00A6594E" w:rsidP="00A6491A">
      <w:pPr>
        <w:spacing w:before="0" w:after="0"/>
        <w:ind w:left="284"/>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Co-dependent technology</w:t>
      </w:r>
    </w:p>
    <w:p w14:paraId="5879BEBA" w14:textId="77777777" w:rsidR="00A6594E" w:rsidRPr="000F5EB0" w:rsidRDefault="00A6594E" w:rsidP="00A6491A">
      <w:pPr>
        <w:spacing w:before="0" w:after="0"/>
        <w:ind w:left="284"/>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Hybrid health technology</w:t>
      </w:r>
    </w:p>
    <w:p w14:paraId="5196D79C" w14:textId="77777777" w:rsidR="0054594B" w:rsidRPr="000F5EB0" w:rsidRDefault="0054594B" w:rsidP="00730C04">
      <w:pPr>
        <w:pStyle w:val="Heading2"/>
      </w:pPr>
      <w:r w:rsidRPr="000F5EB0">
        <w:t xml:space="preserve">For investigative services, </w:t>
      </w:r>
      <w:r w:rsidR="00154B00" w:rsidRPr="000F5EB0">
        <w:t>advise</w:t>
      </w:r>
      <w:r w:rsidRPr="000F5EB0">
        <w:t xml:space="preserve"> the specific purpose of performing the service </w:t>
      </w:r>
      <w:r w:rsidRPr="000F5EB0">
        <w:rPr>
          <w:i/>
        </w:rPr>
        <w:t>(which could be one or more of the following</w:t>
      </w:r>
      <w:r w:rsidR="00154B00" w:rsidRPr="000F5EB0">
        <w:rPr>
          <w:i/>
        </w:rPr>
        <w:t>)</w:t>
      </w:r>
      <w:r w:rsidRPr="000F5EB0">
        <w:t>:</w:t>
      </w:r>
    </w:p>
    <w:p w14:paraId="22DA670C" w14:textId="09042399" w:rsidR="00A6594E" w:rsidRPr="000F5EB0" w:rsidRDefault="00A6594E" w:rsidP="00FD4715">
      <w:pPr>
        <w:pStyle w:val="ListParagraph"/>
        <w:numPr>
          <w:ilvl w:val="0"/>
          <w:numId w:val="15"/>
        </w:numPr>
        <w:spacing w:before="0" w:after="0"/>
        <w:ind w:left="851" w:hanging="425"/>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To be used as a screening tool in asymptomatic populations</w:t>
      </w:r>
    </w:p>
    <w:p w14:paraId="2FAFF600" w14:textId="77777777" w:rsidR="00A6594E" w:rsidRPr="000F5EB0" w:rsidRDefault="00A6594E" w:rsidP="00FD4715">
      <w:pPr>
        <w:pStyle w:val="ListParagraph"/>
        <w:numPr>
          <w:ilvl w:val="0"/>
          <w:numId w:val="15"/>
        </w:numPr>
        <w:spacing w:before="0" w:after="0"/>
        <w:ind w:left="851" w:hanging="425"/>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Assists in establishing a diagnosis in symptomatic patients</w:t>
      </w:r>
    </w:p>
    <w:p w14:paraId="0C7D3226" w14:textId="77777777" w:rsidR="00A6594E" w:rsidRPr="000F5EB0" w:rsidRDefault="00A6594E" w:rsidP="00FD4715">
      <w:pPr>
        <w:pStyle w:val="ListParagraph"/>
        <w:numPr>
          <w:ilvl w:val="0"/>
          <w:numId w:val="15"/>
        </w:numPr>
        <w:spacing w:before="0" w:after="0"/>
        <w:ind w:left="851" w:hanging="425"/>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Provides information about prognosis</w:t>
      </w:r>
    </w:p>
    <w:p w14:paraId="39F98E9B" w14:textId="309A2F5C" w:rsidR="00A6594E" w:rsidRPr="000F5EB0" w:rsidRDefault="00DD6D33" w:rsidP="00FD4715">
      <w:pPr>
        <w:pStyle w:val="ListParagraph"/>
        <w:numPr>
          <w:ilvl w:val="0"/>
          <w:numId w:val="15"/>
        </w:numPr>
        <w:spacing w:before="0" w:after="0"/>
        <w:ind w:left="851" w:hanging="425"/>
      </w:pPr>
      <w:r w:rsidRPr="000F5EB0">
        <w:rPr>
          <w:b/>
          <w:szCs w:val="20"/>
        </w:rPr>
        <w:fldChar w:fldCharType="begin">
          <w:ffData>
            <w:name w:val=""/>
            <w:enabled/>
            <w:calcOnExit w:val="0"/>
            <w:checkBox>
              <w:sizeAuto/>
              <w:default w:val="1"/>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00A6594E" w:rsidRPr="000F5EB0">
        <w:rPr>
          <w:b/>
          <w:szCs w:val="20"/>
        </w:rPr>
        <w:t xml:space="preserve"> </w:t>
      </w:r>
      <w:r w:rsidR="00A6594E" w:rsidRPr="000F5EB0">
        <w:t>Identifies a patient as suitable for therapy by predicting a variation in the effect of the therapy</w:t>
      </w:r>
    </w:p>
    <w:p w14:paraId="25D1F1CE" w14:textId="77777777" w:rsidR="00761D34" w:rsidRDefault="00A6594E" w:rsidP="00FD4715">
      <w:pPr>
        <w:pStyle w:val="ListParagraph"/>
        <w:numPr>
          <w:ilvl w:val="0"/>
          <w:numId w:val="15"/>
        </w:numPr>
        <w:spacing w:before="0" w:after="0"/>
        <w:ind w:left="851" w:hanging="425"/>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Monitors a patient over time to assess treatment response and guide subsequent treatment decisions</w:t>
      </w:r>
    </w:p>
    <w:p w14:paraId="35E0AFFE" w14:textId="1213F763" w:rsidR="00A6594E" w:rsidRPr="000F5EB0" w:rsidRDefault="000E3B0C" w:rsidP="00810F30">
      <w:pPr>
        <w:spacing w:before="0" w:after="0"/>
        <w:ind w:left="360"/>
      </w:pPr>
      <w:r>
        <w:t>U</w:t>
      </w:r>
      <w:r w:rsidR="002243BC">
        <w:t xml:space="preserve">se of </w:t>
      </w:r>
      <w:r w:rsidR="00073AC3">
        <w:t xml:space="preserve">CGP </w:t>
      </w:r>
      <w:r w:rsidR="00F80025">
        <w:t xml:space="preserve">to monitor a patient over time </w:t>
      </w:r>
      <w:r w:rsidR="00305F8E">
        <w:t xml:space="preserve">by </w:t>
      </w:r>
      <w:r w:rsidR="00CB6A63">
        <w:t>the detection of minimal residual disease and</w:t>
      </w:r>
      <w:r w:rsidR="00305F8E">
        <w:t>/or</w:t>
      </w:r>
      <w:r w:rsidR="00CB6A63">
        <w:t xml:space="preserve"> </w:t>
      </w:r>
      <w:r w:rsidR="00EC6C2D">
        <w:t xml:space="preserve">acquisition of </w:t>
      </w:r>
      <w:r w:rsidR="001B25DE">
        <w:t xml:space="preserve">mutations </w:t>
      </w:r>
      <w:r w:rsidR="00EC6C2D">
        <w:t>conferring resistance to treatment is an area of ongoing research</w:t>
      </w:r>
      <w:r w:rsidR="00E20CB2">
        <w:t xml:space="preserve">. </w:t>
      </w:r>
      <w:r w:rsidR="00207A32">
        <w:t>T</w:t>
      </w:r>
      <w:r w:rsidR="00E20CB2">
        <w:t xml:space="preserve">his </w:t>
      </w:r>
      <w:r w:rsidR="00131CBC">
        <w:t xml:space="preserve">MSAC Application Form </w:t>
      </w:r>
      <w:r w:rsidR="00207A32">
        <w:t>is</w:t>
      </w:r>
      <w:r w:rsidR="00DE406C">
        <w:t xml:space="preserve"> focussed on the role of CGP</w:t>
      </w:r>
      <w:r w:rsidR="00E534A5">
        <w:t xml:space="preserve"> </w:t>
      </w:r>
      <w:r w:rsidR="00DE406C">
        <w:t xml:space="preserve">using a NGS assay </w:t>
      </w:r>
      <w:r w:rsidR="00EB1FD5">
        <w:t xml:space="preserve">to identify a </w:t>
      </w:r>
      <w:r w:rsidR="00D64B75">
        <w:t xml:space="preserve">NSCLC </w:t>
      </w:r>
      <w:r w:rsidR="00EB1FD5">
        <w:t xml:space="preserve">patient suitable for treatment </w:t>
      </w:r>
      <w:r w:rsidR="00D64B75">
        <w:t xml:space="preserve">with a targeted therapy at the time of initiating treatment. </w:t>
      </w:r>
      <w:r w:rsidR="00FB772D">
        <w:t xml:space="preserve">It is proposed that </w:t>
      </w:r>
      <w:r w:rsidR="001005BE">
        <w:t>the use</w:t>
      </w:r>
      <w:r w:rsidR="00FB772D">
        <w:t xml:space="preserve"> of </w:t>
      </w:r>
      <w:r w:rsidR="00F004FD">
        <w:t xml:space="preserve">CGP using a NGS </w:t>
      </w:r>
      <w:r w:rsidR="00F004FD">
        <w:lastRenderedPageBreak/>
        <w:t>assay</w:t>
      </w:r>
      <w:r w:rsidR="00073EC2">
        <w:t xml:space="preserve"> in the context of monitoring a patient over time </w:t>
      </w:r>
      <w:r w:rsidR="00093F1F">
        <w:t>may</w:t>
      </w:r>
      <w:r w:rsidR="00073EC2">
        <w:t xml:space="preserve"> be the basis of a separate </w:t>
      </w:r>
      <w:r w:rsidR="002E2D60">
        <w:t xml:space="preserve">MSAC assessment </w:t>
      </w:r>
      <w:r w:rsidR="005277EE">
        <w:t>if it is</w:t>
      </w:r>
      <w:r w:rsidR="00356CFC">
        <w:t xml:space="preserve"> </w:t>
      </w:r>
      <w:r w:rsidR="003E05E1">
        <w:t>recommended as part of standard clinical management</w:t>
      </w:r>
      <w:r w:rsidR="005277EE">
        <w:t xml:space="preserve"> in the future</w:t>
      </w:r>
      <w:r w:rsidR="003E05E1">
        <w:t>.</w:t>
      </w:r>
    </w:p>
    <w:p w14:paraId="07CC7B65" w14:textId="77777777" w:rsidR="000B3CD0" w:rsidRPr="000F5EB0" w:rsidRDefault="000B3CD0" w:rsidP="00730C04">
      <w:pPr>
        <w:pStyle w:val="Heading2"/>
      </w:pPr>
      <w:r w:rsidRPr="000F5EB0">
        <w:t xml:space="preserve">Does </w:t>
      </w:r>
      <w:r w:rsidR="00C209C2" w:rsidRPr="000F5EB0">
        <w:t>your</w:t>
      </w:r>
      <w:r w:rsidRPr="000F5EB0">
        <w:t xml:space="preserve"> service rely on another medical </w:t>
      </w:r>
      <w:r w:rsidR="001E1180" w:rsidRPr="000F5EB0">
        <w:t>product</w:t>
      </w:r>
      <w:r w:rsidRPr="000F5EB0">
        <w:t xml:space="preserve"> to achieve or to enhance its intended effect?</w:t>
      </w:r>
    </w:p>
    <w:p w14:paraId="4AA6762E" w14:textId="77777777" w:rsidR="00FE16C1" w:rsidRPr="000F5EB0" w:rsidRDefault="00FE16C1" w:rsidP="00810F30">
      <w:pPr>
        <w:spacing w:before="0" w:after="0"/>
        <w:ind w:left="360"/>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Pharmaceutical / Biological</w:t>
      </w:r>
    </w:p>
    <w:p w14:paraId="6F10AE28" w14:textId="77777777" w:rsidR="00FE16C1" w:rsidRPr="000F5EB0" w:rsidRDefault="00FE16C1" w:rsidP="00810F30">
      <w:pPr>
        <w:spacing w:before="0" w:after="0"/>
        <w:ind w:left="360"/>
      </w:pPr>
      <w:r w:rsidRPr="000F5EB0">
        <w:rPr>
          <w:b/>
          <w:szCs w:val="20"/>
        </w:rPr>
        <w:fldChar w:fldCharType="begin">
          <w:ffData>
            <w:name w:val="Check2"/>
            <w:enabled/>
            <w:calcOnExit w:val="0"/>
            <w:checkBox>
              <w:sizeAuto/>
              <w:default w:val="0"/>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Pr="000F5EB0">
        <w:rPr>
          <w:b/>
          <w:szCs w:val="20"/>
        </w:rPr>
        <w:t xml:space="preserve"> </w:t>
      </w:r>
      <w:r w:rsidRPr="000F5EB0">
        <w:t>Prosthesis or device</w:t>
      </w:r>
    </w:p>
    <w:p w14:paraId="6DF62080" w14:textId="1DA8450B" w:rsidR="00FE16C1" w:rsidRPr="000F5EB0" w:rsidRDefault="00A1252F" w:rsidP="00810F30">
      <w:pPr>
        <w:spacing w:before="0" w:after="0"/>
        <w:ind w:left="360"/>
      </w:pPr>
      <w:r w:rsidRPr="000F5EB0">
        <w:rPr>
          <w:b/>
          <w:szCs w:val="20"/>
        </w:rPr>
        <w:fldChar w:fldCharType="begin">
          <w:ffData>
            <w:name w:val=""/>
            <w:enabled/>
            <w:calcOnExit w:val="0"/>
            <w:checkBox>
              <w:sizeAuto/>
              <w:default w:val="1"/>
            </w:checkBox>
          </w:ffData>
        </w:fldChar>
      </w:r>
      <w:r w:rsidRPr="000F5EB0">
        <w:rPr>
          <w:b/>
          <w:szCs w:val="20"/>
        </w:rPr>
        <w:instrText xml:space="preserve"> FORMCHECKBOX </w:instrText>
      </w:r>
      <w:r w:rsidR="00607C47">
        <w:rPr>
          <w:b/>
          <w:szCs w:val="20"/>
        </w:rPr>
      </w:r>
      <w:r w:rsidR="00607C47">
        <w:rPr>
          <w:b/>
          <w:szCs w:val="20"/>
        </w:rPr>
        <w:fldChar w:fldCharType="separate"/>
      </w:r>
      <w:r w:rsidRPr="000F5EB0">
        <w:rPr>
          <w:b/>
          <w:szCs w:val="20"/>
        </w:rPr>
        <w:fldChar w:fldCharType="end"/>
      </w:r>
      <w:r w:rsidR="00FE16C1" w:rsidRPr="000F5EB0">
        <w:rPr>
          <w:b/>
          <w:szCs w:val="20"/>
        </w:rPr>
        <w:t xml:space="preserve"> </w:t>
      </w:r>
      <w:r w:rsidR="00FE16C1" w:rsidRPr="000F5EB0">
        <w:t>No</w:t>
      </w:r>
    </w:p>
    <w:p w14:paraId="5B6D7051" w14:textId="7E3BEF73" w:rsidR="00A1252F" w:rsidRPr="000F5EB0" w:rsidRDefault="00565F1F" w:rsidP="00A1252F">
      <w:r w:rsidRPr="000F5EB0">
        <w:rPr>
          <w:szCs w:val="20"/>
        </w:rPr>
        <w:t>The intended effect is</w:t>
      </w:r>
      <w:r w:rsidR="004C6658" w:rsidRPr="000F5EB0">
        <w:rPr>
          <w:szCs w:val="20"/>
        </w:rPr>
        <w:t xml:space="preserve"> </w:t>
      </w:r>
      <w:r w:rsidRPr="000F5EB0">
        <w:rPr>
          <w:szCs w:val="20"/>
        </w:rPr>
        <w:t xml:space="preserve">to identify </w:t>
      </w:r>
      <w:r w:rsidR="004A2D02">
        <w:rPr>
          <w:szCs w:val="20"/>
        </w:rPr>
        <w:t xml:space="preserve">NSCLC </w:t>
      </w:r>
      <w:r w:rsidRPr="000F5EB0">
        <w:rPr>
          <w:szCs w:val="20"/>
        </w:rPr>
        <w:t xml:space="preserve">patients suitable for treatment with a targeted therapy </w:t>
      </w:r>
      <w:r w:rsidR="004C6658" w:rsidRPr="000F5EB0">
        <w:rPr>
          <w:szCs w:val="20"/>
        </w:rPr>
        <w:t>listed on the PBS</w:t>
      </w:r>
      <w:r w:rsidRPr="000F5EB0">
        <w:rPr>
          <w:szCs w:val="20"/>
        </w:rPr>
        <w:t>.</w:t>
      </w:r>
    </w:p>
    <w:p w14:paraId="1649C4F7" w14:textId="16B66C6C" w:rsidR="000E5439" w:rsidRPr="000F5EB0" w:rsidRDefault="00530204" w:rsidP="00730C04">
      <w:pPr>
        <w:pStyle w:val="Heading2"/>
      </w:pPr>
      <w:r w:rsidRPr="000F5EB0">
        <w:t xml:space="preserve">(a) </w:t>
      </w:r>
      <w:r w:rsidR="000E5439" w:rsidRPr="000F5EB0">
        <w:t>If the proposed service has a pharmaceutical component to it, is it already covered under an existing Pharmaceutical Benefits Scheme (PBS) listing?</w:t>
      </w:r>
    </w:p>
    <w:p w14:paraId="2715F1F4" w14:textId="3DF7DD9F" w:rsidR="00FE16C1" w:rsidRPr="000F5EB0" w:rsidRDefault="00565F1F" w:rsidP="00810F30">
      <w:pPr>
        <w:spacing w:before="0" w:after="0"/>
        <w:ind w:left="360"/>
        <w:rPr>
          <w:szCs w:val="20"/>
        </w:rPr>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FE16C1" w:rsidRPr="000F5EB0">
        <w:rPr>
          <w:szCs w:val="20"/>
        </w:rPr>
        <w:t xml:space="preserve"> Yes</w:t>
      </w:r>
    </w:p>
    <w:p w14:paraId="0FEFD64A" w14:textId="1C35AA2E" w:rsidR="00FE16C1" w:rsidRPr="000F5EB0" w:rsidRDefault="00FE16C1" w:rsidP="00810F30">
      <w:pPr>
        <w:spacing w:before="0" w:after="0"/>
        <w:ind w:left="360"/>
        <w:rPr>
          <w:szCs w:val="20"/>
        </w:rPr>
      </w:pPr>
      <w:r w:rsidRPr="000F5EB0">
        <w:rPr>
          <w:szCs w:val="20"/>
        </w:rPr>
        <w:fldChar w:fldCharType="begin">
          <w:ffData>
            <w:name w:val="Check2"/>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No</w:t>
      </w:r>
    </w:p>
    <w:p w14:paraId="7EFC94A5" w14:textId="77777777" w:rsidR="00EC127A" w:rsidRPr="000F5EB0" w:rsidRDefault="000E5439" w:rsidP="00FD4715">
      <w:pPr>
        <w:pStyle w:val="Heading2"/>
        <w:numPr>
          <w:ilvl w:val="0"/>
          <w:numId w:val="4"/>
        </w:numPr>
      </w:pPr>
      <w:r w:rsidRPr="000F5EB0">
        <w:t xml:space="preserve">If yes, </w:t>
      </w:r>
      <w:r w:rsidR="00BB003A" w:rsidRPr="000F5EB0">
        <w:t>please list</w:t>
      </w:r>
      <w:r w:rsidRPr="000F5EB0">
        <w:t xml:space="preserve"> the</w:t>
      </w:r>
      <w:r w:rsidR="00BB003A" w:rsidRPr="000F5EB0">
        <w:t xml:space="preserve"> relevant</w:t>
      </w:r>
      <w:r w:rsidRPr="000F5EB0">
        <w:t xml:space="preserve"> PBS </w:t>
      </w:r>
      <w:r w:rsidR="001E23EA" w:rsidRPr="000F5EB0">
        <w:t>item code</w:t>
      </w:r>
      <w:r w:rsidRPr="000F5EB0">
        <w:t>(s)</w:t>
      </w:r>
      <w:r w:rsidR="007E39E4" w:rsidRPr="000F5EB0">
        <w:t>:</w:t>
      </w:r>
    </w:p>
    <w:p w14:paraId="73DC6DBC" w14:textId="7ED66ADC" w:rsidR="002F4BA7" w:rsidRDefault="00B8404E" w:rsidP="00810F30">
      <w:pPr>
        <w:spacing w:before="100" w:beforeAutospacing="1" w:after="100" w:afterAutospacing="1"/>
        <w:ind w:left="360"/>
        <w:rPr>
          <w:szCs w:val="20"/>
        </w:rPr>
      </w:pPr>
      <w:r w:rsidRPr="000F5EB0">
        <w:rPr>
          <w:szCs w:val="20"/>
        </w:rPr>
        <w:t>There are several biomarkers included in</w:t>
      </w:r>
      <w:r w:rsidR="001A3F06">
        <w:rPr>
          <w:szCs w:val="20"/>
        </w:rPr>
        <w:t xml:space="preserve"> </w:t>
      </w:r>
      <w:r w:rsidR="005360D2">
        <w:rPr>
          <w:szCs w:val="20"/>
        </w:rPr>
        <w:t xml:space="preserve">commercially </w:t>
      </w:r>
      <w:r w:rsidR="009719AF">
        <w:rPr>
          <w:szCs w:val="20"/>
        </w:rPr>
        <w:t xml:space="preserve">developed NGS </w:t>
      </w:r>
      <w:r w:rsidRPr="000F5EB0">
        <w:rPr>
          <w:szCs w:val="20"/>
        </w:rPr>
        <w:t>assay</w:t>
      </w:r>
      <w:r w:rsidR="00EF420A">
        <w:rPr>
          <w:szCs w:val="20"/>
        </w:rPr>
        <w:t>s</w:t>
      </w:r>
      <w:r w:rsidRPr="000F5EB0">
        <w:rPr>
          <w:szCs w:val="20"/>
        </w:rPr>
        <w:t xml:space="preserve"> which </w:t>
      </w:r>
      <w:r w:rsidR="00E66DDC">
        <w:rPr>
          <w:szCs w:val="20"/>
        </w:rPr>
        <w:t>inform</w:t>
      </w:r>
      <w:r w:rsidRPr="000F5EB0">
        <w:rPr>
          <w:szCs w:val="20"/>
        </w:rPr>
        <w:t xml:space="preserve"> the selection of targeted </w:t>
      </w:r>
      <w:r w:rsidR="00EF420A">
        <w:rPr>
          <w:szCs w:val="20"/>
        </w:rPr>
        <w:t xml:space="preserve">NSCLC </w:t>
      </w:r>
      <w:r w:rsidRPr="000F5EB0">
        <w:rPr>
          <w:szCs w:val="20"/>
        </w:rPr>
        <w:t>therapies currently listed on the PBS-listed (</w:t>
      </w:r>
      <w:r w:rsidR="000C6160">
        <w:rPr>
          <w:szCs w:val="20"/>
        </w:rPr>
        <w:t>s</w:t>
      </w:r>
      <w:r w:rsidRPr="000F5EB0">
        <w:rPr>
          <w:szCs w:val="20"/>
        </w:rPr>
        <w:t>ee below).</w:t>
      </w:r>
      <w:r w:rsidR="002F25A0">
        <w:rPr>
          <w:szCs w:val="20"/>
        </w:rPr>
        <w:t xml:space="preserve"> The biomarkers included in NGS assay developed in-house will be laboratory dependent, however it is reasonable to </w:t>
      </w:r>
      <w:r w:rsidR="00F9484C">
        <w:rPr>
          <w:szCs w:val="20"/>
        </w:rPr>
        <w:t>foresee</w:t>
      </w:r>
      <w:r w:rsidR="002F25A0">
        <w:rPr>
          <w:szCs w:val="20"/>
        </w:rPr>
        <w:t xml:space="preserve"> that that in-house </w:t>
      </w:r>
      <w:r w:rsidR="00DF5503">
        <w:rPr>
          <w:szCs w:val="20"/>
        </w:rPr>
        <w:t xml:space="preserve">developed NGS assays would include </w:t>
      </w:r>
      <w:r w:rsidR="009C3907">
        <w:rPr>
          <w:szCs w:val="20"/>
        </w:rPr>
        <w:t xml:space="preserve">biomarkers </w:t>
      </w:r>
      <w:r w:rsidR="00F04C41">
        <w:rPr>
          <w:szCs w:val="20"/>
        </w:rPr>
        <w:t>which are used to inform the selection of targeted therapies.</w:t>
      </w:r>
    </w:p>
    <w:tbl>
      <w:tblPr>
        <w:tblStyle w:val="TableGrid"/>
        <w:tblW w:w="8256" w:type="dxa"/>
        <w:tblInd w:w="383" w:type="dxa"/>
        <w:tblLook w:val="04A0" w:firstRow="1" w:lastRow="0" w:firstColumn="1" w:lastColumn="0" w:noHBand="0" w:noVBand="1"/>
        <w:tblCaption w:val="Table"/>
        <w:tblDescription w:val="Table"/>
      </w:tblPr>
      <w:tblGrid>
        <w:gridCol w:w="2064"/>
        <w:gridCol w:w="2064"/>
        <w:gridCol w:w="2064"/>
        <w:gridCol w:w="2064"/>
      </w:tblGrid>
      <w:tr w:rsidR="00B8404E" w:rsidRPr="000F5EB0" w14:paraId="51524741" w14:textId="77777777" w:rsidTr="00CC4EE7">
        <w:trPr>
          <w:tblHeader/>
        </w:trPr>
        <w:tc>
          <w:tcPr>
            <w:tcW w:w="2064" w:type="dxa"/>
          </w:tcPr>
          <w:p w14:paraId="3B8C3404" w14:textId="77777777" w:rsidR="00B8404E" w:rsidRPr="000F5EB0" w:rsidRDefault="00B8404E" w:rsidP="00810F30">
            <w:pPr>
              <w:spacing w:before="100" w:beforeAutospacing="1" w:after="100" w:afterAutospacing="1"/>
              <w:ind w:firstLine="22"/>
              <w:rPr>
                <w:b/>
                <w:szCs w:val="20"/>
              </w:rPr>
            </w:pPr>
            <w:r w:rsidRPr="000F5EB0">
              <w:rPr>
                <w:b/>
                <w:szCs w:val="20"/>
              </w:rPr>
              <w:t>Biomarker</w:t>
            </w:r>
          </w:p>
        </w:tc>
        <w:tc>
          <w:tcPr>
            <w:tcW w:w="2064" w:type="dxa"/>
          </w:tcPr>
          <w:p w14:paraId="0CB43F52" w14:textId="77777777" w:rsidR="00B8404E" w:rsidRPr="000F5EB0" w:rsidRDefault="00B8404E" w:rsidP="00742191">
            <w:pPr>
              <w:spacing w:before="100" w:beforeAutospacing="1" w:after="100" w:afterAutospacing="1"/>
              <w:rPr>
                <w:b/>
                <w:szCs w:val="20"/>
              </w:rPr>
            </w:pPr>
            <w:r w:rsidRPr="000F5EB0">
              <w:rPr>
                <w:b/>
                <w:szCs w:val="20"/>
              </w:rPr>
              <w:t>PBS therapy</w:t>
            </w:r>
          </w:p>
        </w:tc>
        <w:tc>
          <w:tcPr>
            <w:tcW w:w="2064" w:type="dxa"/>
          </w:tcPr>
          <w:p w14:paraId="79EDD34D" w14:textId="77777777" w:rsidR="00B8404E" w:rsidRPr="000F5EB0" w:rsidRDefault="00B8404E" w:rsidP="00742191">
            <w:pPr>
              <w:spacing w:before="100" w:beforeAutospacing="1" w:after="100" w:afterAutospacing="1"/>
              <w:rPr>
                <w:b/>
                <w:szCs w:val="20"/>
              </w:rPr>
            </w:pPr>
            <w:r w:rsidRPr="000F5EB0">
              <w:rPr>
                <w:b/>
                <w:szCs w:val="20"/>
              </w:rPr>
              <w:t>PBS code(s)</w:t>
            </w:r>
          </w:p>
        </w:tc>
        <w:tc>
          <w:tcPr>
            <w:tcW w:w="2064" w:type="dxa"/>
          </w:tcPr>
          <w:p w14:paraId="33D018C0" w14:textId="77777777" w:rsidR="00B8404E" w:rsidRPr="000F5EB0" w:rsidRDefault="00B8404E" w:rsidP="00742191">
            <w:pPr>
              <w:spacing w:before="100" w:beforeAutospacing="1" w:after="100" w:afterAutospacing="1"/>
              <w:rPr>
                <w:b/>
                <w:szCs w:val="20"/>
              </w:rPr>
            </w:pPr>
            <w:r w:rsidRPr="000F5EB0">
              <w:rPr>
                <w:b/>
                <w:szCs w:val="20"/>
              </w:rPr>
              <w:t>Sponsor</w:t>
            </w:r>
          </w:p>
        </w:tc>
      </w:tr>
      <w:tr w:rsidR="00B8404E" w:rsidRPr="000F5EB0" w14:paraId="5776F631" w14:textId="77777777" w:rsidTr="00810F30">
        <w:tc>
          <w:tcPr>
            <w:tcW w:w="2064" w:type="dxa"/>
            <w:vMerge w:val="restart"/>
            <w:vAlign w:val="center"/>
          </w:tcPr>
          <w:p w14:paraId="5C8469B8" w14:textId="77777777" w:rsidR="00B8404E" w:rsidRPr="000F5EB0" w:rsidRDefault="00B8404E" w:rsidP="00810F30">
            <w:pPr>
              <w:spacing w:before="100" w:beforeAutospacing="1" w:after="100" w:afterAutospacing="1"/>
              <w:ind w:firstLine="22"/>
              <w:rPr>
                <w:szCs w:val="20"/>
              </w:rPr>
            </w:pPr>
            <w:r w:rsidRPr="000F5EB0">
              <w:rPr>
                <w:szCs w:val="20"/>
              </w:rPr>
              <w:t>EGFR</w:t>
            </w:r>
          </w:p>
        </w:tc>
        <w:tc>
          <w:tcPr>
            <w:tcW w:w="2064" w:type="dxa"/>
          </w:tcPr>
          <w:p w14:paraId="5ED8A144" w14:textId="77777777" w:rsidR="00B8404E" w:rsidRPr="000F5EB0" w:rsidRDefault="00B8404E" w:rsidP="00742191">
            <w:pPr>
              <w:spacing w:before="100" w:beforeAutospacing="1" w:after="100" w:afterAutospacing="1"/>
              <w:rPr>
                <w:szCs w:val="20"/>
              </w:rPr>
            </w:pPr>
            <w:r w:rsidRPr="000F5EB0">
              <w:rPr>
                <w:szCs w:val="20"/>
              </w:rPr>
              <w:t>Erlotinib</w:t>
            </w:r>
          </w:p>
        </w:tc>
        <w:tc>
          <w:tcPr>
            <w:tcW w:w="2064" w:type="dxa"/>
          </w:tcPr>
          <w:p w14:paraId="37AF9D59" w14:textId="77777777" w:rsidR="00B8404E" w:rsidRPr="000F5EB0" w:rsidRDefault="00B8404E" w:rsidP="00742191">
            <w:pPr>
              <w:spacing w:before="100" w:beforeAutospacing="1" w:after="100" w:afterAutospacing="1"/>
              <w:rPr>
                <w:szCs w:val="20"/>
              </w:rPr>
            </w:pPr>
            <w:r w:rsidRPr="000F5EB0">
              <w:rPr>
                <w:szCs w:val="20"/>
              </w:rPr>
              <w:t>10014C; 10019H; 10020J; 10025P; 10028T; 11259N; 11260P; 11263T</w:t>
            </w:r>
          </w:p>
        </w:tc>
        <w:tc>
          <w:tcPr>
            <w:tcW w:w="2064" w:type="dxa"/>
          </w:tcPr>
          <w:p w14:paraId="67342B88" w14:textId="77777777" w:rsidR="00B8404E" w:rsidRPr="000F5EB0" w:rsidRDefault="00B8404E" w:rsidP="00742191">
            <w:pPr>
              <w:spacing w:before="100" w:beforeAutospacing="1" w:after="100" w:afterAutospacing="1"/>
              <w:rPr>
                <w:szCs w:val="20"/>
              </w:rPr>
            </w:pPr>
            <w:r w:rsidRPr="000F5EB0">
              <w:rPr>
                <w:szCs w:val="20"/>
              </w:rPr>
              <w:t>Roche</w:t>
            </w:r>
          </w:p>
        </w:tc>
      </w:tr>
      <w:tr w:rsidR="00B8404E" w:rsidRPr="000F5EB0" w14:paraId="717EA14D" w14:textId="77777777" w:rsidTr="00810F30">
        <w:tc>
          <w:tcPr>
            <w:tcW w:w="2064" w:type="dxa"/>
            <w:vMerge/>
          </w:tcPr>
          <w:p w14:paraId="09CFA453" w14:textId="77777777" w:rsidR="00B8404E" w:rsidRPr="000F5EB0" w:rsidRDefault="00B8404E" w:rsidP="00810F30">
            <w:pPr>
              <w:spacing w:before="100" w:beforeAutospacing="1" w:after="100" w:afterAutospacing="1"/>
              <w:ind w:firstLine="22"/>
              <w:rPr>
                <w:szCs w:val="20"/>
              </w:rPr>
            </w:pPr>
          </w:p>
        </w:tc>
        <w:tc>
          <w:tcPr>
            <w:tcW w:w="2064" w:type="dxa"/>
          </w:tcPr>
          <w:p w14:paraId="7DDFB48D" w14:textId="77777777" w:rsidR="00B8404E" w:rsidRPr="000F5EB0" w:rsidRDefault="00B8404E" w:rsidP="00742191">
            <w:pPr>
              <w:spacing w:before="100" w:beforeAutospacing="1" w:after="100" w:afterAutospacing="1"/>
              <w:rPr>
                <w:szCs w:val="20"/>
              </w:rPr>
            </w:pPr>
            <w:r w:rsidRPr="000F5EB0">
              <w:rPr>
                <w:szCs w:val="20"/>
              </w:rPr>
              <w:t>Gefitinib</w:t>
            </w:r>
          </w:p>
        </w:tc>
        <w:tc>
          <w:tcPr>
            <w:tcW w:w="2064" w:type="dxa"/>
          </w:tcPr>
          <w:p w14:paraId="0A1E9277" w14:textId="77777777" w:rsidR="00B8404E" w:rsidRPr="000F5EB0" w:rsidRDefault="00B8404E" w:rsidP="00742191">
            <w:pPr>
              <w:spacing w:before="100" w:beforeAutospacing="1" w:after="100" w:afterAutospacing="1"/>
              <w:rPr>
                <w:szCs w:val="20"/>
              </w:rPr>
            </w:pPr>
            <w:r w:rsidRPr="000F5EB0">
              <w:rPr>
                <w:szCs w:val="20"/>
              </w:rPr>
              <w:t>11264W; 8769M</w:t>
            </w:r>
          </w:p>
        </w:tc>
        <w:tc>
          <w:tcPr>
            <w:tcW w:w="2064" w:type="dxa"/>
          </w:tcPr>
          <w:p w14:paraId="51E5A1D7" w14:textId="77777777" w:rsidR="00B8404E" w:rsidRPr="000F5EB0" w:rsidRDefault="00B8404E" w:rsidP="00742191">
            <w:pPr>
              <w:spacing w:before="100" w:beforeAutospacing="1" w:after="100" w:afterAutospacing="1"/>
              <w:rPr>
                <w:szCs w:val="20"/>
              </w:rPr>
            </w:pPr>
            <w:r w:rsidRPr="000F5EB0">
              <w:rPr>
                <w:szCs w:val="20"/>
              </w:rPr>
              <w:t>Astra Zeneca</w:t>
            </w:r>
          </w:p>
        </w:tc>
      </w:tr>
      <w:tr w:rsidR="00B8404E" w:rsidRPr="000F5EB0" w14:paraId="48265B53" w14:textId="77777777" w:rsidTr="00810F30">
        <w:tc>
          <w:tcPr>
            <w:tcW w:w="2064" w:type="dxa"/>
            <w:vMerge/>
          </w:tcPr>
          <w:p w14:paraId="21FEEBE7" w14:textId="77777777" w:rsidR="00B8404E" w:rsidRPr="000F5EB0" w:rsidRDefault="00B8404E" w:rsidP="00810F30">
            <w:pPr>
              <w:spacing w:before="100" w:beforeAutospacing="1" w:after="100" w:afterAutospacing="1"/>
              <w:ind w:firstLine="22"/>
              <w:rPr>
                <w:szCs w:val="20"/>
              </w:rPr>
            </w:pPr>
          </w:p>
        </w:tc>
        <w:tc>
          <w:tcPr>
            <w:tcW w:w="2064" w:type="dxa"/>
          </w:tcPr>
          <w:p w14:paraId="4BACCA2B" w14:textId="77777777" w:rsidR="00B8404E" w:rsidRPr="000F5EB0" w:rsidRDefault="00B8404E" w:rsidP="00742191">
            <w:pPr>
              <w:spacing w:before="100" w:beforeAutospacing="1" w:after="100" w:afterAutospacing="1"/>
              <w:rPr>
                <w:szCs w:val="20"/>
              </w:rPr>
            </w:pPr>
            <w:r w:rsidRPr="000F5EB0">
              <w:rPr>
                <w:szCs w:val="20"/>
              </w:rPr>
              <w:t>Afatinib</w:t>
            </w:r>
          </w:p>
        </w:tc>
        <w:tc>
          <w:tcPr>
            <w:tcW w:w="2064" w:type="dxa"/>
          </w:tcPr>
          <w:p w14:paraId="3ED4B7E0" w14:textId="77777777" w:rsidR="00B8404E" w:rsidRPr="000F5EB0" w:rsidRDefault="00B8404E" w:rsidP="00742191">
            <w:pPr>
              <w:spacing w:before="100" w:beforeAutospacing="1" w:after="100" w:afterAutospacing="1"/>
              <w:rPr>
                <w:szCs w:val="20"/>
              </w:rPr>
            </w:pPr>
            <w:r w:rsidRPr="000F5EB0">
              <w:rPr>
                <w:szCs w:val="20"/>
              </w:rPr>
              <w:t>11329G; 11335N; 11336P; 11341X; 113147F; 11348G; 11359W</w:t>
            </w:r>
          </w:p>
        </w:tc>
        <w:tc>
          <w:tcPr>
            <w:tcW w:w="2064" w:type="dxa"/>
          </w:tcPr>
          <w:p w14:paraId="019EE791" w14:textId="77777777" w:rsidR="00B8404E" w:rsidRPr="000F5EB0" w:rsidRDefault="00B8404E" w:rsidP="00742191">
            <w:pPr>
              <w:spacing w:before="100" w:beforeAutospacing="1" w:after="100" w:afterAutospacing="1"/>
              <w:rPr>
                <w:szCs w:val="20"/>
              </w:rPr>
            </w:pPr>
            <w:r w:rsidRPr="000F5EB0">
              <w:rPr>
                <w:szCs w:val="20"/>
              </w:rPr>
              <w:t>Boehringer Ingelheim</w:t>
            </w:r>
          </w:p>
        </w:tc>
      </w:tr>
      <w:tr w:rsidR="003A29E8" w:rsidRPr="000F5EB0" w14:paraId="25C2857D" w14:textId="77777777" w:rsidTr="00810F30">
        <w:tc>
          <w:tcPr>
            <w:tcW w:w="2064" w:type="dxa"/>
          </w:tcPr>
          <w:p w14:paraId="63B82451" w14:textId="276B1A49" w:rsidR="003A29E8" w:rsidRPr="000F5EB0" w:rsidRDefault="003A29E8" w:rsidP="00810F30">
            <w:pPr>
              <w:spacing w:before="100" w:beforeAutospacing="1" w:after="100" w:afterAutospacing="1"/>
              <w:ind w:firstLine="22"/>
              <w:rPr>
                <w:szCs w:val="20"/>
              </w:rPr>
            </w:pPr>
            <w:r>
              <w:rPr>
                <w:szCs w:val="20"/>
              </w:rPr>
              <w:t>EGFR T790M mutation positive after prior EGFR targeted treatment</w:t>
            </w:r>
          </w:p>
        </w:tc>
        <w:tc>
          <w:tcPr>
            <w:tcW w:w="2064" w:type="dxa"/>
          </w:tcPr>
          <w:p w14:paraId="2A56360E" w14:textId="55AC0AD7" w:rsidR="003A29E8" w:rsidRPr="000F5EB0" w:rsidRDefault="003A29E8" w:rsidP="003A29E8">
            <w:pPr>
              <w:spacing w:before="100" w:beforeAutospacing="1" w:after="100" w:afterAutospacing="1"/>
              <w:rPr>
                <w:szCs w:val="20"/>
              </w:rPr>
            </w:pPr>
            <w:r>
              <w:rPr>
                <w:szCs w:val="20"/>
              </w:rPr>
              <w:t>Osimertinib</w:t>
            </w:r>
          </w:p>
        </w:tc>
        <w:tc>
          <w:tcPr>
            <w:tcW w:w="2064" w:type="dxa"/>
          </w:tcPr>
          <w:p w14:paraId="48648FE0" w14:textId="185AEE7E" w:rsidR="003A29E8" w:rsidRPr="000F5EB0" w:rsidRDefault="003A29E8" w:rsidP="003A29E8">
            <w:pPr>
              <w:spacing w:before="100" w:beforeAutospacing="1" w:after="100" w:afterAutospacing="1"/>
              <w:rPr>
                <w:szCs w:val="20"/>
              </w:rPr>
            </w:pPr>
            <w:r>
              <w:rPr>
                <w:szCs w:val="20"/>
              </w:rPr>
              <w:t>11620N; 11622Q</w:t>
            </w:r>
          </w:p>
        </w:tc>
        <w:tc>
          <w:tcPr>
            <w:tcW w:w="2064" w:type="dxa"/>
          </w:tcPr>
          <w:p w14:paraId="54F06794" w14:textId="2D54D277" w:rsidR="003A29E8" w:rsidRPr="000F5EB0" w:rsidRDefault="003A29E8" w:rsidP="003A29E8">
            <w:pPr>
              <w:spacing w:before="100" w:beforeAutospacing="1" w:after="100" w:afterAutospacing="1"/>
              <w:rPr>
                <w:szCs w:val="20"/>
              </w:rPr>
            </w:pPr>
            <w:r w:rsidRPr="000F5EB0">
              <w:rPr>
                <w:szCs w:val="20"/>
              </w:rPr>
              <w:t>Astra Zeneca</w:t>
            </w:r>
          </w:p>
        </w:tc>
      </w:tr>
      <w:tr w:rsidR="003A29E8" w:rsidRPr="000F5EB0" w14:paraId="017B1DB9" w14:textId="77777777" w:rsidTr="00810F30">
        <w:tc>
          <w:tcPr>
            <w:tcW w:w="2064" w:type="dxa"/>
            <w:vMerge w:val="restart"/>
            <w:vAlign w:val="center"/>
          </w:tcPr>
          <w:p w14:paraId="028A5B18" w14:textId="77777777" w:rsidR="003A29E8" w:rsidRPr="000F5EB0" w:rsidRDefault="003A29E8" w:rsidP="00810F30">
            <w:pPr>
              <w:spacing w:before="100" w:beforeAutospacing="1" w:after="100" w:afterAutospacing="1"/>
              <w:ind w:firstLine="22"/>
              <w:rPr>
                <w:szCs w:val="20"/>
              </w:rPr>
            </w:pPr>
            <w:r w:rsidRPr="000F5EB0">
              <w:rPr>
                <w:szCs w:val="20"/>
              </w:rPr>
              <w:t>ALK</w:t>
            </w:r>
          </w:p>
        </w:tc>
        <w:tc>
          <w:tcPr>
            <w:tcW w:w="2064" w:type="dxa"/>
          </w:tcPr>
          <w:p w14:paraId="10D561CB" w14:textId="77777777" w:rsidR="003A29E8" w:rsidRPr="000F5EB0" w:rsidRDefault="003A29E8" w:rsidP="003A29E8">
            <w:pPr>
              <w:spacing w:before="100" w:beforeAutospacing="1" w:after="100" w:afterAutospacing="1"/>
              <w:rPr>
                <w:szCs w:val="20"/>
              </w:rPr>
            </w:pPr>
            <w:r w:rsidRPr="000F5EB0">
              <w:rPr>
                <w:szCs w:val="20"/>
              </w:rPr>
              <w:t>Crizotinib</w:t>
            </w:r>
          </w:p>
        </w:tc>
        <w:tc>
          <w:tcPr>
            <w:tcW w:w="2064" w:type="dxa"/>
          </w:tcPr>
          <w:p w14:paraId="65155375" w14:textId="77777777" w:rsidR="003A29E8" w:rsidRPr="000F5EB0" w:rsidRDefault="003A29E8" w:rsidP="003A29E8">
            <w:pPr>
              <w:spacing w:before="100" w:beforeAutospacing="1" w:after="100" w:afterAutospacing="1"/>
              <w:rPr>
                <w:szCs w:val="20"/>
              </w:rPr>
            </w:pPr>
            <w:r w:rsidRPr="000F5EB0">
              <w:rPr>
                <w:szCs w:val="20"/>
              </w:rPr>
              <w:t>10322G; 10323H</w:t>
            </w:r>
          </w:p>
        </w:tc>
        <w:tc>
          <w:tcPr>
            <w:tcW w:w="2064" w:type="dxa"/>
          </w:tcPr>
          <w:p w14:paraId="7E2F8E82" w14:textId="77777777" w:rsidR="003A29E8" w:rsidRPr="000F5EB0" w:rsidRDefault="003A29E8" w:rsidP="003A29E8">
            <w:pPr>
              <w:spacing w:before="100" w:beforeAutospacing="1" w:after="100" w:afterAutospacing="1"/>
              <w:rPr>
                <w:szCs w:val="20"/>
              </w:rPr>
            </w:pPr>
            <w:r w:rsidRPr="000F5EB0">
              <w:rPr>
                <w:szCs w:val="20"/>
              </w:rPr>
              <w:t>Pfizer</w:t>
            </w:r>
          </w:p>
        </w:tc>
      </w:tr>
      <w:tr w:rsidR="003A29E8" w:rsidRPr="000F5EB0" w14:paraId="225B4708" w14:textId="77777777" w:rsidTr="00810F30">
        <w:tc>
          <w:tcPr>
            <w:tcW w:w="2064" w:type="dxa"/>
            <w:vMerge/>
          </w:tcPr>
          <w:p w14:paraId="6B2FE57F" w14:textId="77777777" w:rsidR="003A29E8" w:rsidRPr="000F5EB0" w:rsidRDefault="003A29E8" w:rsidP="00810F30">
            <w:pPr>
              <w:spacing w:before="100" w:beforeAutospacing="1" w:after="100" w:afterAutospacing="1"/>
              <w:ind w:firstLine="22"/>
              <w:rPr>
                <w:szCs w:val="20"/>
              </w:rPr>
            </w:pPr>
          </w:p>
        </w:tc>
        <w:tc>
          <w:tcPr>
            <w:tcW w:w="2064" w:type="dxa"/>
          </w:tcPr>
          <w:p w14:paraId="2784282F" w14:textId="77777777" w:rsidR="003A29E8" w:rsidRPr="000F5EB0" w:rsidRDefault="003A29E8" w:rsidP="003A29E8">
            <w:pPr>
              <w:spacing w:before="100" w:beforeAutospacing="1" w:after="100" w:afterAutospacing="1"/>
              <w:rPr>
                <w:szCs w:val="20"/>
              </w:rPr>
            </w:pPr>
            <w:r w:rsidRPr="000F5EB0">
              <w:rPr>
                <w:szCs w:val="20"/>
              </w:rPr>
              <w:t>Ceritinib</w:t>
            </w:r>
          </w:p>
        </w:tc>
        <w:tc>
          <w:tcPr>
            <w:tcW w:w="2064" w:type="dxa"/>
          </w:tcPr>
          <w:p w14:paraId="1406596F" w14:textId="77777777" w:rsidR="003A29E8" w:rsidRPr="000F5EB0" w:rsidRDefault="003A29E8" w:rsidP="003A29E8">
            <w:pPr>
              <w:spacing w:before="100" w:beforeAutospacing="1" w:after="100" w:afterAutospacing="1"/>
              <w:rPr>
                <w:szCs w:val="20"/>
              </w:rPr>
            </w:pPr>
            <w:r w:rsidRPr="000F5EB0">
              <w:rPr>
                <w:szCs w:val="20"/>
              </w:rPr>
              <w:t>11056X</w:t>
            </w:r>
          </w:p>
        </w:tc>
        <w:tc>
          <w:tcPr>
            <w:tcW w:w="2064" w:type="dxa"/>
          </w:tcPr>
          <w:p w14:paraId="52A1C04E" w14:textId="77777777" w:rsidR="003A29E8" w:rsidRPr="000F5EB0" w:rsidRDefault="003A29E8" w:rsidP="003A29E8">
            <w:pPr>
              <w:spacing w:before="100" w:beforeAutospacing="1" w:after="100" w:afterAutospacing="1"/>
              <w:rPr>
                <w:szCs w:val="20"/>
              </w:rPr>
            </w:pPr>
            <w:r w:rsidRPr="000F5EB0">
              <w:rPr>
                <w:szCs w:val="20"/>
              </w:rPr>
              <w:t>Novartis</w:t>
            </w:r>
          </w:p>
        </w:tc>
      </w:tr>
      <w:tr w:rsidR="003A29E8" w:rsidRPr="000F5EB0" w14:paraId="2D27B299" w14:textId="77777777" w:rsidTr="00810F30">
        <w:tc>
          <w:tcPr>
            <w:tcW w:w="2064" w:type="dxa"/>
            <w:vMerge/>
          </w:tcPr>
          <w:p w14:paraId="22C0B774" w14:textId="77777777" w:rsidR="003A29E8" w:rsidRPr="000F5EB0" w:rsidRDefault="003A29E8" w:rsidP="00810F30">
            <w:pPr>
              <w:spacing w:before="100" w:beforeAutospacing="1" w:after="100" w:afterAutospacing="1"/>
              <w:ind w:firstLine="22"/>
              <w:rPr>
                <w:szCs w:val="20"/>
              </w:rPr>
            </w:pPr>
          </w:p>
        </w:tc>
        <w:tc>
          <w:tcPr>
            <w:tcW w:w="2064" w:type="dxa"/>
          </w:tcPr>
          <w:p w14:paraId="564AA3CC" w14:textId="77777777" w:rsidR="003A29E8" w:rsidRPr="000F5EB0" w:rsidRDefault="003A29E8" w:rsidP="003A29E8">
            <w:pPr>
              <w:spacing w:before="100" w:beforeAutospacing="1" w:after="100" w:afterAutospacing="1"/>
              <w:rPr>
                <w:szCs w:val="20"/>
              </w:rPr>
            </w:pPr>
            <w:r w:rsidRPr="000F5EB0">
              <w:rPr>
                <w:szCs w:val="20"/>
              </w:rPr>
              <w:t>Alectinib</w:t>
            </w:r>
          </w:p>
        </w:tc>
        <w:tc>
          <w:tcPr>
            <w:tcW w:w="2064" w:type="dxa"/>
          </w:tcPr>
          <w:p w14:paraId="087AADF7" w14:textId="77777777" w:rsidR="003A29E8" w:rsidRPr="000F5EB0" w:rsidRDefault="003A29E8" w:rsidP="003A29E8">
            <w:pPr>
              <w:spacing w:before="100" w:beforeAutospacing="1" w:after="100" w:afterAutospacing="1"/>
              <w:rPr>
                <w:szCs w:val="20"/>
              </w:rPr>
            </w:pPr>
            <w:r w:rsidRPr="000F5EB0">
              <w:rPr>
                <w:szCs w:val="20"/>
              </w:rPr>
              <w:t>11226W</w:t>
            </w:r>
          </w:p>
        </w:tc>
        <w:tc>
          <w:tcPr>
            <w:tcW w:w="2064" w:type="dxa"/>
          </w:tcPr>
          <w:p w14:paraId="6570A2F0" w14:textId="77777777" w:rsidR="003A29E8" w:rsidRPr="000F5EB0" w:rsidRDefault="003A29E8" w:rsidP="003A29E8">
            <w:pPr>
              <w:spacing w:before="100" w:beforeAutospacing="1" w:after="100" w:afterAutospacing="1"/>
              <w:rPr>
                <w:szCs w:val="20"/>
              </w:rPr>
            </w:pPr>
            <w:r w:rsidRPr="000F5EB0">
              <w:rPr>
                <w:szCs w:val="20"/>
              </w:rPr>
              <w:t>Roche</w:t>
            </w:r>
          </w:p>
        </w:tc>
      </w:tr>
      <w:tr w:rsidR="003A29E8" w:rsidRPr="000F5EB0" w14:paraId="729BCA1B" w14:textId="77777777" w:rsidTr="00810F30">
        <w:tc>
          <w:tcPr>
            <w:tcW w:w="2064" w:type="dxa"/>
          </w:tcPr>
          <w:p w14:paraId="31B44F6B" w14:textId="56AFB678" w:rsidR="003A29E8" w:rsidRPr="000F5EB0" w:rsidRDefault="003A29E8" w:rsidP="00810F30">
            <w:pPr>
              <w:spacing w:before="100" w:beforeAutospacing="1" w:after="100" w:afterAutospacing="1"/>
              <w:ind w:firstLine="22"/>
              <w:rPr>
                <w:szCs w:val="20"/>
              </w:rPr>
            </w:pPr>
            <w:r>
              <w:rPr>
                <w:szCs w:val="20"/>
              </w:rPr>
              <w:t>ROS1</w:t>
            </w:r>
          </w:p>
        </w:tc>
        <w:tc>
          <w:tcPr>
            <w:tcW w:w="2064" w:type="dxa"/>
          </w:tcPr>
          <w:p w14:paraId="6D57909D" w14:textId="1BE6AE4C" w:rsidR="003A29E8" w:rsidRPr="000F5EB0" w:rsidRDefault="003A29E8" w:rsidP="003A29E8">
            <w:pPr>
              <w:spacing w:before="100" w:beforeAutospacing="1" w:after="100" w:afterAutospacing="1"/>
              <w:rPr>
                <w:szCs w:val="20"/>
              </w:rPr>
            </w:pPr>
            <w:r>
              <w:rPr>
                <w:szCs w:val="20"/>
              </w:rPr>
              <w:t>Crizotinib</w:t>
            </w:r>
          </w:p>
        </w:tc>
        <w:tc>
          <w:tcPr>
            <w:tcW w:w="2064" w:type="dxa"/>
          </w:tcPr>
          <w:p w14:paraId="5353C195" w14:textId="59C0D997" w:rsidR="003A29E8" w:rsidRPr="000F5EB0" w:rsidRDefault="00053E08" w:rsidP="003A29E8">
            <w:pPr>
              <w:spacing w:before="100" w:beforeAutospacing="1" w:after="100" w:afterAutospacing="1"/>
              <w:rPr>
                <w:szCs w:val="20"/>
              </w:rPr>
            </w:pPr>
            <w:r>
              <w:rPr>
                <w:szCs w:val="20"/>
              </w:rPr>
              <w:t xml:space="preserve">11589Y; </w:t>
            </w:r>
            <w:r w:rsidR="00EF1F8E">
              <w:rPr>
                <w:szCs w:val="20"/>
              </w:rPr>
              <w:t>11594F</w:t>
            </w:r>
          </w:p>
        </w:tc>
        <w:tc>
          <w:tcPr>
            <w:tcW w:w="2064" w:type="dxa"/>
          </w:tcPr>
          <w:p w14:paraId="4F36565B" w14:textId="7D0AD735" w:rsidR="003A29E8" w:rsidRPr="000F5EB0" w:rsidRDefault="00EF1F8E" w:rsidP="003A29E8">
            <w:pPr>
              <w:spacing w:before="100" w:beforeAutospacing="1" w:after="100" w:afterAutospacing="1"/>
              <w:rPr>
                <w:szCs w:val="20"/>
              </w:rPr>
            </w:pPr>
            <w:r w:rsidRPr="000F5EB0">
              <w:rPr>
                <w:szCs w:val="20"/>
              </w:rPr>
              <w:t>Pfizer</w:t>
            </w:r>
          </w:p>
        </w:tc>
      </w:tr>
    </w:tbl>
    <w:p w14:paraId="458286C5" w14:textId="77777777" w:rsidR="00810F30" w:rsidRDefault="00810F30" w:rsidP="00810F30">
      <w:pPr>
        <w:ind w:left="426"/>
        <w:rPr>
          <w:szCs w:val="20"/>
        </w:rPr>
      </w:pPr>
    </w:p>
    <w:p w14:paraId="66FB5027" w14:textId="5A929C49" w:rsidR="00810F30" w:rsidRDefault="00B8404E" w:rsidP="00810F30">
      <w:pPr>
        <w:ind w:left="426"/>
        <w:rPr>
          <w:szCs w:val="20"/>
        </w:rPr>
      </w:pPr>
      <w:r w:rsidRPr="000F5EB0">
        <w:rPr>
          <w:szCs w:val="20"/>
        </w:rPr>
        <w:t>Recent advances in genomic sequencing technologies ha</w:t>
      </w:r>
      <w:r w:rsidR="00033FBE">
        <w:rPr>
          <w:szCs w:val="20"/>
        </w:rPr>
        <w:t>ve</w:t>
      </w:r>
      <w:r w:rsidRPr="000F5EB0">
        <w:rPr>
          <w:szCs w:val="20"/>
        </w:rPr>
        <w:t xml:space="preserve"> revealed the genetic diversity of lung cancers and led to the identification of oncogenic drivers. In turn, this has led to the development of several new therapies targeting newly discovered oncogenic drivers in lung cancer. An overview of lung cancer biomarkers and associated targeted therapies under clinical investigation which may be considered by the PBAC in the foreseeable future is provided below.</w:t>
      </w:r>
    </w:p>
    <w:p w14:paraId="6F4A9298" w14:textId="77777777" w:rsidR="00810F30" w:rsidRDefault="00810F30">
      <w:pPr>
        <w:spacing w:before="0" w:after="200" w:line="276" w:lineRule="auto"/>
        <w:rPr>
          <w:szCs w:val="20"/>
        </w:rPr>
      </w:pPr>
      <w:r>
        <w:rPr>
          <w:szCs w:val="20"/>
        </w:rPr>
        <w:br w:type="page"/>
      </w:r>
    </w:p>
    <w:p w14:paraId="03591E3A" w14:textId="77777777" w:rsidR="00B8404E" w:rsidRPr="000F5EB0" w:rsidRDefault="00B8404E" w:rsidP="00810F30">
      <w:pPr>
        <w:ind w:left="426"/>
        <w:rPr>
          <w:szCs w:val="20"/>
        </w:rPr>
      </w:pPr>
    </w:p>
    <w:tbl>
      <w:tblPr>
        <w:tblStyle w:val="TableGrid"/>
        <w:tblW w:w="0" w:type="auto"/>
        <w:tblLook w:val="04A0" w:firstRow="1" w:lastRow="0" w:firstColumn="1" w:lastColumn="0" w:noHBand="0" w:noVBand="1"/>
        <w:tblCaption w:val="Table"/>
        <w:tblDescription w:val="Table"/>
      </w:tblPr>
      <w:tblGrid>
        <w:gridCol w:w="2048"/>
        <w:gridCol w:w="2144"/>
        <w:gridCol w:w="2050"/>
        <w:gridCol w:w="2045"/>
      </w:tblGrid>
      <w:tr w:rsidR="00B8404E" w:rsidRPr="000F5EB0" w14:paraId="4D7B3B87" w14:textId="77777777" w:rsidTr="00CC4EE7">
        <w:trPr>
          <w:tblHeader/>
        </w:trPr>
        <w:tc>
          <w:tcPr>
            <w:tcW w:w="2048" w:type="dxa"/>
          </w:tcPr>
          <w:p w14:paraId="523EC753" w14:textId="77777777" w:rsidR="00B8404E" w:rsidRPr="000F5EB0" w:rsidRDefault="00B8404E" w:rsidP="00742191">
            <w:pPr>
              <w:spacing w:before="100" w:beforeAutospacing="1" w:after="100" w:afterAutospacing="1"/>
              <w:rPr>
                <w:b/>
                <w:szCs w:val="20"/>
              </w:rPr>
            </w:pPr>
            <w:r w:rsidRPr="000F5EB0">
              <w:rPr>
                <w:b/>
                <w:szCs w:val="20"/>
              </w:rPr>
              <w:t>Biomarker</w:t>
            </w:r>
          </w:p>
        </w:tc>
        <w:tc>
          <w:tcPr>
            <w:tcW w:w="2144" w:type="dxa"/>
          </w:tcPr>
          <w:p w14:paraId="4D71AF37" w14:textId="77777777" w:rsidR="00B8404E" w:rsidRPr="000F5EB0" w:rsidRDefault="00B8404E" w:rsidP="00742191">
            <w:pPr>
              <w:spacing w:before="100" w:beforeAutospacing="1" w:after="100" w:afterAutospacing="1"/>
              <w:rPr>
                <w:b/>
                <w:szCs w:val="20"/>
              </w:rPr>
            </w:pPr>
            <w:r w:rsidRPr="000F5EB0">
              <w:rPr>
                <w:b/>
                <w:szCs w:val="20"/>
              </w:rPr>
              <w:t>Therapy</w:t>
            </w:r>
          </w:p>
        </w:tc>
        <w:tc>
          <w:tcPr>
            <w:tcW w:w="2050" w:type="dxa"/>
          </w:tcPr>
          <w:p w14:paraId="1D5BB8AF" w14:textId="7CC7CC25" w:rsidR="00B8404E" w:rsidRPr="000F5EB0" w:rsidRDefault="00D60C23" w:rsidP="00742191">
            <w:pPr>
              <w:spacing w:before="100" w:beforeAutospacing="1" w:after="100" w:afterAutospacing="1"/>
              <w:rPr>
                <w:b/>
                <w:szCs w:val="20"/>
                <w:vertAlign w:val="superscript"/>
              </w:rPr>
            </w:pPr>
            <w:r>
              <w:rPr>
                <w:b/>
                <w:szCs w:val="20"/>
              </w:rPr>
              <w:t>Status</w:t>
            </w:r>
          </w:p>
        </w:tc>
        <w:tc>
          <w:tcPr>
            <w:tcW w:w="2045" w:type="dxa"/>
          </w:tcPr>
          <w:p w14:paraId="62C8D409" w14:textId="77777777" w:rsidR="00B8404E" w:rsidRPr="000F5EB0" w:rsidRDefault="00B8404E" w:rsidP="00742191">
            <w:pPr>
              <w:spacing w:before="100" w:beforeAutospacing="1" w:after="100" w:afterAutospacing="1"/>
              <w:rPr>
                <w:b/>
                <w:szCs w:val="20"/>
              </w:rPr>
            </w:pPr>
            <w:r w:rsidRPr="000F5EB0">
              <w:rPr>
                <w:b/>
                <w:szCs w:val="20"/>
              </w:rPr>
              <w:t>Sponsor</w:t>
            </w:r>
          </w:p>
        </w:tc>
      </w:tr>
      <w:tr w:rsidR="00C76F76" w:rsidRPr="000F5EB0" w14:paraId="3FD9407C" w14:textId="77777777" w:rsidTr="00C76F76">
        <w:tc>
          <w:tcPr>
            <w:tcW w:w="2048" w:type="dxa"/>
            <w:vMerge w:val="restart"/>
            <w:vAlign w:val="center"/>
          </w:tcPr>
          <w:p w14:paraId="75BC942B" w14:textId="33AF6AAA" w:rsidR="00C76F76" w:rsidRPr="000F5EB0" w:rsidRDefault="00C76F76" w:rsidP="00C76F76">
            <w:pPr>
              <w:spacing w:before="100" w:beforeAutospacing="1" w:after="100" w:afterAutospacing="1"/>
              <w:rPr>
                <w:szCs w:val="20"/>
              </w:rPr>
            </w:pPr>
            <w:r>
              <w:rPr>
                <w:szCs w:val="20"/>
              </w:rPr>
              <w:t>EGFR Ex19del, L858R</w:t>
            </w:r>
          </w:p>
        </w:tc>
        <w:tc>
          <w:tcPr>
            <w:tcW w:w="2144" w:type="dxa"/>
          </w:tcPr>
          <w:p w14:paraId="5E8D3B97" w14:textId="158EF629" w:rsidR="00C76F76" w:rsidRPr="000F5EB0" w:rsidRDefault="00C76F76" w:rsidP="00742191">
            <w:pPr>
              <w:spacing w:before="100" w:beforeAutospacing="1" w:after="100" w:afterAutospacing="1"/>
            </w:pPr>
            <w:r>
              <w:t>Osimertinib (first-line)</w:t>
            </w:r>
          </w:p>
        </w:tc>
        <w:tc>
          <w:tcPr>
            <w:tcW w:w="2050" w:type="dxa"/>
          </w:tcPr>
          <w:p w14:paraId="6B34075D" w14:textId="388A6FB4" w:rsidR="00C76F76" w:rsidRPr="000F5EB0" w:rsidRDefault="00C76F76" w:rsidP="00742191">
            <w:pPr>
              <w:spacing w:before="100" w:beforeAutospacing="1" w:after="100" w:afterAutospacing="1"/>
              <w:rPr>
                <w:szCs w:val="20"/>
              </w:rPr>
            </w:pPr>
            <w:r w:rsidRPr="000F5EB0">
              <w:rPr>
                <w:szCs w:val="20"/>
              </w:rPr>
              <w:t>Under MSAC/PBAC review</w:t>
            </w:r>
          </w:p>
        </w:tc>
        <w:tc>
          <w:tcPr>
            <w:tcW w:w="2045" w:type="dxa"/>
          </w:tcPr>
          <w:p w14:paraId="460B701F" w14:textId="4EB798E0" w:rsidR="00C76F76" w:rsidRPr="000F5EB0" w:rsidRDefault="00C76F76" w:rsidP="00742191">
            <w:pPr>
              <w:spacing w:before="100" w:beforeAutospacing="1" w:after="100" w:afterAutospacing="1"/>
              <w:rPr>
                <w:szCs w:val="20"/>
              </w:rPr>
            </w:pPr>
            <w:r>
              <w:rPr>
                <w:szCs w:val="20"/>
              </w:rPr>
              <w:t>Astra Zeneca</w:t>
            </w:r>
          </w:p>
        </w:tc>
      </w:tr>
      <w:tr w:rsidR="00C76F76" w:rsidRPr="000F5EB0" w14:paraId="2FA5447D" w14:textId="77777777" w:rsidTr="0093446E">
        <w:tc>
          <w:tcPr>
            <w:tcW w:w="2048" w:type="dxa"/>
            <w:vMerge/>
          </w:tcPr>
          <w:p w14:paraId="49B717B4" w14:textId="77777777" w:rsidR="00C76F76" w:rsidRDefault="00C76F76" w:rsidP="00742191">
            <w:pPr>
              <w:spacing w:before="100" w:beforeAutospacing="1" w:after="100" w:afterAutospacing="1"/>
              <w:rPr>
                <w:szCs w:val="20"/>
              </w:rPr>
            </w:pPr>
          </w:p>
        </w:tc>
        <w:tc>
          <w:tcPr>
            <w:tcW w:w="2144" w:type="dxa"/>
          </w:tcPr>
          <w:p w14:paraId="101531D4" w14:textId="5867594B" w:rsidR="00C76F76" w:rsidRDefault="00C76F76" w:rsidP="00742191">
            <w:pPr>
              <w:spacing w:before="100" w:beforeAutospacing="1" w:after="100" w:afterAutospacing="1"/>
            </w:pPr>
            <w:r>
              <w:t>Dacomitinib</w:t>
            </w:r>
          </w:p>
        </w:tc>
        <w:tc>
          <w:tcPr>
            <w:tcW w:w="2050" w:type="dxa"/>
          </w:tcPr>
          <w:p w14:paraId="182558E7" w14:textId="3CAE7E12" w:rsidR="00C76F76" w:rsidRPr="000F5EB0" w:rsidRDefault="00D60C23" w:rsidP="00742191">
            <w:pPr>
              <w:spacing w:before="100" w:beforeAutospacing="1" w:after="100" w:afterAutospacing="1"/>
              <w:rPr>
                <w:szCs w:val="20"/>
              </w:rPr>
            </w:pPr>
            <w:r>
              <w:rPr>
                <w:szCs w:val="20"/>
              </w:rPr>
              <w:t xml:space="preserve">Clinical trial </w:t>
            </w:r>
            <w:r w:rsidR="00C76F76">
              <w:rPr>
                <w:szCs w:val="20"/>
              </w:rPr>
              <w:t>reported (FDA approved)</w:t>
            </w:r>
          </w:p>
        </w:tc>
        <w:tc>
          <w:tcPr>
            <w:tcW w:w="2045" w:type="dxa"/>
          </w:tcPr>
          <w:p w14:paraId="6BD042F3" w14:textId="13E0AC4D" w:rsidR="00C76F76" w:rsidRDefault="00B34EE7" w:rsidP="00742191">
            <w:pPr>
              <w:spacing w:before="100" w:beforeAutospacing="1" w:after="100" w:afterAutospacing="1"/>
              <w:rPr>
                <w:szCs w:val="20"/>
              </w:rPr>
            </w:pPr>
            <w:r>
              <w:rPr>
                <w:szCs w:val="20"/>
              </w:rPr>
              <w:t>Pfizer</w:t>
            </w:r>
          </w:p>
        </w:tc>
      </w:tr>
      <w:tr w:rsidR="00C76F76" w:rsidRPr="000F5EB0" w14:paraId="73929D07" w14:textId="77777777" w:rsidTr="00C76F76">
        <w:tc>
          <w:tcPr>
            <w:tcW w:w="2048" w:type="dxa"/>
            <w:vMerge w:val="restart"/>
            <w:vAlign w:val="center"/>
          </w:tcPr>
          <w:p w14:paraId="1B59B8BA" w14:textId="70DDEB64" w:rsidR="00C76F76" w:rsidRDefault="00C76F76" w:rsidP="00C76F76">
            <w:pPr>
              <w:spacing w:before="100" w:beforeAutospacing="1" w:after="100" w:afterAutospacing="1"/>
              <w:rPr>
                <w:szCs w:val="20"/>
              </w:rPr>
            </w:pPr>
            <w:r>
              <w:rPr>
                <w:szCs w:val="20"/>
              </w:rPr>
              <w:t>ALK</w:t>
            </w:r>
          </w:p>
        </w:tc>
        <w:tc>
          <w:tcPr>
            <w:tcW w:w="2144" w:type="dxa"/>
          </w:tcPr>
          <w:p w14:paraId="5C10808D" w14:textId="0B1010C2" w:rsidR="00C76F76" w:rsidRDefault="00C76F76" w:rsidP="00742191">
            <w:pPr>
              <w:spacing w:before="100" w:beforeAutospacing="1" w:after="100" w:afterAutospacing="1"/>
            </w:pPr>
            <w:r>
              <w:t>Brigatinib</w:t>
            </w:r>
          </w:p>
        </w:tc>
        <w:tc>
          <w:tcPr>
            <w:tcW w:w="2050" w:type="dxa"/>
          </w:tcPr>
          <w:p w14:paraId="002077EB" w14:textId="5617EC52" w:rsidR="00C76F76" w:rsidRDefault="00C76F76" w:rsidP="00742191">
            <w:pPr>
              <w:spacing w:before="100" w:beforeAutospacing="1" w:after="100" w:afterAutospacing="1"/>
              <w:rPr>
                <w:szCs w:val="20"/>
              </w:rPr>
            </w:pPr>
            <w:r>
              <w:rPr>
                <w:szCs w:val="20"/>
              </w:rPr>
              <w:t xml:space="preserve">PBAC </w:t>
            </w:r>
            <w:r w:rsidR="00B85527">
              <w:rPr>
                <w:szCs w:val="20"/>
              </w:rPr>
              <w:t>recommen</w:t>
            </w:r>
            <w:r w:rsidR="00251EA1">
              <w:rPr>
                <w:szCs w:val="20"/>
              </w:rPr>
              <w:t>ded</w:t>
            </w:r>
          </w:p>
        </w:tc>
        <w:tc>
          <w:tcPr>
            <w:tcW w:w="2045" w:type="dxa"/>
          </w:tcPr>
          <w:p w14:paraId="78A52BEA" w14:textId="41977971" w:rsidR="00C76F76" w:rsidRDefault="00C76F76" w:rsidP="00742191">
            <w:pPr>
              <w:spacing w:before="100" w:beforeAutospacing="1" w:after="100" w:afterAutospacing="1"/>
              <w:rPr>
                <w:szCs w:val="20"/>
              </w:rPr>
            </w:pPr>
            <w:r>
              <w:rPr>
                <w:szCs w:val="20"/>
              </w:rPr>
              <w:t>Takeda</w:t>
            </w:r>
          </w:p>
        </w:tc>
      </w:tr>
      <w:tr w:rsidR="00C76F76" w:rsidRPr="000F5EB0" w14:paraId="437CE13E" w14:textId="77777777" w:rsidTr="0093446E">
        <w:tc>
          <w:tcPr>
            <w:tcW w:w="2048" w:type="dxa"/>
            <w:vMerge/>
          </w:tcPr>
          <w:p w14:paraId="2C90855E" w14:textId="77777777" w:rsidR="00C76F76" w:rsidRDefault="00C76F76" w:rsidP="00742191">
            <w:pPr>
              <w:spacing w:before="100" w:beforeAutospacing="1" w:after="100" w:afterAutospacing="1"/>
              <w:rPr>
                <w:szCs w:val="20"/>
              </w:rPr>
            </w:pPr>
          </w:p>
        </w:tc>
        <w:tc>
          <w:tcPr>
            <w:tcW w:w="2144" w:type="dxa"/>
          </w:tcPr>
          <w:p w14:paraId="3F593E4A" w14:textId="5BB61037" w:rsidR="00C76F76" w:rsidRDefault="00C76F76" w:rsidP="00742191">
            <w:pPr>
              <w:spacing w:before="100" w:beforeAutospacing="1" w:after="100" w:afterAutospacing="1"/>
            </w:pPr>
            <w:r>
              <w:t>Lorlatinib (second-line)</w:t>
            </w:r>
          </w:p>
        </w:tc>
        <w:tc>
          <w:tcPr>
            <w:tcW w:w="2050" w:type="dxa"/>
          </w:tcPr>
          <w:p w14:paraId="5DB7803C" w14:textId="6ED1E5EB" w:rsidR="00C76F76" w:rsidRDefault="00251EA1" w:rsidP="00742191">
            <w:pPr>
              <w:spacing w:before="100" w:beforeAutospacing="1" w:after="100" w:afterAutospacing="1"/>
              <w:rPr>
                <w:szCs w:val="20"/>
              </w:rPr>
            </w:pPr>
            <w:r>
              <w:rPr>
                <w:szCs w:val="20"/>
              </w:rPr>
              <w:t>PBAC recommended</w:t>
            </w:r>
          </w:p>
        </w:tc>
        <w:tc>
          <w:tcPr>
            <w:tcW w:w="2045" w:type="dxa"/>
          </w:tcPr>
          <w:p w14:paraId="63BF7874" w14:textId="25740D2D" w:rsidR="00C76F76" w:rsidRDefault="00C76F76" w:rsidP="00742191">
            <w:pPr>
              <w:spacing w:before="100" w:beforeAutospacing="1" w:after="100" w:afterAutospacing="1"/>
              <w:rPr>
                <w:szCs w:val="20"/>
              </w:rPr>
            </w:pPr>
            <w:r>
              <w:rPr>
                <w:szCs w:val="20"/>
              </w:rPr>
              <w:t>Pfizer</w:t>
            </w:r>
          </w:p>
        </w:tc>
      </w:tr>
      <w:tr w:rsidR="009F6053" w:rsidRPr="000F5EB0" w14:paraId="378C969E" w14:textId="77777777" w:rsidTr="003736C6">
        <w:tc>
          <w:tcPr>
            <w:tcW w:w="2048" w:type="dxa"/>
            <w:vMerge w:val="restart"/>
            <w:vAlign w:val="center"/>
          </w:tcPr>
          <w:p w14:paraId="19EB4C26" w14:textId="1525705B" w:rsidR="009F6053" w:rsidRPr="000F5EB0" w:rsidRDefault="003736C6" w:rsidP="003736C6">
            <w:pPr>
              <w:spacing w:before="100" w:beforeAutospacing="1" w:after="100" w:afterAutospacing="1"/>
              <w:rPr>
                <w:szCs w:val="20"/>
              </w:rPr>
            </w:pPr>
            <w:r>
              <w:rPr>
                <w:szCs w:val="20"/>
              </w:rPr>
              <w:t>ROS1</w:t>
            </w:r>
          </w:p>
        </w:tc>
        <w:tc>
          <w:tcPr>
            <w:tcW w:w="2144" w:type="dxa"/>
          </w:tcPr>
          <w:p w14:paraId="72D50300" w14:textId="2CF2FA9B" w:rsidR="009F6053" w:rsidRPr="000F5EB0" w:rsidRDefault="009F6053" w:rsidP="009F6053">
            <w:pPr>
              <w:spacing w:before="100" w:beforeAutospacing="1" w:after="100" w:afterAutospacing="1"/>
              <w:rPr>
                <w:szCs w:val="20"/>
              </w:rPr>
            </w:pPr>
            <w:r w:rsidRPr="000F5EB0">
              <w:rPr>
                <w:szCs w:val="20"/>
              </w:rPr>
              <w:t>Entrectinib</w:t>
            </w:r>
            <w:r w:rsidR="009418DD">
              <w:rPr>
                <w:szCs w:val="20"/>
                <w:vertAlign w:val="superscript"/>
              </w:rPr>
              <w:t>a</w:t>
            </w:r>
          </w:p>
        </w:tc>
        <w:tc>
          <w:tcPr>
            <w:tcW w:w="2050" w:type="dxa"/>
          </w:tcPr>
          <w:p w14:paraId="70E115DA" w14:textId="3D43E6CB" w:rsidR="009F6053" w:rsidRPr="000F5EB0" w:rsidRDefault="009F6053" w:rsidP="009F6053">
            <w:pPr>
              <w:spacing w:before="100" w:beforeAutospacing="1" w:after="100" w:afterAutospacing="1"/>
              <w:rPr>
                <w:szCs w:val="20"/>
              </w:rPr>
            </w:pPr>
            <w:r w:rsidRPr="000F5EB0">
              <w:rPr>
                <w:szCs w:val="20"/>
              </w:rPr>
              <w:t>Under MSAC/PBAC review</w:t>
            </w:r>
          </w:p>
        </w:tc>
        <w:tc>
          <w:tcPr>
            <w:tcW w:w="2045" w:type="dxa"/>
          </w:tcPr>
          <w:p w14:paraId="061039F8" w14:textId="769442CD" w:rsidR="009F6053" w:rsidRPr="000F5EB0" w:rsidRDefault="009F6053" w:rsidP="009F6053">
            <w:pPr>
              <w:spacing w:before="100" w:beforeAutospacing="1" w:after="100" w:afterAutospacing="1"/>
              <w:rPr>
                <w:szCs w:val="20"/>
              </w:rPr>
            </w:pPr>
            <w:r w:rsidRPr="000F5EB0">
              <w:rPr>
                <w:szCs w:val="20"/>
              </w:rPr>
              <w:t>Roche</w:t>
            </w:r>
          </w:p>
        </w:tc>
      </w:tr>
      <w:tr w:rsidR="004A10A8" w:rsidRPr="000F5EB0" w14:paraId="53E55ED0" w14:textId="77777777" w:rsidTr="0093446E">
        <w:tc>
          <w:tcPr>
            <w:tcW w:w="2048" w:type="dxa"/>
            <w:vMerge/>
          </w:tcPr>
          <w:p w14:paraId="25424C3B" w14:textId="77777777" w:rsidR="004A10A8" w:rsidRPr="000F5EB0" w:rsidRDefault="004A10A8" w:rsidP="004A10A8">
            <w:pPr>
              <w:spacing w:before="100" w:beforeAutospacing="1" w:after="100" w:afterAutospacing="1"/>
              <w:rPr>
                <w:szCs w:val="20"/>
              </w:rPr>
            </w:pPr>
          </w:p>
        </w:tc>
        <w:tc>
          <w:tcPr>
            <w:tcW w:w="2144" w:type="dxa"/>
          </w:tcPr>
          <w:p w14:paraId="7B7341CE" w14:textId="77A83E96" w:rsidR="004A10A8" w:rsidRPr="000F5EB0" w:rsidRDefault="004A10A8" w:rsidP="004A10A8">
            <w:pPr>
              <w:spacing w:before="100" w:beforeAutospacing="1" w:after="100" w:afterAutospacing="1"/>
              <w:rPr>
                <w:szCs w:val="20"/>
              </w:rPr>
            </w:pPr>
            <w:r w:rsidRPr="000F5EB0">
              <w:rPr>
                <w:szCs w:val="20"/>
              </w:rPr>
              <w:t>Lorlatinib</w:t>
            </w:r>
          </w:p>
        </w:tc>
        <w:tc>
          <w:tcPr>
            <w:tcW w:w="2050" w:type="dxa"/>
          </w:tcPr>
          <w:p w14:paraId="0FB07BE4" w14:textId="14926087" w:rsidR="004A10A8" w:rsidRPr="000F5EB0" w:rsidRDefault="00D60C23" w:rsidP="004A10A8">
            <w:pPr>
              <w:spacing w:before="100" w:beforeAutospacing="1" w:after="100" w:afterAutospacing="1"/>
              <w:rPr>
                <w:szCs w:val="20"/>
              </w:rPr>
            </w:pPr>
            <w:r>
              <w:rPr>
                <w:szCs w:val="20"/>
              </w:rPr>
              <w:t xml:space="preserve">Clinical trial </w:t>
            </w:r>
            <w:r w:rsidR="004A10A8">
              <w:rPr>
                <w:szCs w:val="20"/>
              </w:rPr>
              <w:t>reported</w:t>
            </w:r>
          </w:p>
        </w:tc>
        <w:tc>
          <w:tcPr>
            <w:tcW w:w="2045" w:type="dxa"/>
          </w:tcPr>
          <w:p w14:paraId="008D9DA4" w14:textId="2780ED57" w:rsidR="004A10A8" w:rsidRPr="000F5EB0" w:rsidRDefault="004A10A8" w:rsidP="004A10A8">
            <w:pPr>
              <w:spacing w:before="100" w:beforeAutospacing="1" w:after="100" w:afterAutospacing="1"/>
              <w:rPr>
                <w:szCs w:val="20"/>
              </w:rPr>
            </w:pPr>
            <w:r w:rsidRPr="000F5EB0">
              <w:rPr>
                <w:szCs w:val="20"/>
              </w:rPr>
              <w:t>Pfizer</w:t>
            </w:r>
          </w:p>
        </w:tc>
      </w:tr>
      <w:tr w:rsidR="004A10A8" w:rsidRPr="000F5EB0" w14:paraId="413D1541" w14:textId="77777777" w:rsidTr="004A10A8">
        <w:trPr>
          <w:trHeight w:val="437"/>
        </w:trPr>
        <w:tc>
          <w:tcPr>
            <w:tcW w:w="2048" w:type="dxa"/>
            <w:vMerge/>
          </w:tcPr>
          <w:p w14:paraId="43DE80D8" w14:textId="77777777" w:rsidR="004A10A8" w:rsidRPr="000F5EB0" w:rsidRDefault="004A10A8" w:rsidP="004A10A8">
            <w:pPr>
              <w:spacing w:before="100" w:beforeAutospacing="1" w:after="100" w:afterAutospacing="1"/>
              <w:rPr>
                <w:szCs w:val="20"/>
              </w:rPr>
            </w:pPr>
          </w:p>
        </w:tc>
        <w:tc>
          <w:tcPr>
            <w:tcW w:w="2144" w:type="dxa"/>
          </w:tcPr>
          <w:p w14:paraId="4A01BB4E" w14:textId="08590200" w:rsidR="004A10A8" w:rsidRPr="000F5EB0" w:rsidRDefault="004A10A8" w:rsidP="004A10A8">
            <w:pPr>
              <w:spacing w:before="100" w:beforeAutospacing="1" w:after="100" w:afterAutospacing="1"/>
              <w:rPr>
                <w:szCs w:val="20"/>
                <w:vertAlign w:val="superscript"/>
              </w:rPr>
            </w:pPr>
            <w:r w:rsidRPr="000F5EB0">
              <w:rPr>
                <w:szCs w:val="20"/>
              </w:rPr>
              <w:t>Cabozantinib</w:t>
            </w:r>
          </w:p>
        </w:tc>
        <w:tc>
          <w:tcPr>
            <w:tcW w:w="2050" w:type="dxa"/>
          </w:tcPr>
          <w:p w14:paraId="3F7B7B33" w14:textId="53CB7DBB" w:rsidR="004A10A8" w:rsidRPr="000F5EB0" w:rsidRDefault="00D60C23" w:rsidP="004A10A8">
            <w:pPr>
              <w:spacing w:before="100" w:beforeAutospacing="1" w:after="100" w:afterAutospacing="1"/>
              <w:rPr>
                <w:szCs w:val="20"/>
              </w:rPr>
            </w:pPr>
            <w:r>
              <w:rPr>
                <w:szCs w:val="20"/>
              </w:rPr>
              <w:t xml:space="preserve">Clinical trial </w:t>
            </w:r>
            <w:r w:rsidR="004A6EF9">
              <w:rPr>
                <w:szCs w:val="20"/>
              </w:rPr>
              <w:t>ongoing</w:t>
            </w:r>
          </w:p>
        </w:tc>
        <w:tc>
          <w:tcPr>
            <w:tcW w:w="2045" w:type="dxa"/>
          </w:tcPr>
          <w:p w14:paraId="7F322186" w14:textId="163455C4" w:rsidR="004A10A8" w:rsidRPr="000F5EB0" w:rsidRDefault="004A10A8" w:rsidP="004A10A8">
            <w:pPr>
              <w:spacing w:before="100" w:beforeAutospacing="1" w:after="100" w:afterAutospacing="1"/>
              <w:rPr>
                <w:szCs w:val="20"/>
              </w:rPr>
            </w:pPr>
            <w:r w:rsidRPr="000F5EB0">
              <w:rPr>
                <w:szCs w:val="20"/>
              </w:rPr>
              <w:t>Exelixis</w:t>
            </w:r>
          </w:p>
        </w:tc>
      </w:tr>
      <w:tr w:rsidR="004A10A8" w:rsidRPr="000F5EB0" w14:paraId="5F9D3E05" w14:textId="77777777" w:rsidTr="0093446E">
        <w:tc>
          <w:tcPr>
            <w:tcW w:w="2048" w:type="dxa"/>
            <w:vMerge/>
          </w:tcPr>
          <w:p w14:paraId="5F6536F4" w14:textId="77777777" w:rsidR="004A10A8" w:rsidRPr="000F5EB0" w:rsidRDefault="004A10A8" w:rsidP="004A10A8">
            <w:pPr>
              <w:spacing w:before="100" w:beforeAutospacing="1" w:after="100" w:afterAutospacing="1"/>
              <w:rPr>
                <w:szCs w:val="20"/>
              </w:rPr>
            </w:pPr>
          </w:p>
        </w:tc>
        <w:tc>
          <w:tcPr>
            <w:tcW w:w="2144" w:type="dxa"/>
          </w:tcPr>
          <w:p w14:paraId="48FA0E66" w14:textId="12A6119F" w:rsidR="004A10A8" w:rsidRPr="000F5EB0" w:rsidRDefault="003178C5" w:rsidP="004A10A8">
            <w:pPr>
              <w:spacing w:before="100" w:beforeAutospacing="1" w:after="100" w:afterAutospacing="1"/>
              <w:rPr>
                <w:szCs w:val="20"/>
              </w:rPr>
            </w:pPr>
            <w:r>
              <w:rPr>
                <w:szCs w:val="20"/>
              </w:rPr>
              <w:t>Rep</w:t>
            </w:r>
            <w:r w:rsidR="000068BE">
              <w:rPr>
                <w:szCs w:val="20"/>
              </w:rPr>
              <w:t>otrectinib</w:t>
            </w:r>
          </w:p>
        </w:tc>
        <w:tc>
          <w:tcPr>
            <w:tcW w:w="2050" w:type="dxa"/>
          </w:tcPr>
          <w:p w14:paraId="3C073E24" w14:textId="0A4DB8BA" w:rsidR="004A10A8" w:rsidRPr="000F5EB0" w:rsidRDefault="00D60C23" w:rsidP="004A10A8">
            <w:pPr>
              <w:spacing w:before="100" w:beforeAutospacing="1" w:after="100" w:afterAutospacing="1"/>
              <w:rPr>
                <w:szCs w:val="20"/>
              </w:rPr>
            </w:pPr>
            <w:r>
              <w:rPr>
                <w:szCs w:val="20"/>
              </w:rPr>
              <w:t>Clinical trial ongoing</w:t>
            </w:r>
          </w:p>
        </w:tc>
        <w:tc>
          <w:tcPr>
            <w:tcW w:w="2045" w:type="dxa"/>
          </w:tcPr>
          <w:p w14:paraId="7CE7B1CF" w14:textId="14E86EAB" w:rsidR="004A10A8" w:rsidRPr="000F5EB0" w:rsidRDefault="000068BE" w:rsidP="004A10A8">
            <w:pPr>
              <w:spacing w:before="100" w:beforeAutospacing="1" w:after="100" w:afterAutospacing="1"/>
              <w:rPr>
                <w:szCs w:val="20"/>
              </w:rPr>
            </w:pPr>
            <w:r>
              <w:rPr>
                <w:szCs w:val="20"/>
              </w:rPr>
              <w:t>Turning Point Therapeutics</w:t>
            </w:r>
          </w:p>
        </w:tc>
      </w:tr>
      <w:tr w:rsidR="004A10A8" w:rsidRPr="000F5EB0" w14:paraId="474FD379" w14:textId="77777777" w:rsidTr="0093446E">
        <w:tc>
          <w:tcPr>
            <w:tcW w:w="2048" w:type="dxa"/>
          </w:tcPr>
          <w:p w14:paraId="72C508AE" w14:textId="4F655716" w:rsidR="004A10A8" w:rsidRPr="000F5EB0" w:rsidRDefault="004A10A8" w:rsidP="004A10A8">
            <w:pPr>
              <w:spacing w:before="100" w:beforeAutospacing="1" w:after="100" w:afterAutospacing="1"/>
              <w:rPr>
                <w:szCs w:val="20"/>
              </w:rPr>
            </w:pPr>
            <w:r w:rsidRPr="000F5EB0">
              <w:rPr>
                <w:szCs w:val="20"/>
              </w:rPr>
              <w:t>BRAF</w:t>
            </w:r>
          </w:p>
        </w:tc>
        <w:tc>
          <w:tcPr>
            <w:tcW w:w="2144" w:type="dxa"/>
          </w:tcPr>
          <w:p w14:paraId="0BEB00E3" w14:textId="7DCACE3D" w:rsidR="004A10A8" w:rsidRPr="000F5EB0" w:rsidRDefault="004A10A8" w:rsidP="004A10A8">
            <w:pPr>
              <w:spacing w:before="100" w:beforeAutospacing="1" w:after="100" w:afterAutospacing="1"/>
              <w:rPr>
                <w:szCs w:val="20"/>
              </w:rPr>
            </w:pPr>
            <w:r w:rsidRPr="000F5EB0">
              <w:rPr>
                <w:szCs w:val="20"/>
              </w:rPr>
              <w:t>Dabfrafenib+trametinib</w:t>
            </w:r>
          </w:p>
        </w:tc>
        <w:tc>
          <w:tcPr>
            <w:tcW w:w="2050" w:type="dxa"/>
          </w:tcPr>
          <w:p w14:paraId="518DB9BD" w14:textId="056E6A4D" w:rsidR="004A10A8" w:rsidRPr="000F5EB0" w:rsidRDefault="00D60C23" w:rsidP="004A10A8">
            <w:pPr>
              <w:spacing w:before="100" w:beforeAutospacing="1" w:after="100" w:afterAutospacing="1"/>
              <w:rPr>
                <w:szCs w:val="20"/>
              </w:rPr>
            </w:pPr>
            <w:r>
              <w:rPr>
                <w:szCs w:val="20"/>
              </w:rPr>
              <w:t>Clinical trial reported (</w:t>
            </w:r>
            <w:r w:rsidR="000D3F99">
              <w:rPr>
                <w:szCs w:val="20"/>
              </w:rPr>
              <w:t xml:space="preserve">TGA </w:t>
            </w:r>
            <w:r>
              <w:rPr>
                <w:szCs w:val="20"/>
              </w:rPr>
              <w:t>approved)</w:t>
            </w:r>
          </w:p>
        </w:tc>
        <w:tc>
          <w:tcPr>
            <w:tcW w:w="2045" w:type="dxa"/>
          </w:tcPr>
          <w:p w14:paraId="451B671E" w14:textId="6D8A3F9D" w:rsidR="004A10A8" w:rsidRPr="000F5EB0" w:rsidRDefault="004A10A8" w:rsidP="004A10A8">
            <w:pPr>
              <w:spacing w:before="100" w:beforeAutospacing="1" w:after="100" w:afterAutospacing="1"/>
              <w:rPr>
                <w:szCs w:val="20"/>
              </w:rPr>
            </w:pPr>
            <w:r w:rsidRPr="000F5EB0">
              <w:rPr>
                <w:szCs w:val="20"/>
              </w:rPr>
              <w:t>Novartis</w:t>
            </w:r>
          </w:p>
        </w:tc>
      </w:tr>
      <w:tr w:rsidR="004A10A8" w:rsidRPr="000F5EB0" w14:paraId="40F3420D" w14:textId="77777777" w:rsidTr="0093446E">
        <w:tc>
          <w:tcPr>
            <w:tcW w:w="2048" w:type="dxa"/>
            <w:vMerge w:val="restart"/>
            <w:vAlign w:val="center"/>
          </w:tcPr>
          <w:p w14:paraId="5592013E" w14:textId="77777777" w:rsidR="004A10A8" w:rsidRPr="000F5EB0" w:rsidRDefault="004A10A8" w:rsidP="004A10A8">
            <w:pPr>
              <w:spacing w:before="100" w:beforeAutospacing="1" w:after="100" w:afterAutospacing="1"/>
              <w:rPr>
                <w:szCs w:val="20"/>
              </w:rPr>
            </w:pPr>
            <w:r w:rsidRPr="000F5EB0">
              <w:rPr>
                <w:szCs w:val="20"/>
              </w:rPr>
              <w:t>RET</w:t>
            </w:r>
          </w:p>
        </w:tc>
        <w:tc>
          <w:tcPr>
            <w:tcW w:w="2144" w:type="dxa"/>
          </w:tcPr>
          <w:p w14:paraId="5D4695E4" w14:textId="77777777" w:rsidR="004A10A8" w:rsidRPr="000F5EB0" w:rsidRDefault="004A10A8" w:rsidP="004A10A8">
            <w:pPr>
              <w:spacing w:before="100" w:beforeAutospacing="1" w:after="100" w:afterAutospacing="1"/>
              <w:rPr>
                <w:szCs w:val="20"/>
              </w:rPr>
            </w:pPr>
            <w:r w:rsidRPr="000F5EB0">
              <w:rPr>
                <w:szCs w:val="20"/>
              </w:rPr>
              <w:t>Cabozantinib</w:t>
            </w:r>
          </w:p>
        </w:tc>
        <w:tc>
          <w:tcPr>
            <w:tcW w:w="2050" w:type="dxa"/>
          </w:tcPr>
          <w:p w14:paraId="77F13B05" w14:textId="6DAFD5CC" w:rsidR="004A10A8" w:rsidRPr="000F5EB0" w:rsidRDefault="00667EC5" w:rsidP="004A10A8">
            <w:pPr>
              <w:spacing w:before="100" w:beforeAutospacing="1" w:after="100" w:afterAutospacing="1"/>
              <w:rPr>
                <w:szCs w:val="20"/>
              </w:rPr>
            </w:pPr>
            <w:r>
              <w:rPr>
                <w:szCs w:val="20"/>
              </w:rPr>
              <w:t>Clinical trial ongoing</w:t>
            </w:r>
          </w:p>
        </w:tc>
        <w:tc>
          <w:tcPr>
            <w:tcW w:w="2045" w:type="dxa"/>
          </w:tcPr>
          <w:p w14:paraId="7C721DEF" w14:textId="77777777" w:rsidR="004A10A8" w:rsidRPr="000F5EB0" w:rsidRDefault="004A10A8" w:rsidP="004A10A8">
            <w:pPr>
              <w:spacing w:before="100" w:beforeAutospacing="1" w:after="100" w:afterAutospacing="1"/>
              <w:rPr>
                <w:szCs w:val="20"/>
              </w:rPr>
            </w:pPr>
            <w:r w:rsidRPr="000F5EB0">
              <w:rPr>
                <w:szCs w:val="20"/>
              </w:rPr>
              <w:t>Exelixis</w:t>
            </w:r>
          </w:p>
        </w:tc>
      </w:tr>
      <w:tr w:rsidR="004A10A8" w:rsidRPr="000F5EB0" w14:paraId="335586AA" w14:textId="77777777" w:rsidTr="0093446E">
        <w:trPr>
          <w:trHeight w:val="285"/>
        </w:trPr>
        <w:tc>
          <w:tcPr>
            <w:tcW w:w="2048" w:type="dxa"/>
            <w:vMerge/>
            <w:noWrap/>
            <w:hideMark/>
          </w:tcPr>
          <w:p w14:paraId="4F39B9AC" w14:textId="77777777" w:rsidR="004A10A8" w:rsidRPr="000F5EB0" w:rsidRDefault="004A10A8" w:rsidP="004A10A8">
            <w:pPr>
              <w:spacing w:before="100" w:beforeAutospacing="1" w:after="100" w:afterAutospacing="1"/>
              <w:rPr>
                <w:szCs w:val="20"/>
              </w:rPr>
            </w:pPr>
          </w:p>
        </w:tc>
        <w:tc>
          <w:tcPr>
            <w:tcW w:w="2144" w:type="dxa"/>
            <w:noWrap/>
            <w:hideMark/>
          </w:tcPr>
          <w:p w14:paraId="7494EA3A" w14:textId="77777777" w:rsidR="004A10A8" w:rsidRPr="000F5EB0" w:rsidRDefault="004A10A8" w:rsidP="004A10A8">
            <w:pPr>
              <w:spacing w:before="100" w:beforeAutospacing="1" w:after="100" w:afterAutospacing="1"/>
              <w:rPr>
                <w:szCs w:val="20"/>
              </w:rPr>
            </w:pPr>
            <w:r w:rsidRPr="000F5EB0">
              <w:rPr>
                <w:szCs w:val="20"/>
              </w:rPr>
              <w:t>Vandetanib</w:t>
            </w:r>
          </w:p>
        </w:tc>
        <w:tc>
          <w:tcPr>
            <w:tcW w:w="2050" w:type="dxa"/>
            <w:noWrap/>
            <w:hideMark/>
          </w:tcPr>
          <w:p w14:paraId="0FEA9EBF" w14:textId="4B249E9A" w:rsidR="004A10A8" w:rsidRPr="000F5EB0" w:rsidRDefault="00667EC5" w:rsidP="004A10A8">
            <w:pPr>
              <w:spacing w:before="100" w:beforeAutospacing="1" w:after="100" w:afterAutospacing="1"/>
              <w:rPr>
                <w:szCs w:val="20"/>
              </w:rPr>
            </w:pPr>
            <w:r>
              <w:rPr>
                <w:szCs w:val="20"/>
              </w:rPr>
              <w:t>Clinical trial ongoing</w:t>
            </w:r>
          </w:p>
        </w:tc>
        <w:tc>
          <w:tcPr>
            <w:tcW w:w="2045" w:type="dxa"/>
            <w:noWrap/>
            <w:hideMark/>
          </w:tcPr>
          <w:p w14:paraId="36D8B99D" w14:textId="77777777" w:rsidR="004A10A8" w:rsidRPr="000F5EB0" w:rsidRDefault="004A10A8" w:rsidP="004A10A8">
            <w:pPr>
              <w:spacing w:before="100" w:beforeAutospacing="1" w:after="100" w:afterAutospacing="1"/>
              <w:rPr>
                <w:szCs w:val="20"/>
              </w:rPr>
            </w:pPr>
            <w:r w:rsidRPr="000F5EB0">
              <w:rPr>
                <w:szCs w:val="20"/>
              </w:rPr>
              <w:t>Astra Zeneca</w:t>
            </w:r>
          </w:p>
        </w:tc>
      </w:tr>
      <w:tr w:rsidR="004A10A8" w:rsidRPr="000F5EB0" w14:paraId="6F5DFB27" w14:textId="77777777" w:rsidTr="0093446E">
        <w:trPr>
          <w:trHeight w:val="285"/>
        </w:trPr>
        <w:tc>
          <w:tcPr>
            <w:tcW w:w="2048" w:type="dxa"/>
            <w:vMerge w:val="restart"/>
            <w:noWrap/>
            <w:vAlign w:val="center"/>
            <w:hideMark/>
          </w:tcPr>
          <w:p w14:paraId="731BFE4C" w14:textId="77777777" w:rsidR="004A10A8" w:rsidRPr="000F5EB0" w:rsidRDefault="004A10A8" w:rsidP="004A10A8">
            <w:pPr>
              <w:spacing w:before="100" w:beforeAutospacing="1" w:after="100" w:afterAutospacing="1"/>
              <w:rPr>
                <w:szCs w:val="20"/>
              </w:rPr>
            </w:pPr>
            <w:r w:rsidRPr="000F5EB0">
              <w:rPr>
                <w:szCs w:val="20"/>
              </w:rPr>
              <w:t>NTRK</w:t>
            </w:r>
          </w:p>
        </w:tc>
        <w:tc>
          <w:tcPr>
            <w:tcW w:w="2144" w:type="dxa"/>
            <w:noWrap/>
            <w:hideMark/>
          </w:tcPr>
          <w:p w14:paraId="13F7A1F2" w14:textId="0C950514" w:rsidR="004A10A8" w:rsidRPr="000F5EB0" w:rsidRDefault="004A10A8" w:rsidP="004A10A8">
            <w:pPr>
              <w:spacing w:before="100" w:beforeAutospacing="1" w:after="100" w:afterAutospacing="1"/>
              <w:rPr>
                <w:szCs w:val="20"/>
                <w:vertAlign w:val="superscript"/>
              </w:rPr>
            </w:pPr>
            <w:r w:rsidRPr="000F5EB0">
              <w:rPr>
                <w:szCs w:val="20"/>
              </w:rPr>
              <w:t>Entrectinib</w:t>
            </w:r>
            <w:r w:rsidR="003736C6" w:rsidRPr="009C698E">
              <w:rPr>
                <w:szCs w:val="20"/>
                <w:vertAlign w:val="superscript"/>
              </w:rPr>
              <w:t>a</w:t>
            </w:r>
          </w:p>
        </w:tc>
        <w:tc>
          <w:tcPr>
            <w:tcW w:w="2050" w:type="dxa"/>
            <w:noWrap/>
            <w:hideMark/>
          </w:tcPr>
          <w:p w14:paraId="1E0C8FF7" w14:textId="77F0BE3F" w:rsidR="004A10A8" w:rsidRPr="000F5EB0" w:rsidRDefault="00667EC5" w:rsidP="004A10A8">
            <w:pPr>
              <w:spacing w:before="100" w:beforeAutospacing="1" w:after="100" w:afterAutospacing="1"/>
              <w:rPr>
                <w:szCs w:val="20"/>
              </w:rPr>
            </w:pPr>
            <w:r>
              <w:rPr>
                <w:szCs w:val="20"/>
              </w:rPr>
              <w:t xml:space="preserve">Clinical trial </w:t>
            </w:r>
            <w:r w:rsidR="00834643">
              <w:rPr>
                <w:szCs w:val="20"/>
              </w:rPr>
              <w:t>reported</w:t>
            </w:r>
          </w:p>
        </w:tc>
        <w:tc>
          <w:tcPr>
            <w:tcW w:w="2045" w:type="dxa"/>
            <w:noWrap/>
            <w:hideMark/>
          </w:tcPr>
          <w:p w14:paraId="62FBC268" w14:textId="77777777" w:rsidR="004A10A8" w:rsidRPr="000F5EB0" w:rsidRDefault="004A10A8" w:rsidP="004A10A8">
            <w:pPr>
              <w:spacing w:before="100" w:beforeAutospacing="1" w:after="100" w:afterAutospacing="1"/>
              <w:rPr>
                <w:szCs w:val="20"/>
              </w:rPr>
            </w:pPr>
            <w:r w:rsidRPr="000F5EB0">
              <w:rPr>
                <w:szCs w:val="20"/>
              </w:rPr>
              <w:t>Roche</w:t>
            </w:r>
          </w:p>
        </w:tc>
      </w:tr>
      <w:tr w:rsidR="004A10A8" w:rsidRPr="000F5EB0" w14:paraId="45692950" w14:textId="77777777" w:rsidTr="0093446E">
        <w:trPr>
          <w:trHeight w:val="285"/>
        </w:trPr>
        <w:tc>
          <w:tcPr>
            <w:tcW w:w="2048" w:type="dxa"/>
            <w:vMerge/>
            <w:noWrap/>
            <w:hideMark/>
          </w:tcPr>
          <w:p w14:paraId="0378EC2D" w14:textId="77777777" w:rsidR="004A10A8" w:rsidRPr="000F5EB0" w:rsidRDefault="004A10A8" w:rsidP="004A10A8">
            <w:pPr>
              <w:spacing w:before="100" w:beforeAutospacing="1" w:after="100" w:afterAutospacing="1"/>
              <w:rPr>
                <w:szCs w:val="20"/>
              </w:rPr>
            </w:pPr>
          </w:p>
        </w:tc>
        <w:tc>
          <w:tcPr>
            <w:tcW w:w="2144" w:type="dxa"/>
            <w:noWrap/>
            <w:hideMark/>
          </w:tcPr>
          <w:p w14:paraId="51092821" w14:textId="64C44427" w:rsidR="004A10A8" w:rsidRPr="000F5EB0" w:rsidRDefault="004A10A8" w:rsidP="004A10A8">
            <w:pPr>
              <w:spacing w:before="100" w:beforeAutospacing="1" w:after="100" w:afterAutospacing="1"/>
              <w:rPr>
                <w:szCs w:val="20"/>
                <w:vertAlign w:val="superscript"/>
              </w:rPr>
            </w:pPr>
            <w:r w:rsidRPr="000F5EB0">
              <w:rPr>
                <w:szCs w:val="20"/>
              </w:rPr>
              <w:t>Larotrectinib</w:t>
            </w:r>
            <w:r w:rsidR="003736C6" w:rsidRPr="003736C6">
              <w:rPr>
                <w:szCs w:val="20"/>
                <w:vertAlign w:val="superscript"/>
              </w:rPr>
              <w:t>a</w:t>
            </w:r>
          </w:p>
        </w:tc>
        <w:tc>
          <w:tcPr>
            <w:tcW w:w="2050" w:type="dxa"/>
            <w:noWrap/>
            <w:hideMark/>
          </w:tcPr>
          <w:p w14:paraId="67555327" w14:textId="69BF7284" w:rsidR="004A10A8" w:rsidRPr="000F5EB0" w:rsidRDefault="00A53D50" w:rsidP="004A10A8">
            <w:pPr>
              <w:spacing w:before="100" w:beforeAutospacing="1" w:after="100" w:afterAutospacing="1"/>
              <w:rPr>
                <w:szCs w:val="20"/>
              </w:rPr>
            </w:pPr>
            <w:r>
              <w:rPr>
                <w:szCs w:val="20"/>
              </w:rPr>
              <w:t>Submitted to MSAC for PICO development</w:t>
            </w:r>
          </w:p>
        </w:tc>
        <w:tc>
          <w:tcPr>
            <w:tcW w:w="2045" w:type="dxa"/>
            <w:noWrap/>
            <w:hideMark/>
          </w:tcPr>
          <w:p w14:paraId="4F63DEDA" w14:textId="11E13217" w:rsidR="004A10A8" w:rsidRPr="000F5EB0" w:rsidRDefault="004A10A8" w:rsidP="004A10A8">
            <w:pPr>
              <w:spacing w:before="100" w:beforeAutospacing="1" w:after="100" w:afterAutospacing="1"/>
              <w:rPr>
                <w:szCs w:val="20"/>
              </w:rPr>
            </w:pPr>
            <w:r w:rsidRPr="000F5EB0">
              <w:rPr>
                <w:szCs w:val="20"/>
              </w:rPr>
              <w:t>Loxo Oncology</w:t>
            </w:r>
            <w:r w:rsidR="00A71CD0">
              <w:rPr>
                <w:szCs w:val="20"/>
              </w:rPr>
              <w:t>/Bayer</w:t>
            </w:r>
          </w:p>
        </w:tc>
      </w:tr>
      <w:tr w:rsidR="00EB4B0A" w:rsidRPr="000F5EB0" w14:paraId="3FCE396C" w14:textId="77777777" w:rsidTr="003736C6">
        <w:trPr>
          <w:trHeight w:val="285"/>
        </w:trPr>
        <w:tc>
          <w:tcPr>
            <w:tcW w:w="2048" w:type="dxa"/>
            <w:noWrap/>
            <w:hideMark/>
          </w:tcPr>
          <w:p w14:paraId="6E62ACEA" w14:textId="77777777" w:rsidR="00EB4B0A" w:rsidRPr="000F5EB0" w:rsidRDefault="00EB4B0A" w:rsidP="00EB4B0A">
            <w:pPr>
              <w:spacing w:before="100" w:beforeAutospacing="1" w:after="100" w:afterAutospacing="1"/>
              <w:rPr>
                <w:szCs w:val="20"/>
              </w:rPr>
            </w:pPr>
            <w:r w:rsidRPr="000F5EB0">
              <w:rPr>
                <w:szCs w:val="20"/>
              </w:rPr>
              <w:t>MET</w:t>
            </w:r>
          </w:p>
        </w:tc>
        <w:tc>
          <w:tcPr>
            <w:tcW w:w="2144" w:type="dxa"/>
            <w:noWrap/>
            <w:hideMark/>
          </w:tcPr>
          <w:p w14:paraId="5A907874" w14:textId="77777777" w:rsidR="00EB4B0A" w:rsidRPr="000F5EB0" w:rsidRDefault="00EB4B0A" w:rsidP="00EB4B0A">
            <w:pPr>
              <w:spacing w:before="100" w:beforeAutospacing="1" w:after="100" w:afterAutospacing="1"/>
              <w:rPr>
                <w:szCs w:val="20"/>
              </w:rPr>
            </w:pPr>
            <w:r w:rsidRPr="000F5EB0">
              <w:rPr>
                <w:szCs w:val="20"/>
              </w:rPr>
              <w:t>Cabozantinib</w:t>
            </w:r>
          </w:p>
        </w:tc>
        <w:tc>
          <w:tcPr>
            <w:tcW w:w="2050" w:type="dxa"/>
            <w:noWrap/>
          </w:tcPr>
          <w:p w14:paraId="7369E642" w14:textId="4F50D0DA" w:rsidR="00EB4B0A" w:rsidRPr="000F5EB0" w:rsidRDefault="00E84592" w:rsidP="00EB4B0A">
            <w:pPr>
              <w:spacing w:before="100" w:beforeAutospacing="1" w:after="100" w:afterAutospacing="1"/>
              <w:rPr>
                <w:szCs w:val="20"/>
              </w:rPr>
            </w:pPr>
            <w:r>
              <w:rPr>
                <w:szCs w:val="20"/>
              </w:rPr>
              <w:t>Clinical trial ongoing</w:t>
            </w:r>
          </w:p>
        </w:tc>
        <w:tc>
          <w:tcPr>
            <w:tcW w:w="2045" w:type="dxa"/>
            <w:noWrap/>
            <w:hideMark/>
          </w:tcPr>
          <w:p w14:paraId="40B3764D" w14:textId="77777777" w:rsidR="00EB4B0A" w:rsidRPr="000F5EB0" w:rsidRDefault="00EB4B0A" w:rsidP="00EB4B0A">
            <w:pPr>
              <w:spacing w:before="100" w:beforeAutospacing="1" w:after="100" w:afterAutospacing="1"/>
              <w:rPr>
                <w:szCs w:val="20"/>
              </w:rPr>
            </w:pPr>
            <w:r w:rsidRPr="000F5EB0">
              <w:rPr>
                <w:szCs w:val="20"/>
              </w:rPr>
              <w:t>Exelixis</w:t>
            </w:r>
          </w:p>
        </w:tc>
      </w:tr>
      <w:tr w:rsidR="003736C6" w:rsidRPr="000F5EB0" w14:paraId="01E464B9" w14:textId="77777777" w:rsidTr="0093446E">
        <w:trPr>
          <w:trHeight w:val="285"/>
        </w:trPr>
        <w:tc>
          <w:tcPr>
            <w:tcW w:w="2048" w:type="dxa"/>
            <w:noWrap/>
          </w:tcPr>
          <w:p w14:paraId="35BE400F" w14:textId="7DF45D90" w:rsidR="003736C6" w:rsidRPr="000F5EB0" w:rsidRDefault="003736C6" w:rsidP="003736C6">
            <w:pPr>
              <w:spacing w:before="100" w:beforeAutospacing="1" w:after="100" w:afterAutospacing="1"/>
              <w:rPr>
                <w:szCs w:val="20"/>
              </w:rPr>
            </w:pPr>
            <w:r w:rsidRPr="000F5EB0">
              <w:rPr>
                <w:szCs w:val="20"/>
              </w:rPr>
              <w:t>HER2</w:t>
            </w:r>
            <w:r w:rsidR="00430447">
              <w:rPr>
                <w:szCs w:val="20"/>
              </w:rPr>
              <w:t xml:space="preserve"> (ERB2)</w:t>
            </w:r>
          </w:p>
        </w:tc>
        <w:tc>
          <w:tcPr>
            <w:tcW w:w="2144" w:type="dxa"/>
            <w:noWrap/>
          </w:tcPr>
          <w:p w14:paraId="5EAC4595" w14:textId="6B152825" w:rsidR="003736C6" w:rsidRPr="0074249E" w:rsidRDefault="003736C6" w:rsidP="003736C6">
            <w:pPr>
              <w:spacing w:before="100" w:beforeAutospacing="1" w:after="100" w:afterAutospacing="1"/>
              <w:rPr>
                <w:szCs w:val="20"/>
                <w:vertAlign w:val="superscript"/>
              </w:rPr>
            </w:pPr>
            <w:r>
              <w:rPr>
                <w:szCs w:val="20"/>
              </w:rPr>
              <w:t>Ado-trastuzumab emtansine</w:t>
            </w:r>
            <w:r w:rsidR="0074249E">
              <w:rPr>
                <w:szCs w:val="20"/>
                <w:vertAlign w:val="superscript"/>
              </w:rPr>
              <w:t>a</w:t>
            </w:r>
          </w:p>
        </w:tc>
        <w:tc>
          <w:tcPr>
            <w:tcW w:w="2050" w:type="dxa"/>
            <w:noWrap/>
          </w:tcPr>
          <w:p w14:paraId="11F63F92" w14:textId="4B02A353" w:rsidR="003736C6" w:rsidRPr="000F5EB0" w:rsidRDefault="003736C6" w:rsidP="003736C6">
            <w:pPr>
              <w:spacing w:before="100" w:beforeAutospacing="1" w:after="100" w:afterAutospacing="1"/>
              <w:rPr>
                <w:szCs w:val="20"/>
              </w:rPr>
            </w:pPr>
            <w:r>
              <w:rPr>
                <w:szCs w:val="20"/>
              </w:rPr>
              <w:t>Clinical trial ongoing</w:t>
            </w:r>
          </w:p>
        </w:tc>
        <w:tc>
          <w:tcPr>
            <w:tcW w:w="2045" w:type="dxa"/>
            <w:noWrap/>
          </w:tcPr>
          <w:p w14:paraId="2EF180BB" w14:textId="47AFFDFF" w:rsidR="003736C6" w:rsidRPr="000F5EB0" w:rsidRDefault="003736C6" w:rsidP="003736C6">
            <w:pPr>
              <w:spacing w:before="100" w:beforeAutospacing="1" w:after="100" w:afterAutospacing="1"/>
              <w:rPr>
                <w:szCs w:val="20"/>
              </w:rPr>
            </w:pPr>
            <w:r>
              <w:rPr>
                <w:szCs w:val="20"/>
              </w:rPr>
              <w:t>Roche</w:t>
            </w:r>
          </w:p>
        </w:tc>
      </w:tr>
    </w:tbl>
    <w:p w14:paraId="45ABEDF4" w14:textId="1ED8FAEC" w:rsidR="00B8404E" w:rsidRPr="000F5EB0" w:rsidRDefault="003736C6" w:rsidP="00B8404E">
      <w:pPr>
        <w:rPr>
          <w:sz w:val="18"/>
          <w:szCs w:val="18"/>
        </w:rPr>
      </w:pPr>
      <w:r>
        <w:rPr>
          <w:sz w:val="18"/>
          <w:szCs w:val="18"/>
        </w:rPr>
        <w:t>a</w:t>
      </w:r>
      <w:r w:rsidR="00B8404E" w:rsidRPr="000F5EB0">
        <w:rPr>
          <w:sz w:val="18"/>
          <w:szCs w:val="18"/>
        </w:rPr>
        <w:t>: ‘Basket’ trial of solid tumours including NSCLC</w:t>
      </w:r>
    </w:p>
    <w:p w14:paraId="065867AC" w14:textId="277E7570" w:rsidR="008E1FD1" w:rsidRDefault="0045554E" w:rsidP="00810F30">
      <w:pPr>
        <w:spacing w:before="100" w:beforeAutospacing="1" w:after="100" w:afterAutospacing="1"/>
        <w:ind w:left="426"/>
        <w:rPr>
          <w:szCs w:val="20"/>
        </w:rPr>
      </w:pPr>
      <w:r>
        <w:rPr>
          <w:szCs w:val="20"/>
        </w:rPr>
        <w:t xml:space="preserve">Many of the </w:t>
      </w:r>
      <w:r w:rsidR="00D51B02">
        <w:rPr>
          <w:szCs w:val="20"/>
        </w:rPr>
        <w:t>c</w:t>
      </w:r>
      <w:r>
        <w:rPr>
          <w:szCs w:val="20"/>
        </w:rPr>
        <w:t xml:space="preserve">ommercially available NGS assays </w:t>
      </w:r>
      <w:r w:rsidR="00D51B02">
        <w:rPr>
          <w:szCs w:val="20"/>
        </w:rPr>
        <w:t xml:space="preserve">are able to </w:t>
      </w:r>
      <w:r w:rsidR="00B8404E" w:rsidRPr="000F5EB0">
        <w:rPr>
          <w:szCs w:val="20"/>
        </w:rPr>
        <w:t>test for</w:t>
      </w:r>
      <w:r w:rsidR="00D77B10">
        <w:rPr>
          <w:szCs w:val="20"/>
        </w:rPr>
        <w:t xml:space="preserve"> </w:t>
      </w:r>
      <w:r w:rsidR="00E25175">
        <w:rPr>
          <w:szCs w:val="20"/>
        </w:rPr>
        <w:t xml:space="preserve">BRAF, </w:t>
      </w:r>
      <w:r w:rsidR="00B8404E" w:rsidRPr="000F5EB0">
        <w:rPr>
          <w:szCs w:val="20"/>
        </w:rPr>
        <w:t xml:space="preserve">RET, NTRK, </w:t>
      </w:r>
      <w:r w:rsidR="009B339A">
        <w:rPr>
          <w:szCs w:val="20"/>
        </w:rPr>
        <w:t xml:space="preserve">and </w:t>
      </w:r>
      <w:r w:rsidR="00B8404E" w:rsidRPr="000F5EB0">
        <w:rPr>
          <w:szCs w:val="20"/>
        </w:rPr>
        <w:t xml:space="preserve">MET </w:t>
      </w:r>
      <w:r w:rsidR="003C53AF">
        <w:rPr>
          <w:szCs w:val="20"/>
        </w:rPr>
        <w:t>genomic alterations</w:t>
      </w:r>
      <w:r w:rsidR="00C51FBD">
        <w:rPr>
          <w:szCs w:val="20"/>
        </w:rPr>
        <w:t xml:space="preserve"> </w:t>
      </w:r>
      <w:r w:rsidR="00B8404E" w:rsidRPr="000F5EB0">
        <w:rPr>
          <w:szCs w:val="20"/>
        </w:rPr>
        <w:t xml:space="preserve">on the same tumour tissue and at the same time as </w:t>
      </w:r>
      <w:r w:rsidR="00C51FBD" w:rsidRPr="000F5EB0">
        <w:rPr>
          <w:szCs w:val="20"/>
        </w:rPr>
        <w:t>testing</w:t>
      </w:r>
      <w:r w:rsidR="00C51FBD">
        <w:rPr>
          <w:szCs w:val="20"/>
        </w:rPr>
        <w:t xml:space="preserve"> for</w:t>
      </w:r>
      <w:r w:rsidR="00C51FBD" w:rsidRPr="000F5EB0">
        <w:rPr>
          <w:szCs w:val="20"/>
        </w:rPr>
        <w:t xml:space="preserve"> </w:t>
      </w:r>
      <w:r w:rsidR="00B8404E" w:rsidRPr="000F5EB0">
        <w:rPr>
          <w:szCs w:val="20"/>
        </w:rPr>
        <w:t>EGFR</w:t>
      </w:r>
      <w:r w:rsidR="00C51FBD">
        <w:rPr>
          <w:szCs w:val="20"/>
        </w:rPr>
        <w:t>,</w:t>
      </w:r>
      <w:r w:rsidR="0059241A">
        <w:rPr>
          <w:szCs w:val="20"/>
        </w:rPr>
        <w:t xml:space="preserve"> </w:t>
      </w:r>
      <w:r w:rsidR="00B8404E" w:rsidRPr="000F5EB0">
        <w:rPr>
          <w:szCs w:val="20"/>
        </w:rPr>
        <w:t xml:space="preserve">ALK </w:t>
      </w:r>
      <w:r w:rsidR="00C51FBD">
        <w:rPr>
          <w:szCs w:val="20"/>
        </w:rPr>
        <w:t xml:space="preserve">and ROS1 </w:t>
      </w:r>
      <w:r w:rsidR="003C53AF">
        <w:rPr>
          <w:szCs w:val="20"/>
        </w:rPr>
        <w:t>alterations</w:t>
      </w:r>
      <w:r w:rsidR="00B72014" w:rsidRPr="000F5EB0">
        <w:rPr>
          <w:szCs w:val="20"/>
        </w:rPr>
        <w:t>.</w:t>
      </w:r>
      <w:r w:rsidR="00B8404E" w:rsidRPr="000F5EB0">
        <w:rPr>
          <w:szCs w:val="20"/>
        </w:rPr>
        <w:t xml:space="preserve"> As such, </w:t>
      </w:r>
      <w:r w:rsidR="005C2F06">
        <w:rPr>
          <w:szCs w:val="20"/>
        </w:rPr>
        <w:t xml:space="preserve">NGS </w:t>
      </w:r>
      <w:r w:rsidR="00D454F6">
        <w:rPr>
          <w:szCs w:val="20"/>
        </w:rPr>
        <w:t xml:space="preserve">assays </w:t>
      </w:r>
      <w:r w:rsidR="0059241A">
        <w:rPr>
          <w:szCs w:val="20"/>
        </w:rPr>
        <w:t xml:space="preserve">have </w:t>
      </w:r>
      <w:r w:rsidR="00B8404E" w:rsidRPr="000F5EB0">
        <w:rPr>
          <w:szCs w:val="20"/>
        </w:rPr>
        <w:t xml:space="preserve">the ability to offer a ‘future proof’ biomarker assay for a wide range of targeted therapies for lung cancer which may be considered by the PBAC in the </w:t>
      </w:r>
      <w:r w:rsidR="00A53D50" w:rsidRPr="000F5EB0">
        <w:rPr>
          <w:szCs w:val="20"/>
        </w:rPr>
        <w:t>near</w:t>
      </w:r>
      <w:r w:rsidR="00B8404E" w:rsidRPr="000F5EB0">
        <w:rPr>
          <w:szCs w:val="20"/>
        </w:rPr>
        <w:t xml:space="preserve"> future.</w:t>
      </w:r>
    </w:p>
    <w:p w14:paraId="6FD4802E" w14:textId="2A14DF06" w:rsidR="00B8404E" w:rsidRPr="000F5EB0" w:rsidRDefault="00B8404E" w:rsidP="00810F30">
      <w:pPr>
        <w:spacing w:before="100" w:beforeAutospacing="1" w:after="100" w:afterAutospacing="1"/>
        <w:ind w:left="426"/>
        <w:rPr>
          <w:szCs w:val="20"/>
        </w:rPr>
      </w:pPr>
      <w:r w:rsidRPr="000F5EB0">
        <w:rPr>
          <w:szCs w:val="20"/>
        </w:rPr>
        <w:t xml:space="preserve">The simultaneous assessment of </w:t>
      </w:r>
      <w:r w:rsidR="008E1FD1">
        <w:rPr>
          <w:szCs w:val="20"/>
        </w:rPr>
        <w:t xml:space="preserve">multiple molecular </w:t>
      </w:r>
      <w:r w:rsidRPr="000F5EB0">
        <w:rPr>
          <w:szCs w:val="20"/>
        </w:rPr>
        <w:t xml:space="preserve">biomarkers by </w:t>
      </w:r>
      <w:r w:rsidR="0040640E">
        <w:rPr>
          <w:szCs w:val="20"/>
        </w:rPr>
        <w:t xml:space="preserve">NGS </w:t>
      </w:r>
      <w:r w:rsidR="00F277BF" w:rsidRPr="000F5EB0">
        <w:rPr>
          <w:szCs w:val="20"/>
        </w:rPr>
        <w:t>assay</w:t>
      </w:r>
      <w:r w:rsidR="008E1FD1">
        <w:rPr>
          <w:szCs w:val="20"/>
        </w:rPr>
        <w:t>s</w:t>
      </w:r>
      <w:r w:rsidR="00F277BF" w:rsidRPr="000F5EB0">
        <w:rPr>
          <w:szCs w:val="20"/>
        </w:rPr>
        <w:t xml:space="preserve"> </w:t>
      </w:r>
      <w:r w:rsidR="008E1FD1">
        <w:rPr>
          <w:szCs w:val="20"/>
        </w:rPr>
        <w:t xml:space="preserve">also </w:t>
      </w:r>
      <w:r w:rsidRPr="000F5EB0">
        <w:rPr>
          <w:szCs w:val="20"/>
        </w:rPr>
        <w:t>help</w:t>
      </w:r>
      <w:r w:rsidR="00721B2C">
        <w:rPr>
          <w:szCs w:val="20"/>
        </w:rPr>
        <w:t>s to</w:t>
      </w:r>
      <w:r w:rsidRPr="000F5EB0">
        <w:rPr>
          <w:szCs w:val="20"/>
        </w:rPr>
        <w:t xml:space="preserve"> preserve biopsy material and </w:t>
      </w:r>
      <w:r w:rsidR="00721B2C" w:rsidRPr="000F5EB0">
        <w:rPr>
          <w:szCs w:val="20"/>
        </w:rPr>
        <w:t>ha</w:t>
      </w:r>
      <w:r w:rsidR="00721B2C">
        <w:rPr>
          <w:szCs w:val="20"/>
        </w:rPr>
        <w:t>s</w:t>
      </w:r>
      <w:r w:rsidR="00721B2C" w:rsidRPr="000F5EB0">
        <w:rPr>
          <w:szCs w:val="20"/>
        </w:rPr>
        <w:t xml:space="preserve"> </w:t>
      </w:r>
      <w:r w:rsidRPr="000F5EB0">
        <w:rPr>
          <w:szCs w:val="20"/>
        </w:rPr>
        <w:t>the potential to reduce re-biopsy procedures when the original sample is insufficient or depleted.</w:t>
      </w:r>
    </w:p>
    <w:p w14:paraId="540BE8D5" w14:textId="2B58109F" w:rsidR="00331734" w:rsidRDefault="00B8404E" w:rsidP="00810F30">
      <w:pPr>
        <w:spacing w:before="100" w:beforeAutospacing="1" w:after="100" w:afterAutospacing="1"/>
        <w:ind w:left="426"/>
        <w:rPr>
          <w:szCs w:val="20"/>
        </w:rPr>
      </w:pPr>
      <w:r w:rsidRPr="000F5EB0">
        <w:rPr>
          <w:szCs w:val="20"/>
        </w:rPr>
        <w:t>Th</w:t>
      </w:r>
      <w:r w:rsidR="00A048B4">
        <w:rPr>
          <w:szCs w:val="20"/>
        </w:rPr>
        <w:t xml:space="preserve">e Applicant </w:t>
      </w:r>
      <w:r w:rsidRPr="000F5EB0">
        <w:rPr>
          <w:szCs w:val="20"/>
        </w:rPr>
        <w:t>is seeking that the</w:t>
      </w:r>
      <w:r w:rsidR="00132489">
        <w:rPr>
          <w:szCs w:val="20"/>
        </w:rPr>
        <w:t xml:space="preserve"> </w:t>
      </w:r>
      <w:r w:rsidR="0096705B">
        <w:rPr>
          <w:szCs w:val="20"/>
        </w:rPr>
        <w:t xml:space="preserve">CGP using NGS assays </w:t>
      </w:r>
      <w:r w:rsidR="00132489">
        <w:rPr>
          <w:szCs w:val="20"/>
        </w:rPr>
        <w:t>be</w:t>
      </w:r>
      <w:r w:rsidRPr="000F5EB0">
        <w:rPr>
          <w:szCs w:val="20"/>
        </w:rPr>
        <w:t xml:space="preserve"> assessed as a ‘treatment agnostic’ </w:t>
      </w:r>
      <w:r w:rsidR="009A1802">
        <w:rPr>
          <w:szCs w:val="20"/>
        </w:rPr>
        <w:t>t</w:t>
      </w:r>
      <w:r w:rsidR="0055630E">
        <w:rPr>
          <w:szCs w:val="20"/>
        </w:rPr>
        <w:t>esting</w:t>
      </w:r>
      <w:r w:rsidR="009A1802">
        <w:rPr>
          <w:szCs w:val="20"/>
        </w:rPr>
        <w:t xml:space="preserve"> method</w:t>
      </w:r>
      <w:r w:rsidR="003D5AB5">
        <w:rPr>
          <w:szCs w:val="20"/>
        </w:rPr>
        <w:t xml:space="preserve">ology </w:t>
      </w:r>
      <w:r w:rsidRPr="000F5EB0">
        <w:rPr>
          <w:szCs w:val="20"/>
        </w:rPr>
        <w:t xml:space="preserve">for </w:t>
      </w:r>
      <w:r w:rsidR="005F1BAA">
        <w:rPr>
          <w:szCs w:val="20"/>
        </w:rPr>
        <w:t xml:space="preserve">NSCLC </w:t>
      </w:r>
      <w:r w:rsidRPr="000F5EB0">
        <w:rPr>
          <w:szCs w:val="20"/>
        </w:rPr>
        <w:t xml:space="preserve">patients, i.e. the results of </w:t>
      </w:r>
      <w:r w:rsidR="00F52B2E">
        <w:rPr>
          <w:szCs w:val="20"/>
        </w:rPr>
        <w:t xml:space="preserve">testing </w:t>
      </w:r>
      <w:r w:rsidRPr="000F5EB0">
        <w:rPr>
          <w:szCs w:val="20"/>
        </w:rPr>
        <w:t xml:space="preserve">may be used to identify patients eligible to access </w:t>
      </w:r>
      <w:r w:rsidRPr="000F5EB0">
        <w:rPr>
          <w:szCs w:val="20"/>
          <w:u w:val="single"/>
        </w:rPr>
        <w:t>all</w:t>
      </w:r>
      <w:r w:rsidRPr="000F5EB0">
        <w:rPr>
          <w:szCs w:val="20"/>
        </w:rPr>
        <w:t xml:space="preserve"> lung cancer treatments</w:t>
      </w:r>
      <w:r w:rsidR="00141D12">
        <w:rPr>
          <w:szCs w:val="20"/>
        </w:rPr>
        <w:t xml:space="preserve"> targeting </w:t>
      </w:r>
      <w:r w:rsidR="002C7146">
        <w:rPr>
          <w:szCs w:val="20"/>
        </w:rPr>
        <w:t>a molecular alteration</w:t>
      </w:r>
      <w:r w:rsidRPr="000F5EB0">
        <w:rPr>
          <w:szCs w:val="20"/>
        </w:rPr>
        <w:t xml:space="preserve"> currently listed on the PBS.</w:t>
      </w:r>
    </w:p>
    <w:p w14:paraId="032601C1" w14:textId="54D189FB" w:rsidR="00331734" w:rsidRDefault="00F21F19" w:rsidP="00810F30">
      <w:pPr>
        <w:spacing w:before="100" w:beforeAutospacing="1" w:after="100" w:afterAutospacing="1"/>
        <w:ind w:left="426"/>
        <w:rPr>
          <w:szCs w:val="20"/>
        </w:rPr>
      </w:pPr>
      <w:r>
        <w:rPr>
          <w:szCs w:val="20"/>
        </w:rPr>
        <w:t>As outlined in the ‘IVD companion diagnostics</w:t>
      </w:r>
      <w:r w:rsidR="005B3C62">
        <w:rPr>
          <w:szCs w:val="20"/>
        </w:rPr>
        <w:t>, Guidance on regulatory requirement</w:t>
      </w:r>
      <w:r w:rsidR="00C63BE1">
        <w:rPr>
          <w:szCs w:val="20"/>
        </w:rPr>
        <w:t>s</w:t>
      </w:r>
      <w:r w:rsidR="00AD6CF5">
        <w:rPr>
          <w:szCs w:val="20"/>
        </w:rPr>
        <w:t xml:space="preserve"> (Version 1.1, February 2020)</w:t>
      </w:r>
      <w:r w:rsidR="00327CDE">
        <w:rPr>
          <w:szCs w:val="20"/>
        </w:rPr>
        <w:t xml:space="preserve"> document published by the TGA, </w:t>
      </w:r>
      <w:r w:rsidR="002A53A5">
        <w:rPr>
          <w:szCs w:val="20"/>
        </w:rPr>
        <w:t>“</w:t>
      </w:r>
      <w:r w:rsidR="00191C54">
        <w:rPr>
          <w:szCs w:val="20"/>
        </w:rPr>
        <w:t xml:space="preserve">the </w:t>
      </w:r>
      <w:r w:rsidR="00707A4D">
        <w:rPr>
          <w:szCs w:val="20"/>
        </w:rPr>
        <w:t>TGA will review an application for an IVD companion diagnosti</w:t>
      </w:r>
      <w:r w:rsidR="00FF1AAF">
        <w:rPr>
          <w:szCs w:val="20"/>
        </w:rPr>
        <w:t xml:space="preserve">c within the context of, and </w:t>
      </w:r>
      <w:r w:rsidR="00F21473">
        <w:rPr>
          <w:szCs w:val="20"/>
        </w:rPr>
        <w:t xml:space="preserve">in conjunction with, </w:t>
      </w:r>
      <w:r w:rsidR="00F50291">
        <w:rPr>
          <w:szCs w:val="20"/>
        </w:rPr>
        <w:t xml:space="preserve">is corresponding medicine or biological </w:t>
      </w:r>
      <w:r w:rsidR="00A91972">
        <w:rPr>
          <w:szCs w:val="20"/>
        </w:rPr>
        <w:t>to en</w:t>
      </w:r>
      <w:r w:rsidR="002A53A5">
        <w:rPr>
          <w:szCs w:val="20"/>
        </w:rPr>
        <w:t>s</w:t>
      </w:r>
      <w:r w:rsidR="00A91972">
        <w:rPr>
          <w:szCs w:val="20"/>
        </w:rPr>
        <w:t xml:space="preserve">ure a comprehensive evaluation of the benefits and associated risks of the therapeutic </w:t>
      </w:r>
      <w:r w:rsidR="0068019C">
        <w:rPr>
          <w:szCs w:val="20"/>
        </w:rPr>
        <w:t xml:space="preserve">goods when used for their intended purpose </w:t>
      </w:r>
      <w:r w:rsidR="00922A0E">
        <w:rPr>
          <w:szCs w:val="20"/>
        </w:rPr>
        <w:t>and indication</w:t>
      </w:r>
      <w:r w:rsidR="00A46ACD">
        <w:rPr>
          <w:szCs w:val="20"/>
        </w:rPr>
        <w:t>.”</w:t>
      </w:r>
      <w:r w:rsidR="00922A0E">
        <w:rPr>
          <w:szCs w:val="20"/>
        </w:rPr>
        <w:t xml:space="preserve"> (p. 10)</w:t>
      </w:r>
      <w:r w:rsidR="007B733C">
        <w:rPr>
          <w:szCs w:val="20"/>
        </w:rPr>
        <w:t xml:space="preserve"> Under this </w:t>
      </w:r>
      <w:r w:rsidR="00233597">
        <w:rPr>
          <w:szCs w:val="20"/>
        </w:rPr>
        <w:t xml:space="preserve">scenario the TGA will </w:t>
      </w:r>
      <w:r w:rsidR="00EA007F">
        <w:rPr>
          <w:szCs w:val="20"/>
        </w:rPr>
        <w:t xml:space="preserve">assess </w:t>
      </w:r>
      <w:r w:rsidR="000400EF">
        <w:rPr>
          <w:szCs w:val="20"/>
        </w:rPr>
        <w:t xml:space="preserve">the </w:t>
      </w:r>
      <w:r w:rsidR="001D7CA2">
        <w:rPr>
          <w:szCs w:val="20"/>
        </w:rPr>
        <w:t xml:space="preserve">suitability </w:t>
      </w:r>
      <w:r w:rsidR="005C257A">
        <w:rPr>
          <w:szCs w:val="20"/>
        </w:rPr>
        <w:t xml:space="preserve">for </w:t>
      </w:r>
      <w:r w:rsidR="00E35FF7">
        <w:rPr>
          <w:szCs w:val="20"/>
        </w:rPr>
        <w:t xml:space="preserve">assays used as IVD companion diagnostics </w:t>
      </w:r>
      <w:r w:rsidR="0092183C">
        <w:rPr>
          <w:szCs w:val="20"/>
        </w:rPr>
        <w:t xml:space="preserve">(including the forthcoming </w:t>
      </w:r>
      <w:r w:rsidR="001D022F">
        <w:rPr>
          <w:szCs w:val="20"/>
        </w:rPr>
        <w:t xml:space="preserve">assay based on </w:t>
      </w:r>
      <w:r w:rsidR="00C20033">
        <w:rPr>
          <w:szCs w:val="20"/>
        </w:rPr>
        <w:t>FoundationOne® CDx</w:t>
      </w:r>
      <w:r w:rsidR="00251320">
        <w:rPr>
          <w:szCs w:val="20"/>
        </w:rPr>
        <w:t xml:space="preserve">) </w:t>
      </w:r>
      <w:r w:rsidR="008A2A78">
        <w:rPr>
          <w:szCs w:val="20"/>
        </w:rPr>
        <w:t xml:space="preserve">to be used to identify patients </w:t>
      </w:r>
      <w:r w:rsidR="00B27A19">
        <w:rPr>
          <w:szCs w:val="20"/>
        </w:rPr>
        <w:t>that are likely to benefit from a targeted treatment.</w:t>
      </w:r>
    </w:p>
    <w:p w14:paraId="146C6469" w14:textId="6FE0FEAE" w:rsidR="00B8404E" w:rsidRPr="000F5EB0" w:rsidRDefault="00E5528B" w:rsidP="00810F30">
      <w:pPr>
        <w:spacing w:before="100" w:beforeAutospacing="1" w:after="100" w:afterAutospacing="1"/>
        <w:ind w:left="426"/>
        <w:rPr>
          <w:szCs w:val="20"/>
        </w:rPr>
      </w:pPr>
      <w:r>
        <w:rPr>
          <w:szCs w:val="20"/>
        </w:rPr>
        <w:t xml:space="preserve">Under the </w:t>
      </w:r>
      <w:r w:rsidR="0085014A">
        <w:rPr>
          <w:szCs w:val="20"/>
        </w:rPr>
        <w:t xml:space="preserve">regulatory </w:t>
      </w:r>
      <w:r w:rsidR="002179C0">
        <w:rPr>
          <w:szCs w:val="20"/>
        </w:rPr>
        <w:t xml:space="preserve">framework for the </w:t>
      </w:r>
      <w:r w:rsidR="0085014A">
        <w:rPr>
          <w:szCs w:val="20"/>
        </w:rPr>
        <w:t xml:space="preserve">assessment of IVD companion </w:t>
      </w:r>
      <w:r w:rsidR="002179C0">
        <w:rPr>
          <w:szCs w:val="20"/>
        </w:rPr>
        <w:t>diagnostics</w:t>
      </w:r>
      <w:r w:rsidR="00687F77">
        <w:rPr>
          <w:szCs w:val="20"/>
        </w:rPr>
        <w:t xml:space="preserve"> it </w:t>
      </w:r>
      <w:r w:rsidR="00B8404E" w:rsidRPr="000F5EB0">
        <w:rPr>
          <w:szCs w:val="20"/>
        </w:rPr>
        <w:t xml:space="preserve">proposed that </w:t>
      </w:r>
      <w:r w:rsidR="008A357E">
        <w:rPr>
          <w:szCs w:val="20"/>
        </w:rPr>
        <w:t xml:space="preserve">NGS </w:t>
      </w:r>
      <w:r w:rsidR="00B8404E" w:rsidRPr="000F5EB0">
        <w:rPr>
          <w:szCs w:val="20"/>
        </w:rPr>
        <w:t>assay</w:t>
      </w:r>
      <w:r w:rsidR="00F52B2E">
        <w:rPr>
          <w:szCs w:val="20"/>
        </w:rPr>
        <w:t>s</w:t>
      </w:r>
      <w:r w:rsidR="00E12D2F">
        <w:rPr>
          <w:szCs w:val="20"/>
        </w:rPr>
        <w:t xml:space="preserve"> with appropriate regulatory</w:t>
      </w:r>
      <w:r w:rsidR="00A46EEC">
        <w:rPr>
          <w:szCs w:val="20"/>
        </w:rPr>
        <w:t xml:space="preserve"> approval</w:t>
      </w:r>
      <w:r w:rsidR="00E12D2F">
        <w:rPr>
          <w:szCs w:val="20"/>
        </w:rPr>
        <w:t xml:space="preserve"> </w:t>
      </w:r>
      <w:r w:rsidR="005C47BF">
        <w:rPr>
          <w:szCs w:val="20"/>
        </w:rPr>
        <w:t>as</w:t>
      </w:r>
      <w:r w:rsidR="00192BED">
        <w:rPr>
          <w:szCs w:val="20"/>
        </w:rPr>
        <w:t xml:space="preserve"> </w:t>
      </w:r>
      <w:r w:rsidR="00E51DDB">
        <w:rPr>
          <w:szCs w:val="20"/>
        </w:rPr>
        <w:t xml:space="preserve">an </w:t>
      </w:r>
      <w:r w:rsidR="006F1563">
        <w:rPr>
          <w:szCs w:val="20"/>
        </w:rPr>
        <w:t>IVD companion diagnostic</w:t>
      </w:r>
      <w:r w:rsidR="00E51DDB">
        <w:rPr>
          <w:szCs w:val="20"/>
        </w:rPr>
        <w:t xml:space="preserve"> </w:t>
      </w:r>
      <w:r w:rsidR="005F1BAA">
        <w:rPr>
          <w:szCs w:val="20"/>
        </w:rPr>
        <w:t xml:space="preserve">could be </w:t>
      </w:r>
      <w:r w:rsidR="00B8404E" w:rsidRPr="000F5EB0">
        <w:rPr>
          <w:szCs w:val="20"/>
        </w:rPr>
        <w:t xml:space="preserve">used to identify patients eligible to access future targeted therapies for </w:t>
      </w:r>
      <w:r w:rsidR="00F52B2E">
        <w:rPr>
          <w:szCs w:val="20"/>
        </w:rPr>
        <w:t xml:space="preserve">NSCLC </w:t>
      </w:r>
      <w:r w:rsidR="00B8404E" w:rsidRPr="000F5EB0">
        <w:rPr>
          <w:szCs w:val="20"/>
        </w:rPr>
        <w:t>through the PBS after standard review of the efficacy, safety and cost-effectiveness of the therapy by the PBAC.</w:t>
      </w:r>
      <w:r w:rsidR="00884151">
        <w:rPr>
          <w:szCs w:val="20"/>
        </w:rPr>
        <w:t xml:space="preserve"> </w:t>
      </w:r>
      <w:r w:rsidR="00B8404E" w:rsidRPr="000F5EB0">
        <w:rPr>
          <w:szCs w:val="20"/>
        </w:rPr>
        <w:t>Under this proposal it is envisioned that the assessment of reimbursement submissions of future targeted therapies for</w:t>
      </w:r>
      <w:r w:rsidR="00D3504C">
        <w:rPr>
          <w:szCs w:val="20"/>
        </w:rPr>
        <w:t xml:space="preserve"> NSCLC </w:t>
      </w:r>
      <w:r w:rsidR="00B8404E" w:rsidRPr="000F5EB0">
        <w:rPr>
          <w:szCs w:val="20"/>
        </w:rPr>
        <w:t xml:space="preserve">may be </w:t>
      </w:r>
      <w:r w:rsidR="00B8404E" w:rsidRPr="000F5EB0">
        <w:rPr>
          <w:szCs w:val="20"/>
        </w:rPr>
        <w:lastRenderedPageBreak/>
        <w:t>considerably streamlined as the assessment of the technical performance characteristics of</w:t>
      </w:r>
      <w:r w:rsidR="003F6FCF">
        <w:rPr>
          <w:szCs w:val="20"/>
        </w:rPr>
        <w:t xml:space="preserve"> NGS technology would have been assessed by MSAC through this </w:t>
      </w:r>
      <w:r w:rsidR="00B72A72">
        <w:rPr>
          <w:szCs w:val="20"/>
        </w:rPr>
        <w:t>application and the</w:t>
      </w:r>
      <w:r w:rsidR="00200B06">
        <w:rPr>
          <w:szCs w:val="20"/>
        </w:rPr>
        <w:t xml:space="preserve"> assessment of the</w:t>
      </w:r>
      <w:r w:rsidR="00B72A72">
        <w:rPr>
          <w:szCs w:val="20"/>
        </w:rPr>
        <w:t xml:space="preserve"> clinical utility of </w:t>
      </w:r>
      <w:r w:rsidR="00B8404E" w:rsidRPr="000F5EB0">
        <w:rPr>
          <w:szCs w:val="20"/>
        </w:rPr>
        <w:t>future biomarkers</w:t>
      </w:r>
      <w:r w:rsidR="007011B6">
        <w:rPr>
          <w:szCs w:val="20"/>
        </w:rPr>
        <w:t xml:space="preserve"> </w:t>
      </w:r>
      <w:r w:rsidR="00B8404E" w:rsidRPr="000F5EB0">
        <w:rPr>
          <w:szCs w:val="20"/>
        </w:rPr>
        <w:t>w</w:t>
      </w:r>
      <w:r w:rsidR="00200B06">
        <w:rPr>
          <w:szCs w:val="20"/>
        </w:rPr>
        <w:t xml:space="preserve">ill be </w:t>
      </w:r>
      <w:r w:rsidR="00346FF4">
        <w:rPr>
          <w:szCs w:val="20"/>
        </w:rPr>
        <w:t>conducted by the TGA</w:t>
      </w:r>
      <w:r w:rsidR="00EE230C">
        <w:rPr>
          <w:szCs w:val="20"/>
        </w:rPr>
        <w:t xml:space="preserve"> as part of</w:t>
      </w:r>
      <w:r w:rsidR="00F744B3">
        <w:rPr>
          <w:szCs w:val="20"/>
        </w:rPr>
        <w:t xml:space="preserve"> its assessment of</w:t>
      </w:r>
      <w:r w:rsidR="00D91B79">
        <w:rPr>
          <w:szCs w:val="20"/>
        </w:rPr>
        <w:t xml:space="preserve"> IVD companion diagnostics </w:t>
      </w:r>
      <w:r w:rsidR="00C736A0">
        <w:rPr>
          <w:szCs w:val="20"/>
        </w:rPr>
        <w:t>required to identify patients</w:t>
      </w:r>
      <w:r w:rsidR="009764FB">
        <w:rPr>
          <w:szCs w:val="20"/>
        </w:rPr>
        <w:t xml:space="preserve"> eligible to be treated </w:t>
      </w:r>
      <w:r w:rsidR="00625AD3">
        <w:rPr>
          <w:szCs w:val="20"/>
        </w:rPr>
        <w:t xml:space="preserve">with </w:t>
      </w:r>
      <w:r w:rsidR="00C96BAE">
        <w:rPr>
          <w:szCs w:val="20"/>
        </w:rPr>
        <w:t xml:space="preserve">future </w:t>
      </w:r>
      <w:r w:rsidR="00625AD3">
        <w:rPr>
          <w:szCs w:val="20"/>
        </w:rPr>
        <w:t xml:space="preserve">targeted </w:t>
      </w:r>
      <w:r w:rsidR="00C1349F">
        <w:rPr>
          <w:szCs w:val="20"/>
        </w:rPr>
        <w:t>treatment</w:t>
      </w:r>
      <w:r w:rsidR="00C96BAE">
        <w:rPr>
          <w:szCs w:val="20"/>
        </w:rPr>
        <w:t>s</w:t>
      </w:r>
      <w:r w:rsidR="00B8404E" w:rsidRPr="000F5EB0">
        <w:rPr>
          <w:szCs w:val="20"/>
        </w:rPr>
        <w:t xml:space="preserve">. In this way there is an opportunity for sponsors preparing reimbursement submissions of targeted </w:t>
      </w:r>
      <w:r w:rsidR="00511493">
        <w:rPr>
          <w:szCs w:val="20"/>
        </w:rPr>
        <w:t xml:space="preserve">NSCLC </w:t>
      </w:r>
      <w:r w:rsidR="00B8404E" w:rsidRPr="000F5EB0">
        <w:rPr>
          <w:szCs w:val="20"/>
        </w:rPr>
        <w:t xml:space="preserve">therapies with a biomarker included in </w:t>
      </w:r>
      <w:r w:rsidR="009267D3">
        <w:rPr>
          <w:szCs w:val="20"/>
        </w:rPr>
        <w:t>a NGS</w:t>
      </w:r>
      <w:r w:rsidR="005F5437">
        <w:rPr>
          <w:szCs w:val="20"/>
        </w:rPr>
        <w:t xml:space="preserve"> assay</w:t>
      </w:r>
      <w:r w:rsidR="009267D3">
        <w:rPr>
          <w:szCs w:val="20"/>
        </w:rPr>
        <w:t xml:space="preserve"> with appropriate </w:t>
      </w:r>
      <w:r w:rsidR="00F06915">
        <w:rPr>
          <w:szCs w:val="20"/>
        </w:rPr>
        <w:t xml:space="preserve">regulatory approval </w:t>
      </w:r>
      <w:r w:rsidR="00B8404E" w:rsidRPr="000F5EB0">
        <w:rPr>
          <w:szCs w:val="20"/>
        </w:rPr>
        <w:t>to pursue a streamlined co-dependent technology reimbursement pathway by:</w:t>
      </w:r>
    </w:p>
    <w:p w14:paraId="1D54DBD3" w14:textId="45B569F0" w:rsidR="00B8404E" w:rsidRPr="000F5EB0" w:rsidRDefault="00B8404E" w:rsidP="00FD4715">
      <w:pPr>
        <w:pStyle w:val="ListParagraph"/>
        <w:numPr>
          <w:ilvl w:val="0"/>
          <w:numId w:val="18"/>
        </w:numPr>
        <w:spacing w:before="100" w:beforeAutospacing="1" w:after="100" w:afterAutospacing="1" w:line="276" w:lineRule="auto"/>
        <w:rPr>
          <w:szCs w:val="20"/>
        </w:rPr>
      </w:pPr>
      <w:r w:rsidRPr="000F5EB0">
        <w:rPr>
          <w:szCs w:val="20"/>
        </w:rPr>
        <w:t xml:space="preserve">Lodging a major submission to the PBAC presenting evidence of the efficacy, safety, and cost-effectiveness of the targeted </w:t>
      </w:r>
      <w:r w:rsidR="00AB4BC1">
        <w:rPr>
          <w:szCs w:val="20"/>
        </w:rPr>
        <w:t>NSCLC</w:t>
      </w:r>
      <w:r w:rsidRPr="000F5EB0">
        <w:rPr>
          <w:szCs w:val="20"/>
        </w:rPr>
        <w:t xml:space="preserve"> therapy, and</w:t>
      </w:r>
    </w:p>
    <w:p w14:paraId="5B81F2A9" w14:textId="5B2462AF" w:rsidR="00B8404E" w:rsidRPr="000F5EB0" w:rsidRDefault="00B8404E" w:rsidP="00FD4715">
      <w:pPr>
        <w:pStyle w:val="ListParagraph"/>
        <w:numPr>
          <w:ilvl w:val="0"/>
          <w:numId w:val="18"/>
        </w:numPr>
        <w:spacing w:before="100" w:beforeAutospacing="1" w:after="100" w:afterAutospacing="1" w:line="276" w:lineRule="auto"/>
        <w:rPr>
          <w:szCs w:val="20"/>
        </w:rPr>
      </w:pPr>
      <w:r w:rsidRPr="000F5EB0">
        <w:rPr>
          <w:szCs w:val="20"/>
        </w:rPr>
        <w:t xml:space="preserve">Lodging a submission to MSAC requesting an amendment to the MBS item for </w:t>
      </w:r>
      <w:r w:rsidR="005940AC">
        <w:rPr>
          <w:szCs w:val="20"/>
        </w:rPr>
        <w:t>CGP</w:t>
      </w:r>
      <w:r w:rsidRPr="000F5EB0">
        <w:rPr>
          <w:szCs w:val="20"/>
        </w:rPr>
        <w:t xml:space="preserve"> </w:t>
      </w:r>
      <w:r w:rsidR="00025B02">
        <w:rPr>
          <w:szCs w:val="20"/>
        </w:rPr>
        <w:t xml:space="preserve">of </w:t>
      </w:r>
      <w:r w:rsidR="00141E43">
        <w:rPr>
          <w:szCs w:val="20"/>
        </w:rPr>
        <w:t xml:space="preserve">NSCLC </w:t>
      </w:r>
      <w:r w:rsidRPr="000F5EB0">
        <w:rPr>
          <w:szCs w:val="20"/>
        </w:rPr>
        <w:t>tumour tissue using</w:t>
      </w:r>
      <w:r w:rsidR="00AB4BC1">
        <w:rPr>
          <w:szCs w:val="20"/>
        </w:rPr>
        <w:t xml:space="preserve"> </w:t>
      </w:r>
      <w:r w:rsidR="008320C5">
        <w:rPr>
          <w:szCs w:val="20"/>
        </w:rPr>
        <w:t xml:space="preserve">NGS assays </w:t>
      </w:r>
      <w:r w:rsidRPr="000F5EB0">
        <w:rPr>
          <w:szCs w:val="20"/>
        </w:rPr>
        <w:t>to include any new biomarker test/treatment combination.</w:t>
      </w:r>
    </w:p>
    <w:p w14:paraId="3ADF6DE3" w14:textId="427B6844" w:rsidR="007E39E4" w:rsidRPr="00AC23B1" w:rsidRDefault="00AC23B1" w:rsidP="00810F30">
      <w:pPr>
        <w:spacing w:before="100" w:beforeAutospacing="1" w:after="100" w:afterAutospacing="1"/>
        <w:ind w:left="360"/>
        <w:rPr>
          <w:i/>
          <w:iCs/>
          <w:szCs w:val="20"/>
        </w:rPr>
      </w:pPr>
      <w:r w:rsidRPr="00AC23B1">
        <w:rPr>
          <w:i/>
          <w:iCs/>
          <w:szCs w:val="20"/>
        </w:rPr>
        <w:t xml:space="preserve">Note: </w:t>
      </w:r>
      <w:r w:rsidR="00636CC2">
        <w:rPr>
          <w:i/>
          <w:iCs/>
          <w:szCs w:val="20"/>
        </w:rPr>
        <w:t xml:space="preserve">The Applicant </w:t>
      </w:r>
      <w:r w:rsidR="00B8404E" w:rsidRPr="00AC23B1">
        <w:rPr>
          <w:i/>
          <w:iCs/>
          <w:szCs w:val="20"/>
        </w:rPr>
        <w:t xml:space="preserve">would </w:t>
      </w:r>
      <w:r w:rsidR="00BE49A2" w:rsidRPr="00AC23B1">
        <w:rPr>
          <w:i/>
          <w:iCs/>
          <w:szCs w:val="20"/>
        </w:rPr>
        <w:t xml:space="preserve">welcome further discussion of </w:t>
      </w:r>
      <w:r w:rsidR="00B8404E" w:rsidRPr="00AC23B1">
        <w:rPr>
          <w:i/>
          <w:iCs/>
          <w:szCs w:val="20"/>
        </w:rPr>
        <w:t xml:space="preserve">the practical implications of the ‘treatment agnostic’ approach to the MSAC assessment </w:t>
      </w:r>
      <w:r w:rsidR="00D95F65">
        <w:rPr>
          <w:i/>
          <w:iCs/>
          <w:szCs w:val="20"/>
        </w:rPr>
        <w:t xml:space="preserve">of NGS </w:t>
      </w:r>
      <w:r w:rsidR="00B8404E" w:rsidRPr="00AC23B1">
        <w:rPr>
          <w:i/>
          <w:iCs/>
          <w:szCs w:val="20"/>
        </w:rPr>
        <w:t>assay</w:t>
      </w:r>
      <w:r w:rsidR="00D95F65">
        <w:rPr>
          <w:i/>
          <w:iCs/>
          <w:szCs w:val="20"/>
        </w:rPr>
        <w:t>s</w:t>
      </w:r>
      <w:r w:rsidR="00633411">
        <w:rPr>
          <w:i/>
          <w:iCs/>
          <w:szCs w:val="20"/>
        </w:rPr>
        <w:t xml:space="preserve"> </w:t>
      </w:r>
      <w:r w:rsidR="00AD78C2">
        <w:rPr>
          <w:i/>
          <w:iCs/>
          <w:szCs w:val="20"/>
        </w:rPr>
        <w:t>with TGA-approval as an IVD companion diagnostic to be</w:t>
      </w:r>
      <w:r w:rsidR="00D95F65">
        <w:rPr>
          <w:i/>
          <w:iCs/>
          <w:szCs w:val="20"/>
        </w:rPr>
        <w:t xml:space="preserve"> used to test </w:t>
      </w:r>
      <w:r w:rsidR="008B5EFB">
        <w:rPr>
          <w:i/>
          <w:iCs/>
          <w:szCs w:val="20"/>
        </w:rPr>
        <w:t>tumour tissue from NSCLC patients</w:t>
      </w:r>
      <w:r w:rsidR="00B8404E" w:rsidRPr="00AC23B1">
        <w:rPr>
          <w:i/>
          <w:iCs/>
          <w:szCs w:val="20"/>
        </w:rPr>
        <w:t xml:space="preserve"> with representatives from the Department, PASC, MSAC or the PBAC</w:t>
      </w:r>
      <w:r w:rsidR="00607C47">
        <w:rPr>
          <w:i/>
          <w:iCs/>
          <w:szCs w:val="20"/>
        </w:rPr>
        <w:t>.</w:t>
      </w:r>
      <w:bookmarkStart w:id="3" w:name="_GoBack"/>
      <w:bookmarkEnd w:id="3"/>
    </w:p>
    <w:p w14:paraId="28875F54" w14:textId="77777777" w:rsidR="00411735" w:rsidRPr="000F5EB0" w:rsidRDefault="00411735" w:rsidP="00FD4715">
      <w:pPr>
        <w:pStyle w:val="Heading2"/>
        <w:numPr>
          <w:ilvl w:val="0"/>
          <w:numId w:val="4"/>
        </w:numPr>
      </w:pPr>
      <w:r w:rsidRPr="000F5EB0">
        <w:t xml:space="preserve">If no, is an application </w:t>
      </w:r>
      <w:r w:rsidR="001E23EA" w:rsidRPr="000F5EB0">
        <w:t xml:space="preserve">(submission) </w:t>
      </w:r>
      <w:r w:rsidRPr="000F5EB0">
        <w:t xml:space="preserve">in the process of being considered by the </w:t>
      </w:r>
      <w:r w:rsidR="00802553" w:rsidRPr="000F5EB0">
        <w:t>Pharmaceutical Benefits Advisory Committee (</w:t>
      </w:r>
      <w:r w:rsidRPr="000F5EB0">
        <w:t>PBAC</w:t>
      </w:r>
      <w:r w:rsidR="00802553" w:rsidRPr="000F5EB0">
        <w:t>)</w:t>
      </w:r>
      <w:r w:rsidRPr="000F5EB0">
        <w:t>?</w:t>
      </w:r>
    </w:p>
    <w:p w14:paraId="6C60E664" w14:textId="77777777" w:rsidR="007E39E4" w:rsidRPr="000F5EB0" w:rsidRDefault="007E39E4" w:rsidP="00810F30">
      <w:pPr>
        <w:spacing w:before="0" w:after="0"/>
        <w:ind w:left="720"/>
        <w:rPr>
          <w:szCs w:val="20"/>
        </w:rPr>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Yes</w:t>
      </w:r>
      <w:r w:rsidR="001E6919" w:rsidRPr="000F5EB0">
        <w:rPr>
          <w:szCs w:val="20"/>
        </w:rPr>
        <w:t xml:space="preserve"> (please provide PBAC submission item number below)</w:t>
      </w:r>
    </w:p>
    <w:p w14:paraId="5C73721A" w14:textId="2D45A07F" w:rsidR="001E6919" w:rsidRPr="000F5EB0" w:rsidRDefault="00135800" w:rsidP="00810F30">
      <w:pPr>
        <w:spacing w:before="0"/>
        <w:ind w:left="720"/>
        <w:rPr>
          <w:szCs w:val="20"/>
        </w:rPr>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1E6919" w:rsidRPr="000F5EB0">
        <w:rPr>
          <w:szCs w:val="20"/>
        </w:rPr>
        <w:t xml:space="preserve"> No</w:t>
      </w:r>
    </w:p>
    <w:p w14:paraId="53ED3F50" w14:textId="14124477" w:rsidR="001E6919" w:rsidRPr="000F5EB0" w:rsidRDefault="00135800" w:rsidP="00810F30">
      <w:pPr>
        <w:ind w:left="720"/>
      </w:pPr>
      <w:r w:rsidRPr="000F5EB0">
        <w:t>As described above</w:t>
      </w:r>
      <w:r w:rsidR="00A53D50">
        <w:t>,</w:t>
      </w:r>
      <w:r w:rsidRPr="000F5EB0">
        <w:t xml:space="preserve"> </w:t>
      </w:r>
      <w:r w:rsidR="005F105C">
        <w:t>the Applicant</w:t>
      </w:r>
      <w:r w:rsidR="00B07A66">
        <w:t xml:space="preserve"> </w:t>
      </w:r>
      <w:r w:rsidRPr="000F5EB0">
        <w:t xml:space="preserve">is seeking that </w:t>
      </w:r>
      <w:r w:rsidR="00B07A66">
        <w:t xml:space="preserve">NGS </w:t>
      </w:r>
      <w:r w:rsidRPr="000F5EB0">
        <w:t>assay</w:t>
      </w:r>
      <w:r w:rsidR="00B07A66">
        <w:t>s</w:t>
      </w:r>
      <w:r w:rsidRPr="000F5EB0">
        <w:t xml:space="preserve"> </w:t>
      </w:r>
      <w:r w:rsidR="00B07A66">
        <w:t>be</w:t>
      </w:r>
      <w:r w:rsidR="00B07A66" w:rsidRPr="000F5EB0">
        <w:t xml:space="preserve"> </w:t>
      </w:r>
      <w:r w:rsidRPr="000F5EB0">
        <w:t xml:space="preserve">assessed as a ‘treatment agnostic’ biomarker assay for </w:t>
      </w:r>
      <w:r w:rsidR="00AC23B1">
        <w:t>NSCLC patients</w:t>
      </w:r>
      <w:r w:rsidRPr="000F5EB0">
        <w:t>, i.e. the results of testing may be used to identify patients eligible to access all targeted treatments currently listed on the PBS.</w:t>
      </w:r>
    </w:p>
    <w:p w14:paraId="4FA2C12B" w14:textId="77777777" w:rsidR="000E5439" w:rsidRPr="000F5EB0" w:rsidRDefault="000E5439" w:rsidP="00FD4715">
      <w:pPr>
        <w:pStyle w:val="Heading2"/>
        <w:numPr>
          <w:ilvl w:val="0"/>
          <w:numId w:val="4"/>
        </w:numPr>
      </w:pPr>
      <w:r w:rsidRPr="000F5EB0">
        <w:t>If you are seeking both MBS and PBS listing</w:t>
      </w:r>
      <w:r w:rsidR="00B75965" w:rsidRPr="000F5EB0">
        <w:t>, what is the trade name and generic name of the pharmaceutical?</w:t>
      </w:r>
    </w:p>
    <w:p w14:paraId="7EDF2DA3" w14:textId="54B772E5" w:rsidR="001E6958" w:rsidRPr="000F5EB0" w:rsidRDefault="00810F30" w:rsidP="00810F30">
      <w:pPr>
        <w:spacing w:before="0" w:after="0"/>
        <w:ind w:left="720"/>
      </w:pPr>
      <w:r>
        <w:t>N/A</w:t>
      </w:r>
    </w:p>
    <w:p w14:paraId="1FAC828B" w14:textId="77777777" w:rsidR="00225180" w:rsidRDefault="00530204" w:rsidP="00225180">
      <w:pPr>
        <w:pStyle w:val="Heading2"/>
      </w:pPr>
      <w:r w:rsidRPr="000F5EB0">
        <w:t xml:space="preserve">(a) </w:t>
      </w:r>
      <w:r w:rsidR="00B75965" w:rsidRPr="000F5EB0">
        <w:t xml:space="preserve">If the proposed service </w:t>
      </w:r>
      <w:r w:rsidR="00A9062D" w:rsidRPr="000F5EB0">
        <w:t xml:space="preserve">is </w:t>
      </w:r>
      <w:r w:rsidR="00C73B62" w:rsidRPr="000F5EB0">
        <w:t>dependent on</w:t>
      </w:r>
      <w:r w:rsidR="00A9062D" w:rsidRPr="000F5EB0">
        <w:t xml:space="preserve"> </w:t>
      </w:r>
      <w:r w:rsidR="00BB003A" w:rsidRPr="000F5EB0">
        <w:t xml:space="preserve">the use of </w:t>
      </w:r>
      <w:r w:rsidR="00C05A45" w:rsidRPr="000F5EB0">
        <w:t>a prosthesis</w:t>
      </w:r>
      <w:r w:rsidR="00CD4E44" w:rsidRPr="000F5EB0">
        <w:t>,</w:t>
      </w:r>
      <w:r w:rsidR="00C05A45" w:rsidRPr="000F5EB0">
        <w:t xml:space="preserve"> </w:t>
      </w:r>
      <w:r w:rsidR="00B75965" w:rsidRPr="000F5EB0">
        <w:t xml:space="preserve">is it already included on the </w:t>
      </w:r>
    </w:p>
    <w:p w14:paraId="7AEAEDB8" w14:textId="77777777" w:rsidR="00225180" w:rsidRDefault="00225180" w:rsidP="00225180">
      <w:pPr>
        <w:pStyle w:val="Heading2"/>
        <w:numPr>
          <w:ilvl w:val="0"/>
          <w:numId w:val="0"/>
        </w:numPr>
        <w:ind w:left="360"/>
      </w:pPr>
    </w:p>
    <w:p w14:paraId="084BEDA9" w14:textId="0D61C5B8" w:rsidR="001E6958" w:rsidRPr="00225180" w:rsidRDefault="00225180" w:rsidP="00225180">
      <w:pPr>
        <w:pStyle w:val="Heading2"/>
        <w:numPr>
          <w:ilvl w:val="0"/>
          <w:numId w:val="0"/>
        </w:numPr>
        <w:ind w:left="360" w:firstLine="360"/>
        <w:rPr>
          <w:b w:val="0"/>
        </w:rPr>
      </w:pPr>
      <w:r w:rsidRPr="00225180">
        <w:rPr>
          <w:b w:val="0"/>
        </w:rPr>
        <w:t>N/A</w:t>
      </w:r>
    </w:p>
    <w:p w14:paraId="63E918AD" w14:textId="55A17574" w:rsidR="001E6919" w:rsidRPr="000F5EB0" w:rsidRDefault="001E6919" w:rsidP="00A6491A">
      <w:pPr>
        <w:spacing w:before="0" w:after="0"/>
        <w:ind w:left="284"/>
        <w:rPr>
          <w:szCs w:val="20"/>
        </w:rPr>
      </w:pPr>
    </w:p>
    <w:p w14:paraId="2C5F8076" w14:textId="4A19E675" w:rsidR="00B75965" w:rsidRPr="000F5EB0" w:rsidRDefault="00B75965" w:rsidP="00FD4715">
      <w:pPr>
        <w:pStyle w:val="Heading2"/>
        <w:numPr>
          <w:ilvl w:val="0"/>
          <w:numId w:val="5"/>
        </w:numPr>
      </w:pPr>
      <w:r w:rsidRPr="000F5EB0">
        <w:t xml:space="preserve">If yes, </w:t>
      </w:r>
      <w:r w:rsidR="00C73B62" w:rsidRPr="000F5EB0">
        <w:t>please provide the following information (where relevant):</w:t>
      </w:r>
    </w:p>
    <w:p w14:paraId="275EB134" w14:textId="6756E8A1" w:rsidR="001E6958" w:rsidRPr="000F5EB0" w:rsidRDefault="00225180" w:rsidP="00225180">
      <w:pPr>
        <w:spacing w:before="0" w:after="0"/>
        <w:ind w:left="284" w:firstLine="436"/>
      </w:pPr>
      <w:r>
        <w:t>N/A</w:t>
      </w:r>
    </w:p>
    <w:p w14:paraId="76C0EA02" w14:textId="77777777" w:rsidR="009939DC" w:rsidRPr="000F5EB0" w:rsidRDefault="009939DC" w:rsidP="009939DC"/>
    <w:p w14:paraId="61DE51ED" w14:textId="77777777" w:rsidR="00411735" w:rsidRPr="000F5EB0" w:rsidRDefault="00411735" w:rsidP="00FD4715">
      <w:pPr>
        <w:pStyle w:val="Heading2"/>
        <w:numPr>
          <w:ilvl w:val="0"/>
          <w:numId w:val="5"/>
        </w:numPr>
      </w:pPr>
      <w:r w:rsidRPr="000F5EB0">
        <w:t xml:space="preserve">If no, is an application in the process of being considered by </w:t>
      </w:r>
      <w:r w:rsidR="003433D1" w:rsidRPr="000F5EB0">
        <w:t xml:space="preserve">a Clinical Advisory Group or </w:t>
      </w:r>
      <w:r w:rsidRPr="000F5EB0">
        <w:t>the</w:t>
      </w:r>
      <w:r w:rsidR="00BB003A" w:rsidRPr="000F5EB0">
        <w:t xml:space="preserve"> Prostheses List Advisory Committee</w:t>
      </w:r>
      <w:r w:rsidRPr="000F5EB0">
        <w:t xml:space="preserve"> </w:t>
      </w:r>
      <w:r w:rsidR="00BB003A" w:rsidRPr="000F5EB0">
        <w:t>(</w:t>
      </w:r>
      <w:r w:rsidRPr="000F5EB0">
        <w:t>PLAC</w:t>
      </w:r>
      <w:r w:rsidR="00BB003A" w:rsidRPr="000F5EB0">
        <w:t>)</w:t>
      </w:r>
      <w:r w:rsidRPr="000F5EB0">
        <w:t>?</w:t>
      </w:r>
    </w:p>
    <w:p w14:paraId="28F9CD09" w14:textId="77777777" w:rsidR="009939DC" w:rsidRPr="000F5EB0" w:rsidRDefault="009939DC" w:rsidP="00225180">
      <w:pPr>
        <w:spacing w:before="0" w:after="0"/>
        <w:ind w:left="720"/>
        <w:rPr>
          <w:szCs w:val="20"/>
        </w:rPr>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Yes</w:t>
      </w:r>
    </w:p>
    <w:p w14:paraId="123BA73E" w14:textId="5228A087" w:rsidR="001E6958" w:rsidRPr="000F5EB0" w:rsidRDefault="009939DC" w:rsidP="00225180">
      <w:pPr>
        <w:spacing w:before="0" w:after="0"/>
        <w:ind w:left="720"/>
        <w:rPr>
          <w:szCs w:val="20"/>
        </w:rPr>
      </w:pPr>
      <w:r w:rsidRPr="000F5EB0">
        <w:rPr>
          <w:szCs w:val="20"/>
        </w:rPr>
        <w:fldChar w:fldCharType="begin">
          <w:ffData>
            <w:name w:val="Check2"/>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No</w:t>
      </w:r>
    </w:p>
    <w:p w14:paraId="158BA841" w14:textId="77777777" w:rsidR="00016B6E" w:rsidRPr="000F5EB0" w:rsidRDefault="00016B6E" w:rsidP="00FD4715">
      <w:pPr>
        <w:pStyle w:val="Heading2"/>
        <w:numPr>
          <w:ilvl w:val="0"/>
          <w:numId w:val="5"/>
        </w:numPr>
      </w:pPr>
      <w:r w:rsidRPr="000F5EB0">
        <w:t>Are there any other sponsor(s) and / or manufacturer(</w:t>
      </w:r>
      <w:r w:rsidR="008B729C" w:rsidRPr="000F5EB0">
        <w:t>s) that have a similar prosthesi</w:t>
      </w:r>
      <w:r w:rsidRPr="000F5EB0">
        <w:t>s or device component in the Australian market place which this application is relevant to?</w:t>
      </w:r>
    </w:p>
    <w:p w14:paraId="29C277F7" w14:textId="77777777" w:rsidR="009939DC" w:rsidRPr="000F5EB0" w:rsidRDefault="009939DC" w:rsidP="00225180">
      <w:pPr>
        <w:spacing w:before="0" w:after="0"/>
        <w:ind w:left="720"/>
        <w:rPr>
          <w:szCs w:val="20"/>
        </w:rPr>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Yes</w:t>
      </w:r>
    </w:p>
    <w:p w14:paraId="24811AF8" w14:textId="7BA33FBE" w:rsidR="009939DC" w:rsidRPr="000F5EB0" w:rsidRDefault="009939DC" w:rsidP="00225180">
      <w:pPr>
        <w:spacing w:before="0" w:after="0"/>
        <w:ind w:left="720"/>
        <w:rPr>
          <w:szCs w:val="20"/>
        </w:rPr>
      </w:pPr>
      <w:r w:rsidRPr="000F5EB0">
        <w:rPr>
          <w:szCs w:val="20"/>
        </w:rPr>
        <w:fldChar w:fldCharType="begin">
          <w:ffData>
            <w:name w:val="Check2"/>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No</w:t>
      </w:r>
    </w:p>
    <w:p w14:paraId="07F46694" w14:textId="77777777" w:rsidR="009939DC" w:rsidRPr="000F5EB0" w:rsidRDefault="00016B6E" w:rsidP="00FD4715">
      <w:pPr>
        <w:pStyle w:val="Heading2"/>
        <w:numPr>
          <w:ilvl w:val="0"/>
          <w:numId w:val="5"/>
        </w:numPr>
      </w:pPr>
      <w:r w:rsidRPr="000F5EB0">
        <w:t>If yes, please provide the name(s) of the spon</w:t>
      </w:r>
      <w:r w:rsidR="009939DC" w:rsidRPr="000F5EB0">
        <w:t>sor(s) and / or manufacturer(s):</w:t>
      </w:r>
    </w:p>
    <w:p w14:paraId="460FDE02" w14:textId="5BA10097" w:rsidR="00016B6E" w:rsidRPr="000F5EB0" w:rsidRDefault="00016B6E" w:rsidP="00A6491A">
      <w:pPr>
        <w:ind w:left="284"/>
      </w:pPr>
    </w:p>
    <w:p w14:paraId="076711E9" w14:textId="77777777" w:rsidR="00225180" w:rsidRDefault="00225180">
      <w:pPr>
        <w:spacing w:before="0" w:after="200" w:line="276" w:lineRule="auto"/>
        <w:rPr>
          <w:b/>
          <w:szCs w:val="20"/>
        </w:rPr>
      </w:pPr>
      <w:r>
        <w:br w:type="page"/>
      </w:r>
    </w:p>
    <w:p w14:paraId="69C4CCF0" w14:textId="38B80A11" w:rsidR="0084657B" w:rsidRPr="000F5EB0" w:rsidRDefault="00A9062D" w:rsidP="00530204">
      <w:pPr>
        <w:pStyle w:val="Heading2"/>
      </w:pPr>
      <w:r w:rsidRPr="000F5EB0">
        <w:lastRenderedPageBreak/>
        <w:t>P</w:t>
      </w:r>
      <w:r w:rsidR="0084657B" w:rsidRPr="000F5EB0">
        <w:t xml:space="preserve">lease identify </w:t>
      </w:r>
      <w:r w:rsidR="00E8649B" w:rsidRPr="000F5EB0">
        <w:t xml:space="preserve">any single </w:t>
      </w:r>
      <w:r w:rsidR="00016B6E" w:rsidRPr="000F5EB0">
        <w:t>and / or multi-</w:t>
      </w:r>
      <w:r w:rsidR="00E8649B" w:rsidRPr="000F5EB0">
        <w:t>use consumables</w:t>
      </w:r>
      <w:r w:rsidR="0084657B" w:rsidRPr="000F5EB0">
        <w:t xml:space="preserve"> </w:t>
      </w:r>
      <w:r w:rsidR="00E8649B" w:rsidRPr="000F5EB0">
        <w:t>delivered as part of the service?</w:t>
      </w:r>
    </w:p>
    <w:p w14:paraId="05806297" w14:textId="5336460D" w:rsidR="0042266A" w:rsidRDefault="009939DC" w:rsidP="00225180">
      <w:pPr>
        <w:spacing w:before="0" w:after="0"/>
        <w:ind w:left="360"/>
      </w:pPr>
      <w:r w:rsidRPr="000F5EB0">
        <w:t xml:space="preserve">Multi-use consumables: </w:t>
      </w:r>
      <w:r w:rsidR="006C2026">
        <w:t>The</w:t>
      </w:r>
      <w:r w:rsidR="00465FE0">
        <w:t xml:space="preserve"> conduct of CGP using NGS assays </w:t>
      </w:r>
      <w:r w:rsidR="000F3712">
        <w:t xml:space="preserve">requires the use of </w:t>
      </w:r>
      <w:r w:rsidR="00292C31">
        <w:t xml:space="preserve">several reagents and/or kits </w:t>
      </w:r>
      <w:r w:rsidR="007A2A07">
        <w:t xml:space="preserve">for </w:t>
      </w:r>
      <w:r w:rsidR="00E9560F">
        <w:t xml:space="preserve">the processing of samples from </w:t>
      </w:r>
      <w:r w:rsidR="00D40B7C">
        <w:t xml:space="preserve">nucleic acid </w:t>
      </w:r>
      <w:r w:rsidR="00333041">
        <w:t>isolation</w:t>
      </w:r>
      <w:r w:rsidR="00E9560F">
        <w:t xml:space="preserve"> </w:t>
      </w:r>
      <w:r w:rsidR="00316A65">
        <w:t xml:space="preserve">through </w:t>
      </w:r>
      <w:r w:rsidR="00F8110A">
        <w:t xml:space="preserve">to the preparation of an </w:t>
      </w:r>
      <w:r w:rsidR="00C74966">
        <w:t>enriched library ready for sequencing</w:t>
      </w:r>
      <w:r w:rsidR="00B820B2">
        <w:t>. Whil</w:t>
      </w:r>
      <w:r w:rsidR="0040527E">
        <w:t>e</w:t>
      </w:r>
      <w:r w:rsidR="00B820B2">
        <w:t xml:space="preserve"> the </w:t>
      </w:r>
      <w:r w:rsidR="00681AD1">
        <w:t>reagents/kits associated with</w:t>
      </w:r>
      <w:r w:rsidR="005A6124">
        <w:t xml:space="preserve"> a specific NGS assay may differ slightly between </w:t>
      </w:r>
      <w:r w:rsidR="002148CB">
        <w:t xml:space="preserve">manufacturers or in-house </w:t>
      </w:r>
      <w:r w:rsidR="000940F8">
        <w:t>assays, the</w:t>
      </w:r>
      <w:r w:rsidR="001D73C1">
        <w:t xml:space="preserve"> consumables associated </w:t>
      </w:r>
      <w:r w:rsidR="00E265DC">
        <w:t xml:space="preserve">with the </w:t>
      </w:r>
      <w:r w:rsidR="006E072E">
        <w:t>conduct of CGP using NGS assays are</w:t>
      </w:r>
      <w:r w:rsidR="0042266A">
        <w:t>:</w:t>
      </w:r>
    </w:p>
    <w:p w14:paraId="332BF8A2" w14:textId="5433551E" w:rsidR="000E3BA7" w:rsidRDefault="006E072E" w:rsidP="00225180">
      <w:pPr>
        <w:pStyle w:val="ListParagraph"/>
        <w:numPr>
          <w:ilvl w:val="0"/>
          <w:numId w:val="23"/>
        </w:numPr>
        <w:spacing w:before="0" w:after="0"/>
        <w:ind w:left="1406"/>
      </w:pPr>
      <w:r>
        <w:t xml:space="preserve">Nucleic </w:t>
      </w:r>
      <w:r w:rsidR="0042266A">
        <w:t xml:space="preserve">isolation </w:t>
      </w:r>
      <w:r>
        <w:t>reagents</w:t>
      </w:r>
    </w:p>
    <w:p w14:paraId="23078943" w14:textId="40D16105" w:rsidR="0042266A" w:rsidRDefault="000E3BA7" w:rsidP="00225180">
      <w:pPr>
        <w:pStyle w:val="ListParagraph"/>
        <w:numPr>
          <w:ilvl w:val="0"/>
          <w:numId w:val="23"/>
        </w:numPr>
        <w:spacing w:before="0" w:after="0"/>
        <w:ind w:left="1406"/>
      </w:pPr>
      <w:r>
        <w:t xml:space="preserve">Reverse transcription reagents (if RNA based </w:t>
      </w:r>
      <w:r w:rsidR="008749B0">
        <w:t>sequencing undertaken)</w:t>
      </w:r>
    </w:p>
    <w:p w14:paraId="516A0D12" w14:textId="50554C2B" w:rsidR="0042266A" w:rsidRDefault="0042266A" w:rsidP="00225180">
      <w:pPr>
        <w:pStyle w:val="ListParagraph"/>
        <w:numPr>
          <w:ilvl w:val="0"/>
          <w:numId w:val="23"/>
        </w:numPr>
        <w:spacing w:before="0" w:after="0"/>
        <w:ind w:left="1406"/>
      </w:pPr>
      <w:r>
        <w:t>Library preparation</w:t>
      </w:r>
      <w:r w:rsidR="00160F4C">
        <w:t xml:space="preserve"> reagents</w:t>
      </w:r>
    </w:p>
    <w:p w14:paraId="0EF9AD70" w14:textId="7357F984" w:rsidR="00D57ADA" w:rsidRDefault="0042266A" w:rsidP="00225180">
      <w:pPr>
        <w:pStyle w:val="ListParagraph"/>
        <w:numPr>
          <w:ilvl w:val="0"/>
          <w:numId w:val="23"/>
        </w:numPr>
        <w:spacing w:before="0" w:after="0"/>
        <w:ind w:left="1406"/>
      </w:pPr>
      <w:r>
        <w:t xml:space="preserve">Enrichment </w:t>
      </w:r>
      <w:r w:rsidR="00160F4C">
        <w:t>reagents</w:t>
      </w:r>
    </w:p>
    <w:p w14:paraId="5E3DA133" w14:textId="0EA9E9DB" w:rsidR="00BE7F6F" w:rsidRDefault="00D02E10" w:rsidP="00225180">
      <w:pPr>
        <w:pStyle w:val="ListParagraph"/>
        <w:numPr>
          <w:ilvl w:val="0"/>
          <w:numId w:val="23"/>
        </w:numPr>
        <w:spacing w:before="0" w:after="0"/>
        <w:ind w:left="1406"/>
      </w:pPr>
      <w:r>
        <w:t>Hybridisation</w:t>
      </w:r>
      <w:r w:rsidR="00107890">
        <w:t xml:space="preserve"> and capture</w:t>
      </w:r>
      <w:r>
        <w:t xml:space="preserve"> reagents</w:t>
      </w:r>
    </w:p>
    <w:p w14:paraId="40A14701" w14:textId="147A4767" w:rsidR="00D02E10" w:rsidRDefault="00E47233" w:rsidP="00225180">
      <w:pPr>
        <w:pStyle w:val="ListParagraph"/>
        <w:numPr>
          <w:ilvl w:val="0"/>
          <w:numId w:val="23"/>
        </w:numPr>
        <w:spacing w:before="0" w:after="0"/>
        <w:ind w:left="1406"/>
      </w:pPr>
      <w:r>
        <w:t xml:space="preserve">Enriched library </w:t>
      </w:r>
      <w:r w:rsidR="00F06294">
        <w:t>amplification reagents</w:t>
      </w:r>
    </w:p>
    <w:p w14:paraId="3211FC22" w14:textId="277D31E7" w:rsidR="00F06294" w:rsidRDefault="00D45C6C" w:rsidP="00225180">
      <w:pPr>
        <w:pStyle w:val="ListParagraph"/>
        <w:numPr>
          <w:ilvl w:val="0"/>
          <w:numId w:val="23"/>
        </w:numPr>
        <w:spacing w:before="0" w:after="0"/>
        <w:ind w:left="1406"/>
      </w:pPr>
      <w:r>
        <w:t xml:space="preserve">Amplified library </w:t>
      </w:r>
      <w:r w:rsidR="00B56F3A">
        <w:t>clea</w:t>
      </w:r>
      <w:r w:rsidR="001F0AB5">
        <w:t>n-</w:t>
      </w:r>
      <w:r w:rsidR="00B56F3A">
        <w:t>up and normalisation reagents</w:t>
      </w:r>
    </w:p>
    <w:p w14:paraId="2A9A9804" w14:textId="77777777" w:rsidR="00BE7F6F" w:rsidRDefault="00BE7F6F" w:rsidP="00225180">
      <w:pPr>
        <w:spacing w:before="0" w:after="0"/>
        <w:ind w:left="360"/>
      </w:pPr>
    </w:p>
    <w:p w14:paraId="666A27C9" w14:textId="08F03F5E" w:rsidR="000045B9" w:rsidRDefault="00F31E1D" w:rsidP="00225180">
      <w:pPr>
        <w:spacing w:before="0" w:after="0"/>
        <w:ind w:left="360"/>
      </w:pPr>
      <w:r>
        <w:t xml:space="preserve">Pathology laboratories would use </w:t>
      </w:r>
      <w:r w:rsidR="00C85ABD">
        <w:t xml:space="preserve">standard </w:t>
      </w:r>
      <w:r w:rsidR="00ED3DD1">
        <w:t xml:space="preserve">consumable items </w:t>
      </w:r>
      <w:r w:rsidR="0095032B">
        <w:t xml:space="preserve">and equipment </w:t>
      </w:r>
      <w:r w:rsidR="00ED3DD1">
        <w:t xml:space="preserve">during the preparation </w:t>
      </w:r>
      <w:r w:rsidR="0064256F">
        <w:t xml:space="preserve">tissue specimens for CGP </w:t>
      </w:r>
      <w:r w:rsidR="00536A65">
        <w:t xml:space="preserve">using </w:t>
      </w:r>
      <w:r w:rsidR="001F0AB5">
        <w:t xml:space="preserve">NGS </w:t>
      </w:r>
      <w:r w:rsidR="00536A65">
        <w:t>assa</w:t>
      </w:r>
      <w:r w:rsidR="00E42C4D">
        <w:t>ys</w:t>
      </w:r>
      <w:r w:rsidR="000045B9">
        <w:t>.</w:t>
      </w:r>
    </w:p>
    <w:p w14:paraId="3D726CF0" w14:textId="77777777" w:rsidR="000045B9" w:rsidRDefault="000045B9" w:rsidP="00225180">
      <w:pPr>
        <w:spacing w:before="0" w:after="0"/>
        <w:ind w:left="360"/>
      </w:pPr>
    </w:p>
    <w:p w14:paraId="404E88DE" w14:textId="7BC260AA" w:rsidR="00B66A24" w:rsidRDefault="005C70CE" w:rsidP="00225180">
      <w:pPr>
        <w:spacing w:before="0" w:after="0"/>
        <w:ind w:left="360"/>
      </w:pPr>
      <w:r>
        <w:t xml:space="preserve">Sequencing of libraries is performed on a </w:t>
      </w:r>
      <w:r w:rsidR="001C53B5">
        <w:t>commerciall</w:t>
      </w:r>
      <w:r w:rsidR="003B4A32">
        <w:t xml:space="preserve">y available </w:t>
      </w:r>
      <w:r w:rsidR="00132E2E">
        <w:t xml:space="preserve">NGS </w:t>
      </w:r>
      <w:r w:rsidR="009551A2">
        <w:t xml:space="preserve">sequencing </w:t>
      </w:r>
      <w:r w:rsidR="00DC0220">
        <w:t>platform</w:t>
      </w:r>
      <w:r w:rsidR="00997250">
        <w:t xml:space="preserve">. It is understood that </w:t>
      </w:r>
      <w:r w:rsidR="0071584D">
        <w:t xml:space="preserve">platforms manufactured by </w:t>
      </w:r>
      <w:r w:rsidR="0018151F">
        <w:t xml:space="preserve">Illumina </w:t>
      </w:r>
      <w:r w:rsidR="0071584D">
        <w:t xml:space="preserve">such as </w:t>
      </w:r>
      <w:r w:rsidR="00DC0220">
        <w:t>NextSeq 500/550</w:t>
      </w:r>
      <w:r w:rsidR="00281E8A">
        <w:t>/550Dx</w:t>
      </w:r>
      <w:r w:rsidR="00DC0220">
        <w:t xml:space="preserve"> instrument</w:t>
      </w:r>
      <w:r w:rsidR="0071584D">
        <w:t xml:space="preserve">s </w:t>
      </w:r>
      <w:r w:rsidR="00FF2EBC">
        <w:t>are the most common</w:t>
      </w:r>
      <w:r w:rsidR="00316E0E">
        <w:t>ly used instruments in Australian laborat</w:t>
      </w:r>
      <w:r w:rsidR="00A546E7">
        <w:t>ories.</w:t>
      </w:r>
    </w:p>
    <w:p w14:paraId="41AA8F00" w14:textId="77777777" w:rsidR="00B66A24" w:rsidRDefault="00B66A24" w:rsidP="00225180">
      <w:pPr>
        <w:spacing w:before="0" w:after="0"/>
        <w:ind w:left="360"/>
      </w:pPr>
    </w:p>
    <w:p w14:paraId="5BCEEC5E" w14:textId="7FEEFFB5" w:rsidR="00EE3939" w:rsidRDefault="008C2C92" w:rsidP="00225180">
      <w:pPr>
        <w:spacing w:before="0" w:after="0"/>
        <w:ind w:left="360"/>
      </w:pPr>
      <w:r>
        <w:t xml:space="preserve">After the sequencing of libraries </w:t>
      </w:r>
      <w:r w:rsidR="00991736">
        <w:t xml:space="preserve">has been </w:t>
      </w:r>
      <w:r w:rsidR="00F158E9">
        <w:t xml:space="preserve">undertaken </w:t>
      </w:r>
      <w:r w:rsidR="00C746CF">
        <w:t xml:space="preserve">bioinformatic </w:t>
      </w:r>
      <w:r w:rsidR="0070094E">
        <w:t>processing</w:t>
      </w:r>
      <w:r w:rsidR="00077A42">
        <w:t xml:space="preserve"> of sequencing files is </w:t>
      </w:r>
      <w:r w:rsidR="00F158E9">
        <w:t>required</w:t>
      </w:r>
      <w:r w:rsidR="006E055F">
        <w:t xml:space="preserve"> to identify</w:t>
      </w:r>
      <w:r w:rsidR="00555D1A">
        <w:t xml:space="preserve"> genomic alterations </w:t>
      </w:r>
      <w:r w:rsidR="001A1516">
        <w:t>known to be associated with the clin</w:t>
      </w:r>
      <w:r w:rsidR="008D1B57">
        <w:t>i</w:t>
      </w:r>
      <w:r w:rsidR="001A1516">
        <w:t xml:space="preserve">cal </w:t>
      </w:r>
      <w:r w:rsidR="008D1B57">
        <w:t>condition</w:t>
      </w:r>
      <w:r w:rsidR="00C07E82">
        <w:t xml:space="preserve">, including </w:t>
      </w:r>
      <w:r w:rsidR="00F158E9">
        <w:t xml:space="preserve">the identification of </w:t>
      </w:r>
      <w:r w:rsidR="001701DD">
        <w:t>alterations</w:t>
      </w:r>
      <w:r w:rsidR="008D1B57">
        <w:t xml:space="preserve"> known to confer sensitivity to a targeted treatment.</w:t>
      </w:r>
    </w:p>
    <w:p w14:paraId="63E63B06" w14:textId="77777777" w:rsidR="00EE3939" w:rsidRDefault="00EE3939" w:rsidP="00225180">
      <w:pPr>
        <w:spacing w:before="0" w:after="0"/>
        <w:ind w:left="360"/>
      </w:pPr>
    </w:p>
    <w:p w14:paraId="7EDDEEB8" w14:textId="0E6C403B" w:rsidR="00452B02" w:rsidRDefault="00FF4964" w:rsidP="00225180">
      <w:pPr>
        <w:spacing w:before="0" w:after="0"/>
        <w:ind w:left="360"/>
      </w:pPr>
      <w:r>
        <w:t xml:space="preserve">Following </w:t>
      </w:r>
      <w:r w:rsidR="0048598F">
        <w:t>bioinformati</w:t>
      </w:r>
      <w:r>
        <w:t xml:space="preserve">c </w:t>
      </w:r>
      <w:r w:rsidR="0048598F">
        <w:t>processing</w:t>
      </w:r>
      <w:r w:rsidR="00413086">
        <w:t xml:space="preserve"> the results </w:t>
      </w:r>
      <w:r w:rsidR="00FE321F">
        <w:t xml:space="preserve">are </w:t>
      </w:r>
      <w:r w:rsidR="00D03BE8">
        <w:t>reviewed by</w:t>
      </w:r>
      <w:r w:rsidR="00D571DA">
        <w:t xml:space="preserve"> </w:t>
      </w:r>
      <w:r w:rsidR="005A01AB">
        <w:t xml:space="preserve">a </w:t>
      </w:r>
      <w:r w:rsidR="00644F2D">
        <w:t xml:space="preserve">pathologist and </w:t>
      </w:r>
      <w:r w:rsidR="00CE6186">
        <w:t xml:space="preserve">a </w:t>
      </w:r>
      <w:r w:rsidR="00594EED">
        <w:t xml:space="preserve">report detailing the outcome of </w:t>
      </w:r>
      <w:r w:rsidR="005C3456">
        <w:t xml:space="preserve">CGP using a </w:t>
      </w:r>
      <w:r w:rsidR="00161AB9">
        <w:t xml:space="preserve">NGS </w:t>
      </w:r>
      <w:r w:rsidR="005C3456">
        <w:t xml:space="preserve">assay </w:t>
      </w:r>
      <w:r w:rsidR="00161AB9">
        <w:t>is prepared for the patients treating clinician.</w:t>
      </w:r>
    </w:p>
    <w:p w14:paraId="044F11CD" w14:textId="77777777" w:rsidR="00452B02" w:rsidRDefault="00452B02" w:rsidP="00225180">
      <w:pPr>
        <w:spacing w:before="0" w:after="0"/>
        <w:ind w:left="360"/>
      </w:pPr>
    </w:p>
    <w:p w14:paraId="19350E9A" w14:textId="037D8785" w:rsidR="00EE3939" w:rsidRDefault="00FA1CA6" w:rsidP="00225180">
      <w:pPr>
        <w:spacing w:before="0" w:after="0"/>
        <w:ind w:left="360"/>
      </w:pPr>
      <w:r>
        <w:t xml:space="preserve">Sequencing data and </w:t>
      </w:r>
      <w:r w:rsidR="002D2AAA">
        <w:t xml:space="preserve">clinical specimen archiving is also </w:t>
      </w:r>
      <w:r w:rsidR="007274A4">
        <w:t xml:space="preserve">undertaken per the </w:t>
      </w:r>
      <w:r w:rsidR="0048357E">
        <w:t>operational</w:t>
      </w:r>
      <w:r w:rsidR="009D4D85">
        <w:t xml:space="preserve"> requirements </w:t>
      </w:r>
      <w:r w:rsidR="00403534">
        <w:t xml:space="preserve">for </w:t>
      </w:r>
      <w:r w:rsidR="009D4D85">
        <w:t>pathology laboratories</w:t>
      </w:r>
      <w:r w:rsidR="00C40A99">
        <w:t xml:space="preserve">. These activities </w:t>
      </w:r>
      <w:r w:rsidR="00C72B4D">
        <w:t xml:space="preserve">require the use of </w:t>
      </w:r>
      <w:r w:rsidR="00142CF5">
        <w:t>consumables/</w:t>
      </w:r>
      <w:r w:rsidR="0026376A">
        <w:t xml:space="preserve">infrastructure </w:t>
      </w:r>
      <w:r w:rsidR="00F438A5">
        <w:t>which would be shared with</w:t>
      </w:r>
      <w:r w:rsidR="00961586">
        <w:t xml:space="preserve"> tumour tissue specimens </w:t>
      </w:r>
      <w:r w:rsidR="00D0196F">
        <w:t xml:space="preserve">from other cancer types </w:t>
      </w:r>
      <w:r w:rsidR="00DC1E59">
        <w:t xml:space="preserve">and not necessarily specific to NSCLC </w:t>
      </w:r>
      <w:r w:rsidR="00946157">
        <w:t>specimens t</w:t>
      </w:r>
      <w:r w:rsidR="00991736">
        <w:t>hat had CGP</w:t>
      </w:r>
      <w:r w:rsidR="007C657A">
        <w:t xml:space="preserve"> </w:t>
      </w:r>
      <w:r w:rsidR="00991736">
        <w:t>performed using a NGS assay.</w:t>
      </w:r>
    </w:p>
    <w:p w14:paraId="48EF492D" w14:textId="237DFA1F" w:rsidR="00F301F1" w:rsidRPr="000F5EB0" w:rsidRDefault="00F301F1" w:rsidP="00BE7F6F">
      <w:pPr>
        <w:spacing w:before="0" w:after="0"/>
      </w:pPr>
      <w:r w:rsidRPr="000F5EB0">
        <w:br w:type="page"/>
      </w:r>
    </w:p>
    <w:p w14:paraId="1ED71373" w14:textId="77777777" w:rsidR="00226777" w:rsidRPr="000F5EB0" w:rsidRDefault="00530204" w:rsidP="00B5731D">
      <w:pPr>
        <w:pStyle w:val="Heading1"/>
      </w:pPr>
      <w:r w:rsidRPr="000F5EB0">
        <w:lastRenderedPageBreak/>
        <w:t>PART 3</w:t>
      </w:r>
      <w:r w:rsidR="00F93784" w:rsidRPr="000F5EB0">
        <w:t xml:space="preserve"> – </w:t>
      </w:r>
      <w:r w:rsidR="00226777" w:rsidRPr="000F5EB0">
        <w:t>INFORMATION ABOUT REGULATORY REQUIREMENTS</w:t>
      </w:r>
    </w:p>
    <w:p w14:paraId="3C11DCEC" w14:textId="77777777" w:rsidR="001A1ADF" w:rsidRPr="000F5EB0" w:rsidRDefault="0011369B" w:rsidP="0011369B">
      <w:pPr>
        <w:pStyle w:val="Heading2"/>
      </w:pPr>
      <w:r w:rsidRPr="000F5EB0">
        <w:t xml:space="preserve">(a) </w:t>
      </w:r>
      <w:r w:rsidR="0054594B" w:rsidRPr="000F5EB0">
        <w:t>If</w:t>
      </w:r>
      <w:r w:rsidR="00226777" w:rsidRPr="000F5EB0">
        <w:t xml:space="preserve"> the </w:t>
      </w:r>
      <w:r w:rsidR="001A1ADF" w:rsidRPr="000F5EB0">
        <w:t>p</w:t>
      </w:r>
      <w:r w:rsidR="00226777" w:rsidRPr="000F5EB0">
        <w:t>roposed medical service involve</w:t>
      </w:r>
      <w:r w:rsidR="009C03FB" w:rsidRPr="000F5EB0">
        <w:t>s</w:t>
      </w:r>
      <w:r w:rsidR="001A1ADF" w:rsidRPr="000F5EB0">
        <w:t xml:space="preserve"> the use of a medical device, in-vitro diagnostic test, </w:t>
      </w:r>
      <w:r w:rsidR="00226777" w:rsidRPr="000F5EB0">
        <w:t xml:space="preserve">pharmaceutical product, </w:t>
      </w:r>
      <w:r w:rsidR="001A1ADF" w:rsidRPr="000F5EB0">
        <w:t>radioactive tracer or any other type of therape</w:t>
      </w:r>
      <w:r w:rsidR="008127C0" w:rsidRPr="000F5EB0">
        <w:t xml:space="preserve">utic good, please </w:t>
      </w:r>
      <w:r w:rsidR="001A1ADF" w:rsidRPr="000F5EB0">
        <w:t xml:space="preserve">provide </w:t>
      </w:r>
      <w:r w:rsidR="008127C0" w:rsidRPr="000F5EB0">
        <w:t>the following details</w:t>
      </w:r>
      <w:r w:rsidR="001A1ADF" w:rsidRPr="000F5EB0">
        <w:t>:</w:t>
      </w:r>
    </w:p>
    <w:p w14:paraId="145521C7" w14:textId="13266EFE" w:rsidR="00A26343" w:rsidRPr="000F5EB0" w:rsidRDefault="00A26343" w:rsidP="00A6491A">
      <w:pPr>
        <w:spacing w:before="0" w:after="0"/>
        <w:ind w:left="284"/>
        <w:rPr>
          <w:szCs w:val="20"/>
        </w:rPr>
      </w:pPr>
      <w:r w:rsidRPr="000F5EB0">
        <w:rPr>
          <w:szCs w:val="20"/>
        </w:rPr>
        <w:t xml:space="preserve">Type of therapeutic good: </w:t>
      </w:r>
      <w:r w:rsidR="00AE0D96">
        <w:rPr>
          <w:szCs w:val="20"/>
        </w:rPr>
        <w:t>I</w:t>
      </w:r>
      <w:r w:rsidR="00B36182" w:rsidRPr="000F5EB0">
        <w:rPr>
          <w:szCs w:val="20"/>
        </w:rPr>
        <w:t xml:space="preserve">n-vitro diagnostic </w:t>
      </w:r>
      <w:r w:rsidR="007B0D88">
        <w:rPr>
          <w:szCs w:val="20"/>
        </w:rPr>
        <w:t>medical device</w:t>
      </w:r>
      <w:r w:rsidR="00AE0D96">
        <w:rPr>
          <w:szCs w:val="20"/>
        </w:rPr>
        <w:t>/Researc</w:t>
      </w:r>
      <w:r w:rsidR="00902589">
        <w:rPr>
          <w:szCs w:val="20"/>
        </w:rPr>
        <w:t>h</w:t>
      </w:r>
      <w:r w:rsidR="00AE0D96">
        <w:rPr>
          <w:szCs w:val="20"/>
        </w:rPr>
        <w:t xml:space="preserve"> Use Only </w:t>
      </w:r>
      <w:r w:rsidR="00D46206">
        <w:rPr>
          <w:szCs w:val="20"/>
        </w:rPr>
        <w:t>a</w:t>
      </w:r>
      <w:r w:rsidR="00AE0D96">
        <w:rPr>
          <w:szCs w:val="20"/>
        </w:rPr>
        <w:t>ssay</w:t>
      </w:r>
      <w:r w:rsidR="00B36182" w:rsidRPr="000F5EB0">
        <w:rPr>
          <w:szCs w:val="20"/>
        </w:rPr>
        <w:t>.</w:t>
      </w:r>
    </w:p>
    <w:p w14:paraId="20FD932E" w14:textId="447CAF8F" w:rsidR="00A26343" w:rsidRPr="000F5EB0" w:rsidRDefault="00A26343" w:rsidP="00A6491A">
      <w:pPr>
        <w:spacing w:before="0" w:after="0"/>
        <w:ind w:left="284"/>
        <w:rPr>
          <w:szCs w:val="20"/>
        </w:rPr>
      </w:pPr>
      <w:r w:rsidRPr="000F5EB0">
        <w:rPr>
          <w:szCs w:val="20"/>
        </w:rPr>
        <w:t>Manufacturer’s name:</w:t>
      </w:r>
      <w:r w:rsidR="00B7046F">
        <w:rPr>
          <w:szCs w:val="20"/>
        </w:rPr>
        <w:t xml:space="preserve"> </w:t>
      </w:r>
      <w:r w:rsidR="000E0D7F">
        <w:rPr>
          <w:szCs w:val="20"/>
        </w:rPr>
        <w:t xml:space="preserve">This application is </w:t>
      </w:r>
      <w:r w:rsidR="003A0255">
        <w:rPr>
          <w:szCs w:val="20"/>
        </w:rPr>
        <w:t xml:space="preserve">not limited to a specific </w:t>
      </w:r>
      <w:r w:rsidR="00C47948">
        <w:rPr>
          <w:szCs w:val="20"/>
        </w:rPr>
        <w:t>manufacturer</w:t>
      </w:r>
      <w:r w:rsidR="00923DA3">
        <w:rPr>
          <w:szCs w:val="20"/>
        </w:rPr>
        <w:t xml:space="preserve">. </w:t>
      </w:r>
      <w:r w:rsidR="00345062">
        <w:rPr>
          <w:szCs w:val="20"/>
        </w:rPr>
        <w:t xml:space="preserve">Current </w:t>
      </w:r>
      <w:r w:rsidR="006A6110">
        <w:rPr>
          <w:szCs w:val="20"/>
        </w:rPr>
        <w:t>manufacturers</w:t>
      </w:r>
      <w:r w:rsidR="00345062">
        <w:rPr>
          <w:szCs w:val="20"/>
        </w:rPr>
        <w:t xml:space="preserve"> of </w:t>
      </w:r>
      <w:r w:rsidR="00DA2383">
        <w:rPr>
          <w:szCs w:val="20"/>
        </w:rPr>
        <w:t>NGS assay</w:t>
      </w:r>
      <w:r w:rsidR="00ED6138">
        <w:rPr>
          <w:szCs w:val="20"/>
        </w:rPr>
        <w:t xml:space="preserve">s include </w:t>
      </w:r>
      <w:r w:rsidR="00C75E4D" w:rsidRPr="00406652">
        <w:rPr>
          <w:szCs w:val="20"/>
        </w:rPr>
        <w:t>Roche Diagnostics</w:t>
      </w:r>
      <w:r w:rsidR="00B77BD4">
        <w:rPr>
          <w:szCs w:val="20"/>
        </w:rPr>
        <w:t>,</w:t>
      </w:r>
      <w:r w:rsidR="00ED6138">
        <w:rPr>
          <w:szCs w:val="20"/>
        </w:rPr>
        <w:t xml:space="preserve"> Illumina</w:t>
      </w:r>
      <w:r w:rsidR="00B77BD4">
        <w:rPr>
          <w:szCs w:val="20"/>
        </w:rPr>
        <w:t xml:space="preserve"> and Thermo</w:t>
      </w:r>
      <w:r w:rsidR="00692E9E">
        <w:rPr>
          <w:szCs w:val="20"/>
        </w:rPr>
        <w:t xml:space="preserve"> </w:t>
      </w:r>
      <w:r w:rsidR="00B77BD4">
        <w:rPr>
          <w:szCs w:val="20"/>
        </w:rPr>
        <w:t>Fisher</w:t>
      </w:r>
      <w:r w:rsidR="00D54BB3">
        <w:rPr>
          <w:szCs w:val="20"/>
        </w:rPr>
        <w:t>.</w:t>
      </w:r>
    </w:p>
    <w:p w14:paraId="3B0414EB" w14:textId="4E302149" w:rsidR="00A26343" w:rsidRPr="000F5EB0" w:rsidRDefault="00A26343" w:rsidP="00A6491A">
      <w:pPr>
        <w:spacing w:before="0" w:after="0"/>
        <w:ind w:left="284"/>
        <w:rPr>
          <w:szCs w:val="20"/>
        </w:rPr>
      </w:pPr>
      <w:r w:rsidRPr="000F5EB0">
        <w:rPr>
          <w:szCs w:val="20"/>
        </w:rPr>
        <w:t>Sponsor’s name:</w:t>
      </w:r>
    </w:p>
    <w:p w14:paraId="26A3409B" w14:textId="77777777" w:rsidR="005E2CE3" w:rsidRPr="000F5EB0" w:rsidRDefault="005E2CE3" w:rsidP="00FD4715">
      <w:pPr>
        <w:pStyle w:val="Heading2"/>
        <w:numPr>
          <w:ilvl w:val="0"/>
          <w:numId w:val="6"/>
        </w:numPr>
      </w:pPr>
      <w:r w:rsidRPr="000F5EB0">
        <w:t>Is the medical device classified by the TGA as either a Class III or Active Implantable Medical Device (AIMD) against the TGA regulatory scheme for devices?</w:t>
      </w:r>
    </w:p>
    <w:p w14:paraId="5FF24DDA" w14:textId="7E67DE02" w:rsidR="00615F42" w:rsidRPr="000F5EB0" w:rsidRDefault="007B0D88" w:rsidP="00225180">
      <w:pPr>
        <w:spacing w:before="0" w:after="0"/>
        <w:ind w:left="72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07C47">
        <w:rPr>
          <w:szCs w:val="20"/>
        </w:rPr>
      </w:r>
      <w:r w:rsidR="00607C47">
        <w:rPr>
          <w:szCs w:val="20"/>
        </w:rPr>
        <w:fldChar w:fldCharType="separate"/>
      </w:r>
      <w:r>
        <w:rPr>
          <w:szCs w:val="20"/>
        </w:rPr>
        <w:fldChar w:fldCharType="end"/>
      </w:r>
      <w:r w:rsidR="00615F42" w:rsidRPr="000F5EB0">
        <w:rPr>
          <w:szCs w:val="20"/>
        </w:rPr>
        <w:t xml:space="preserve"> Class III</w:t>
      </w:r>
    </w:p>
    <w:p w14:paraId="6DA19256" w14:textId="77777777" w:rsidR="00615F42" w:rsidRPr="000F5EB0" w:rsidRDefault="00615F42" w:rsidP="00225180">
      <w:pPr>
        <w:spacing w:before="0" w:after="0"/>
        <w:ind w:left="720"/>
        <w:rPr>
          <w:szCs w:val="20"/>
        </w:rPr>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AIMD</w:t>
      </w:r>
    </w:p>
    <w:p w14:paraId="6A77EDE4" w14:textId="71BCE37E" w:rsidR="005E2CE3" w:rsidRPr="000F5EB0" w:rsidRDefault="007B0D88" w:rsidP="0022518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7C47">
        <w:rPr>
          <w:szCs w:val="20"/>
        </w:rPr>
      </w:r>
      <w:r w:rsidR="00607C47">
        <w:rPr>
          <w:szCs w:val="20"/>
        </w:rPr>
        <w:fldChar w:fldCharType="separate"/>
      </w:r>
      <w:r>
        <w:rPr>
          <w:szCs w:val="20"/>
        </w:rPr>
        <w:fldChar w:fldCharType="end"/>
      </w:r>
      <w:r w:rsidR="00615F42" w:rsidRPr="000F5EB0">
        <w:rPr>
          <w:szCs w:val="20"/>
        </w:rPr>
        <w:t xml:space="preserve"> N/A</w:t>
      </w:r>
    </w:p>
    <w:p w14:paraId="1459E224" w14:textId="48CFDFFE" w:rsidR="00E21FE7" w:rsidRPr="000F5EB0" w:rsidRDefault="00E21FE7" w:rsidP="00225180">
      <w:pPr>
        <w:ind w:left="720"/>
      </w:pPr>
      <w:r w:rsidRPr="000F5EB0">
        <w:rPr>
          <w:szCs w:val="20"/>
        </w:rPr>
        <w:t>The</w:t>
      </w:r>
      <w:r w:rsidR="009D346E">
        <w:rPr>
          <w:szCs w:val="20"/>
        </w:rPr>
        <w:t xml:space="preserve"> use of</w:t>
      </w:r>
      <w:r w:rsidR="00482B2D">
        <w:rPr>
          <w:szCs w:val="20"/>
        </w:rPr>
        <w:t xml:space="preserve"> any </w:t>
      </w:r>
      <w:r w:rsidR="00CF392D">
        <w:rPr>
          <w:szCs w:val="20"/>
        </w:rPr>
        <w:t xml:space="preserve">NGS assay </w:t>
      </w:r>
      <w:r w:rsidR="009D346E">
        <w:rPr>
          <w:szCs w:val="20"/>
        </w:rPr>
        <w:t xml:space="preserve">to inform the </w:t>
      </w:r>
      <w:r w:rsidR="00E6690E">
        <w:rPr>
          <w:szCs w:val="20"/>
        </w:rPr>
        <w:t xml:space="preserve">clinical </w:t>
      </w:r>
      <w:r w:rsidR="009D346E">
        <w:rPr>
          <w:szCs w:val="20"/>
        </w:rPr>
        <w:t xml:space="preserve">management of </w:t>
      </w:r>
      <w:r w:rsidR="00E6690E">
        <w:rPr>
          <w:szCs w:val="20"/>
        </w:rPr>
        <w:t xml:space="preserve">NSCLC patients would result in it being </w:t>
      </w:r>
      <w:r w:rsidRPr="000F5EB0">
        <w:rPr>
          <w:szCs w:val="20"/>
        </w:rPr>
        <w:t>a</w:t>
      </w:r>
      <w:r w:rsidR="00D46206">
        <w:rPr>
          <w:szCs w:val="20"/>
        </w:rPr>
        <w:t xml:space="preserve"> </w:t>
      </w:r>
      <w:r w:rsidRPr="000F5EB0">
        <w:rPr>
          <w:szCs w:val="20"/>
        </w:rPr>
        <w:t xml:space="preserve">Class </w:t>
      </w:r>
      <w:r w:rsidR="007B0D88">
        <w:rPr>
          <w:szCs w:val="20"/>
        </w:rPr>
        <w:t>3 IVD medical device</w:t>
      </w:r>
      <w:r w:rsidR="007B0D88" w:rsidRPr="000F5EB0">
        <w:rPr>
          <w:szCs w:val="20"/>
        </w:rPr>
        <w:t xml:space="preserve"> </w:t>
      </w:r>
      <w:r w:rsidRPr="000F5EB0">
        <w:rPr>
          <w:szCs w:val="20"/>
        </w:rPr>
        <w:t>product</w:t>
      </w:r>
      <w:r w:rsidR="00BF0680">
        <w:rPr>
          <w:szCs w:val="20"/>
        </w:rPr>
        <w:t xml:space="preserve">, noting that </w:t>
      </w:r>
      <w:r w:rsidR="0062179F">
        <w:rPr>
          <w:szCs w:val="20"/>
        </w:rPr>
        <w:t>t</w:t>
      </w:r>
      <w:r w:rsidR="007B0D88">
        <w:rPr>
          <w:szCs w:val="20"/>
        </w:rPr>
        <w:t>he classifications listed above refer to Medical Devices, not IVD Medical Devices.</w:t>
      </w:r>
    </w:p>
    <w:p w14:paraId="15EE3F63" w14:textId="77777777" w:rsidR="003421AE" w:rsidRPr="000F5EB0" w:rsidRDefault="0011369B" w:rsidP="00530204">
      <w:pPr>
        <w:pStyle w:val="Heading2"/>
      </w:pPr>
      <w:r w:rsidRPr="000F5EB0">
        <w:t xml:space="preserve">(a) </w:t>
      </w:r>
      <w:r w:rsidR="003421AE" w:rsidRPr="000F5EB0">
        <w:t xml:space="preserve">Is the therapeutic good to be used in the service exempt from the regulatory requirements of the </w:t>
      </w:r>
      <w:r w:rsidR="003421AE" w:rsidRPr="000F5EB0">
        <w:rPr>
          <w:i/>
        </w:rPr>
        <w:t>Therapeutic Goods Act 1989</w:t>
      </w:r>
      <w:r w:rsidR="003421AE" w:rsidRPr="000F5EB0">
        <w:t>?</w:t>
      </w:r>
    </w:p>
    <w:p w14:paraId="70028098" w14:textId="77777777" w:rsidR="00615F42" w:rsidRPr="000F5EB0" w:rsidRDefault="00615F42" w:rsidP="00225180">
      <w:pPr>
        <w:spacing w:before="0" w:after="0"/>
        <w:ind w:left="720"/>
        <w:rPr>
          <w:szCs w:val="20"/>
        </w:rPr>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Yes (If yes, please provide supporting documentation as an attachment to this application form)</w:t>
      </w:r>
    </w:p>
    <w:p w14:paraId="2B0C39F0" w14:textId="0BD14F3D" w:rsidR="003421AE" w:rsidRPr="000F5EB0" w:rsidRDefault="00B9436B" w:rsidP="00225180">
      <w:pPr>
        <w:spacing w:before="0" w:after="0"/>
        <w:ind w:left="720"/>
        <w:rPr>
          <w:b/>
          <w:szCs w:val="20"/>
        </w:rPr>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615F42" w:rsidRPr="000F5EB0">
        <w:rPr>
          <w:szCs w:val="20"/>
        </w:rPr>
        <w:t xml:space="preserve"> No</w:t>
      </w:r>
    </w:p>
    <w:p w14:paraId="0F176343" w14:textId="77777777" w:rsidR="00D85676" w:rsidRPr="000F5EB0" w:rsidRDefault="00D85676" w:rsidP="00FD4715">
      <w:pPr>
        <w:pStyle w:val="Heading2"/>
        <w:numPr>
          <w:ilvl w:val="0"/>
          <w:numId w:val="7"/>
        </w:numPr>
      </w:pPr>
      <w:r w:rsidRPr="000F5EB0">
        <w:t>If no, has it been listed or registered or included in the Australian Register of Therapeutic Goods (ARTG) by the Therapeutic Goods Administration (TGA)</w:t>
      </w:r>
      <w:r w:rsidR="00403333" w:rsidRPr="000F5EB0">
        <w:t>?</w:t>
      </w:r>
    </w:p>
    <w:p w14:paraId="0F47C83A" w14:textId="42BCDFD1" w:rsidR="0043654D" w:rsidRPr="000F5EB0" w:rsidRDefault="00BE49A2" w:rsidP="00225180">
      <w:pPr>
        <w:spacing w:before="0" w:after="0"/>
        <w:ind w:left="72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07C47">
        <w:rPr>
          <w:szCs w:val="20"/>
        </w:rPr>
      </w:r>
      <w:r w:rsidR="00607C47">
        <w:rPr>
          <w:szCs w:val="20"/>
        </w:rPr>
        <w:fldChar w:fldCharType="separate"/>
      </w:r>
      <w:r>
        <w:rPr>
          <w:szCs w:val="20"/>
        </w:rPr>
        <w:fldChar w:fldCharType="end"/>
      </w:r>
      <w:r w:rsidR="0043654D" w:rsidRPr="000F5EB0">
        <w:rPr>
          <w:szCs w:val="20"/>
        </w:rPr>
        <w:t xml:space="preserve"> Yes (if yes, please provide details below)</w:t>
      </w:r>
    </w:p>
    <w:p w14:paraId="4FD9061A" w14:textId="62E32C84" w:rsidR="0043654D" w:rsidRPr="000F5EB0" w:rsidRDefault="00BE49A2" w:rsidP="00225180">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7C47">
        <w:rPr>
          <w:szCs w:val="20"/>
        </w:rPr>
      </w:r>
      <w:r w:rsidR="00607C47">
        <w:rPr>
          <w:szCs w:val="20"/>
        </w:rPr>
        <w:fldChar w:fldCharType="separate"/>
      </w:r>
      <w:r>
        <w:rPr>
          <w:szCs w:val="20"/>
        </w:rPr>
        <w:fldChar w:fldCharType="end"/>
      </w:r>
      <w:r w:rsidR="0043654D" w:rsidRPr="000F5EB0">
        <w:rPr>
          <w:szCs w:val="20"/>
        </w:rPr>
        <w:t xml:space="preserve"> No</w:t>
      </w:r>
    </w:p>
    <w:p w14:paraId="53CBF3A7" w14:textId="77777777" w:rsidR="0043654D" w:rsidRPr="000F5EB0" w:rsidRDefault="0043654D" w:rsidP="0043654D">
      <w:pPr>
        <w:spacing w:before="0" w:after="0"/>
        <w:ind w:left="284"/>
        <w:rPr>
          <w:b/>
          <w:szCs w:val="20"/>
        </w:rPr>
      </w:pPr>
    </w:p>
    <w:p w14:paraId="65DA0F9C" w14:textId="02A8807D" w:rsidR="00E04456" w:rsidRDefault="00524473" w:rsidP="00225180">
      <w:pPr>
        <w:spacing w:before="0" w:after="0"/>
        <w:ind w:left="720"/>
        <w:rPr>
          <w:szCs w:val="20"/>
        </w:rPr>
      </w:pPr>
      <w:r>
        <w:rPr>
          <w:szCs w:val="20"/>
        </w:rPr>
        <w:t xml:space="preserve">The </w:t>
      </w:r>
      <w:r w:rsidR="00C20033">
        <w:rPr>
          <w:szCs w:val="20"/>
        </w:rPr>
        <w:t>FoundationOne® CDx</w:t>
      </w:r>
      <w:r w:rsidRPr="007F4236">
        <w:rPr>
          <w:szCs w:val="20"/>
        </w:rPr>
        <w:t xml:space="preserve"> assay</w:t>
      </w:r>
      <w:r>
        <w:rPr>
          <w:szCs w:val="20"/>
        </w:rPr>
        <w:t xml:space="preserve"> is </w:t>
      </w:r>
      <w:r w:rsidR="001D0C6C">
        <w:rPr>
          <w:szCs w:val="20"/>
        </w:rPr>
        <w:t xml:space="preserve">available to Australian clinicians and is </w:t>
      </w:r>
      <w:r>
        <w:rPr>
          <w:szCs w:val="20"/>
        </w:rPr>
        <w:t>currently FDA-approved as an IVD compan</w:t>
      </w:r>
      <w:r w:rsidR="001933E5">
        <w:rPr>
          <w:szCs w:val="20"/>
        </w:rPr>
        <w:t>ion diagnostic</w:t>
      </w:r>
      <w:r w:rsidR="004702EF">
        <w:rPr>
          <w:szCs w:val="20"/>
        </w:rPr>
        <w:t xml:space="preserve">. </w:t>
      </w:r>
      <w:r w:rsidR="001D0C6C">
        <w:rPr>
          <w:szCs w:val="20"/>
        </w:rPr>
        <w:t>However, as samples are sent offshore for testing ,</w:t>
      </w:r>
      <w:r w:rsidR="004702EF">
        <w:rPr>
          <w:szCs w:val="20"/>
        </w:rPr>
        <w:t xml:space="preserve"> </w:t>
      </w:r>
      <w:r w:rsidR="00527273">
        <w:rPr>
          <w:szCs w:val="20"/>
        </w:rPr>
        <w:t xml:space="preserve">this assay </w:t>
      </w:r>
      <w:r w:rsidR="009C0768">
        <w:rPr>
          <w:szCs w:val="20"/>
        </w:rPr>
        <w:t>not</w:t>
      </w:r>
      <w:r w:rsidR="001D0C6C">
        <w:rPr>
          <w:szCs w:val="20"/>
        </w:rPr>
        <w:t xml:space="preserve"> currently</w:t>
      </w:r>
      <w:r w:rsidR="009C0768">
        <w:rPr>
          <w:szCs w:val="20"/>
        </w:rPr>
        <w:t xml:space="preserve"> fall</w:t>
      </w:r>
      <w:r w:rsidR="00436074">
        <w:rPr>
          <w:szCs w:val="20"/>
        </w:rPr>
        <w:t>s</w:t>
      </w:r>
      <w:r w:rsidR="009C0768">
        <w:rPr>
          <w:szCs w:val="20"/>
        </w:rPr>
        <w:t xml:space="preserve"> under the </w:t>
      </w:r>
      <w:r w:rsidR="0076164C">
        <w:rPr>
          <w:szCs w:val="20"/>
        </w:rPr>
        <w:t xml:space="preserve">jurisdiction of the </w:t>
      </w:r>
      <w:r w:rsidR="009320C3">
        <w:rPr>
          <w:szCs w:val="20"/>
        </w:rPr>
        <w:t>TGA.</w:t>
      </w:r>
    </w:p>
    <w:p w14:paraId="01D7621B" w14:textId="77777777" w:rsidR="00E04456" w:rsidRDefault="00E04456" w:rsidP="00225180">
      <w:pPr>
        <w:spacing w:before="0" w:after="0"/>
        <w:ind w:left="720"/>
        <w:rPr>
          <w:szCs w:val="20"/>
        </w:rPr>
      </w:pPr>
    </w:p>
    <w:p w14:paraId="44286494" w14:textId="75BFD090" w:rsidR="009A2BB4" w:rsidRDefault="00E04456" w:rsidP="00225180">
      <w:pPr>
        <w:spacing w:before="0" w:after="0"/>
        <w:ind w:left="720"/>
        <w:rPr>
          <w:szCs w:val="20"/>
        </w:rPr>
      </w:pPr>
      <w:r>
        <w:rPr>
          <w:szCs w:val="20"/>
        </w:rPr>
        <w:t>T</w:t>
      </w:r>
      <w:r w:rsidR="00871B4D">
        <w:rPr>
          <w:szCs w:val="20"/>
        </w:rPr>
        <w:t xml:space="preserve">he </w:t>
      </w:r>
      <w:r w:rsidR="00377604">
        <w:rPr>
          <w:szCs w:val="20"/>
        </w:rPr>
        <w:t>Inten</w:t>
      </w:r>
      <w:r w:rsidR="00377604" w:rsidRPr="007F3EF1">
        <w:rPr>
          <w:szCs w:val="20"/>
        </w:rPr>
        <w:t xml:space="preserve">ded Use </w:t>
      </w:r>
      <w:r w:rsidR="002D0F6E" w:rsidRPr="007F3EF1">
        <w:rPr>
          <w:szCs w:val="20"/>
        </w:rPr>
        <w:t>and FDA-approved IVD companion diagno</w:t>
      </w:r>
      <w:r w:rsidR="008E3B98" w:rsidRPr="007F3EF1">
        <w:rPr>
          <w:szCs w:val="20"/>
        </w:rPr>
        <w:t xml:space="preserve">stic indications of the </w:t>
      </w:r>
      <w:r w:rsidR="00C20033">
        <w:rPr>
          <w:szCs w:val="20"/>
        </w:rPr>
        <w:t>FoundationOne® CDx</w:t>
      </w:r>
      <w:r w:rsidR="00841F6F" w:rsidRPr="007F3EF1">
        <w:rPr>
          <w:szCs w:val="20"/>
        </w:rPr>
        <w:t xml:space="preserve"> assay</w:t>
      </w:r>
      <w:r>
        <w:rPr>
          <w:szCs w:val="20"/>
        </w:rPr>
        <w:t xml:space="preserve"> are</w:t>
      </w:r>
      <w:r w:rsidR="00D67122">
        <w:rPr>
          <w:szCs w:val="20"/>
        </w:rPr>
        <w:t xml:space="preserve"> provided below</w:t>
      </w:r>
      <w:r w:rsidR="007F3EF1" w:rsidRPr="007F3EF1">
        <w:rPr>
          <w:szCs w:val="20"/>
        </w:rPr>
        <w:t>.</w:t>
      </w:r>
    </w:p>
    <w:p w14:paraId="7F351DCF" w14:textId="18759D09" w:rsidR="00D67122" w:rsidRDefault="00D67122" w:rsidP="00524473">
      <w:pPr>
        <w:spacing w:before="0" w:after="0"/>
        <w:ind w:left="284"/>
        <w:rPr>
          <w:szCs w:val="20"/>
        </w:rPr>
      </w:pPr>
    </w:p>
    <w:p w14:paraId="63DAEC39" w14:textId="60A53D51" w:rsidR="00E307C6" w:rsidRDefault="00E307C6" w:rsidP="00524473">
      <w:pPr>
        <w:spacing w:before="0" w:after="0"/>
        <w:ind w:left="284"/>
        <w:rPr>
          <w:szCs w:val="20"/>
        </w:rPr>
      </w:pPr>
    </w:p>
    <w:p w14:paraId="69DBD7E5" w14:textId="58AD6111" w:rsidR="00524473" w:rsidRDefault="00A729E7" w:rsidP="0043654D">
      <w:pPr>
        <w:spacing w:before="0" w:after="0"/>
        <w:ind w:left="284"/>
        <w:rPr>
          <w:szCs w:val="20"/>
        </w:rPr>
      </w:pPr>
      <w:r>
        <w:rPr>
          <w:szCs w:val="20"/>
        </w:rPr>
        <w:t>It is anticipated that the</w:t>
      </w:r>
      <w:r w:rsidR="00567A3F">
        <w:rPr>
          <w:szCs w:val="20"/>
        </w:rPr>
        <w:t xml:space="preserve"> forthcoming </w:t>
      </w:r>
      <w:r w:rsidR="00567A3F" w:rsidRPr="002D0D26">
        <w:rPr>
          <w:szCs w:val="20"/>
        </w:rPr>
        <w:t xml:space="preserve">CGP </w:t>
      </w:r>
      <w:r w:rsidR="006642F3">
        <w:rPr>
          <w:szCs w:val="20"/>
        </w:rPr>
        <w:t>assay</w:t>
      </w:r>
      <w:r w:rsidR="00567A3F" w:rsidRPr="002D0D26">
        <w:rPr>
          <w:szCs w:val="20"/>
        </w:rPr>
        <w:t xml:space="preserve"> based on the </w:t>
      </w:r>
      <w:r w:rsidR="00C20033">
        <w:rPr>
          <w:szCs w:val="20"/>
        </w:rPr>
        <w:t>FoundationOne® CDx</w:t>
      </w:r>
      <w:r w:rsidR="00567A3F" w:rsidRPr="002D0D26">
        <w:rPr>
          <w:szCs w:val="20"/>
        </w:rPr>
        <w:t xml:space="preserve"> assay will</w:t>
      </w:r>
      <w:r w:rsidR="00E439B1" w:rsidRPr="002D0D26">
        <w:rPr>
          <w:szCs w:val="20"/>
        </w:rPr>
        <w:t xml:space="preserve"> seek TGA-approval </w:t>
      </w:r>
      <w:r w:rsidR="00E428A9" w:rsidRPr="002D0D26">
        <w:rPr>
          <w:szCs w:val="20"/>
        </w:rPr>
        <w:t xml:space="preserve">as an IVD companion diagnostic </w:t>
      </w:r>
      <w:r w:rsidR="0083140D" w:rsidRPr="002D0D26">
        <w:rPr>
          <w:szCs w:val="20"/>
        </w:rPr>
        <w:t>with indications consistent with the FDA-</w:t>
      </w:r>
      <w:r w:rsidR="002D0D26" w:rsidRPr="002D0D26">
        <w:rPr>
          <w:szCs w:val="20"/>
        </w:rPr>
        <w:t>approved</w:t>
      </w:r>
      <w:r w:rsidR="0083140D" w:rsidRPr="002D0D26">
        <w:rPr>
          <w:szCs w:val="20"/>
        </w:rPr>
        <w:t xml:space="preserve"> in</w:t>
      </w:r>
      <w:r w:rsidR="00C76357" w:rsidRPr="002D0D26">
        <w:rPr>
          <w:szCs w:val="20"/>
        </w:rPr>
        <w:t xml:space="preserve">dications for </w:t>
      </w:r>
      <w:r w:rsidR="00C20033">
        <w:rPr>
          <w:szCs w:val="20"/>
        </w:rPr>
        <w:t>FoundationOne® CDx</w:t>
      </w:r>
      <w:r w:rsidR="006C7A30">
        <w:rPr>
          <w:szCs w:val="20"/>
        </w:rPr>
        <w:t xml:space="preserve">. </w:t>
      </w:r>
      <w:r w:rsidR="00042C7E">
        <w:rPr>
          <w:szCs w:val="20"/>
        </w:rPr>
        <w:t>Please note that t</w:t>
      </w:r>
      <w:r w:rsidR="006C7A30">
        <w:rPr>
          <w:szCs w:val="20"/>
        </w:rPr>
        <w:t xml:space="preserve">he </w:t>
      </w:r>
      <w:r w:rsidR="00F24B36" w:rsidRPr="002D0D26">
        <w:rPr>
          <w:szCs w:val="20"/>
        </w:rPr>
        <w:t xml:space="preserve">final </w:t>
      </w:r>
      <w:r w:rsidR="00562C3D" w:rsidRPr="002D0D26">
        <w:rPr>
          <w:szCs w:val="20"/>
        </w:rPr>
        <w:t xml:space="preserve">IVD companion diagnostic </w:t>
      </w:r>
      <w:r w:rsidR="002E5086">
        <w:rPr>
          <w:szCs w:val="20"/>
        </w:rPr>
        <w:t xml:space="preserve">indications </w:t>
      </w:r>
      <w:r w:rsidR="00562C3D" w:rsidRPr="002D0D26">
        <w:rPr>
          <w:szCs w:val="20"/>
        </w:rPr>
        <w:t xml:space="preserve">sought from the TGA </w:t>
      </w:r>
      <w:r w:rsidR="00906BC4">
        <w:rPr>
          <w:szCs w:val="20"/>
        </w:rPr>
        <w:t xml:space="preserve">will be based on the clinical evidence </w:t>
      </w:r>
      <w:r w:rsidR="006868D2">
        <w:rPr>
          <w:szCs w:val="20"/>
        </w:rPr>
        <w:t xml:space="preserve">available </w:t>
      </w:r>
      <w:r w:rsidR="001820F5">
        <w:rPr>
          <w:szCs w:val="20"/>
        </w:rPr>
        <w:t>to pursue IVD companion diagnostic</w:t>
      </w:r>
      <w:r w:rsidR="00042C7E">
        <w:rPr>
          <w:szCs w:val="20"/>
        </w:rPr>
        <w:t xml:space="preserve"> indications </w:t>
      </w:r>
      <w:r w:rsidR="003B3B0D">
        <w:rPr>
          <w:szCs w:val="20"/>
        </w:rPr>
        <w:t xml:space="preserve">at </w:t>
      </w:r>
      <w:r w:rsidR="00EF0CFF">
        <w:rPr>
          <w:szCs w:val="20"/>
        </w:rPr>
        <w:t>the</w:t>
      </w:r>
      <w:r w:rsidR="003B3B0D">
        <w:rPr>
          <w:szCs w:val="20"/>
        </w:rPr>
        <w:t xml:space="preserve"> time of seeking inclusion in the </w:t>
      </w:r>
      <w:r w:rsidR="00EF0CFF">
        <w:rPr>
          <w:szCs w:val="20"/>
        </w:rPr>
        <w:t>ARTG</w:t>
      </w:r>
      <w:r w:rsidR="003F369F">
        <w:rPr>
          <w:szCs w:val="20"/>
        </w:rPr>
        <w:t>.</w:t>
      </w:r>
    </w:p>
    <w:p w14:paraId="0017C6DA" w14:textId="77777777" w:rsidR="00CC4EE7" w:rsidRDefault="00CC4EE7">
      <w:pPr>
        <w:spacing w:before="0" w:after="200" w:line="276" w:lineRule="auto"/>
      </w:pPr>
      <w:r>
        <w:br w:type="page"/>
      </w:r>
    </w:p>
    <w:p w14:paraId="0A19B503" w14:textId="77777777" w:rsidR="00CC4EE7" w:rsidRPr="00984A1A" w:rsidRDefault="00CC4EE7" w:rsidP="00CC4EE7">
      <w:pPr>
        <w:spacing w:before="0" w:after="0"/>
        <w:ind w:left="284"/>
        <w:rPr>
          <w:b/>
          <w:bCs/>
          <w:szCs w:val="20"/>
        </w:rPr>
      </w:pPr>
      <w:r w:rsidRPr="00984A1A">
        <w:rPr>
          <w:b/>
          <w:bCs/>
          <w:szCs w:val="20"/>
        </w:rPr>
        <w:lastRenderedPageBreak/>
        <w:t>Intended Use</w:t>
      </w:r>
    </w:p>
    <w:p w14:paraId="1741DB48" w14:textId="77777777" w:rsidR="00CC4EE7" w:rsidRDefault="00CC4EE7" w:rsidP="00CC4EE7">
      <w:pPr>
        <w:spacing w:before="0" w:after="0"/>
        <w:ind w:left="284"/>
        <w:rPr>
          <w:szCs w:val="20"/>
        </w:rPr>
      </w:pPr>
      <w:r>
        <w:rPr>
          <w:szCs w:val="20"/>
        </w:rPr>
        <w:t>FoundationOne® CDx</w:t>
      </w:r>
      <w:r w:rsidRPr="006B07EF">
        <w:rPr>
          <w:szCs w:val="20"/>
        </w:rPr>
        <w:t xml:space="preserve"> (F1CDx) is a next generation sequencing based in vitro diagnostic device for detection of substitutions, insertion and deletion alterations (indels), and copy number alterations (CNAs) in 324 genes and</w:t>
      </w:r>
      <w:r>
        <w:rPr>
          <w:szCs w:val="20"/>
        </w:rPr>
        <w:t xml:space="preserve"> </w:t>
      </w:r>
      <w:r w:rsidRPr="006B07EF">
        <w:rPr>
          <w:szCs w:val="20"/>
        </w:rPr>
        <w:t>select gene rearrangements, as well as genomic signatures including microsatellite instability (MSI) and tumor</w:t>
      </w:r>
      <w:r>
        <w:rPr>
          <w:szCs w:val="20"/>
        </w:rPr>
        <w:t xml:space="preserve"> </w:t>
      </w:r>
      <w:r w:rsidRPr="006B07EF">
        <w:rPr>
          <w:szCs w:val="20"/>
        </w:rPr>
        <w:t>mutational burden (TMB)  using  DNA isolated from formalin-fixed  paraffin  embedded (FFPE) tumor tissue specimens. The test is intended as a companion diagnostic to identify patients who may benefit from treatment with the targeted therapies listed in Table 1 in accordance with the approved therapeutic product labeling. Additionally, F1CDx is intended to provide tumor mutation profiling to be used by qualified health care professionals in accordance with professional guidelines in oncology for patients with solid malignant neoplasms. Genomic findings other than those listed in Table 1 are not prescriptive or conclusive for labeled use of any specific therapeutic product.</w:t>
      </w:r>
    </w:p>
    <w:p w14:paraId="54860C8E" w14:textId="77777777" w:rsidR="00CC4EE7" w:rsidRPr="006B07EF" w:rsidRDefault="00CC4EE7" w:rsidP="00CC4EE7">
      <w:pPr>
        <w:spacing w:before="0" w:after="0"/>
        <w:ind w:left="284"/>
        <w:rPr>
          <w:szCs w:val="20"/>
        </w:rPr>
      </w:pPr>
    </w:p>
    <w:p w14:paraId="359C94A7" w14:textId="77777777" w:rsidR="00CC4EE7" w:rsidRPr="00FD5469" w:rsidRDefault="00CC4EE7" w:rsidP="00CC4EE7">
      <w:pPr>
        <w:keepNext/>
        <w:keepLines/>
        <w:spacing w:before="0" w:after="0"/>
        <w:ind w:left="284"/>
        <w:rPr>
          <w:b/>
          <w:bCs/>
          <w:szCs w:val="20"/>
        </w:rPr>
      </w:pPr>
      <w:r w:rsidRPr="00FD5469">
        <w:rPr>
          <w:b/>
          <w:bCs/>
          <w:szCs w:val="20"/>
        </w:rPr>
        <w:t>Table 1. Companion diagnostic indications</w:t>
      </w:r>
    </w:p>
    <w:tbl>
      <w:tblPr>
        <w:tblStyle w:val="TableGrid"/>
        <w:tblW w:w="0" w:type="auto"/>
        <w:tblInd w:w="284" w:type="dxa"/>
        <w:tblLook w:val="04A0" w:firstRow="1" w:lastRow="0" w:firstColumn="1" w:lastColumn="0" w:noHBand="0" w:noVBand="1"/>
        <w:tblCaption w:val="Table"/>
        <w:tblDescription w:val="Table"/>
      </w:tblPr>
      <w:tblGrid>
        <w:gridCol w:w="1525"/>
        <w:gridCol w:w="3611"/>
        <w:gridCol w:w="3596"/>
      </w:tblGrid>
      <w:tr w:rsidR="00CC4EE7" w:rsidRPr="005F284A" w14:paraId="7E725C12" w14:textId="77777777" w:rsidTr="003C7DBA">
        <w:trPr>
          <w:tblHeader/>
        </w:trPr>
        <w:tc>
          <w:tcPr>
            <w:tcW w:w="0" w:type="auto"/>
          </w:tcPr>
          <w:p w14:paraId="52FFA82D" w14:textId="77777777" w:rsidR="00CC4EE7" w:rsidRPr="005F284A" w:rsidRDefault="00CC4EE7" w:rsidP="003C7DBA">
            <w:pPr>
              <w:keepNext/>
              <w:keepLines/>
              <w:spacing w:before="0" w:after="0"/>
              <w:rPr>
                <w:b/>
                <w:bCs/>
                <w:szCs w:val="20"/>
              </w:rPr>
            </w:pPr>
            <w:r w:rsidRPr="005F284A">
              <w:rPr>
                <w:b/>
                <w:bCs/>
                <w:szCs w:val="20"/>
              </w:rPr>
              <w:t>Tumor Type</w:t>
            </w:r>
          </w:p>
        </w:tc>
        <w:tc>
          <w:tcPr>
            <w:tcW w:w="0" w:type="auto"/>
          </w:tcPr>
          <w:p w14:paraId="34E3BA90" w14:textId="77777777" w:rsidR="00CC4EE7" w:rsidRPr="005F284A" w:rsidRDefault="00CC4EE7" w:rsidP="003C7DBA">
            <w:pPr>
              <w:keepNext/>
              <w:keepLines/>
              <w:spacing w:before="0" w:after="0"/>
              <w:rPr>
                <w:b/>
                <w:bCs/>
                <w:szCs w:val="20"/>
              </w:rPr>
            </w:pPr>
            <w:r w:rsidRPr="005F284A">
              <w:rPr>
                <w:b/>
                <w:bCs/>
                <w:szCs w:val="20"/>
              </w:rPr>
              <w:t>Biomarker(s) Detected</w:t>
            </w:r>
          </w:p>
        </w:tc>
        <w:tc>
          <w:tcPr>
            <w:tcW w:w="0" w:type="auto"/>
          </w:tcPr>
          <w:p w14:paraId="1F78F597" w14:textId="77777777" w:rsidR="00CC4EE7" w:rsidRPr="005F284A" w:rsidRDefault="00CC4EE7" w:rsidP="003C7DBA">
            <w:pPr>
              <w:keepNext/>
              <w:keepLines/>
              <w:spacing w:before="0" w:after="0"/>
              <w:rPr>
                <w:b/>
                <w:bCs/>
                <w:szCs w:val="20"/>
              </w:rPr>
            </w:pPr>
            <w:r w:rsidRPr="005F284A">
              <w:rPr>
                <w:b/>
                <w:bCs/>
                <w:szCs w:val="20"/>
              </w:rPr>
              <w:t>Therapy</w:t>
            </w:r>
          </w:p>
        </w:tc>
      </w:tr>
      <w:tr w:rsidR="00CC4EE7" w14:paraId="7DACE34C" w14:textId="77777777" w:rsidTr="003C7DBA">
        <w:tc>
          <w:tcPr>
            <w:tcW w:w="0" w:type="auto"/>
            <w:vMerge w:val="restart"/>
          </w:tcPr>
          <w:p w14:paraId="044323EA" w14:textId="77777777" w:rsidR="00CC4EE7" w:rsidRDefault="00CC4EE7" w:rsidP="003C7DBA">
            <w:pPr>
              <w:keepNext/>
              <w:keepLines/>
              <w:spacing w:before="0" w:after="0"/>
              <w:rPr>
                <w:szCs w:val="20"/>
              </w:rPr>
            </w:pPr>
            <w:r w:rsidRPr="009B6BFD">
              <w:rPr>
                <w:szCs w:val="20"/>
              </w:rPr>
              <w:t>Non-small cell lung cancer (NSCLC)</w:t>
            </w:r>
          </w:p>
        </w:tc>
        <w:tc>
          <w:tcPr>
            <w:tcW w:w="0" w:type="auto"/>
          </w:tcPr>
          <w:p w14:paraId="1EC587C6" w14:textId="77777777" w:rsidR="00CC4EE7" w:rsidRDefault="00CC4EE7" w:rsidP="003C7DBA">
            <w:pPr>
              <w:keepNext/>
              <w:keepLines/>
              <w:spacing w:before="0" w:after="0"/>
              <w:rPr>
                <w:szCs w:val="20"/>
              </w:rPr>
            </w:pPr>
            <w:r w:rsidRPr="009B6BFD">
              <w:rPr>
                <w:szCs w:val="20"/>
              </w:rPr>
              <w:t>EGFR exon 19 deletions and EGFR exon 21</w:t>
            </w:r>
            <w:r>
              <w:rPr>
                <w:szCs w:val="20"/>
              </w:rPr>
              <w:t xml:space="preserve"> </w:t>
            </w:r>
            <w:r w:rsidRPr="009B6BFD">
              <w:rPr>
                <w:szCs w:val="20"/>
              </w:rPr>
              <w:t>L858R alterations</w:t>
            </w:r>
          </w:p>
        </w:tc>
        <w:tc>
          <w:tcPr>
            <w:tcW w:w="0" w:type="auto"/>
          </w:tcPr>
          <w:p w14:paraId="1AF68083" w14:textId="77777777" w:rsidR="00CC4EE7" w:rsidRDefault="00CC4EE7" w:rsidP="003C7DBA">
            <w:pPr>
              <w:keepNext/>
              <w:keepLines/>
              <w:spacing w:before="0" w:after="0"/>
              <w:rPr>
                <w:szCs w:val="20"/>
              </w:rPr>
            </w:pPr>
            <w:r w:rsidRPr="009B6BFD">
              <w:rPr>
                <w:szCs w:val="20"/>
              </w:rPr>
              <w:t>Gilotrif® (afatinib),</w:t>
            </w:r>
            <w:r>
              <w:rPr>
                <w:szCs w:val="20"/>
              </w:rPr>
              <w:t xml:space="preserve"> </w:t>
            </w:r>
            <w:r w:rsidRPr="009B6BFD">
              <w:rPr>
                <w:szCs w:val="20"/>
              </w:rPr>
              <w:t>Iressa® (gefitinib), Tagrisso®</w:t>
            </w:r>
            <w:r>
              <w:rPr>
                <w:szCs w:val="20"/>
              </w:rPr>
              <w:t xml:space="preserve"> </w:t>
            </w:r>
            <w:r w:rsidRPr="009B6BFD">
              <w:rPr>
                <w:szCs w:val="20"/>
              </w:rPr>
              <w:t>(osimertinib), or</w:t>
            </w:r>
            <w:r>
              <w:rPr>
                <w:szCs w:val="20"/>
              </w:rPr>
              <w:t xml:space="preserve"> </w:t>
            </w:r>
            <w:r w:rsidRPr="009B6BFD">
              <w:rPr>
                <w:szCs w:val="20"/>
              </w:rPr>
              <w:t>Tarceva® (erlotinib)</w:t>
            </w:r>
          </w:p>
        </w:tc>
      </w:tr>
      <w:tr w:rsidR="00CC4EE7" w14:paraId="722AD08E" w14:textId="77777777" w:rsidTr="003C7DBA">
        <w:tc>
          <w:tcPr>
            <w:tcW w:w="0" w:type="auto"/>
            <w:vMerge/>
          </w:tcPr>
          <w:p w14:paraId="6C98E646" w14:textId="77777777" w:rsidR="00CC4EE7" w:rsidRDefault="00CC4EE7" w:rsidP="003C7DBA">
            <w:pPr>
              <w:keepNext/>
              <w:keepLines/>
              <w:spacing w:before="0" w:after="0"/>
              <w:rPr>
                <w:szCs w:val="20"/>
              </w:rPr>
            </w:pPr>
          </w:p>
        </w:tc>
        <w:tc>
          <w:tcPr>
            <w:tcW w:w="0" w:type="auto"/>
          </w:tcPr>
          <w:p w14:paraId="40C6FB73" w14:textId="77777777" w:rsidR="00CC4EE7" w:rsidRDefault="00CC4EE7" w:rsidP="003C7DBA">
            <w:pPr>
              <w:keepNext/>
              <w:keepLines/>
              <w:spacing w:before="0" w:after="0"/>
              <w:rPr>
                <w:szCs w:val="20"/>
              </w:rPr>
            </w:pPr>
            <w:r w:rsidRPr="009B6BFD">
              <w:rPr>
                <w:szCs w:val="20"/>
              </w:rPr>
              <w:t>EGFR exon 20 T790M alterations</w:t>
            </w:r>
          </w:p>
        </w:tc>
        <w:tc>
          <w:tcPr>
            <w:tcW w:w="0" w:type="auto"/>
          </w:tcPr>
          <w:p w14:paraId="2CA93389" w14:textId="77777777" w:rsidR="00CC4EE7" w:rsidRDefault="00CC4EE7" w:rsidP="003C7DBA">
            <w:pPr>
              <w:keepNext/>
              <w:keepLines/>
              <w:spacing w:before="0" w:after="0"/>
              <w:rPr>
                <w:szCs w:val="20"/>
              </w:rPr>
            </w:pPr>
            <w:r w:rsidRPr="009B6BFD">
              <w:rPr>
                <w:szCs w:val="20"/>
              </w:rPr>
              <w:t>Tagrisso® (osimertinib)</w:t>
            </w:r>
          </w:p>
        </w:tc>
      </w:tr>
      <w:tr w:rsidR="00CC4EE7" w:rsidRPr="0053648A" w14:paraId="390E3672" w14:textId="77777777" w:rsidTr="003C7DBA">
        <w:tc>
          <w:tcPr>
            <w:tcW w:w="0" w:type="auto"/>
            <w:vMerge/>
          </w:tcPr>
          <w:p w14:paraId="6F8FC3DB" w14:textId="77777777" w:rsidR="00CC4EE7" w:rsidRDefault="00CC4EE7" w:rsidP="003C7DBA">
            <w:pPr>
              <w:keepNext/>
              <w:keepLines/>
              <w:spacing w:before="0" w:after="0"/>
              <w:rPr>
                <w:szCs w:val="20"/>
              </w:rPr>
            </w:pPr>
          </w:p>
        </w:tc>
        <w:tc>
          <w:tcPr>
            <w:tcW w:w="0" w:type="auto"/>
          </w:tcPr>
          <w:p w14:paraId="79599487" w14:textId="77777777" w:rsidR="00CC4EE7" w:rsidRDefault="00CC4EE7" w:rsidP="003C7DBA">
            <w:pPr>
              <w:keepNext/>
              <w:keepLines/>
              <w:spacing w:before="0" w:after="0"/>
              <w:rPr>
                <w:szCs w:val="20"/>
              </w:rPr>
            </w:pPr>
            <w:r w:rsidRPr="009B6BFD">
              <w:rPr>
                <w:szCs w:val="20"/>
              </w:rPr>
              <w:t>ALK rearrangements</w:t>
            </w:r>
          </w:p>
        </w:tc>
        <w:tc>
          <w:tcPr>
            <w:tcW w:w="0" w:type="auto"/>
          </w:tcPr>
          <w:p w14:paraId="7CA3F580" w14:textId="77777777" w:rsidR="00CC4EE7" w:rsidRPr="0053648A" w:rsidRDefault="00CC4EE7" w:rsidP="003C7DBA">
            <w:pPr>
              <w:keepNext/>
              <w:keepLines/>
              <w:spacing w:before="0" w:after="0"/>
              <w:rPr>
                <w:szCs w:val="20"/>
                <w:lang w:val="pt-BR"/>
              </w:rPr>
            </w:pPr>
            <w:r w:rsidRPr="0053648A">
              <w:rPr>
                <w:szCs w:val="20"/>
                <w:lang w:val="pt-BR"/>
              </w:rPr>
              <w:t>Alecensa® (alectinib), Xalkori® (crizotinib), or Zykadia® (ceritinib)</w:t>
            </w:r>
          </w:p>
        </w:tc>
      </w:tr>
      <w:tr w:rsidR="00CC4EE7" w14:paraId="7272B423" w14:textId="77777777" w:rsidTr="003C7DBA">
        <w:tc>
          <w:tcPr>
            <w:tcW w:w="0" w:type="auto"/>
            <w:vMerge/>
          </w:tcPr>
          <w:p w14:paraId="714B927F" w14:textId="77777777" w:rsidR="00CC4EE7" w:rsidRPr="0053648A" w:rsidRDefault="00CC4EE7" w:rsidP="003C7DBA">
            <w:pPr>
              <w:keepNext/>
              <w:keepLines/>
              <w:spacing w:before="0" w:after="0"/>
              <w:rPr>
                <w:szCs w:val="20"/>
                <w:lang w:val="pt-BR"/>
              </w:rPr>
            </w:pPr>
          </w:p>
        </w:tc>
        <w:tc>
          <w:tcPr>
            <w:tcW w:w="0" w:type="auto"/>
          </w:tcPr>
          <w:p w14:paraId="7B3FFF3B" w14:textId="77777777" w:rsidR="00CC4EE7" w:rsidRDefault="00CC4EE7" w:rsidP="003C7DBA">
            <w:pPr>
              <w:keepNext/>
              <w:keepLines/>
              <w:spacing w:before="0" w:after="0"/>
              <w:rPr>
                <w:szCs w:val="20"/>
              </w:rPr>
            </w:pPr>
            <w:r>
              <w:rPr>
                <w:szCs w:val="20"/>
              </w:rPr>
              <w:t>BRAK V600E</w:t>
            </w:r>
          </w:p>
        </w:tc>
        <w:tc>
          <w:tcPr>
            <w:tcW w:w="0" w:type="auto"/>
          </w:tcPr>
          <w:p w14:paraId="612F6641" w14:textId="77777777" w:rsidR="00CC4EE7" w:rsidRDefault="00CC4EE7" w:rsidP="003C7DBA">
            <w:pPr>
              <w:keepNext/>
              <w:keepLines/>
              <w:spacing w:before="0" w:after="0"/>
              <w:rPr>
                <w:szCs w:val="20"/>
              </w:rPr>
            </w:pPr>
            <w:r w:rsidRPr="009B6BFD">
              <w:rPr>
                <w:szCs w:val="20"/>
              </w:rPr>
              <w:t>Tafinlar® (dabrafenib) in combination with Mekinist® (trametinib)</w:t>
            </w:r>
          </w:p>
        </w:tc>
      </w:tr>
      <w:tr w:rsidR="00CC4EE7" w14:paraId="68B0C6A7" w14:textId="77777777" w:rsidTr="003C7DBA">
        <w:tc>
          <w:tcPr>
            <w:tcW w:w="0" w:type="auto"/>
            <w:vMerge w:val="restart"/>
          </w:tcPr>
          <w:p w14:paraId="35758B77" w14:textId="77777777" w:rsidR="00CC4EE7" w:rsidRDefault="00CC4EE7" w:rsidP="003C7DBA">
            <w:pPr>
              <w:keepNext/>
              <w:keepLines/>
              <w:spacing w:before="0" w:after="0"/>
              <w:rPr>
                <w:szCs w:val="20"/>
              </w:rPr>
            </w:pPr>
            <w:r>
              <w:rPr>
                <w:szCs w:val="20"/>
              </w:rPr>
              <w:t>Melanoma</w:t>
            </w:r>
          </w:p>
        </w:tc>
        <w:tc>
          <w:tcPr>
            <w:tcW w:w="0" w:type="auto"/>
          </w:tcPr>
          <w:p w14:paraId="79742BAB" w14:textId="77777777" w:rsidR="00CC4EE7" w:rsidRDefault="00CC4EE7" w:rsidP="003C7DBA">
            <w:pPr>
              <w:keepNext/>
              <w:keepLines/>
              <w:spacing w:before="0" w:after="0"/>
              <w:rPr>
                <w:szCs w:val="20"/>
              </w:rPr>
            </w:pPr>
            <w:r>
              <w:rPr>
                <w:szCs w:val="20"/>
              </w:rPr>
              <w:t>BRAK V600E</w:t>
            </w:r>
          </w:p>
        </w:tc>
        <w:tc>
          <w:tcPr>
            <w:tcW w:w="0" w:type="auto"/>
          </w:tcPr>
          <w:p w14:paraId="78BC3E59" w14:textId="77777777" w:rsidR="00CC4EE7" w:rsidRDefault="00CC4EE7" w:rsidP="003C7DBA">
            <w:pPr>
              <w:keepNext/>
              <w:keepLines/>
              <w:spacing w:before="0" w:after="0"/>
              <w:rPr>
                <w:szCs w:val="20"/>
              </w:rPr>
            </w:pPr>
            <w:r w:rsidRPr="00882E43">
              <w:rPr>
                <w:szCs w:val="20"/>
              </w:rPr>
              <w:t>Tafinlar® (dabrafenib) or Zelboraf® (vemurafenib)</w:t>
            </w:r>
          </w:p>
        </w:tc>
      </w:tr>
      <w:tr w:rsidR="00CC4EE7" w14:paraId="62EA2200" w14:textId="77777777" w:rsidTr="003C7DBA">
        <w:tc>
          <w:tcPr>
            <w:tcW w:w="0" w:type="auto"/>
            <w:vMerge/>
          </w:tcPr>
          <w:p w14:paraId="60C1EB47" w14:textId="77777777" w:rsidR="00CC4EE7" w:rsidRDefault="00CC4EE7" w:rsidP="003C7DBA">
            <w:pPr>
              <w:keepNext/>
              <w:keepLines/>
              <w:spacing w:before="0" w:after="0"/>
              <w:rPr>
                <w:szCs w:val="20"/>
              </w:rPr>
            </w:pPr>
          </w:p>
        </w:tc>
        <w:tc>
          <w:tcPr>
            <w:tcW w:w="0" w:type="auto"/>
          </w:tcPr>
          <w:p w14:paraId="0A6BF13E" w14:textId="77777777" w:rsidR="00CC4EE7" w:rsidRDefault="00CC4EE7" w:rsidP="003C7DBA">
            <w:pPr>
              <w:keepNext/>
              <w:keepLines/>
              <w:spacing w:before="0" w:after="0"/>
              <w:rPr>
                <w:szCs w:val="20"/>
              </w:rPr>
            </w:pPr>
            <w:r>
              <w:rPr>
                <w:szCs w:val="20"/>
              </w:rPr>
              <w:t>BRAK V600E and V600K</w:t>
            </w:r>
          </w:p>
        </w:tc>
        <w:tc>
          <w:tcPr>
            <w:tcW w:w="0" w:type="auto"/>
          </w:tcPr>
          <w:p w14:paraId="6A1280F5" w14:textId="77777777" w:rsidR="00CC4EE7" w:rsidRDefault="00CC4EE7" w:rsidP="003C7DBA">
            <w:pPr>
              <w:keepNext/>
              <w:keepLines/>
              <w:spacing w:before="0" w:after="0"/>
              <w:rPr>
                <w:szCs w:val="20"/>
              </w:rPr>
            </w:pPr>
            <w:r w:rsidRPr="00882E43">
              <w:rPr>
                <w:szCs w:val="20"/>
              </w:rPr>
              <w:t>Mekinist® (trametinib) or Cotellic® (cobimetinib) in combination with Zelboraf® (vemurafenib)</w:t>
            </w:r>
          </w:p>
        </w:tc>
      </w:tr>
      <w:tr w:rsidR="00CC4EE7" w14:paraId="43139E8B" w14:textId="77777777" w:rsidTr="003C7DBA">
        <w:tc>
          <w:tcPr>
            <w:tcW w:w="0" w:type="auto"/>
          </w:tcPr>
          <w:p w14:paraId="4B274286" w14:textId="77777777" w:rsidR="00CC4EE7" w:rsidRDefault="00CC4EE7" w:rsidP="003C7DBA">
            <w:pPr>
              <w:keepNext/>
              <w:keepLines/>
              <w:spacing w:before="0" w:after="0"/>
              <w:rPr>
                <w:szCs w:val="20"/>
              </w:rPr>
            </w:pPr>
            <w:r>
              <w:rPr>
                <w:szCs w:val="20"/>
              </w:rPr>
              <w:t>Breast cancer</w:t>
            </w:r>
          </w:p>
        </w:tc>
        <w:tc>
          <w:tcPr>
            <w:tcW w:w="0" w:type="auto"/>
          </w:tcPr>
          <w:p w14:paraId="3C2FF76E" w14:textId="77777777" w:rsidR="00CC4EE7" w:rsidRDefault="00CC4EE7" w:rsidP="003C7DBA">
            <w:pPr>
              <w:keepNext/>
              <w:keepLines/>
              <w:spacing w:before="0" w:after="0"/>
              <w:rPr>
                <w:szCs w:val="20"/>
              </w:rPr>
            </w:pPr>
            <w:r w:rsidRPr="00882E43">
              <w:rPr>
                <w:szCs w:val="20"/>
              </w:rPr>
              <w:t>ERBB2 (HER2) amplification</w:t>
            </w:r>
          </w:p>
        </w:tc>
        <w:tc>
          <w:tcPr>
            <w:tcW w:w="0" w:type="auto"/>
          </w:tcPr>
          <w:p w14:paraId="17340E41" w14:textId="77777777" w:rsidR="00CC4EE7" w:rsidRDefault="00CC4EE7" w:rsidP="003C7DBA">
            <w:pPr>
              <w:keepNext/>
              <w:keepLines/>
              <w:spacing w:before="0" w:after="0"/>
              <w:ind w:right="770"/>
              <w:rPr>
                <w:szCs w:val="20"/>
              </w:rPr>
            </w:pPr>
            <w:r w:rsidRPr="00882E43">
              <w:rPr>
                <w:szCs w:val="20"/>
              </w:rPr>
              <w:t>Herceptin® (trastuzumab), Kadcyla® (ado-trastuzumab-emtansine), or Perjeta® (pertuzumab)</w:t>
            </w:r>
          </w:p>
        </w:tc>
      </w:tr>
      <w:tr w:rsidR="00CC4EE7" w14:paraId="6FA72C0B" w14:textId="77777777" w:rsidTr="003C7DBA">
        <w:tc>
          <w:tcPr>
            <w:tcW w:w="0" w:type="auto"/>
            <w:vMerge w:val="restart"/>
          </w:tcPr>
          <w:p w14:paraId="62B6068C" w14:textId="77777777" w:rsidR="00CC4EE7" w:rsidRDefault="00CC4EE7" w:rsidP="003C7DBA">
            <w:pPr>
              <w:keepNext/>
              <w:keepLines/>
              <w:spacing w:before="0" w:after="0"/>
              <w:rPr>
                <w:szCs w:val="20"/>
              </w:rPr>
            </w:pPr>
            <w:r w:rsidRPr="00882E43">
              <w:rPr>
                <w:szCs w:val="20"/>
              </w:rPr>
              <w:t>Colorectal cancer</w:t>
            </w:r>
          </w:p>
        </w:tc>
        <w:tc>
          <w:tcPr>
            <w:tcW w:w="0" w:type="auto"/>
          </w:tcPr>
          <w:p w14:paraId="7C2610B5" w14:textId="77777777" w:rsidR="00CC4EE7" w:rsidRDefault="00CC4EE7" w:rsidP="003C7DBA">
            <w:pPr>
              <w:keepNext/>
              <w:keepLines/>
              <w:spacing w:before="0" w:after="0"/>
              <w:rPr>
                <w:szCs w:val="20"/>
              </w:rPr>
            </w:pPr>
            <w:r w:rsidRPr="00882E43">
              <w:rPr>
                <w:szCs w:val="20"/>
              </w:rPr>
              <w:t>KRAS wild-type (absence of mutations in codons 12 and 13)</w:t>
            </w:r>
          </w:p>
        </w:tc>
        <w:tc>
          <w:tcPr>
            <w:tcW w:w="0" w:type="auto"/>
          </w:tcPr>
          <w:p w14:paraId="5B5BE684" w14:textId="77777777" w:rsidR="00CC4EE7" w:rsidRDefault="00CC4EE7" w:rsidP="003C7DBA">
            <w:pPr>
              <w:keepNext/>
              <w:keepLines/>
              <w:spacing w:before="0" w:after="0"/>
              <w:rPr>
                <w:szCs w:val="20"/>
              </w:rPr>
            </w:pPr>
            <w:r w:rsidRPr="00882E43">
              <w:rPr>
                <w:szCs w:val="20"/>
              </w:rPr>
              <w:t>Erbitux® (cetuximab)</w:t>
            </w:r>
          </w:p>
        </w:tc>
      </w:tr>
      <w:tr w:rsidR="00CC4EE7" w14:paraId="2785CFDA" w14:textId="77777777" w:rsidTr="003C7DBA">
        <w:tc>
          <w:tcPr>
            <w:tcW w:w="0" w:type="auto"/>
            <w:vMerge/>
          </w:tcPr>
          <w:p w14:paraId="7B5196E2" w14:textId="77777777" w:rsidR="00CC4EE7" w:rsidRPr="00882E43" w:rsidRDefault="00CC4EE7" w:rsidP="003C7DBA">
            <w:pPr>
              <w:keepNext/>
              <w:keepLines/>
              <w:spacing w:before="0" w:after="0"/>
              <w:rPr>
                <w:szCs w:val="20"/>
              </w:rPr>
            </w:pPr>
          </w:p>
        </w:tc>
        <w:tc>
          <w:tcPr>
            <w:tcW w:w="0" w:type="auto"/>
          </w:tcPr>
          <w:p w14:paraId="041643BB" w14:textId="77777777" w:rsidR="00CC4EE7" w:rsidRPr="00882E43" w:rsidRDefault="00CC4EE7" w:rsidP="003C7DBA">
            <w:pPr>
              <w:keepNext/>
              <w:keepLines/>
              <w:spacing w:before="0" w:after="0"/>
              <w:ind w:right="546"/>
              <w:rPr>
                <w:szCs w:val="20"/>
              </w:rPr>
            </w:pPr>
            <w:r w:rsidRPr="00882E43">
              <w:rPr>
                <w:szCs w:val="20"/>
              </w:rPr>
              <w:t>KRAS wild-type (absence of mutations in exons 2, 3, and 4) and NRAS wild type</w:t>
            </w:r>
            <w:r>
              <w:rPr>
                <w:szCs w:val="20"/>
              </w:rPr>
              <w:t xml:space="preserve"> </w:t>
            </w:r>
            <w:r w:rsidRPr="00882E43">
              <w:rPr>
                <w:szCs w:val="20"/>
              </w:rPr>
              <w:t>(absence of mutations in exons 2, 3, and 4)</w:t>
            </w:r>
          </w:p>
        </w:tc>
        <w:tc>
          <w:tcPr>
            <w:tcW w:w="0" w:type="auto"/>
          </w:tcPr>
          <w:p w14:paraId="65311880" w14:textId="77777777" w:rsidR="00CC4EE7" w:rsidRDefault="00CC4EE7" w:rsidP="003C7DBA">
            <w:pPr>
              <w:keepNext/>
              <w:keepLines/>
              <w:spacing w:before="0" w:after="0"/>
              <w:rPr>
                <w:szCs w:val="20"/>
              </w:rPr>
            </w:pPr>
            <w:r w:rsidRPr="00882E43">
              <w:rPr>
                <w:szCs w:val="20"/>
              </w:rPr>
              <w:t>Vectibix® (panitumumab)</w:t>
            </w:r>
          </w:p>
        </w:tc>
      </w:tr>
      <w:tr w:rsidR="00CC4EE7" w:rsidRPr="0053648A" w14:paraId="6F577C2E" w14:textId="77777777" w:rsidTr="003C7DBA">
        <w:tc>
          <w:tcPr>
            <w:tcW w:w="0" w:type="auto"/>
          </w:tcPr>
          <w:p w14:paraId="5383A082" w14:textId="77777777" w:rsidR="00CC4EE7" w:rsidRPr="00882E43" w:rsidRDefault="00CC4EE7" w:rsidP="003C7DBA">
            <w:pPr>
              <w:keepNext/>
              <w:keepLines/>
              <w:spacing w:before="0" w:after="0"/>
              <w:rPr>
                <w:szCs w:val="20"/>
              </w:rPr>
            </w:pPr>
            <w:r w:rsidRPr="00882E43">
              <w:rPr>
                <w:szCs w:val="20"/>
              </w:rPr>
              <w:t>Ovarian cancer</w:t>
            </w:r>
          </w:p>
        </w:tc>
        <w:tc>
          <w:tcPr>
            <w:tcW w:w="0" w:type="auto"/>
          </w:tcPr>
          <w:p w14:paraId="7BB16B8C" w14:textId="77777777" w:rsidR="00CC4EE7" w:rsidRPr="00882E43" w:rsidRDefault="00CC4EE7" w:rsidP="003C7DBA">
            <w:pPr>
              <w:keepNext/>
              <w:keepLines/>
              <w:spacing w:before="0" w:after="0"/>
              <w:rPr>
                <w:szCs w:val="20"/>
              </w:rPr>
            </w:pPr>
            <w:r w:rsidRPr="00882E43">
              <w:rPr>
                <w:szCs w:val="20"/>
              </w:rPr>
              <w:t>BRCA1/2 alterations</w:t>
            </w:r>
          </w:p>
        </w:tc>
        <w:tc>
          <w:tcPr>
            <w:tcW w:w="0" w:type="auto"/>
          </w:tcPr>
          <w:p w14:paraId="6077CF45" w14:textId="77777777" w:rsidR="00CC4EE7" w:rsidRPr="0053648A" w:rsidRDefault="00CC4EE7" w:rsidP="003C7DBA">
            <w:pPr>
              <w:keepNext/>
              <w:keepLines/>
              <w:spacing w:before="0" w:after="0"/>
              <w:rPr>
                <w:szCs w:val="20"/>
                <w:lang w:val="pt-BR"/>
              </w:rPr>
            </w:pPr>
            <w:r w:rsidRPr="0053648A">
              <w:rPr>
                <w:szCs w:val="20"/>
                <w:lang w:val="pt-BR"/>
              </w:rPr>
              <w:t>Lynparza® (olaparib) or Rubraca® (rucaparib)</w:t>
            </w:r>
          </w:p>
        </w:tc>
      </w:tr>
    </w:tbl>
    <w:p w14:paraId="0A43E30E" w14:textId="77777777" w:rsidR="00CC4EE7" w:rsidRDefault="00CC4EE7" w:rsidP="00CC4EE7">
      <w:pPr>
        <w:spacing w:before="0" w:after="0"/>
        <w:ind w:left="284"/>
        <w:rPr>
          <w:szCs w:val="20"/>
          <w:lang w:val="pt-BR"/>
        </w:rPr>
      </w:pPr>
    </w:p>
    <w:p w14:paraId="696A4AC1" w14:textId="77777777" w:rsidR="00CC4EE7" w:rsidRPr="0053648A" w:rsidRDefault="00CC4EE7" w:rsidP="00CC4EE7">
      <w:pPr>
        <w:spacing w:before="0" w:after="0"/>
        <w:ind w:left="284"/>
        <w:rPr>
          <w:szCs w:val="20"/>
          <w:lang w:val="pt-BR"/>
        </w:rPr>
      </w:pPr>
    </w:p>
    <w:p w14:paraId="2DC2B092" w14:textId="77777777" w:rsidR="00CC4EE7" w:rsidRPr="00DA4FC4" w:rsidRDefault="00CC4EE7" w:rsidP="00CC4EE7">
      <w:pPr>
        <w:spacing w:before="0" w:after="0"/>
        <w:ind w:left="284"/>
        <w:rPr>
          <w:szCs w:val="20"/>
        </w:rPr>
      </w:pPr>
      <w:r w:rsidRPr="00DA4FC4">
        <w:rPr>
          <w:szCs w:val="20"/>
        </w:rPr>
        <w:t>The test is also used for detection of genomic loss of heterozygosity (LOH) from formalin-fixed, paraffin-embedded (FFPE) ovarian tumor tissue. Positive homologous recombination deficiency (HRD) status (F1CDx HRD defined as tBRCA-positive and/or LOH high) in ovarian cancer patients is associated with improved progression-free survival (PFS) from Rubraca (rucaparib) maintenance therapy in accordance with the RUBRACA product label.</w:t>
      </w:r>
    </w:p>
    <w:p w14:paraId="59ED68CB" w14:textId="08B76E86" w:rsidR="00225180" w:rsidRDefault="00225180">
      <w:pPr>
        <w:spacing w:before="0" w:after="200" w:line="276" w:lineRule="auto"/>
        <w:rPr>
          <w:b/>
          <w:szCs w:val="20"/>
        </w:rPr>
      </w:pPr>
      <w:r>
        <w:br w:type="page"/>
      </w:r>
    </w:p>
    <w:p w14:paraId="6F50E8A8" w14:textId="6BD80965" w:rsidR="00C0796F" w:rsidRPr="000F5EB0" w:rsidRDefault="00C0796F" w:rsidP="00530204">
      <w:pPr>
        <w:pStyle w:val="Heading2"/>
      </w:pPr>
      <w:r w:rsidRPr="000F5EB0">
        <w:lastRenderedPageBreak/>
        <w:t>If the therapeutic good has not been listed, registered or included in the ARTG, is the therapeutic good in the process of being considered for inclusion by the TGA?</w:t>
      </w:r>
    </w:p>
    <w:p w14:paraId="0DFA74A3" w14:textId="77777777" w:rsidR="0047581D" w:rsidRPr="000F5EB0" w:rsidRDefault="0047581D" w:rsidP="0047581D">
      <w:pPr>
        <w:spacing w:before="0" w:after="0"/>
        <w:ind w:left="284"/>
        <w:rPr>
          <w:szCs w:val="20"/>
        </w:rPr>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Yes (please provide details below)</w:t>
      </w:r>
    </w:p>
    <w:p w14:paraId="5C595194" w14:textId="4C24B742" w:rsidR="0047581D" w:rsidRPr="000F5EB0" w:rsidRDefault="00F34B8D" w:rsidP="0047581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07C47">
        <w:rPr>
          <w:szCs w:val="20"/>
        </w:rPr>
      </w:r>
      <w:r w:rsidR="00607C47">
        <w:rPr>
          <w:szCs w:val="20"/>
        </w:rPr>
        <w:fldChar w:fldCharType="separate"/>
      </w:r>
      <w:r>
        <w:rPr>
          <w:szCs w:val="20"/>
        </w:rPr>
        <w:fldChar w:fldCharType="end"/>
      </w:r>
      <w:r w:rsidR="0047581D" w:rsidRPr="000F5EB0">
        <w:rPr>
          <w:szCs w:val="20"/>
        </w:rPr>
        <w:t xml:space="preserve"> No</w:t>
      </w:r>
    </w:p>
    <w:p w14:paraId="23D68C2F" w14:textId="77777777" w:rsidR="007022DD" w:rsidRDefault="007022DD" w:rsidP="0047581D">
      <w:pPr>
        <w:spacing w:before="0" w:after="0"/>
        <w:rPr>
          <w:szCs w:val="20"/>
        </w:rPr>
      </w:pPr>
    </w:p>
    <w:p w14:paraId="3BE93D2A" w14:textId="276BE110" w:rsidR="0059176F" w:rsidRDefault="00B118EA" w:rsidP="00225180">
      <w:pPr>
        <w:spacing w:before="0" w:after="0"/>
        <w:ind w:left="284"/>
        <w:rPr>
          <w:szCs w:val="20"/>
        </w:rPr>
      </w:pPr>
      <w:r>
        <w:rPr>
          <w:szCs w:val="20"/>
        </w:rPr>
        <w:t>Several NG</w:t>
      </w:r>
      <w:r w:rsidR="008D282C">
        <w:rPr>
          <w:szCs w:val="20"/>
        </w:rPr>
        <w:t xml:space="preserve">S assays suitable to be used to perform CGP on </w:t>
      </w:r>
      <w:r w:rsidR="000050E5">
        <w:rPr>
          <w:szCs w:val="20"/>
        </w:rPr>
        <w:t xml:space="preserve">tumour tissue from NSCLC patients are </w:t>
      </w:r>
      <w:r w:rsidR="00AC0111">
        <w:rPr>
          <w:szCs w:val="20"/>
        </w:rPr>
        <w:t>currently marked as</w:t>
      </w:r>
      <w:r w:rsidR="000642EF">
        <w:rPr>
          <w:szCs w:val="20"/>
        </w:rPr>
        <w:t xml:space="preserve"> RUO</w:t>
      </w:r>
      <w:r w:rsidR="003E02AD">
        <w:rPr>
          <w:szCs w:val="20"/>
        </w:rPr>
        <w:t xml:space="preserve">. </w:t>
      </w:r>
      <w:r w:rsidR="001904AD">
        <w:rPr>
          <w:szCs w:val="20"/>
        </w:rPr>
        <w:t>E</w:t>
      </w:r>
      <w:r w:rsidR="002B38E4">
        <w:rPr>
          <w:szCs w:val="20"/>
        </w:rPr>
        <w:t xml:space="preserve">xamples are the </w:t>
      </w:r>
      <w:r w:rsidR="002C120E">
        <w:rPr>
          <w:szCs w:val="20"/>
        </w:rPr>
        <w:t xml:space="preserve">AVENIO </w:t>
      </w:r>
      <w:r w:rsidR="00710AD4">
        <w:rPr>
          <w:szCs w:val="20"/>
        </w:rPr>
        <w:t xml:space="preserve">Tumor </w:t>
      </w:r>
      <w:r w:rsidR="00D235F6">
        <w:rPr>
          <w:szCs w:val="20"/>
        </w:rPr>
        <w:t xml:space="preserve">Tissue Targeted Panel </w:t>
      </w:r>
      <w:r w:rsidR="00C3780F">
        <w:rPr>
          <w:szCs w:val="20"/>
        </w:rPr>
        <w:t>(</w:t>
      </w:r>
      <w:r w:rsidR="000B44A6">
        <w:rPr>
          <w:szCs w:val="20"/>
        </w:rPr>
        <w:t>17 genes) and the AVENIO</w:t>
      </w:r>
      <w:r w:rsidR="00C71EBE">
        <w:rPr>
          <w:szCs w:val="20"/>
        </w:rPr>
        <w:t xml:space="preserve"> </w:t>
      </w:r>
      <w:r w:rsidR="006C168D">
        <w:rPr>
          <w:szCs w:val="20"/>
        </w:rPr>
        <w:t>Tumor Tissue Expanded Panel</w:t>
      </w:r>
      <w:r w:rsidR="00D64E71">
        <w:rPr>
          <w:szCs w:val="20"/>
        </w:rPr>
        <w:t xml:space="preserve"> (77 genes) </w:t>
      </w:r>
      <w:r w:rsidR="00141AFE">
        <w:rPr>
          <w:szCs w:val="20"/>
        </w:rPr>
        <w:t xml:space="preserve">marketed by </w:t>
      </w:r>
      <w:r w:rsidR="00C75E4D" w:rsidRPr="009F6070">
        <w:rPr>
          <w:szCs w:val="20"/>
        </w:rPr>
        <w:t>Roche Diagnostics</w:t>
      </w:r>
      <w:r w:rsidR="00D235F6">
        <w:rPr>
          <w:szCs w:val="20"/>
        </w:rPr>
        <w:t xml:space="preserve"> and </w:t>
      </w:r>
      <w:r w:rsidR="00E143E4">
        <w:rPr>
          <w:szCs w:val="20"/>
        </w:rPr>
        <w:t xml:space="preserve">the </w:t>
      </w:r>
      <w:r w:rsidR="005E7604">
        <w:rPr>
          <w:szCs w:val="20"/>
        </w:rPr>
        <w:t xml:space="preserve">TruSight Oncology </w:t>
      </w:r>
      <w:r w:rsidR="00BF137E">
        <w:rPr>
          <w:szCs w:val="20"/>
        </w:rPr>
        <w:t>170</w:t>
      </w:r>
      <w:r w:rsidR="0062692D">
        <w:rPr>
          <w:szCs w:val="20"/>
        </w:rPr>
        <w:t xml:space="preserve"> (170 genes) and TruSight Oncology 500 (</w:t>
      </w:r>
      <w:r w:rsidR="00E75014">
        <w:rPr>
          <w:szCs w:val="20"/>
        </w:rPr>
        <w:t xml:space="preserve">523 genes </w:t>
      </w:r>
      <w:r w:rsidR="006F0F7A">
        <w:rPr>
          <w:szCs w:val="20"/>
        </w:rPr>
        <w:t xml:space="preserve">from DNA </w:t>
      </w:r>
      <w:r w:rsidR="00E75014">
        <w:rPr>
          <w:szCs w:val="20"/>
        </w:rPr>
        <w:t xml:space="preserve">and </w:t>
      </w:r>
      <w:r w:rsidR="006F0F7A">
        <w:rPr>
          <w:szCs w:val="20"/>
        </w:rPr>
        <w:t xml:space="preserve">55 genes from </w:t>
      </w:r>
      <w:r w:rsidR="00E75014">
        <w:rPr>
          <w:szCs w:val="20"/>
        </w:rPr>
        <w:t>RNA)</w:t>
      </w:r>
      <w:r w:rsidR="00BF137E">
        <w:rPr>
          <w:szCs w:val="20"/>
        </w:rPr>
        <w:t xml:space="preserve"> </w:t>
      </w:r>
      <w:r w:rsidR="00487AC2">
        <w:rPr>
          <w:szCs w:val="20"/>
        </w:rPr>
        <w:t>panels marketed by Illumina</w:t>
      </w:r>
    </w:p>
    <w:p w14:paraId="07342C30" w14:textId="77777777" w:rsidR="0059176F" w:rsidRDefault="0059176F" w:rsidP="00225180">
      <w:pPr>
        <w:spacing w:before="0" w:after="0"/>
        <w:ind w:left="284"/>
        <w:rPr>
          <w:szCs w:val="20"/>
        </w:rPr>
      </w:pPr>
    </w:p>
    <w:p w14:paraId="664FE0AB" w14:textId="5D22D27E" w:rsidR="006F0F10" w:rsidRDefault="00651F1F" w:rsidP="00225180">
      <w:pPr>
        <w:spacing w:before="0" w:after="0"/>
        <w:ind w:left="284"/>
        <w:rPr>
          <w:szCs w:val="20"/>
        </w:rPr>
      </w:pPr>
      <w:r>
        <w:rPr>
          <w:szCs w:val="20"/>
        </w:rPr>
        <w:t>In Australia t</w:t>
      </w:r>
      <w:r w:rsidR="0059176F">
        <w:rPr>
          <w:szCs w:val="20"/>
        </w:rPr>
        <w:t xml:space="preserve">he use of </w:t>
      </w:r>
      <w:r w:rsidR="001D0C6C">
        <w:rPr>
          <w:szCs w:val="20"/>
        </w:rPr>
        <w:t xml:space="preserve">a </w:t>
      </w:r>
      <w:r w:rsidR="000D4071">
        <w:rPr>
          <w:szCs w:val="20"/>
        </w:rPr>
        <w:t xml:space="preserve">NGS assay </w:t>
      </w:r>
      <w:r w:rsidR="007B0D88">
        <w:rPr>
          <w:szCs w:val="20"/>
        </w:rPr>
        <w:t xml:space="preserve">labelled </w:t>
      </w:r>
      <w:r w:rsidR="000D4071">
        <w:rPr>
          <w:szCs w:val="20"/>
        </w:rPr>
        <w:t>as RUO</w:t>
      </w:r>
      <w:r w:rsidR="003E35F8">
        <w:rPr>
          <w:szCs w:val="20"/>
        </w:rPr>
        <w:t xml:space="preserve"> </w:t>
      </w:r>
      <w:r w:rsidR="006248A2">
        <w:rPr>
          <w:szCs w:val="20"/>
        </w:rPr>
        <w:t>to develop a</w:t>
      </w:r>
      <w:r w:rsidR="003E35F8">
        <w:rPr>
          <w:szCs w:val="20"/>
        </w:rPr>
        <w:t xml:space="preserve">n IVD </w:t>
      </w:r>
      <w:r w:rsidR="006248A2">
        <w:rPr>
          <w:szCs w:val="20"/>
        </w:rPr>
        <w:t xml:space="preserve">test reporting clinical results </w:t>
      </w:r>
      <w:r w:rsidR="003E35F8">
        <w:rPr>
          <w:szCs w:val="20"/>
        </w:rPr>
        <w:t xml:space="preserve">would lead to the </w:t>
      </w:r>
      <w:r w:rsidR="00C57CAF">
        <w:rPr>
          <w:szCs w:val="20"/>
        </w:rPr>
        <w:t xml:space="preserve">test being </w:t>
      </w:r>
      <w:r w:rsidR="005D629F">
        <w:rPr>
          <w:szCs w:val="20"/>
        </w:rPr>
        <w:t xml:space="preserve">captured by the </w:t>
      </w:r>
      <w:r w:rsidR="00C57CAF">
        <w:rPr>
          <w:szCs w:val="20"/>
        </w:rPr>
        <w:t xml:space="preserve">regulatory framework </w:t>
      </w:r>
      <w:r w:rsidR="00C976CB">
        <w:rPr>
          <w:szCs w:val="20"/>
        </w:rPr>
        <w:t xml:space="preserve">outlined in the </w:t>
      </w:r>
      <w:r w:rsidR="002E1834">
        <w:rPr>
          <w:szCs w:val="20"/>
        </w:rPr>
        <w:t>‘Requirement for the development and use of in-house in vitro diagnosti</w:t>
      </w:r>
      <w:r w:rsidR="002651C6">
        <w:rPr>
          <w:szCs w:val="20"/>
        </w:rPr>
        <w:t>c medical devices (IVDs)</w:t>
      </w:r>
      <w:r w:rsidR="00050B36">
        <w:rPr>
          <w:szCs w:val="20"/>
        </w:rPr>
        <w:t>, Fourth Edition 2018</w:t>
      </w:r>
      <w:r w:rsidR="002651C6">
        <w:rPr>
          <w:szCs w:val="20"/>
        </w:rPr>
        <w:t>’</w:t>
      </w:r>
      <w:r w:rsidR="00C976CB">
        <w:rPr>
          <w:szCs w:val="20"/>
        </w:rPr>
        <w:t xml:space="preserve"> document published by the Department of Health.</w:t>
      </w:r>
    </w:p>
    <w:p w14:paraId="1FECEDDB" w14:textId="251C6477" w:rsidR="006F0F10" w:rsidRDefault="006F0F10" w:rsidP="00225180">
      <w:pPr>
        <w:spacing w:before="0" w:after="0"/>
        <w:ind w:left="284"/>
        <w:rPr>
          <w:szCs w:val="20"/>
        </w:rPr>
      </w:pPr>
    </w:p>
    <w:p w14:paraId="2CADC3A1" w14:textId="5A598EA4" w:rsidR="008670B0" w:rsidRDefault="00F70D03" w:rsidP="00225180">
      <w:pPr>
        <w:spacing w:before="0" w:after="0"/>
        <w:ind w:left="284"/>
        <w:rPr>
          <w:szCs w:val="20"/>
        </w:rPr>
      </w:pPr>
      <w:r>
        <w:rPr>
          <w:szCs w:val="20"/>
        </w:rPr>
        <w:t xml:space="preserve">Based on the criteria outlined on page 4 of the ‘Requirement for the development and use of in-house in vitro diagnostic medical devices (IVDs), Fourth Edition 2018)’, </w:t>
      </w:r>
      <w:r w:rsidR="00713474">
        <w:rPr>
          <w:szCs w:val="20"/>
        </w:rPr>
        <w:t>Cl</w:t>
      </w:r>
      <w:r w:rsidR="00DD4458">
        <w:rPr>
          <w:szCs w:val="20"/>
        </w:rPr>
        <w:t>ass 1-3 in-house IVDs are exempt from inclusion in the ART</w:t>
      </w:r>
      <w:r w:rsidR="00460E2E">
        <w:rPr>
          <w:szCs w:val="20"/>
        </w:rPr>
        <w:t>G</w:t>
      </w:r>
      <w:r w:rsidR="00E7639E">
        <w:rPr>
          <w:szCs w:val="20"/>
        </w:rPr>
        <w:t>.</w:t>
      </w:r>
    </w:p>
    <w:p w14:paraId="35E4F0F1" w14:textId="2AFC2A17" w:rsidR="006516FF" w:rsidRDefault="006516FF" w:rsidP="00225180">
      <w:pPr>
        <w:spacing w:before="0" w:after="0"/>
        <w:ind w:left="284"/>
        <w:rPr>
          <w:szCs w:val="20"/>
        </w:rPr>
      </w:pPr>
    </w:p>
    <w:p w14:paraId="1C27F99B" w14:textId="4BA38C91" w:rsidR="003A1670" w:rsidRDefault="006516FF" w:rsidP="00225180">
      <w:pPr>
        <w:spacing w:before="0" w:after="0"/>
        <w:ind w:left="284"/>
        <w:rPr>
          <w:szCs w:val="20"/>
        </w:rPr>
      </w:pPr>
      <w:r>
        <w:rPr>
          <w:szCs w:val="20"/>
        </w:rPr>
        <w:t xml:space="preserve">Any laboratory using </w:t>
      </w:r>
      <w:r w:rsidR="00DC58C7">
        <w:rPr>
          <w:szCs w:val="20"/>
        </w:rPr>
        <w:t xml:space="preserve">NGS </w:t>
      </w:r>
      <w:r w:rsidR="00820C84">
        <w:rPr>
          <w:szCs w:val="20"/>
        </w:rPr>
        <w:t xml:space="preserve">RUO </w:t>
      </w:r>
      <w:r w:rsidR="00FD0853">
        <w:rPr>
          <w:szCs w:val="20"/>
        </w:rPr>
        <w:t>assay</w:t>
      </w:r>
      <w:r w:rsidR="00820C84">
        <w:rPr>
          <w:szCs w:val="20"/>
        </w:rPr>
        <w:t>s</w:t>
      </w:r>
      <w:r w:rsidR="00FD0853">
        <w:rPr>
          <w:szCs w:val="20"/>
        </w:rPr>
        <w:t xml:space="preserve"> to develop an in-house IVD</w:t>
      </w:r>
      <w:r w:rsidR="0099052E">
        <w:rPr>
          <w:szCs w:val="20"/>
        </w:rPr>
        <w:t xml:space="preserve"> must be accredited to do so</w:t>
      </w:r>
      <w:r w:rsidR="00FD0853">
        <w:rPr>
          <w:szCs w:val="20"/>
        </w:rPr>
        <w:t xml:space="preserve"> </w:t>
      </w:r>
      <w:r w:rsidR="00F842C5">
        <w:rPr>
          <w:szCs w:val="20"/>
        </w:rPr>
        <w:t xml:space="preserve">and </w:t>
      </w:r>
      <w:r w:rsidR="00B10464">
        <w:rPr>
          <w:szCs w:val="20"/>
        </w:rPr>
        <w:t>is</w:t>
      </w:r>
      <w:r w:rsidR="00FD0853">
        <w:rPr>
          <w:szCs w:val="20"/>
        </w:rPr>
        <w:t xml:space="preserve"> required to notify the TGA</w:t>
      </w:r>
      <w:r w:rsidR="00F842C5">
        <w:rPr>
          <w:szCs w:val="20"/>
        </w:rPr>
        <w:t xml:space="preserve"> of the introduction of the IVD by 1 July </w:t>
      </w:r>
      <w:r w:rsidR="004A4B45">
        <w:rPr>
          <w:szCs w:val="20"/>
        </w:rPr>
        <w:t xml:space="preserve">of the </w:t>
      </w:r>
      <w:r w:rsidR="0044670A">
        <w:rPr>
          <w:szCs w:val="20"/>
        </w:rPr>
        <w:t>next financial year</w:t>
      </w:r>
      <w:r w:rsidR="0061464F">
        <w:rPr>
          <w:szCs w:val="20"/>
        </w:rPr>
        <w:t>.</w:t>
      </w:r>
    </w:p>
    <w:p w14:paraId="30CBB422" w14:textId="77777777" w:rsidR="003A1670" w:rsidRDefault="003A1670" w:rsidP="00225180">
      <w:pPr>
        <w:spacing w:before="0" w:after="0"/>
        <w:ind w:left="284"/>
        <w:rPr>
          <w:szCs w:val="20"/>
        </w:rPr>
      </w:pPr>
    </w:p>
    <w:p w14:paraId="336D80DF" w14:textId="06C65A31" w:rsidR="001A3F06" w:rsidRDefault="009B1BDA" w:rsidP="00225180">
      <w:pPr>
        <w:spacing w:before="0" w:after="0"/>
        <w:ind w:left="284"/>
        <w:rPr>
          <w:szCs w:val="20"/>
        </w:rPr>
      </w:pPr>
      <w:r>
        <w:rPr>
          <w:szCs w:val="20"/>
        </w:rPr>
        <w:t>The</w:t>
      </w:r>
      <w:r w:rsidR="003A1670">
        <w:rPr>
          <w:szCs w:val="20"/>
        </w:rPr>
        <w:t xml:space="preserve"> responsibility for </w:t>
      </w:r>
      <w:r w:rsidR="001F2338">
        <w:rPr>
          <w:szCs w:val="20"/>
        </w:rPr>
        <w:t xml:space="preserve">notifying the TGA </w:t>
      </w:r>
      <w:r w:rsidR="00B75EB5">
        <w:rPr>
          <w:szCs w:val="20"/>
        </w:rPr>
        <w:t xml:space="preserve">of the development of an in-house IVD based on a RUO </w:t>
      </w:r>
      <w:r w:rsidR="000F1B86">
        <w:rPr>
          <w:szCs w:val="20"/>
        </w:rPr>
        <w:t xml:space="preserve">assay lies with the laboratory </w:t>
      </w:r>
      <w:r w:rsidR="00D30352">
        <w:rPr>
          <w:szCs w:val="20"/>
        </w:rPr>
        <w:t xml:space="preserve">which has </w:t>
      </w:r>
      <w:r w:rsidR="00D31F08">
        <w:rPr>
          <w:szCs w:val="20"/>
        </w:rPr>
        <w:t xml:space="preserve">developed the in-house IVD and not the </w:t>
      </w:r>
      <w:r w:rsidR="00384BE5">
        <w:rPr>
          <w:szCs w:val="20"/>
        </w:rPr>
        <w:t xml:space="preserve">commercial manufacturer of the RUO </w:t>
      </w:r>
      <w:r w:rsidR="00FE747C">
        <w:rPr>
          <w:szCs w:val="20"/>
        </w:rPr>
        <w:t xml:space="preserve">assay. As such, it is not possible to </w:t>
      </w:r>
      <w:r w:rsidR="00403B3E">
        <w:rPr>
          <w:szCs w:val="20"/>
        </w:rPr>
        <w:t xml:space="preserve">provide information regarding </w:t>
      </w:r>
      <w:r w:rsidR="004925C2">
        <w:rPr>
          <w:szCs w:val="20"/>
        </w:rPr>
        <w:t>where</w:t>
      </w:r>
      <w:r w:rsidR="00EE7182">
        <w:rPr>
          <w:szCs w:val="20"/>
        </w:rPr>
        <w:t xml:space="preserve"> any given laboratory</w:t>
      </w:r>
      <w:r w:rsidR="004925C2">
        <w:rPr>
          <w:szCs w:val="20"/>
        </w:rPr>
        <w:t xml:space="preserve"> </w:t>
      </w:r>
      <w:r w:rsidR="00EE7182">
        <w:rPr>
          <w:szCs w:val="20"/>
        </w:rPr>
        <w:t xml:space="preserve">would be </w:t>
      </w:r>
      <w:r w:rsidR="004925C2">
        <w:rPr>
          <w:szCs w:val="20"/>
        </w:rPr>
        <w:t xml:space="preserve">in the process </w:t>
      </w:r>
      <w:r w:rsidR="002C0FB1">
        <w:rPr>
          <w:szCs w:val="20"/>
        </w:rPr>
        <w:t xml:space="preserve">of </w:t>
      </w:r>
      <w:r w:rsidR="00F85C46">
        <w:rPr>
          <w:szCs w:val="20"/>
        </w:rPr>
        <w:t xml:space="preserve">notifying the TGA of their development and use of an </w:t>
      </w:r>
      <w:r w:rsidR="002C0FB1">
        <w:rPr>
          <w:szCs w:val="20"/>
        </w:rPr>
        <w:t>in-house IVD</w:t>
      </w:r>
      <w:r w:rsidR="00F85C46">
        <w:rPr>
          <w:szCs w:val="20"/>
        </w:rPr>
        <w:t xml:space="preserve"> from a RUO assay</w:t>
      </w:r>
      <w:r w:rsidR="006D5B41">
        <w:rPr>
          <w:szCs w:val="20"/>
        </w:rPr>
        <w:t>.</w:t>
      </w:r>
    </w:p>
    <w:p w14:paraId="027EC632" w14:textId="77777777" w:rsidR="00B83F55" w:rsidRDefault="00B83F55" w:rsidP="0047581D">
      <w:pPr>
        <w:spacing w:before="0" w:after="0"/>
        <w:rPr>
          <w:szCs w:val="20"/>
        </w:rPr>
      </w:pPr>
    </w:p>
    <w:p w14:paraId="1CF01600" w14:textId="410CEAD9" w:rsidR="00C0796F" w:rsidRPr="000F5EB0" w:rsidRDefault="000A110D" w:rsidP="00530204">
      <w:pPr>
        <w:pStyle w:val="Heading2"/>
      </w:pPr>
      <w:r w:rsidRPr="000F5EB0">
        <w:t>I</w:t>
      </w:r>
      <w:r w:rsidR="00C0796F" w:rsidRPr="000F5EB0">
        <w:t xml:space="preserve">f the therapeutic good </w:t>
      </w:r>
      <w:r w:rsidR="00F83A9D" w:rsidRPr="000F5EB0">
        <w:t>is not in the process of being considered for listing</w:t>
      </w:r>
      <w:r w:rsidR="00C0796F" w:rsidRPr="000F5EB0">
        <w:t xml:space="preserve">, </w:t>
      </w:r>
      <w:r w:rsidR="00F83A9D" w:rsidRPr="000F5EB0">
        <w:t xml:space="preserve">registration </w:t>
      </w:r>
      <w:r w:rsidR="00C0796F" w:rsidRPr="000F5EB0">
        <w:t xml:space="preserve">or </w:t>
      </w:r>
      <w:r w:rsidR="00F83A9D" w:rsidRPr="000F5EB0">
        <w:t>inclusion by the TGA, is an application to the TGA being prepared?</w:t>
      </w:r>
    </w:p>
    <w:p w14:paraId="4188B167" w14:textId="5775E366" w:rsidR="000A110D" w:rsidRPr="000F5EB0" w:rsidRDefault="00B219B4" w:rsidP="000A110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07C47">
        <w:rPr>
          <w:szCs w:val="20"/>
        </w:rPr>
      </w:r>
      <w:r w:rsidR="00607C47">
        <w:rPr>
          <w:szCs w:val="20"/>
        </w:rPr>
        <w:fldChar w:fldCharType="separate"/>
      </w:r>
      <w:r>
        <w:rPr>
          <w:szCs w:val="20"/>
        </w:rPr>
        <w:fldChar w:fldCharType="end"/>
      </w:r>
      <w:r w:rsidR="000A110D" w:rsidRPr="000F5EB0">
        <w:rPr>
          <w:szCs w:val="20"/>
        </w:rPr>
        <w:t xml:space="preserve"> Yes (please provide details below)</w:t>
      </w:r>
    </w:p>
    <w:p w14:paraId="12EE8DC6" w14:textId="48584246" w:rsidR="000A110D" w:rsidRPr="000F5EB0" w:rsidRDefault="004F1E24" w:rsidP="0089583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07C47">
        <w:rPr>
          <w:szCs w:val="20"/>
        </w:rPr>
      </w:r>
      <w:r w:rsidR="00607C47">
        <w:rPr>
          <w:szCs w:val="20"/>
        </w:rPr>
        <w:fldChar w:fldCharType="separate"/>
      </w:r>
      <w:r>
        <w:rPr>
          <w:szCs w:val="20"/>
        </w:rPr>
        <w:fldChar w:fldCharType="end"/>
      </w:r>
      <w:r w:rsidR="000A110D" w:rsidRPr="000F5EB0">
        <w:rPr>
          <w:szCs w:val="20"/>
        </w:rPr>
        <w:t xml:space="preserve"> No</w:t>
      </w:r>
    </w:p>
    <w:p w14:paraId="3F55BEE0" w14:textId="77777777" w:rsidR="00B219B4" w:rsidRDefault="00B219B4" w:rsidP="00971EDB">
      <w:pPr>
        <w:spacing w:before="0" w:after="0"/>
        <w:rPr>
          <w:szCs w:val="20"/>
        </w:rPr>
      </w:pPr>
    </w:p>
    <w:p w14:paraId="64DE955C" w14:textId="4326E811" w:rsidR="00DD308E" w:rsidRPr="000F5EB0" w:rsidRDefault="00921ADE" w:rsidP="00225180">
      <w:pPr>
        <w:spacing w:before="0" w:after="0"/>
        <w:ind w:firstLine="284"/>
        <w:rPr>
          <w:b/>
          <w:sz w:val="32"/>
          <w:szCs w:val="32"/>
        </w:rPr>
        <w:sectPr w:rsidR="00DD308E" w:rsidRPr="000F5EB0" w:rsidSect="00991EE4">
          <w:footerReference w:type="default" r:id="rId11"/>
          <w:pgSz w:w="11906" w:h="16838"/>
          <w:pgMar w:top="1440" w:right="1440" w:bottom="1440" w:left="1440" w:header="708" w:footer="708" w:gutter="0"/>
          <w:pgNumType w:start="0"/>
          <w:cols w:space="708"/>
          <w:titlePg/>
          <w:docGrid w:linePitch="360"/>
        </w:sectPr>
      </w:pPr>
      <w:r>
        <w:rPr>
          <w:szCs w:val="20"/>
        </w:rPr>
        <w:t>Unknown, refer to previous response.</w:t>
      </w:r>
    </w:p>
    <w:p w14:paraId="4A14D63E" w14:textId="77777777" w:rsidR="00DD308E" w:rsidRPr="000F5EB0" w:rsidRDefault="00B17CBE" w:rsidP="00F222BE">
      <w:pPr>
        <w:pStyle w:val="Heading1"/>
      </w:pPr>
      <w:r w:rsidRPr="000F5EB0">
        <w:lastRenderedPageBreak/>
        <w:t>PART 4</w:t>
      </w:r>
      <w:r w:rsidR="00DD308E" w:rsidRPr="000F5EB0">
        <w:t xml:space="preserve"> – SUMMARY OF EVIDENCE</w:t>
      </w:r>
    </w:p>
    <w:p w14:paraId="1C6BF0FA" w14:textId="23340257" w:rsidR="00DD308E" w:rsidRPr="000F5EB0" w:rsidRDefault="00DD308E" w:rsidP="005C3AE7">
      <w:pPr>
        <w:pStyle w:val="Heading2"/>
        <w:rPr>
          <w:i/>
        </w:rPr>
      </w:pPr>
      <w:r w:rsidRPr="000F5EB0">
        <w:t xml:space="preserve">Provide an overview of all key journal articles or research published in the public domain related to the proposed service that is for your application (limiting these to the English language only). </w:t>
      </w:r>
      <w:r w:rsidRPr="000F5EB0">
        <w:rPr>
          <w:i/>
        </w:rPr>
        <w:t>Please do not attach full text articles, this is just intended to be a summary.</w:t>
      </w:r>
    </w:p>
    <w:tbl>
      <w:tblPr>
        <w:tblStyle w:val="TableGrid"/>
        <w:tblW w:w="14212" w:type="dxa"/>
        <w:tblLayout w:type="fixed"/>
        <w:tblLook w:val="04A0" w:firstRow="1" w:lastRow="0" w:firstColumn="1" w:lastColumn="0" w:noHBand="0" w:noVBand="1"/>
        <w:tblCaption w:val="Summary of Evidence - Published"/>
      </w:tblPr>
      <w:tblGrid>
        <w:gridCol w:w="421"/>
        <w:gridCol w:w="1426"/>
        <w:gridCol w:w="2968"/>
        <w:gridCol w:w="5670"/>
        <w:gridCol w:w="2410"/>
        <w:gridCol w:w="1317"/>
      </w:tblGrid>
      <w:tr w:rsidR="006940B9" w:rsidRPr="000F5EB0" w14:paraId="5951F810" w14:textId="77777777" w:rsidTr="00225180">
        <w:trPr>
          <w:cantSplit/>
          <w:tblHeader/>
        </w:trPr>
        <w:tc>
          <w:tcPr>
            <w:tcW w:w="421" w:type="dxa"/>
          </w:tcPr>
          <w:p w14:paraId="7408623C" w14:textId="77777777" w:rsidR="00DD308E" w:rsidRPr="000F5EB0" w:rsidRDefault="00DD308E" w:rsidP="00B3762F">
            <w:pPr>
              <w:pStyle w:val="TableHEADER"/>
              <w:keepLines/>
              <w:rPr>
                <w:sz w:val="18"/>
                <w:szCs w:val="18"/>
              </w:rPr>
            </w:pPr>
          </w:p>
        </w:tc>
        <w:tc>
          <w:tcPr>
            <w:tcW w:w="1426" w:type="dxa"/>
          </w:tcPr>
          <w:p w14:paraId="00AD9994" w14:textId="77777777" w:rsidR="00DD308E" w:rsidRPr="000F5EB0" w:rsidRDefault="00DD308E" w:rsidP="00B3762F">
            <w:pPr>
              <w:pStyle w:val="TableHEADER"/>
              <w:keepLines/>
              <w:rPr>
                <w:sz w:val="18"/>
                <w:szCs w:val="18"/>
              </w:rPr>
            </w:pPr>
            <w:r w:rsidRPr="000F5EB0">
              <w:rPr>
                <w:sz w:val="18"/>
                <w:szCs w:val="18"/>
              </w:rPr>
              <w:t>Type of study design*</w:t>
            </w:r>
          </w:p>
        </w:tc>
        <w:tc>
          <w:tcPr>
            <w:tcW w:w="2968" w:type="dxa"/>
          </w:tcPr>
          <w:p w14:paraId="1EE966F5" w14:textId="1D4A767C" w:rsidR="00DD308E" w:rsidRPr="000F5EB0" w:rsidRDefault="00DD308E" w:rsidP="00B3762F">
            <w:pPr>
              <w:pStyle w:val="TableHEADER"/>
              <w:keepLines/>
              <w:rPr>
                <w:sz w:val="18"/>
                <w:szCs w:val="18"/>
              </w:rPr>
            </w:pPr>
            <w:r w:rsidRPr="000F5EB0">
              <w:rPr>
                <w:sz w:val="18"/>
                <w:szCs w:val="18"/>
              </w:rPr>
              <w:t>Title of journal article or research project (including any trial identifier or study lead if relevant)</w:t>
            </w:r>
          </w:p>
        </w:tc>
        <w:tc>
          <w:tcPr>
            <w:tcW w:w="5670" w:type="dxa"/>
          </w:tcPr>
          <w:p w14:paraId="7B1F9493" w14:textId="4CB03356" w:rsidR="00DD308E" w:rsidRPr="000F5EB0" w:rsidRDefault="00DD308E" w:rsidP="00B3762F">
            <w:pPr>
              <w:pStyle w:val="TableHEADER"/>
              <w:keepLines/>
              <w:rPr>
                <w:sz w:val="18"/>
                <w:szCs w:val="18"/>
              </w:rPr>
            </w:pPr>
            <w:r w:rsidRPr="000F5EB0">
              <w:rPr>
                <w:sz w:val="18"/>
                <w:szCs w:val="18"/>
              </w:rPr>
              <w:t>Short description of research (max 50 words)**</w:t>
            </w:r>
          </w:p>
        </w:tc>
        <w:tc>
          <w:tcPr>
            <w:tcW w:w="2410" w:type="dxa"/>
          </w:tcPr>
          <w:p w14:paraId="0593D35D" w14:textId="77777777" w:rsidR="00DD308E" w:rsidRPr="000F5EB0" w:rsidRDefault="00DD308E" w:rsidP="00B3762F">
            <w:pPr>
              <w:pStyle w:val="TableHEADER"/>
              <w:keepLines/>
              <w:rPr>
                <w:sz w:val="18"/>
                <w:szCs w:val="18"/>
              </w:rPr>
            </w:pPr>
            <w:r w:rsidRPr="000F5EB0">
              <w:rPr>
                <w:sz w:val="18"/>
                <w:szCs w:val="18"/>
              </w:rPr>
              <w:t>Website link to journal article or research (if available)</w:t>
            </w:r>
          </w:p>
        </w:tc>
        <w:tc>
          <w:tcPr>
            <w:tcW w:w="1317" w:type="dxa"/>
          </w:tcPr>
          <w:p w14:paraId="13204DB6" w14:textId="77777777" w:rsidR="00DD308E" w:rsidRPr="000F5EB0" w:rsidRDefault="00DD308E" w:rsidP="00B3762F">
            <w:pPr>
              <w:pStyle w:val="TableHEADER"/>
              <w:keepLines/>
              <w:rPr>
                <w:sz w:val="18"/>
                <w:szCs w:val="18"/>
              </w:rPr>
            </w:pPr>
            <w:r w:rsidRPr="000F5EB0">
              <w:rPr>
                <w:sz w:val="18"/>
                <w:szCs w:val="18"/>
              </w:rPr>
              <w:t>Date of publication***</w:t>
            </w:r>
          </w:p>
        </w:tc>
      </w:tr>
      <w:tr w:rsidR="006940B9" w:rsidRPr="000F5EB0" w14:paraId="02FE4B44" w14:textId="77777777" w:rsidTr="00225180">
        <w:trPr>
          <w:cantSplit/>
        </w:trPr>
        <w:tc>
          <w:tcPr>
            <w:tcW w:w="421" w:type="dxa"/>
          </w:tcPr>
          <w:p w14:paraId="38A65973" w14:textId="7B8077F9" w:rsidR="0063380F" w:rsidRPr="000F5EB0" w:rsidRDefault="00225180" w:rsidP="00B3762F">
            <w:pPr>
              <w:keepLines/>
              <w:rPr>
                <w:sz w:val="18"/>
                <w:szCs w:val="18"/>
              </w:rPr>
            </w:pPr>
            <w:r>
              <w:rPr>
                <w:sz w:val="18"/>
                <w:szCs w:val="18"/>
              </w:rPr>
              <w:t>1</w:t>
            </w:r>
          </w:p>
        </w:tc>
        <w:tc>
          <w:tcPr>
            <w:tcW w:w="1426" w:type="dxa"/>
          </w:tcPr>
          <w:p w14:paraId="60C2703C" w14:textId="788D5DA1" w:rsidR="0063380F" w:rsidRPr="000F5EB0" w:rsidRDefault="0063380F" w:rsidP="00B3762F">
            <w:pPr>
              <w:keepLines/>
              <w:rPr>
                <w:b/>
                <w:sz w:val="18"/>
                <w:szCs w:val="18"/>
              </w:rPr>
            </w:pPr>
            <w:r w:rsidRPr="000F5EB0">
              <w:rPr>
                <w:sz w:val="18"/>
                <w:szCs w:val="18"/>
              </w:rPr>
              <w:t>Clinical validation study</w:t>
            </w:r>
          </w:p>
        </w:tc>
        <w:tc>
          <w:tcPr>
            <w:tcW w:w="2968" w:type="dxa"/>
          </w:tcPr>
          <w:p w14:paraId="1E589760" w14:textId="56EFE12F" w:rsidR="0063380F" w:rsidRPr="000F5EB0" w:rsidRDefault="0063380F" w:rsidP="000C1B95">
            <w:pPr>
              <w:keepLines/>
              <w:rPr>
                <w:b/>
                <w:sz w:val="18"/>
                <w:szCs w:val="18"/>
              </w:rPr>
            </w:pPr>
            <w:r w:rsidRPr="000F5EB0">
              <w:rPr>
                <w:sz w:val="18"/>
                <w:szCs w:val="18"/>
              </w:rPr>
              <w:t xml:space="preserve">Development and validation of a clinical cancer genomic profiling test based on massively parallel DNA sequencing: </w:t>
            </w:r>
            <w:r w:rsidRPr="000F5EB0">
              <w:rPr>
                <w:sz w:val="18"/>
                <w:szCs w:val="18"/>
              </w:rPr>
              <w:fldChar w:fldCharType="begin"/>
            </w:r>
            <w:r w:rsidR="00B078F9">
              <w:rPr>
                <w:sz w:val="18"/>
                <w:szCs w:val="18"/>
              </w:rPr>
              <w:instrText xml:space="preserve"> ADDIN EN.CITE &lt;EndNote&gt;&lt;Cite&gt;&lt;Author&gt;Frampton&lt;/Author&gt;&lt;Year&gt;2013&lt;/Year&gt;&lt;RecNum&gt;2&lt;/RecNum&gt;&lt;DisplayText&gt;(Frampton et al. 2013)&lt;/DisplayText&gt;&lt;record&gt;&lt;rec-number&gt;2&lt;/rec-number&gt;&lt;foreign-keys&gt;&lt;key app="EN" db-id="2e0x52xssw2zfme52ph55vrddxd2wsev5tp9" timestamp="1573439961"&gt;2&lt;/key&gt;&lt;/foreign-keys&gt;&lt;ref-type name="Journal Article"&gt;17&lt;/ref-type&gt;&lt;contributors&gt;&lt;authors&gt;&lt;author&gt;Frampton, Garrett M&lt;/author&gt;&lt;author&gt;Fichtenholtz, Alex&lt;/author&gt;&lt;author&gt;Otto, Geoff A&lt;/author&gt;&lt;author&gt;Wang, Kai&lt;/author&gt;&lt;author&gt;Downing, Sean R&lt;/author&gt;&lt;author&gt;He, Jie&lt;/author&gt;&lt;author&gt;Schnall-Levin, Michael&lt;/author&gt;&lt;author&gt;White, Jared&lt;/author&gt;&lt;author&gt;Sanford, Eric M&lt;/author&gt;&lt;author&gt;An, Peter&lt;/author&gt;&lt;/authors&gt;&lt;/contributors&gt;&lt;titles&gt;&lt;title&gt;Development and validation of a clinical cancer genomic profiling test based on massively parallel DNA sequencing&lt;/title&gt;&lt;secondary-title&gt;Nature biotechnology&lt;/secondary-title&gt;&lt;/titles&gt;&lt;periodical&gt;&lt;full-title&gt;Nature biotechnology&lt;/full-title&gt;&lt;/periodical&gt;&lt;pages&gt;1023&lt;/pages&gt;&lt;volume&gt;31&lt;/volume&gt;&lt;number&gt;11&lt;/number&gt;&lt;dates&gt;&lt;year&gt;2013&lt;/year&gt;&lt;/dates&gt;&lt;isbn&gt;1546-1696&lt;/isbn&gt;&lt;urls&gt;&lt;/urls&gt;&lt;/record&gt;&lt;/Cite&gt;&lt;/EndNote&gt;</w:instrText>
            </w:r>
            <w:r w:rsidRPr="000F5EB0">
              <w:rPr>
                <w:sz w:val="18"/>
                <w:szCs w:val="18"/>
              </w:rPr>
              <w:fldChar w:fldCharType="separate"/>
            </w:r>
            <w:r w:rsidR="00B078F9">
              <w:rPr>
                <w:noProof/>
                <w:sz w:val="18"/>
                <w:szCs w:val="18"/>
              </w:rPr>
              <w:t>(Frampton et al. 2013)</w:t>
            </w:r>
            <w:r w:rsidRPr="000F5EB0">
              <w:rPr>
                <w:sz w:val="18"/>
                <w:szCs w:val="18"/>
              </w:rPr>
              <w:fldChar w:fldCharType="end"/>
            </w:r>
          </w:p>
        </w:tc>
        <w:tc>
          <w:tcPr>
            <w:tcW w:w="5670" w:type="dxa"/>
          </w:tcPr>
          <w:p w14:paraId="47B3EEBA" w14:textId="1240CEEF" w:rsidR="0063380F" w:rsidRPr="000F5EB0" w:rsidRDefault="0063380F" w:rsidP="00B3762F">
            <w:pPr>
              <w:keepLines/>
              <w:rPr>
                <w:b/>
                <w:sz w:val="18"/>
                <w:szCs w:val="18"/>
              </w:rPr>
            </w:pPr>
            <w:r w:rsidRPr="000F5EB0">
              <w:rPr>
                <w:sz w:val="18"/>
                <w:szCs w:val="18"/>
              </w:rPr>
              <w:t>Details the development and validation of the FoundationOne assay. The diagnostic accuracy of FoundationOne was compared with established assays assessed on 249 tumour tissue specimens. The results of CGP on 2,221 solid tumour clinical cases (including 400 lung cancer cases) are also outlined.</w:t>
            </w:r>
          </w:p>
        </w:tc>
        <w:tc>
          <w:tcPr>
            <w:tcW w:w="2410" w:type="dxa"/>
          </w:tcPr>
          <w:p w14:paraId="5CDA3FE4" w14:textId="16C1C96C" w:rsidR="0063380F" w:rsidRPr="00B76A8D" w:rsidRDefault="00607C47" w:rsidP="00B3762F">
            <w:pPr>
              <w:keepLines/>
              <w:rPr>
                <w:b/>
                <w:sz w:val="18"/>
                <w:szCs w:val="18"/>
              </w:rPr>
            </w:pPr>
            <w:hyperlink r:id="rId12" w:history="1">
              <w:r w:rsidR="0063380F" w:rsidRPr="00B76A8D">
                <w:rPr>
                  <w:rStyle w:val="Hyperlink"/>
                  <w:sz w:val="18"/>
                  <w:szCs w:val="18"/>
                </w:rPr>
                <w:t>https://www.nature.com/articles/nbt.2696</w:t>
              </w:r>
            </w:hyperlink>
          </w:p>
        </w:tc>
        <w:tc>
          <w:tcPr>
            <w:tcW w:w="1317" w:type="dxa"/>
          </w:tcPr>
          <w:p w14:paraId="3BD2045E" w14:textId="24A703D3" w:rsidR="0063380F" w:rsidRPr="000F5EB0" w:rsidRDefault="0063380F" w:rsidP="00B3762F">
            <w:pPr>
              <w:keepLines/>
              <w:rPr>
                <w:b/>
                <w:sz w:val="18"/>
                <w:szCs w:val="18"/>
              </w:rPr>
            </w:pPr>
            <w:r w:rsidRPr="000F5EB0">
              <w:rPr>
                <w:sz w:val="18"/>
                <w:szCs w:val="18"/>
              </w:rPr>
              <w:t>October 2013</w:t>
            </w:r>
          </w:p>
        </w:tc>
      </w:tr>
      <w:tr w:rsidR="006940B9" w:rsidRPr="000F5EB0" w14:paraId="332F36A0" w14:textId="77777777" w:rsidTr="00225180">
        <w:trPr>
          <w:cantSplit/>
        </w:trPr>
        <w:tc>
          <w:tcPr>
            <w:tcW w:w="421" w:type="dxa"/>
          </w:tcPr>
          <w:p w14:paraId="52FEF3F5" w14:textId="6693B43E" w:rsidR="00BA0EB1" w:rsidRPr="000F5EB0" w:rsidRDefault="00225180" w:rsidP="00B3762F">
            <w:pPr>
              <w:keepLines/>
              <w:rPr>
                <w:sz w:val="18"/>
                <w:szCs w:val="18"/>
              </w:rPr>
            </w:pPr>
            <w:r>
              <w:rPr>
                <w:sz w:val="18"/>
                <w:szCs w:val="18"/>
              </w:rPr>
              <w:t>2</w:t>
            </w:r>
          </w:p>
        </w:tc>
        <w:tc>
          <w:tcPr>
            <w:tcW w:w="1426" w:type="dxa"/>
          </w:tcPr>
          <w:p w14:paraId="19E1D4EC" w14:textId="55711043" w:rsidR="00BA0EB1" w:rsidRPr="000F5EB0" w:rsidRDefault="00BA0EB1" w:rsidP="00B3762F">
            <w:pPr>
              <w:keepLines/>
              <w:rPr>
                <w:sz w:val="18"/>
                <w:szCs w:val="18"/>
              </w:rPr>
            </w:pPr>
            <w:r w:rsidRPr="000F5EB0">
              <w:rPr>
                <w:sz w:val="18"/>
                <w:szCs w:val="18"/>
              </w:rPr>
              <w:t>Stud</w:t>
            </w:r>
            <w:r w:rsidR="008B7A56" w:rsidRPr="000F5EB0">
              <w:rPr>
                <w:sz w:val="18"/>
                <w:szCs w:val="18"/>
              </w:rPr>
              <w:t>ies of test concordance</w:t>
            </w:r>
          </w:p>
        </w:tc>
        <w:tc>
          <w:tcPr>
            <w:tcW w:w="2968" w:type="dxa"/>
          </w:tcPr>
          <w:p w14:paraId="07B23030" w14:textId="5B4F591A" w:rsidR="00BA0EB1" w:rsidRPr="000F5EB0" w:rsidRDefault="00E355A0" w:rsidP="00B3762F">
            <w:pPr>
              <w:keepLines/>
              <w:rPr>
                <w:sz w:val="18"/>
                <w:szCs w:val="18"/>
              </w:rPr>
            </w:pPr>
            <w:r w:rsidRPr="000F5EB0">
              <w:rPr>
                <w:sz w:val="18"/>
                <w:szCs w:val="18"/>
              </w:rPr>
              <w:t>FoundationOne CDx Technical Information</w:t>
            </w:r>
          </w:p>
        </w:tc>
        <w:tc>
          <w:tcPr>
            <w:tcW w:w="5670" w:type="dxa"/>
          </w:tcPr>
          <w:p w14:paraId="59EF5BBB" w14:textId="18D9AE15" w:rsidR="00BA0EB1" w:rsidRPr="000F5EB0" w:rsidRDefault="00550406" w:rsidP="00B3762F">
            <w:pPr>
              <w:keepLines/>
              <w:rPr>
                <w:sz w:val="18"/>
                <w:szCs w:val="18"/>
              </w:rPr>
            </w:pPr>
            <w:r w:rsidRPr="000F5EB0">
              <w:rPr>
                <w:sz w:val="18"/>
                <w:szCs w:val="18"/>
              </w:rPr>
              <w:t xml:space="preserve">Concordance studies between the FoundationOne CDx assay and </w:t>
            </w:r>
            <w:r w:rsidR="00013575" w:rsidRPr="000F5EB0">
              <w:rPr>
                <w:sz w:val="18"/>
                <w:szCs w:val="18"/>
              </w:rPr>
              <w:t xml:space="preserve">other companion diagnostic tests used to identify NSCLC patients </w:t>
            </w:r>
            <w:r w:rsidR="00F60EAC" w:rsidRPr="000F5EB0">
              <w:rPr>
                <w:sz w:val="18"/>
                <w:szCs w:val="18"/>
              </w:rPr>
              <w:t xml:space="preserve">suitable for treatment were performed as part of obtaining FDA-approval of FoundationOne CDx. </w:t>
            </w:r>
            <w:r w:rsidR="004B76B9" w:rsidRPr="000F5EB0">
              <w:rPr>
                <w:sz w:val="18"/>
                <w:szCs w:val="18"/>
              </w:rPr>
              <w:t xml:space="preserve">A </w:t>
            </w:r>
            <w:r w:rsidR="009F4961" w:rsidRPr="000F5EB0">
              <w:rPr>
                <w:sz w:val="18"/>
                <w:szCs w:val="18"/>
              </w:rPr>
              <w:t>high degree of concordance was reported across all comparisons</w:t>
            </w:r>
            <w:r w:rsidR="003709F6" w:rsidRPr="000F5EB0">
              <w:rPr>
                <w:sz w:val="18"/>
                <w:szCs w:val="18"/>
              </w:rPr>
              <w:t>.</w:t>
            </w:r>
          </w:p>
        </w:tc>
        <w:tc>
          <w:tcPr>
            <w:tcW w:w="2410" w:type="dxa"/>
          </w:tcPr>
          <w:p w14:paraId="4E9EFAE9" w14:textId="69A7DF55" w:rsidR="00BA0EB1" w:rsidRPr="00B76A8D" w:rsidRDefault="008F2ED4" w:rsidP="00B3762F">
            <w:pPr>
              <w:keepLines/>
              <w:rPr>
                <w:rStyle w:val="Hyperlink"/>
                <w:sz w:val="18"/>
                <w:szCs w:val="18"/>
              </w:rPr>
            </w:pPr>
            <w:r w:rsidRPr="00B76A8D">
              <w:rPr>
                <w:rStyle w:val="Hyperlink"/>
                <w:sz w:val="18"/>
                <w:szCs w:val="18"/>
              </w:rPr>
              <w:t>https://assets.ctfassets.net/vhribv12lmne/6Rt6csmCPuaguuqmgi2iY8/e3a9b0456ed71a55d2e4480374695d95/FoundationOne_CDx.pdf</w:t>
            </w:r>
          </w:p>
        </w:tc>
        <w:tc>
          <w:tcPr>
            <w:tcW w:w="1317" w:type="dxa"/>
          </w:tcPr>
          <w:p w14:paraId="440C9EA7" w14:textId="289E4DC8" w:rsidR="00BA0EB1" w:rsidRPr="000F5EB0" w:rsidRDefault="003709F6" w:rsidP="00B3762F">
            <w:pPr>
              <w:keepLines/>
              <w:rPr>
                <w:sz w:val="18"/>
                <w:szCs w:val="18"/>
              </w:rPr>
            </w:pPr>
            <w:r w:rsidRPr="000F5EB0">
              <w:rPr>
                <w:sz w:val="18"/>
                <w:szCs w:val="18"/>
              </w:rPr>
              <w:t>December 2017</w:t>
            </w:r>
          </w:p>
        </w:tc>
      </w:tr>
      <w:tr w:rsidR="000D2EB9" w:rsidRPr="000F5EB0" w14:paraId="0CEDF0EE" w14:textId="77777777" w:rsidTr="00225180">
        <w:trPr>
          <w:cantSplit/>
        </w:trPr>
        <w:tc>
          <w:tcPr>
            <w:tcW w:w="421" w:type="dxa"/>
          </w:tcPr>
          <w:p w14:paraId="75035BAF" w14:textId="19A737B5" w:rsidR="000D2EB9" w:rsidRPr="000F5EB0" w:rsidRDefault="00225180" w:rsidP="00B3762F">
            <w:pPr>
              <w:keepLines/>
              <w:rPr>
                <w:sz w:val="18"/>
                <w:szCs w:val="18"/>
              </w:rPr>
            </w:pPr>
            <w:r>
              <w:rPr>
                <w:sz w:val="18"/>
                <w:szCs w:val="18"/>
              </w:rPr>
              <w:t>3</w:t>
            </w:r>
          </w:p>
        </w:tc>
        <w:tc>
          <w:tcPr>
            <w:tcW w:w="1426" w:type="dxa"/>
          </w:tcPr>
          <w:p w14:paraId="1CE14269" w14:textId="1F408C5E" w:rsidR="000D2EB9" w:rsidRPr="000F5EB0" w:rsidRDefault="000D2EB9" w:rsidP="00B3762F">
            <w:pPr>
              <w:keepLines/>
              <w:rPr>
                <w:sz w:val="18"/>
                <w:szCs w:val="18"/>
              </w:rPr>
            </w:pPr>
            <w:r w:rsidRPr="000F5EB0">
              <w:rPr>
                <w:sz w:val="18"/>
                <w:szCs w:val="18"/>
              </w:rPr>
              <w:t>Studies of test concordance</w:t>
            </w:r>
          </w:p>
        </w:tc>
        <w:tc>
          <w:tcPr>
            <w:tcW w:w="2968" w:type="dxa"/>
          </w:tcPr>
          <w:p w14:paraId="08BD771C" w14:textId="720E56EF" w:rsidR="000D2EB9" w:rsidRPr="000F5EB0" w:rsidRDefault="00686A64" w:rsidP="00B3762F">
            <w:pPr>
              <w:keepLines/>
              <w:rPr>
                <w:sz w:val="18"/>
                <w:szCs w:val="18"/>
              </w:rPr>
            </w:pPr>
            <w:r w:rsidRPr="00686A64">
              <w:rPr>
                <w:sz w:val="18"/>
                <w:szCs w:val="18"/>
              </w:rPr>
              <w:t>Comparison of Next</w:t>
            </w:r>
            <w:r w:rsidR="002C71E2">
              <w:rPr>
                <w:sz w:val="18"/>
                <w:szCs w:val="18"/>
              </w:rPr>
              <w:t xml:space="preserve"> </w:t>
            </w:r>
            <w:r w:rsidRPr="00686A64">
              <w:rPr>
                <w:sz w:val="18"/>
                <w:szCs w:val="18"/>
              </w:rPr>
              <w:t>Generation Sequencing, Quantitative PCR, and Sanger Sequencing for Mutation Profiling of EGFR, KRAS, PIK3CA and BRAF in Clinical Lung Tumors</w:t>
            </w:r>
            <w:r w:rsidR="00B078F9">
              <w:rPr>
                <w:sz w:val="18"/>
                <w:szCs w:val="18"/>
              </w:rPr>
              <w:t xml:space="preserve"> </w:t>
            </w:r>
            <w:r w:rsidR="00B078F9">
              <w:rPr>
                <w:sz w:val="18"/>
                <w:szCs w:val="18"/>
              </w:rPr>
              <w:fldChar w:fldCharType="begin"/>
            </w:r>
            <w:r w:rsidR="00B078F9">
              <w:rPr>
                <w:sz w:val="18"/>
                <w:szCs w:val="18"/>
              </w:rPr>
              <w:instrText xml:space="preserve"> ADDIN EN.CITE &lt;EndNote&gt;&lt;Cite&gt;&lt;Author&gt;Gao&lt;/Author&gt;&lt;Year&gt;2016&lt;/Year&gt;&lt;RecNum&gt;8820&lt;/RecNum&gt;&lt;DisplayText&gt;(Gao et al. 2016)&lt;/DisplayText&gt;&lt;record&gt;&lt;rec-number&gt;8820&lt;/rec-number&gt;&lt;foreign-keys&gt;&lt;key app="EN" db-id="rxtrxwppgpd2wde2swb5es9g90ffpzr5dx2p" timestamp="1582336176"&gt;8820&lt;/key&gt;&lt;/foreign-keys&gt;&lt;ref-type name="Journal Article"&gt;17&lt;/ref-type&gt;&lt;contributors&gt;&lt;authors&gt;&lt;author&gt;Gao, Jie&lt;/author&gt;&lt;author&gt;Wu, Huanwen&lt;/author&gt;&lt;author&gt;Shi, Xiaohua&lt;/author&gt;&lt;author&gt;Huo, Zhen&lt;/author&gt;&lt;author&gt;Zhang, Jing&lt;/author&gt;&lt;author&gt;Liang, Zhiyong&lt;/author&gt;&lt;/authors&gt;&lt;/contributors&gt;&lt;titles&gt;&lt;title&gt;Comparison of Next-Generation Sequencing, Quantitative PCR, and Sanger Sequencing for Mutation Profiling of EGFR, KRAS, PIK3CA and BRAF in Clinical Lung Tumors&lt;/title&gt;&lt;secondary-title&gt;Clinical laboratory&lt;/secondary-title&gt;&lt;/titles&gt;&lt;periodical&gt;&lt;full-title&gt;Clinical laboratory&lt;/full-title&gt;&lt;/periodical&gt;&lt;pages&gt;689-696&lt;/pages&gt;&lt;volume&gt;62&lt;/volume&gt;&lt;number&gt;4&lt;/number&gt;&lt;dates&gt;&lt;year&gt;2016&lt;/year&gt;&lt;/dates&gt;&lt;isbn&gt;1433-6510&lt;/isbn&gt;&lt;urls&gt;&lt;/urls&gt;&lt;/record&gt;&lt;/Cite&gt;&lt;/EndNote&gt;</w:instrText>
            </w:r>
            <w:r w:rsidR="00B078F9">
              <w:rPr>
                <w:sz w:val="18"/>
                <w:szCs w:val="18"/>
              </w:rPr>
              <w:fldChar w:fldCharType="separate"/>
            </w:r>
            <w:r w:rsidR="00B078F9">
              <w:rPr>
                <w:noProof/>
                <w:sz w:val="18"/>
                <w:szCs w:val="18"/>
              </w:rPr>
              <w:t>(Gao et al. 2016)</w:t>
            </w:r>
            <w:r w:rsidR="00B078F9">
              <w:rPr>
                <w:sz w:val="18"/>
                <w:szCs w:val="18"/>
              </w:rPr>
              <w:fldChar w:fldCharType="end"/>
            </w:r>
          </w:p>
        </w:tc>
        <w:tc>
          <w:tcPr>
            <w:tcW w:w="5670" w:type="dxa"/>
          </w:tcPr>
          <w:p w14:paraId="678F3327" w14:textId="36C08835" w:rsidR="000D2EB9" w:rsidRPr="000F5EB0" w:rsidRDefault="00B30819" w:rsidP="00B3762F">
            <w:pPr>
              <w:keepLines/>
              <w:rPr>
                <w:sz w:val="18"/>
                <w:szCs w:val="18"/>
              </w:rPr>
            </w:pPr>
            <w:r>
              <w:rPr>
                <w:sz w:val="18"/>
                <w:szCs w:val="18"/>
              </w:rPr>
              <w:t>138</w:t>
            </w:r>
            <w:r w:rsidR="00694C2B">
              <w:rPr>
                <w:sz w:val="18"/>
                <w:szCs w:val="18"/>
              </w:rPr>
              <w:t xml:space="preserve"> </w:t>
            </w:r>
            <w:r w:rsidR="00A47B53">
              <w:rPr>
                <w:sz w:val="18"/>
                <w:szCs w:val="18"/>
              </w:rPr>
              <w:t xml:space="preserve">NSCLC sample were </w:t>
            </w:r>
            <w:r w:rsidR="001B5928">
              <w:rPr>
                <w:sz w:val="18"/>
                <w:szCs w:val="18"/>
              </w:rPr>
              <w:t xml:space="preserve">examined </w:t>
            </w:r>
            <w:r w:rsidR="00211815">
              <w:rPr>
                <w:sz w:val="18"/>
                <w:szCs w:val="18"/>
              </w:rPr>
              <w:t>for mutations in EFR, KRAS, PIk3CA and BRAF genes using NGS, QPRC and Sanger S</w:t>
            </w:r>
            <w:r w:rsidR="00D0352E">
              <w:rPr>
                <w:sz w:val="18"/>
                <w:szCs w:val="18"/>
              </w:rPr>
              <w:t>equencing.</w:t>
            </w:r>
            <w:r w:rsidR="008036C6">
              <w:rPr>
                <w:sz w:val="18"/>
                <w:szCs w:val="18"/>
              </w:rPr>
              <w:t xml:space="preserve"> </w:t>
            </w:r>
            <w:r w:rsidR="00E43766">
              <w:rPr>
                <w:sz w:val="18"/>
                <w:szCs w:val="18"/>
              </w:rPr>
              <w:t xml:space="preserve">Sanger Sequencing failed to detect </w:t>
            </w:r>
            <w:r w:rsidR="002E3939">
              <w:rPr>
                <w:sz w:val="18"/>
                <w:szCs w:val="18"/>
              </w:rPr>
              <w:t>variants</w:t>
            </w:r>
            <w:r w:rsidR="00E43766">
              <w:rPr>
                <w:sz w:val="18"/>
                <w:szCs w:val="18"/>
              </w:rPr>
              <w:t xml:space="preserve"> with rates</w:t>
            </w:r>
            <w:r w:rsidR="001B06E7">
              <w:rPr>
                <w:sz w:val="18"/>
                <w:szCs w:val="18"/>
              </w:rPr>
              <w:t xml:space="preserve"> lower than 15%. </w:t>
            </w:r>
            <w:r w:rsidR="00544974">
              <w:rPr>
                <w:sz w:val="18"/>
                <w:szCs w:val="18"/>
              </w:rPr>
              <w:t xml:space="preserve">Similar </w:t>
            </w:r>
            <w:r w:rsidR="00C40627">
              <w:rPr>
                <w:sz w:val="18"/>
                <w:szCs w:val="18"/>
              </w:rPr>
              <w:t>sensitivity, specificity and high concordance was reported between NGS and QPCR</w:t>
            </w:r>
            <w:r w:rsidR="00CF7FE5">
              <w:rPr>
                <w:sz w:val="18"/>
                <w:szCs w:val="18"/>
              </w:rPr>
              <w:t>.</w:t>
            </w:r>
            <w:r w:rsidR="00E43766">
              <w:rPr>
                <w:sz w:val="18"/>
                <w:szCs w:val="18"/>
              </w:rPr>
              <w:t xml:space="preserve"> </w:t>
            </w:r>
          </w:p>
        </w:tc>
        <w:tc>
          <w:tcPr>
            <w:tcW w:w="2410" w:type="dxa"/>
          </w:tcPr>
          <w:p w14:paraId="7BAA5208" w14:textId="6F77D16D" w:rsidR="000D2EB9" w:rsidRPr="00B76A8D" w:rsidRDefault="00607C47" w:rsidP="00B3762F">
            <w:pPr>
              <w:keepLines/>
              <w:rPr>
                <w:rStyle w:val="Hyperlink"/>
                <w:sz w:val="18"/>
                <w:szCs w:val="18"/>
              </w:rPr>
            </w:pPr>
            <w:hyperlink r:id="rId13" w:history="1">
              <w:r w:rsidR="00424CED" w:rsidRPr="00B76A8D">
                <w:rPr>
                  <w:rStyle w:val="Hyperlink"/>
                  <w:sz w:val="18"/>
                  <w:szCs w:val="18"/>
                </w:rPr>
                <w:t>https://www.clin-lab-publications.com/article/2109</w:t>
              </w:r>
            </w:hyperlink>
          </w:p>
        </w:tc>
        <w:tc>
          <w:tcPr>
            <w:tcW w:w="1317" w:type="dxa"/>
          </w:tcPr>
          <w:p w14:paraId="5019E834" w14:textId="24F0ECF3" w:rsidR="000D2EB9" w:rsidRPr="000F5EB0" w:rsidRDefault="003C7801" w:rsidP="00B3762F">
            <w:pPr>
              <w:keepLines/>
              <w:rPr>
                <w:sz w:val="18"/>
                <w:szCs w:val="18"/>
              </w:rPr>
            </w:pPr>
            <w:r>
              <w:rPr>
                <w:sz w:val="18"/>
                <w:szCs w:val="18"/>
              </w:rPr>
              <w:t>2016</w:t>
            </w:r>
          </w:p>
        </w:tc>
      </w:tr>
      <w:tr w:rsidR="006940B9" w:rsidRPr="000F5EB0" w14:paraId="63C5A19B" w14:textId="77777777" w:rsidTr="00225180">
        <w:trPr>
          <w:cantSplit/>
        </w:trPr>
        <w:tc>
          <w:tcPr>
            <w:tcW w:w="421" w:type="dxa"/>
          </w:tcPr>
          <w:p w14:paraId="453C2189" w14:textId="6DC3EF95" w:rsidR="0063380F" w:rsidRPr="000F5EB0" w:rsidRDefault="00B57DBA" w:rsidP="00B3762F">
            <w:pPr>
              <w:keepLines/>
              <w:rPr>
                <w:sz w:val="18"/>
                <w:szCs w:val="18"/>
              </w:rPr>
            </w:pPr>
            <w:r>
              <w:rPr>
                <w:sz w:val="18"/>
                <w:szCs w:val="18"/>
              </w:rPr>
              <w:t>4</w:t>
            </w:r>
          </w:p>
        </w:tc>
        <w:tc>
          <w:tcPr>
            <w:tcW w:w="1426" w:type="dxa"/>
          </w:tcPr>
          <w:p w14:paraId="2EDF50C0" w14:textId="0CF5A38D" w:rsidR="0063380F" w:rsidRPr="000F5EB0" w:rsidRDefault="0063380F" w:rsidP="00B3762F">
            <w:pPr>
              <w:keepLines/>
              <w:rPr>
                <w:b/>
                <w:sz w:val="18"/>
                <w:szCs w:val="18"/>
              </w:rPr>
            </w:pPr>
            <w:r w:rsidRPr="000F5EB0">
              <w:rPr>
                <w:sz w:val="18"/>
                <w:szCs w:val="18"/>
              </w:rPr>
              <w:t>Clinical utility study</w:t>
            </w:r>
          </w:p>
        </w:tc>
        <w:tc>
          <w:tcPr>
            <w:tcW w:w="2968" w:type="dxa"/>
          </w:tcPr>
          <w:p w14:paraId="48299045" w14:textId="066CFE6E" w:rsidR="0063380F" w:rsidRPr="000F5EB0" w:rsidRDefault="0063380F" w:rsidP="000C1B95">
            <w:pPr>
              <w:keepLines/>
              <w:rPr>
                <w:b/>
                <w:sz w:val="18"/>
                <w:szCs w:val="18"/>
              </w:rPr>
            </w:pPr>
            <w:r w:rsidRPr="000F5EB0">
              <w:rPr>
                <w:sz w:val="18"/>
                <w:szCs w:val="18"/>
              </w:rPr>
              <w:t>Broad, hybrid capture-based next</w:t>
            </w:r>
            <w:r w:rsidR="002C71E2">
              <w:rPr>
                <w:sz w:val="18"/>
                <w:szCs w:val="18"/>
              </w:rPr>
              <w:t xml:space="preserve"> </w:t>
            </w:r>
            <w:r w:rsidRPr="000F5EB0">
              <w:rPr>
                <w:sz w:val="18"/>
                <w:szCs w:val="18"/>
              </w:rPr>
              <w:t xml:space="preserve">generation sequencing identifies actionable genomic alterations in "driver-negative" lung adenocarcinomas: </w:t>
            </w:r>
            <w:r w:rsidRPr="000F5EB0">
              <w:rPr>
                <w:sz w:val="18"/>
                <w:szCs w:val="18"/>
              </w:rPr>
              <w:fldChar w:fldCharType="begin"/>
            </w:r>
            <w:r w:rsidR="00B078F9">
              <w:rPr>
                <w:sz w:val="18"/>
                <w:szCs w:val="18"/>
              </w:rPr>
              <w:instrText xml:space="preserve"> ADDIN EN.CITE &lt;EndNote&gt;&lt;Cite&gt;&lt;Author&gt;Drilon&lt;/Author&gt;&lt;Year&gt;2015&lt;/Year&gt;&lt;RecNum&gt;4016&lt;/RecNum&gt;&lt;DisplayText&gt;(Drilon et al. 2015)&lt;/DisplayText&gt;&lt;record&gt;&lt;rec-number&gt;4016&lt;/rec-number&gt;&lt;foreign-keys&gt;&lt;key app="EN" db-id="rxtrxwppgpd2wde2swb5es9g90ffpzr5dx2p" timestamp="1530061149"&gt;4016&lt;/key&gt;&lt;/foreign-keys&gt;&lt;ref-type name="Journal Article"&gt;17&lt;/ref-type&gt;&lt;contributors&gt;&lt;authors&gt;&lt;author&gt;Drilon, Alexander&lt;/author&gt;&lt;author&gt;Wang, Lu&lt;/author&gt;&lt;author&gt;Arcila, Maria E&lt;/author&gt;&lt;author&gt;Balasubramanian, Sohail&lt;/author&gt;&lt;author&gt;Greenbowe, Joel R&lt;/author&gt;&lt;author&gt;Ross, Jeffrey S&lt;/author&gt;&lt;author&gt;Stephens, Philip J&lt;/author&gt;&lt;author&gt;Lipson, Doron&lt;/author&gt;&lt;author&gt;Miller, Vincent A&lt;/author&gt;&lt;author&gt;Kris, Mark G&lt;/author&gt;&lt;/authors&gt;&lt;/contributors&gt;&lt;titles&gt;&lt;title&gt;Broad, hybrid capture-based next-generation sequencing identifies actionable genomic alterations in&amp;quot; driver-negative&amp;quot; lung adenocarcinomas&lt;/title&gt;&lt;secondary-title&gt;Clinical cancer research&lt;/secondary-title&gt;&lt;/titles&gt;&lt;periodical&gt;&lt;full-title&gt;Clinical Cancer Research&lt;/full-title&gt;&lt;/periodical&gt;&lt;pages&gt;clincanres. 2683.2014&lt;/pages&gt;&lt;dates&gt;&lt;year&gt;2015&lt;/year&gt;&lt;/dates&gt;&lt;isbn&gt;1078-0432&lt;/isbn&gt;&lt;urls&gt;&lt;/urls&gt;&lt;/record&gt;&lt;/Cite&gt;&lt;/EndNote&gt;</w:instrText>
            </w:r>
            <w:r w:rsidRPr="000F5EB0">
              <w:rPr>
                <w:sz w:val="18"/>
                <w:szCs w:val="18"/>
              </w:rPr>
              <w:fldChar w:fldCharType="separate"/>
            </w:r>
            <w:r w:rsidR="00B078F9">
              <w:rPr>
                <w:noProof/>
                <w:sz w:val="18"/>
                <w:szCs w:val="18"/>
              </w:rPr>
              <w:t>(Drilon et al. 2015)</w:t>
            </w:r>
            <w:r w:rsidRPr="000F5EB0">
              <w:rPr>
                <w:sz w:val="18"/>
                <w:szCs w:val="18"/>
              </w:rPr>
              <w:fldChar w:fldCharType="end"/>
            </w:r>
          </w:p>
        </w:tc>
        <w:tc>
          <w:tcPr>
            <w:tcW w:w="5670" w:type="dxa"/>
          </w:tcPr>
          <w:p w14:paraId="7D907B95" w14:textId="71F823DB" w:rsidR="0063380F" w:rsidRPr="000F5EB0" w:rsidRDefault="0063380F" w:rsidP="00B3762F">
            <w:pPr>
              <w:keepLines/>
              <w:rPr>
                <w:b/>
                <w:sz w:val="18"/>
                <w:szCs w:val="18"/>
              </w:rPr>
            </w:pPr>
            <w:r w:rsidRPr="000F5EB0">
              <w:rPr>
                <w:sz w:val="18"/>
                <w:szCs w:val="18"/>
              </w:rPr>
              <w:t xml:space="preserve">FoundationOne was used to perform CGP on 31 cases of NSCLC with no evidence of a clinically actionable genomic alteration with ‘standard’ assays (including FISH). A genomic alteration with a corresponding targeted therapy currently available was found in 8/31 (26%) of cases. Of these 8 cases, 6 patients (75%) went on to receive targeted therapy based on the results of CGP. </w:t>
            </w:r>
          </w:p>
        </w:tc>
        <w:tc>
          <w:tcPr>
            <w:tcW w:w="2410" w:type="dxa"/>
          </w:tcPr>
          <w:p w14:paraId="7770B45B" w14:textId="77777777" w:rsidR="0063380F" w:rsidRPr="00B76A8D" w:rsidRDefault="00607C47" w:rsidP="00B3762F">
            <w:pPr>
              <w:keepLines/>
              <w:rPr>
                <w:sz w:val="18"/>
                <w:szCs w:val="18"/>
              </w:rPr>
            </w:pPr>
            <w:hyperlink r:id="rId14" w:history="1">
              <w:r w:rsidR="0063380F" w:rsidRPr="00B76A8D">
                <w:rPr>
                  <w:rStyle w:val="Hyperlink"/>
                  <w:sz w:val="18"/>
                  <w:szCs w:val="18"/>
                </w:rPr>
                <w:t>http://clincancerres.aacrjournals.org/content/early/2015/01/07/1078-0432.CCR-14-2683.short</w:t>
              </w:r>
            </w:hyperlink>
          </w:p>
          <w:p w14:paraId="2AE1FF23" w14:textId="78ABF205" w:rsidR="0063380F" w:rsidRPr="00B76A8D" w:rsidRDefault="0063380F" w:rsidP="00B3762F">
            <w:pPr>
              <w:keepLines/>
              <w:rPr>
                <w:b/>
                <w:sz w:val="18"/>
                <w:szCs w:val="18"/>
              </w:rPr>
            </w:pPr>
          </w:p>
        </w:tc>
        <w:tc>
          <w:tcPr>
            <w:tcW w:w="1317" w:type="dxa"/>
          </w:tcPr>
          <w:p w14:paraId="3B05ACDE" w14:textId="2F82B0A8" w:rsidR="0063380F" w:rsidRPr="000F5EB0" w:rsidRDefault="0063380F" w:rsidP="00B3762F">
            <w:pPr>
              <w:keepLines/>
              <w:rPr>
                <w:b/>
                <w:sz w:val="18"/>
                <w:szCs w:val="18"/>
              </w:rPr>
            </w:pPr>
            <w:r w:rsidRPr="000F5EB0">
              <w:rPr>
                <w:sz w:val="18"/>
                <w:szCs w:val="18"/>
              </w:rPr>
              <w:t>January 2017</w:t>
            </w:r>
          </w:p>
        </w:tc>
      </w:tr>
      <w:tr w:rsidR="006000B2" w:rsidRPr="000F5EB0" w14:paraId="3669E133" w14:textId="77777777" w:rsidTr="00225180">
        <w:trPr>
          <w:cantSplit/>
        </w:trPr>
        <w:tc>
          <w:tcPr>
            <w:tcW w:w="421" w:type="dxa"/>
          </w:tcPr>
          <w:p w14:paraId="1C265395" w14:textId="4C17325C" w:rsidR="006000B2" w:rsidRDefault="00225180" w:rsidP="00B3762F">
            <w:pPr>
              <w:keepLines/>
              <w:rPr>
                <w:sz w:val="18"/>
                <w:szCs w:val="18"/>
              </w:rPr>
            </w:pPr>
            <w:r>
              <w:rPr>
                <w:sz w:val="18"/>
                <w:szCs w:val="18"/>
              </w:rPr>
              <w:lastRenderedPageBreak/>
              <w:t>5</w:t>
            </w:r>
          </w:p>
        </w:tc>
        <w:tc>
          <w:tcPr>
            <w:tcW w:w="1426" w:type="dxa"/>
          </w:tcPr>
          <w:p w14:paraId="056147A2" w14:textId="06512EAD" w:rsidR="006000B2" w:rsidRPr="000F5EB0" w:rsidRDefault="006000B2" w:rsidP="00B3762F">
            <w:pPr>
              <w:keepLines/>
              <w:rPr>
                <w:sz w:val="18"/>
                <w:szCs w:val="18"/>
              </w:rPr>
            </w:pPr>
            <w:r>
              <w:rPr>
                <w:sz w:val="18"/>
                <w:szCs w:val="18"/>
              </w:rPr>
              <w:t>Clinical utility study</w:t>
            </w:r>
          </w:p>
        </w:tc>
        <w:tc>
          <w:tcPr>
            <w:tcW w:w="2968" w:type="dxa"/>
          </w:tcPr>
          <w:p w14:paraId="0005D6CA" w14:textId="06332A51" w:rsidR="006000B2" w:rsidRPr="000F5EB0" w:rsidRDefault="00C7043B" w:rsidP="000C1B95">
            <w:pPr>
              <w:keepLines/>
              <w:rPr>
                <w:sz w:val="18"/>
                <w:szCs w:val="18"/>
              </w:rPr>
            </w:pPr>
            <w:r w:rsidRPr="00C7043B">
              <w:rPr>
                <w:sz w:val="18"/>
                <w:szCs w:val="18"/>
              </w:rPr>
              <w:t>Clinical framework for next generation sequencing based analysis of treatment predictive mutations and multiplexed gene fusion detection in non-small cell lung cancer</w:t>
            </w:r>
            <w:r w:rsidR="00EF395E">
              <w:rPr>
                <w:sz w:val="18"/>
                <w:szCs w:val="18"/>
              </w:rPr>
              <w:t xml:space="preserve"> </w:t>
            </w:r>
            <w:r w:rsidR="00EF395E">
              <w:rPr>
                <w:sz w:val="18"/>
                <w:szCs w:val="18"/>
              </w:rPr>
              <w:fldChar w:fldCharType="begin"/>
            </w:r>
            <w:r w:rsidR="00EF395E">
              <w:rPr>
                <w:sz w:val="18"/>
                <w:szCs w:val="18"/>
              </w:rPr>
              <w:instrText xml:space="preserve"> ADDIN EN.CITE &lt;EndNote&gt;&lt;Cite&gt;&lt;Author&gt;Lindquist&lt;/Author&gt;&lt;Year&gt;2017&lt;/Year&gt;&lt;RecNum&gt;8819&lt;/RecNum&gt;&lt;DisplayText&gt;(Lindquist et al. 2017)&lt;/DisplayText&gt;&lt;record&gt;&lt;rec-number&gt;8819&lt;/rec-number&gt;&lt;foreign-keys&gt;&lt;key app="EN" db-id="rxtrxwppgpd2wde2swb5es9g90ffpzr5dx2p" timestamp="1582336103"&gt;8819&lt;/key&gt;&lt;/foreign-keys&gt;&lt;ref-type name="Journal Article"&gt;17&lt;/ref-type&gt;&lt;contributors&gt;&lt;authors&gt;&lt;author&gt;Lindquist, Kajsa Ericson&lt;/author&gt;&lt;author&gt;Karlsson, Anna&lt;/author&gt;&lt;author&gt;Levéen, Per&lt;/author&gt;&lt;author&gt;Brunnström, Hans&lt;/author&gt;&lt;author&gt;Reuterswärd, Christel&lt;/author&gt;&lt;author&gt;Holm, Karolina&lt;/author&gt;&lt;author&gt;Jönsson, Mats&lt;/author&gt;&lt;author&gt;Annersten, Karin&lt;/author&gt;&lt;author&gt;Rosengren, Frida&lt;/author&gt;&lt;author&gt;Jirström, Karin&lt;/author&gt;&lt;/authors&gt;&lt;/contributors&gt;&lt;titles&gt;&lt;title&gt;Clinical framework for next generation sequencing based analysis of treatment predictive mutations and multiplexed gene fusion detection in non-small cell lung cancer&lt;/title&gt;&lt;secondary-title&gt;Oncotarget&lt;/secondary-title&gt;&lt;/titles&gt;&lt;periodical&gt;&lt;full-title&gt;Oncotarget&lt;/full-title&gt;&lt;/periodical&gt;&lt;pages&gt;34796&lt;/pages&gt;&lt;volume&gt;8&lt;/volume&gt;&lt;number&gt;21&lt;/number&gt;&lt;dates&gt;&lt;year&gt;2017&lt;/year&gt;&lt;/dates&gt;&lt;urls&gt;&lt;/urls&gt;&lt;/record&gt;&lt;/Cite&gt;&lt;/EndNote&gt;</w:instrText>
            </w:r>
            <w:r w:rsidR="00EF395E">
              <w:rPr>
                <w:sz w:val="18"/>
                <w:szCs w:val="18"/>
              </w:rPr>
              <w:fldChar w:fldCharType="separate"/>
            </w:r>
            <w:r w:rsidR="00EF395E">
              <w:rPr>
                <w:noProof/>
                <w:sz w:val="18"/>
                <w:szCs w:val="18"/>
              </w:rPr>
              <w:t>(Lindquist et al. 2017)</w:t>
            </w:r>
            <w:r w:rsidR="00EF395E">
              <w:rPr>
                <w:sz w:val="18"/>
                <w:szCs w:val="18"/>
              </w:rPr>
              <w:fldChar w:fldCharType="end"/>
            </w:r>
            <w:r w:rsidR="00B078F9">
              <w:rPr>
                <w:sz w:val="18"/>
                <w:szCs w:val="18"/>
              </w:rPr>
              <w:t xml:space="preserve"> </w:t>
            </w:r>
          </w:p>
        </w:tc>
        <w:tc>
          <w:tcPr>
            <w:tcW w:w="5670" w:type="dxa"/>
          </w:tcPr>
          <w:p w14:paraId="7B0DBB0D" w14:textId="0EC2637A" w:rsidR="006000B2" w:rsidRPr="000F5EB0" w:rsidRDefault="00DD2AD2" w:rsidP="00B3762F">
            <w:pPr>
              <w:keepLines/>
              <w:rPr>
                <w:sz w:val="18"/>
                <w:szCs w:val="18"/>
              </w:rPr>
            </w:pPr>
            <w:r>
              <w:rPr>
                <w:sz w:val="18"/>
                <w:szCs w:val="18"/>
              </w:rPr>
              <w:t xml:space="preserve">533 consecutive NSCLC cases </w:t>
            </w:r>
            <w:r w:rsidR="00223F74">
              <w:rPr>
                <w:sz w:val="18"/>
                <w:szCs w:val="18"/>
              </w:rPr>
              <w:t xml:space="preserve">were tested using NGS (Illumina </w:t>
            </w:r>
            <w:r w:rsidR="001B6D93">
              <w:rPr>
                <w:sz w:val="18"/>
                <w:szCs w:val="18"/>
              </w:rPr>
              <w:t>TruSight Tumor Assay)</w:t>
            </w:r>
            <w:r w:rsidR="00AC0358">
              <w:rPr>
                <w:sz w:val="18"/>
                <w:szCs w:val="18"/>
              </w:rPr>
              <w:t>.</w:t>
            </w:r>
            <w:r w:rsidR="002D619E">
              <w:rPr>
                <w:sz w:val="18"/>
                <w:szCs w:val="18"/>
              </w:rPr>
              <w:t xml:space="preserve"> </w:t>
            </w:r>
            <w:r w:rsidR="00EE630C">
              <w:rPr>
                <w:sz w:val="18"/>
                <w:szCs w:val="18"/>
              </w:rPr>
              <w:t xml:space="preserve">15.3% of </w:t>
            </w:r>
            <w:r w:rsidR="00C86255">
              <w:rPr>
                <w:sz w:val="18"/>
                <w:szCs w:val="18"/>
              </w:rPr>
              <w:t>patients</w:t>
            </w:r>
            <w:r w:rsidR="002D619E">
              <w:rPr>
                <w:sz w:val="18"/>
                <w:szCs w:val="18"/>
              </w:rPr>
              <w:t xml:space="preserve"> with adenocarcinoma</w:t>
            </w:r>
            <w:r w:rsidR="00EE630C">
              <w:rPr>
                <w:sz w:val="18"/>
                <w:szCs w:val="18"/>
              </w:rPr>
              <w:t xml:space="preserve"> were found to harbour </w:t>
            </w:r>
            <w:r w:rsidR="00FC3851">
              <w:rPr>
                <w:sz w:val="18"/>
                <w:szCs w:val="18"/>
              </w:rPr>
              <w:t>an EGFR/ALK mutation suitable for t</w:t>
            </w:r>
            <w:r w:rsidR="00523DAB">
              <w:rPr>
                <w:sz w:val="18"/>
                <w:szCs w:val="18"/>
              </w:rPr>
              <w:t xml:space="preserve">argeted therapy with a further 10.6% (50.3% if including KRAS) </w:t>
            </w:r>
            <w:r w:rsidR="005E3B20">
              <w:rPr>
                <w:sz w:val="18"/>
                <w:szCs w:val="18"/>
              </w:rPr>
              <w:t>of patients eligible for emergin</w:t>
            </w:r>
            <w:r w:rsidR="0029344C">
              <w:rPr>
                <w:sz w:val="18"/>
                <w:szCs w:val="18"/>
              </w:rPr>
              <w:t>g</w:t>
            </w:r>
            <w:r w:rsidR="005E3B20">
              <w:rPr>
                <w:sz w:val="18"/>
                <w:szCs w:val="18"/>
              </w:rPr>
              <w:t xml:space="preserve"> targeted treatments.</w:t>
            </w:r>
          </w:p>
        </w:tc>
        <w:tc>
          <w:tcPr>
            <w:tcW w:w="2410" w:type="dxa"/>
          </w:tcPr>
          <w:p w14:paraId="58CDE05A" w14:textId="1BEE4BB2" w:rsidR="006000B2" w:rsidRPr="00B76A8D" w:rsidRDefault="00607C47" w:rsidP="00B3762F">
            <w:pPr>
              <w:keepLines/>
              <w:rPr>
                <w:sz w:val="18"/>
                <w:szCs w:val="18"/>
              </w:rPr>
            </w:pPr>
            <w:hyperlink r:id="rId15" w:history="1">
              <w:r w:rsidR="00F027F3" w:rsidRPr="00B76A8D">
                <w:rPr>
                  <w:rStyle w:val="Hyperlink"/>
                  <w:sz w:val="18"/>
                  <w:szCs w:val="18"/>
                </w:rPr>
                <w:t>http://www.oncotarget.com/index.php?journal=oncotarget&amp;page=article&amp;op=view&amp;path[]=16276&amp;pubmed-linkout=1</w:t>
              </w:r>
            </w:hyperlink>
            <w:r w:rsidR="00F027F3" w:rsidRPr="00B76A8D">
              <w:rPr>
                <w:sz w:val="18"/>
                <w:szCs w:val="18"/>
              </w:rPr>
              <w:t xml:space="preserve"> </w:t>
            </w:r>
          </w:p>
        </w:tc>
        <w:tc>
          <w:tcPr>
            <w:tcW w:w="1317" w:type="dxa"/>
          </w:tcPr>
          <w:p w14:paraId="6D24C36B" w14:textId="57FEFEF4" w:rsidR="006000B2" w:rsidRPr="000F5EB0" w:rsidRDefault="00FE4E83" w:rsidP="00B3762F">
            <w:pPr>
              <w:keepLines/>
              <w:rPr>
                <w:sz w:val="18"/>
                <w:szCs w:val="18"/>
              </w:rPr>
            </w:pPr>
            <w:r>
              <w:rPr>
                <w:sz w:val="18"/>
                <w:szCs w:val="18"/>
              </w:rPr>
              <w:t>March 2017</w:t>
            </w:r>
          </w:p>
        </w:tc>
      </w:tr>
      <w:tr w:rsidR="006940B9" w:rsidRPr="000F5EB0" w14:paraId="2223985B" w14:textId="77777777" w:rsidTr="00225180">
        <w:trPr>
          <w:cantSplit/>
        </w:trPr>
        <w:tc>
          <w:tcPr>
            <w:tcW w:w="421" w:type="dxa"/>
          </w:tcPr>
          <w:p w14:paraId="2FD592CC" w14:textId="1DFE9B09" w:rsidR="0063380F" w:rsidRPr="000F5EB0" w:rsidRDefault="00B57DBA" w:rsidP="00B3762F">
            <w:pPr>
              <w:keepLines/>
              <w:rPr>
                <w:sz w:val="18"/>
                <w:szCs w:val="18"/>
              </w:rPr>
            </w:pPr>
            <w:r>
              <w:rPr>
                <w:sz w:val="18"/>
                <w:szCs w:val="18"/>
              </w:rPr>
              <w:t>6</w:t>
            </w:r>
          </w:p>
        </w:tc>
        <w:tc>
          <w:tcPr>
            <w:tcW w:w="1426" w:type="dxa"/>
          </w:tcPr>
          <w:p w14:paraId="2F6D6DA2" w14:textId="371DF2CC" w:rsidR="0063380F" w:rsidRPr="000F5EB0" w:rsidRDefault="0063380F" w:rsidP="00B3762F">
            <w:pPr>
              <w:keepLines/>
              <w:rPr>
                <w:b/>
                <w:sz w:val="18"/>
                <w:szCs w:val="18"/>
              </w:rPr>
            </w:pPr>
            <w:r w:rsidRPr="000F5EB0">
              <w:rPr>
                <w:sz w:val="18"/>
                <w:szCs w:val="18"/>
              </w:rPr>
              <w:t>Clinical utility study</w:t>
            </w:r>
          </w:p>
        </w:tc>
        <w:tc>
          <w:tcPr>
            <w:tcW w:w="2968" w:type="dxa"/>
          </w:tcPr>
          <w:p w14:paraId="1413AB4F" w14:textId="6C068545" w:rsidR="0063380F" w:rsidRPr="000F5EB0" w:rsidRDefault="0063380F" w:rsidP="000C1B95">
            <w:pPr>
              <w:keepLines/>
              <w:rPr>
                <w:b/>
                <w:sz w:val="18"/>
                <w:szCs w:val="18"/>
              </w:rPr>
            </w:pPr>
            <w:r w:rsidRPr="000F5EB0">
              <w:rPr>
                <w:sz w:val="18"/>
                <w:szCs w:val="18"/>
              </w:rPr>
              <w:t xml:space="preserve">Comprehensive genomic profiling identifies a subset of crizotinib responsive ALK-rearranged non-small cell lung cancer not detected by fluorescence in situ hybridization: </w:t>
            </w:r>
            <w:r w:rsidRPr="000F5EB0">
              <w:rPr>
                <w:sz w:val="18"/>
                <w:szCs w:val="18"/>
              </w:rPr>
              <w:fldChar w:fldCharType="begin"/>
            </w:r>
            <w:r w:rsidR="00B078F9">
              <w:rPr>
                <w:sz w:val="18"/>
                <w:szCs w:val="18"/>
              </w:rPr>
              <w:instrText xml:space="preserve"> ADDIN EN.CITE &lt;EndNote&gt;&lt;Cite&gt;&lt;Author&gt;Ali&lt;/Author&gt;&lt;Year&gt;2016&lt;/Year&gt;&lt;RecNum&gt;4017&lt;/RecNum&gt;&lt;DisplayText&gt;(Ali et al. 2016)&lt;/DisplayText&gt;&lt;record&gt;&lt;rec-number&gt;4017&lt;/rec-number&gt;&lt;foreign-keys&gt;&lt;key app="EN" db-id="rxtrxwppgpd2wde2swb5es9g90ffpzr5dx2p" timestamp="1530062178"&gt;4017&lt;/key&gt;&lt;/foreign-keys&gt;&lt;ref-type name="Journal Article"&gt;17&lt;/ref-type&gt;&lt;contributors&gt;&lt;authors&gt;&lt;author&gt;Ali, Siraj M&lt;/author&gt;&lt;author&gt;Hensing, Thomas&lt;/author&gt;&lt;author&gt;Schrock, Alexa B&lt;/author&gt;&lt;author&gt;Allen, Justin&lt;/author&gt;&lt;author&gt;Sanford, Eric&lt;/author&gt;&lt;author&gt;Gowen, Kyle&lt;/author&gt;&lt;author&gt;Kulkarni, Atul&lt;/author&gt;&lt;author&gt;He, Jie&lt;/author&gt;&lt;author&gt;Suh, James H&lt;/author&gt;&lt;author&gt;Lipson, Doron&lt;/author&gt;&lt;/authors&gt;&lt;/contributors&gt;&lt;titles&gt;&lt;title&gt;Comprehensive genomic profiling identifies a subset of crizotinib-responsive ALK-rearranged non-small cell lung cancer not detected by fluorescence in situ hybridization&lt;/title&gt;&lt;secondary-title&gt;The oncologist&lt;/secondary-title&gt;&lt;/titles&gt;&lt;periodical&gt;&lt;full-title&gt;The oncologist&lt;/full-title&gt;&lt;/periodical&gt;&lt;pages&gt;762-770&lt;/pages&gt;&lt;volume&gt;21&lt;/volume&gt;&lt;number&gt;6&lt;/number&gt;&lt;dates&gt;&lt;year&gt;2016&lt;/year&gt;&lt;/dates&gt;&lt;isbn&gt;1083-7159&lt;/isbn&gt;&lt;urls&gt;&lt;related-urls&gt;&lt;url&gt;https://www.ncbi.nlm.nih.gov/pmc/articles/PMC4912370/pdf/theoncologist_15497.pdf&lt;/url&gt;&lt;/related-urls&gt;&lt;/urls&gt;&lt;/record&gt;&lt;/Cite&gt;&lt;/EndNote&gt;</w:instrText>
            </w:r>
            <w:r w:rsidRPr="000F5EB0">
              <w:rPr>
                <w:sz w:val="18"/>
                <w:szCs w:val="18"/>
              </w:rPr>
              <w:fldChar w:fldCharType="separate"/>
            </w:r>
            <w:r w:rsidR="00B078F9">
              <w:rPr>
                <w:noProof/>
                <w:sz w:val="18"/>
                <w:szCs w:val="18"/>
              </w:rPr>
              <w:t>(Ali et al. 2016)</w:t>
            </w:r>
            <w:r w:rsidRPr="000F5EB0">
              <w:rPr>
                <w:sz w:val="18"/>
                <w:szCs w:val="18"/>
              </w:rPr>
              <w:fldChar w:fldCharType="end"/>
            </w:r>
          </w:p>
        </w:tc>
        <w:tc>
          <w:tcPr>
            <w:tcW w:w="5670" w:type="dxa"/>
          </w:tcPr>
          <w:p w14:paraId="519FA5CD" w14:textId="53F45E79" w:rsidR="0063380F" w:rsidRPr="000F5EB0" w:rsidRDefault="0063380F" w:rsidP="00B3762F">
            <w:pPr>
              <w:keepLines/>
              <w:rPr>
                <w:b/>
                <w:sz w:val="18"/>
                <w:szCs w:val="18"/>
              </w:rPr>
            </w:pPr>
            <w:r w:rsidRPr="000F5EB0">
              <w:rPr>
                <w:sz w:val="18"/>
                <w:szCs w:val="18"/>
              </w:rPr>
              <w:t>FoundationOne was used to perform CGP on 1,070 cases of NSCLC. A total of 47 (4.4%) of patients were found to harbour ALK rearrangement. 41/47 (87%) had an EML4-ALK fusion. Of 41 patients harbouring EML4-ALK fusion, 31 had prior FISH testing results available. Of these, 20 were ALK FISH positive, and 11 (35%) were ALK FISH negative. Of the latter 11 patients, 9 received crizotinib based on the CGP results, and 7 achieved a response with median duration of 17 months.</w:t>
            </w:r>
          </w:p>
        </w:tc>
        <w:tc>
          <w:tcPr>
            <w:tcW w:w="2410" w:type="dxa"/>
          </w:tcPr>
          <w:p w14:paraId="2F1D52E1" w14:textId="77777777" w:rsidR="0063380F" w:rsidRPr="00B76A8D" w:rsidRDefault="00607C47" w:rsidP="00B3762F">
            <w:pPr>
              <w:keepLines/>
              <w:rPr>
                <w:sz w:val="18"/>
                <w:szCs w:val="18"/>
              </w:rPr>
            </w:pPr>
            <w:hyperlink r:id="rId16" w:history="1">
              <w:r w:rsidR="0063380F" w:rsidRPr="00B76A8D">
                <w:rPr>
                  <w:rStyle w:val="Hyperlink"/>
                  <w:sz w:val="18"/>
                  <w:szCs w:val="18"/>
                </w:rPr>
                <w:t>http://theoncologist.alphamedpress.org/content/21/6/762.short</w:t>
              </w:r>
            </w:hyperlink>
          </w:p>
          <w:p w14:paraId="74A89AD6" w14:textId="0BF41D86" w:rsidR="0063380F" w:rsidRPr="00B76A8D" w:rsidRDefault="0063380F" w:rsidP="00B3762F">
            <w:pPr>
              <w:keepLines/>
              <w:rPr>
                <w:b/>
                <w:sz w:val="18"/>
                <w:szCs w:val="18"/>
              </w:rPr>
            </w:pPr>
          </w:p>
        </w:tc>
        <w:tc>
          <w:tcPr>
            <w:tcW w:w="1317" w:type="dxa"/>
          </w:tcPr>
          <w:p w14:paraId="0348FD21" w14:textId="35EF50C4" w:rsidR="0063380F" w:rsidRPr="000F5EB0" w:rsidRDefault="0063380F" w:rsidP="00B3762F">
            <w:pPr>
              <w:keepLines/>
              <w:rPr>
                <w:b/>
                <w:sz w:val="18"/>
                <w:szCs w:val="18"/>
              </w:rPr>
            </w:pPr>
            <w:r w:rsidRPr="000F5EB0">
              <w:rPr>
                <w:sz w:val="18"/>
                <w:szCs w:val="18"/>
              </w:rPr>
              <w:t>May 2016</w:t>
            </w:r>
          </w:p>
        </w:tc>
      </w:tr>
      <w:tr w:rsidR="006940B9" w:rsidRPr="000F5EB0" w14:paraId="4D95D013" w14:textId="77777777" w:rsidTr="00225180">
        <w:trPr>
          <w:cantSplit/>
        </w:trPr>
        <w:tc>
          <w:tcPr>
            <w:tcW w:w="421" w:type="dxa"/>
          </w:tcPr>
          <w:p w14:paraId="4A98ABD5" w14:textId="688ED6FD" w:rsidR="0063380F" w:rsidRPr="000F5EB0" w:rsidRDefault="00B57DBA" w:rsidP="00B3762F">
            <w:pPr>
              <w:keepLines/>
              <w:rPr>
                <w:sz w:val="18"/>
                <w:szCs w:val="18"/>
              </w:rPr>
            </w:pPr>
            <w:r>
              <w:rPr>
                <w:sz w:val="18"/>
                <w:szCs w:val="18"/>
              </w:rPr>
              <w:t>7</w:t>
            </w:r>
          </w:p>
        </w:tc>
        <w:tc>
          <w:tcPr>
            <w:tcW w:w="1426" w:type="dxa"/>
          </w:tcPr>
          <w:p w14:paraId="5E04F3E0" w14:textId="745E01D7" w:rsidR="0063380F" w:rsidRPr="000F5EB0" w:rsidRDefault="0063380F" w:rsidP="00B3762F">
            <w:pPr>
              <w:keepLines/>
              <w:rPr>
                <w:b/>
                <w:sz w:val="18"/>
                <w:szCs w:val="18"/>
              </w:rPr>
            </w:pPr>
            <w:r w:rsidRPr="000F5EB0">
              <w:rPr>
                <w:sz w:val="18"/>
                <w:szCs w:val="18"/>
              </w:rPr>
              <w:t>Clinical utility study</w:t>
            </w:r>
          </w:p>
        </w:tc>
        <w:tc>
          <w:tcPr>
            <w:tcW w:w="2968" w:type="dxa"/>
          </w:tcPr>
          <w:p w14:paraId="7F0CCEFC" w14:textId="4A2CCF75" w:rsidR="0063380F" w:rsidRPr="000F5EB0" w:rsidRDefault="00B116BE" w:rsidP="000C1B95">
            <w:pPr>
              <w:keepLines/>
              <w:rPr>
                <w:sz w:val="18"/>
                <w:szCs w:val="18"/>
              </w:rPr>
            </w:pPr>
            <w:r w:rsidRPr="000F5EB0">
              <w:rPr>
                <w:sz w:val="18"/>
                <w:szCs w:val="18"/>
              </w:rPr>
              <w:t>Comprehensive Genomic Profiling Identifies Frequent Drug-Sensitive EGFR Exon 19 Deletions in NSCLC not Identified by Prior Molecular Testing</w:t>
            </w:r>
            <w:r w:rsidR="001D0311" w:rsidRPr="000F5EB0">
              <w:rPr>
                <w:sz w:val="18"/>
                <w:szCs w:val="18"/>
              </w:rPr>
              <w:t xml:space="preserve">: </w:t>
            </w:r>
            <w:r w:rsidR="001D0311" w:rsidRPr="000F5EB0">
              <w:rPr>
                <w:sz w:val="18"/>
                <w:szCs w:val="18"/>
              </w:rPr>
              <w:fldChar w:fldCharType="begin"/>
            </w:r>
            <w:r w:rsidR="00B078F9">
              <w:rPr>
                <w:sz w:val="18"/>
                <w:szCs w:val="18"/>
              </w:rPr>
              <w:instrText xml:space="preserve"> ADDIN EN.CITE &lt;EndNote&gt;&lt;Cite&gt;&lt;Author&gt;Schrock&lt;/Author&gt;&lt;Year&gt;2016&lt;/Year&gt;&lt;RecNum&gt;4018&lt;/RecNum&gt;&lt;DisplayText&gt;(Schrock et al. 2016)&lt;/DisplayText&gt;&lt;record&gt;&lt;rec-number&gt;4018&lt;/rec-number&gt;&lt;foreign-keys&gt;&lt;key app="EN" db-id="rxtrxwppgpd2wde2swb5es9g90ffpzr5dx2p" timestamp="1530063568"&gt;4018&lt;/key&gt;&lt;/foreign-keys&gt;&lt;ref-type name="Journal Article"&gt;17&lt;/ref-type&gt;&lt;contributors&gt;&lt;authors&gt;&lt;author&gt;Schrock, Alexa B&lt;/author&gt;&lt;author&gt;Frampton, Garrett M&lt;/author&gt;&lt;author&gt;Herndon, Dana&lt;/author&gt;&lt;author&gt;Greenbowe, Joel R&lt;/author&gt;&lt;author&gt;Wang, Kai&lt;/author&gt;&lt;author&gt;Lipson, Doron&lt;/author&gt;&lt;author&gt;Yelensky, Roman&lt;/author&gt;&lt;author&gt;Chalmers, Zachary R&lt;/author&gt;&lt;author&gt;Chmielecki, Juliann&lt;/author&gt;&lt;author&gt;Elvin, Julia A&lt;/author&gt;&lt;/authors&gt;&lt;/contributors&gt;&lt;titles&gt;&lt;title&gt;Comprehensive genomic profiling identifies frequent drug-sensitive EGFR exon 19 deletions in NSCLC not identified by prior molecular testing&lt;/title&gt;&lt;secondary-title&gt;Clinical Cancer Research&lt;/secondary-title&gt;&lt;/titles&gt;&lt;periodical&gt;&lt;full-title&gt;Clinical Cancer Research&lt;/full-title&gt;&lt;/periodical&gt;&lt;pages&gt;3281-3285&lt;/pages&gt;&lt;volume&gt;22&lt;/volume&gt;&lt;number&gt;13&lt;/number&gt;&lt;dates&gt;&lt;year&gt;2016&lt;/year&gt;&lt;/dates&gt;&lt;isbn&gt;1078-0432&lt;/isbn&gt;&lt;urls&gt;&lt;related-urls&gt;&lt;url&gt;http://clincancerres.aacrjournals.org/content/clincanres/22/13/3281.full.pdf&lt;/url&gt;&lt;/related-urls&gt;&lt;/urls&gt;&lt;/record&gt;&lt;/Cite&gt;&lt;/EndNote&gt;</w:instrText>
            </w:r>
            <w:r w:rsidR="001D0311" w:rsidRPr="000F5EB0">
              <w:rPr>
                <w:sz w:val="18"/>
                <w:szCs w:val="18"/>
              </w:rPr>
              <w:fldChar w:fldCharType="separate"/>
            </w:r>
            <w:r w:rsidR="00B078F9">
              <w:rPr>
                <w:noProof/>
                <w:sz w:val="18"/>
                <w:szCs w:val="18"/>
              </w:rPr>
              <w:t>(Schrock et al. 2016)</w:t>
            </w:r>
            <w:r w:rsidR="001D0311" w:rsidRPr="000F5EB0">
              <w:rPr>
                <w:sz w:val="18"/>
                <w:szCs w:val="18"/>
              </w:rPr>
              <w:fldChar w:fldCharType="end"/>
            </w:r>
          </w:p>
        </w:tc>
        <w:tc>
          <w:tcPr>
            <w:tcW w:w="5670" w:type="dxa"/>
          </w:tcPr>
          <w:p w14:paraId="296D87FE" w14:textId="60D93A25" w:rsidR="0063380F" w:rsidRPr="000F5EB0" w:rsidRDefault="0063380F" w:rsidP="00B3762F">
            <w:pPr>
              <w:keepLines/>
              <w:rPr>
                <w:b/>
                <w:sz w:val="18"/>
                <w:szCs w:val="18"/>
              </w:rPr>
            </w:pPr>
            <w:r w:rsidRPr="000F5EB0">
              <w:rPr>
                <w:sz w:val="18"/>
                <w:szCs w:val="18"/>
              </w:rPr>
              <w:t>The EGFR mutation profile of 400 consecutive cases of NSCLC patients harbouring EGFR Δex19 alterations was assessed using FoundationOne. Pathology reports of a subset of 250 cases were also reviewed, with EGFR test results from an alternate testing method available for 71 cases. In 12/71 (17%) of these cases EGFR alterations were identified with FoundationOne® that had previously tested negative for EGFR.</w:t>
            </w:r>
          </w:p>
        </w:tc>
        <w:tc>
          <w:tcPr>
            <w:tcW w:w="2410" w:type="dxa"/>
          </w:tcPr>
          <w:p w14:paraId="6A06EB38" w14:textId="1662646C" w:rsidR="0063380F" w:rsidRPr="00B76A8D" w:rsidRDefault="00607C47" w:rsidP="00B3762F">
            <w:pPr>
              <w:keepLines/>
              <w:rPr>
                <w:b/>
                <w:sz w:val="18"/>
                <w:szCs w:val="18"/>
              </w:rPr>
            </w:pPr>
            <w:hyperlink r:id="rId17" w:history="1">
              <w:r w:rsidR="0063380F" w:rsidRPr="00B76A8D">
                <w:rPr>
                  <w:rStyle w:val="Hyperlink"/>
                  <w:sz w:val="18"/>
                  <w:szCs w:val="18"/>
                </w:rPr>
                <w:t>http://clincancerres.aacrjournals.org/content/22/13/3281</w:t>
              </w:r>
            </w:hyperlink>
          </w:p>
        </w:tc>
        <w:tc>
          <w:tcPr>
            <w:tcW w:w="1317" w:type="dxa"/>
          </w:tcPr>
          <w:p w14:paraId="267ABC48" w14:textId="1312A11A" w:rsidR="0063380F" w:rsidRPr="000F5EB0" w:rsidRDefault="0063380F" w:rsidP="00B3762F">
            <w:pPr>
              <w:keepLines/>
              <w:rPr>
                <w:b/>
                <w:sz w:val="18"/>
                <w:szCs w:val="18"/>
              </w:rPr>
            </w:pPr>
            <w:r w:rsidRPr="000F5EB0">
              <w:rPr>
                <w:sz w:val="18"/>
                <w:szCs w:val="18"/>
              </w:rPr>
              <w:t>July 2016</w:t>
            </w:r>
          </w:p>
        </w:tc>
      </w:tr>
      <w:tr w:rsidR="006940B9" w:rsidRPr="000F5EB0" w14:paraId="4DA5B1DD" w14:textId="77777777" w:rsidTr="00225180">
        <w:trPr>
          <w:cantSplit/>
        </w:trPr>
        <w:tc>
          <w:tcPr>
            <w:tcW w:w="421" w:type="dxa"/>
          </w:tcPr>
          <w:p w14:paraId="6E8DD672" w14:textId="5D2DCF0B" w:rsidR="0014031C" w:rsidRPr="000F5EB0" w:rsidRDefault="00B57DBA" w:rsidP="00B3762F">
            <w:pPr>
              <w:keepLines/>
              <w:rPr>
                <w:sz w:val="18"/>
                <w:szCs w:val="18"/>
              </w:rPr>
            </w:pPr>
            <w:r>
              <w:rPr>
                <w:sz w:val="18"/>
                <w:szCs w:val="18"/>
              </w:rPr>
              <w:t>8</w:t>
            </w:r>
          </w:p>
        </w:tc>
        <w:tc>
          <w:tcPr>
            <w:tcW w:w="1426" w:type="dxa"/>
          </w:tcPr>
          <w:p w14:paraId="5268D6D6" w14:textId="4874E2AE" w:rsidR="0014031C" w:rsidRPr="000F5EB0" w:rsidRDefault="001F67D0" w:rsidP="00B3762F">
            <w:pPr>
              <w:keepLines/>
              <w:rPr>
                <w:sz w:val="18"/>
                <w:szCs w:val="18"/>
              </w:rPr>
            </w:pPr>
            <w:r w:rsidRPr="000F5EB0">
              <w:rPr>
                <w:sz w:val="18"/>
                <w:szCs w:val="18"/>
              </w:rPr>
              <w:t>Non-randomised trial</w:t>
            </w:r>
          </w:p>
        </w:tc>
        <w:tc>
          <w:tcPr>
            <w:tcW w:w="2968" w:type="dxa"/>
          </w:tcPr>
          <w:p w14:paraId="1B06C0A9" w14:textId="728A5CED" w:rsidR="0014031C" w:rsidRPr="000F5EB0" w:rsidRDefault="00100A1B" w:rsidP="000C1B95">
            <w:pPr>
              <w:keepLines/>
              <w:rPr>
                <w:sz w:val="18"/>
                <w:szCs w:val="18"/>
              </w:rPr>
            </w:pPr>
            <w:r w:rsidRPr="000F5EB0">
              <w:rPr>
                <w:sz w:val="18"/>
                <w:szCs w:val="18"/>
              </w:rPr>
              <w:t>Dabrafenib plus trametinib in patients with previously untreated BRAFV600E-mutant metastatic non-small</w:t>
            </w:r>
            <w:r w:rsidR="00360048">
              <w:rPr>
                <w:sz w:val="18"/>
                <w:szCs w:val="18"/>
              </w:rPr>
              <w:t xml:space="preserve"> </w:t>
            </w:r>
            <w:r w:rsidRPr="000F5EB0">
              <w:rPr>
                <w:sz w:val="18"/>
                <w:szCs w:val="18"/>
              </w:rPr>
              <w:t>cell lung cancer: an open-label, phase 2 trial</w:t>
            </w:r>
            <w:r w:rsidR="00936584" w:rsidRPr="000F5EB0">
              <w:rPr>
                <w:sz w:val="18"/>
                <w:szCs w:val="18"/>
              </w:rPr>
              <w:t xml:space="preserve"> </w:t>
            </w:r>
            <w:r w:rsidR="00936584" w:rsidRPr="000F5EB0">
              <w:rPr>
                <w:sz w:val="18"/>
                <w:szCs w:val="18"/>
              </w:rPr>
              <w:fldChar w:fldCharType="begin"/>
            </w:r>
            <w:r w:rsidR="00B078F9">
              <w:rPr>
                <w:sz w:val="18"/>
                <w:szCs w:val="18"/>
              </w:rPr>
              <w:instrText xml:space="preserve"> ADDIN EN.CITE &lt;EndNote&gt;&lt;Cite&gt;&lt;Author&gt;Planchard&lt;/Author&gt;&lt;Year&gt;2017&lt;/Year&gt;&lt;RecNum&gt;4021&lt;/RecNum&gt;&lt;DisplayText&gt;(Planchard et al. 2017)&lt;/DisplayText&gt;&lt;record&gt;&lt;rec-number&gt;4021&lt;/rec-number&gt;&lt;foreign-keys&gt;&lt;key app="EN" db-id="rxtrxwppgpd2wde2swb5es9g90ffpzr5dx2p" timestamp="1530248016"&gt;4021&lt;/key&gt;&lt;/foreign-keys&gt;&lt;ref-type name="Journal Article"&gt;17&lt;/ref-type&gt;&lt;contributors&gt;&lt;authors&gt;&lt;author&gt;Planchard, David&lt;/author&gt;&lt;author&gt;Smit, Egbert F&lt;/author&gt;&lt;author&gt;Groen, Harry JM&lt;/author&gt;&lt;author&gt;Mazieres, Julien&lt;/author&gt;&lt;author&gt;Besse, Benjamin&lt;/author&gt;&lt;author&gt;Helland, Åslaug&lt;/author&gt;&lt;author&gt;Giannone, Vanessa&lt;/author&gt;&lt;author&gt;D&amp;apos;Amelio Jr, Anthony M&lt;/author&gt;&lt;author&gt;Zhang, Pingkuan&lt;/author&gt;&lt;author&gt;Mookerjee, Bijoyesh&lt;/author&gt;&lt;/authors&gt;&lt;/contributors&gt;&lt;titles&gt;&lt;title&gt;Dabrafenib plus trametinib in patients with previously untreated BRAFV600E-mutant metastatic non-small-cell lung cancer: an open-label, phase 2 trial&lt;/title&gt;&lt;secondary-title&gt;The Lancet Oncology&lt;/secondary-title&gt;&lt;/titles&gt;&lt;periodical&gt;&lt;full-title&gt;The Lancet Oncology&lt;/full-title&gt;&lt;/periodical&gt;&lt;pages&gt;1307-1316&lt;/pages&gt;&lt;volume&gt;18&lt;/volume&gt;&lt;number&gt;10&lt;/number&gt;&lt;dates&gt;&lt;year&gt;2017&lt;/year&gt;&lt;/dates&gt;&lt;isbn&gt;1470-2045&lt;/isbn&gt;&lt;urls&gt;&lt;related-urls&gt;&lt;url&gt;https://www.thelancet.com/journals/lanonc/article/PIIS1470-2045(17)30679-4/fulltext&lt;/url&gt;&lt;/related-urls&gt;&lt;/urls&gt;&lt;/record&gt;&lt;/Cite&gt;&lt;/EndNote&gt;</w:instrText>
            </w:r>
            <w:r w:rsidR="00936584" w:rsidRPr="000F5EB0">
              <w:rPr>
                <w:sz w:val="18"/>
                <w:szCs w:val="18"/>
              </w:rPr>
              <w:fldChar w:fldCharType="separate"/>
            </w:r>
            <w:r w:rsidR="00B078F9">
              <w:rPr>
                <w:noProof/>
                <w:sz w:val="18"/>
                <w:szCs w:val="18"/>
              </w:rPr>
              <w:t>(Planchard et al. 2017)</w:t>
            </w:r>
            <w:r w:rsidR="00936584" w:rsidRPr="000F5EB0">
              <w:rPr>
                <w:sz w:val="18"/>
                <w:szCs w:val="18"/>
              </w:rPr>
              <w:fldChar w:fldCharType="end"/>
            </w:r>
          </w:p>
        </w:tc>
        <w:tc>
          <w:tcPr>
            <w:tcW w:w="5670" w:type="dxa"/>
          </w:tcPr>
          <w:p w14:paraId="6D19E2F7" w14:textId="736CE6ED" w:rsidR="0014031C" w:rsidRPr="000F5EB0" w:rsidRDefault="00AA49B8" w:rsidP="00B3762F">
            <w:pPr>
              <w:keepLines/>
              <w:rPr>
                <w:sz w:val="18"/>
                <w:szCs w:val="18"/>
              </w:rPr>
            </w:pPr>
            <w:r w:rsidRPr="000F5EB0">
              <w:rPr>
                <w:sz w:val="18"/>
                <w:szCs w:val="18"/>
              </w:rPr>
              <w:t xml:space="preserve">In this trial </w:t>
            </w:r>
            <w:r w:rsidR="005817AC" w:rsidRPr="000F5EB0">
              <w:rPr>
                <w:sz w:val="18"/>
                <w:szCs w:val="18"/>
              </w:rPr>
              <w:t xml:space="preserve">patients with BRAF V600E mutation positive NSCLC were treated with </w:t>
            </w:r>
            <w:r w:rsidR="00C161BD" w:rsidRPr="000F5EB0">
              <w:rPr>
                <w:sz w:val="18"/>
                <w:szCs w:val="18"/>
              </w:rPr>
              <w:t>dabrafenib+trametinib.</w:t>
            </w:r>
            <w:r w:rsidR="00907619" w:rsidRPr="000F5EB0">
              <w:rPr>
                <w:sz w:val="18"/>
                <w:szCs w:val="18"/>
              </w:rPr>
              <w:t xml:space="preserve"> Based on the </w:t>
            </w:r>
            <w:r w:rsidR="0001403C" w:rsidRPr="000F5EB0">
              <w:rPr>
                <w:sz w:val="18"/>
                <w:szCs w:val="18"/>
              </w:rPr>
              <w:t xml:space="preserve">duration of response data reported in this trial, </w:t>
            </w:r>
            <w:r w:rsidR="00B57DBA">
              <w:rPr>
                <w:sz w:val="18"/>
                <w:szCs w:val="18"/>
              </w:rPr>
              <w:t>TGA</w:t>
            </w:r>
            <w:r w:rsidR="0001403C" w:rsidRPr="000F5EB0">
              <w:rPr>
                <w:sz w:val="18"/>
                <w:szCs w:val="18"/>
              </w:rPr>
              <w:t xml:space="preserve">-approval of </w:t>
            </w:r>
            <w:r w:rsidR="00C66AD8" w:rsidRPr="000F5EB0">
              <w:rPr>
                <w:sz w:val="18"/>
                <w:szCs w:val="18"/>
              </w:rPr>
              <w:t xml:space="preserve">dabrafenib+trametinib in BRAF V600E NSCLC patients was obtained in </w:t>
            </w:r>
            <w:r w:rsidR="00B57DBA">
              <w:rPr>
                <w:sz w:val="18"/>
                <w:szCs w:val="18"/>
              </w:rPr>
              <w:t>2019</w:t>
            </w:r>
            <w:r w:rsidR="002438D7" w:rsidRPr="000F5EB0">
              <w:rPr>
                <w:sz w:val="18"/>
                <w:szCs w:val="18"/>
              </w:rPr>
              <w:t>.</w:t>
            </w:r>
          </w:p>
        </w:tc>
        <w:tc>
          <w:tcPr>
            <w:tcW w:w="2410" w:type="dxa"/>
          </w:tcPr>
          <w:p w14:paraId="15251A30" w14:textId="26106D0A" w:rsidR="0014031C" w:rsidRPr="00B76A8D" w:rsidRDefault="00BC6B40" w:rsidP="00B3762F">
            <w:pPr>
              <w:keepLines/>
              <w:rPr>
                <w:rStyle w:val="Hyperlink"/>
                <w:sz w:val="18"/>
                <w:szCs w:val="18"/>
              </w:rPr>
            </w:pPr>
            <w:r w:rsidRPr="00B76A8D">
              <w:rPr>
                <w:rStyle w:val="Hyperlink"/>
                <w:sz w:val="18"/>
                <w:szCs w:val="18"/>
              </w:rPr>
              <w:t>https://www.thelancet.com/journals/lanonc/article/PIIS1470-2045(17)30679-4/fulltext</w:t>
            </w:r>
          </w:p>
        </w:tc>
        <w:tc>
          <w:tcPr>
            <w:tcW w:w="1317" w:type="dxa"/>
          </w:tcPr>
          <w:p w14:paraId="4B6A7209" w14:textId="0D296FFF" w:rsidR="0014031C" w:rsidRPr="000F5EB0" w:rsidRDefault="0054179F" w:rsidP="00B3762F">
            <w:pPr>
              <w:keepLines/>
              <w:rPr>
                <w:sz w:val="18"/>
                <w:szCs w:val="18"/>
              </w:rPr>
            </w:pPr>
            <w:r w:rsidRPr="000F5EB0">
              <w:rPr>
                <w:sz w:val="18"/>
                <w:szCs w:val="18"/>
              </w:rPr>
              <w:t>Ju</w:t>
            </w:r>
            <w:r w:rsidR="002438D7" w:rsidRPr="000F5EB0">
              <w:rPr>
                <w:sz w:val="18"/>
                <w:szCs w:val="18"/>
              </w:rPr>
              <w:t>ly</w:t>
            </w:r>
            <w:r w:rsidRPr="000F5EB0">
              <w:rPr>
                <w:sz w:val="18"/>
                <w:szCs w:val="18"/>
              </w:rPr>
              <w:t xml:space="preserve"> </w:t>
            </w:r>
            <w:r w:rsidR="002438D7" w:rsidRPr="000F5EB0">
              <w:rPr>
                <w:sz w:val="18"/>
                <w:szCs w:val="18"/>
              </w:rPr>
              <w:t>2016</w:t>
            </w:r>
          </w:p>
        </w:tc>
      </w:tr>
      <w:tr w:rsidR="00372024" w:rsidRPr="000F5EB0" w14:paraId="607822EA" w14:textId="77777777" w:rsidTr="00225180">
        <w:trPr>
          <w:cantSplit/>
        </w:trPr>
        <w:tc>
          <w:tcPr>
            <w:tcW w:w="421" w:type="dxa"/>
          </w:tcPr>
          <w:p w14:paraId="17317AFE" w14:textId="75065581" w:rsidR="00372024" w:rsidRPr="000F5EB0" w:rsidRDefault="00B57DBA" w:rsidP="00372024">
            <w:pPr>
              <w:keepLines/>
              <w:rPr>
                <w:sz w:val="18"/>
                <w:szCs w:val="18"/>
              </w:rPr>
            </w:pPr>
            <w:r>
              <w:rPr>
                <w:sz w:val="18"/>
                <w:szCs w:val="18"/>
              </w:rPr>
              <w:lastRenderedPageBreak/>
              <w:t>9</w:t>
            </w:r>
          </w:p>
        </w:tc>
        <w:tc>
          <w:tcPr>
            <w:tcW w:w="1426" w:type="dxa"/>
          </w:tcPr>
          <w:p w14:paraId="6048233C" w14:textId="7F57D6AD" w:rsidR="00372024" w:rsidRPr="000F5EB0" w:rsidRDefault="00372024" w:rsidP="00372024">
            <w:pPr>
              <w:keepLines/>
              <w:rPr>
                <w:sz w:val="18"/>
                <w:szCs w:val="18"/>
              </w:rPr>
            </w:pPr>
            <w:r>
              <w:rPr>
                <w:sz w:val="18"/>
                <w:szCs w:val="18"/>
              </w:rPr>
              <w:t>Phase 3 Randomised controlled trial</w:t>
            </w:r>
          </w:p>
        </w:tc>
        <w:tc>
          <w:tcPr>
            <w:tcW w:w="2968" w:type="dxa"/>
          </w:tcPr>
          <w:p w14:paraId="4A7CA125" w14:textId="076F0095" w:rsidR="00372024" w:rsidRPr="000F5EB0" w:rsidRDefault="00372024" w:rsidP="000C1B95">
            <w:pPr>
              <w:keepLines/>
              <w:rPr>
                <w:sz w:val="18"/>
                <w:szCs w:val="18"/>
              </w:rPr>
            </w:pPr>
            <w:r w:rsidRPr="0051612E">
              <w:rPr>
                <w:sz w:val="18"/>
                <w:szCs w:val="18"/>
                <w:lang w:val="en"/>
              </w:rPr>
              <w:t>Osimertinib in Untreated EGFR-Mutated Advanced Non-Small</w:t>
            </w:r>
            <w:r w:rsidR="00360048">
              <w:rPr>
                <w:sz w:val="18"/>
                <w:szCs w:val="18"/>
                <w:lang w:val="en"/>
              </w:rPr>
              <w:t xml:space="preserve"> </w:t>
            </w:r>
            <w:r w:rsidRPr="0051612E">
              <w:rPr>
                <w:sz w:val="18"/>
                <w:szCs w:val="18"/>
                <w:lang w:val="en"/>
              </w:rPr>
              <w:t>Cell Lung Cancer</w:t>
            </w:r>
            <w:r>
              <w:rPr>
                <w:sz w:val="18"/>
                <w:szCs w:val="18"/>
                <w:lang w:val="en"/>
              </w:rPr>
              <w:t xml:space="preserve">: </w:t>
            </w:r>
            <w:r>
              <w:rPr>
                <w:sz w:val="18"/>
                <w:szCs w:val="18"/>
                <w:lang w:val="en"/>
              </w:rPr>
              <w:fldChar w:fldCharType="begin"/>
            </w:r>
            <w:r w:rsidR="00B078F9">
              <w:rPr>
                <w:sz w:val="18"/>
                <w:szCs w:val="18"/>
                <w:lang w:val="en"/>
              </w:rPr>
              <w:instrText xml:space="preserve"> ADDIN EN.CITE &lt;EndNote&gt;&lt;Cite&gt;&lt;Author&gt;Soria&lt;/Author&gt;&lt;Year&gt;2018&lt;/Year&gt;&lt;RecNum&gt;4022&lt;/RecNum&gt;&lt;DisplayText&gt;(Soria et al. 2018)&lt;/DisplayText&gt;&lt;record&gt;&lt;rec-number&gt;4022&lt;/rec-number&gt;&lt;foreign-keys&gt;&lt;key app="EN" db-id="rxtrxwppgpd2wde2swb5es9g90ffpzr5dx2p" timestamp="1531268756"&gt;4022&lt;/key&gt;&lt;/foreign-keys&gt;&lt;ref-type name="Journal Article"&gt;17&lt;/ref-type&gt;&lt;contributors&gt;&lt;authors&gt;&lt;author&gt;Soria, Jean-Charles&lt;/author&gt;&lt;author&gt;Ohe, Yuichiro&lt;/author&gt;&lt;author&gt;Vansteenkiste, Johan&lt;/author&gt;&lt;author&gt;Reungwetwattana, Thanyanan&lt;/author&gt;&lt;author&gt;Chewaskulyong, Busyamas&lt;/author&gt;&lt;author&gt;Lee, Ki Hyeong&lt;/author&gt;&lt;author&gt;Dechaphunkul, Arunee&lt;/author&gt;&lt;author&gt;Imamura, Fumio&lt;/author&gt;&lt;author&gt;Nogami, Naoyuki&lt;/author&gt;&lt;author&gt;Kurata, Takayasu&lt;/author&gt;&lt;/authors&gt;&lt;/contributors&gt;&lt;titles&gt;&lt;title&gt;Osimertinib in untreated EGFR-mutated advanced non–small-cell lung cancer&lt;/title&gt;&lt;secondary-title&gt;New England journal of medicine&lt;/secondary-title&gt;&lt;/titles&gt;&lt;periodical&gt;&lt;full-title&gt;New England Journal of Medicine&lt;/full-title&gt;&lt;/periodical&gt;&lt;pages&gt;113-125&lt;/pages&gt;&lt;volume&gt;378&lt;/volume&gt;&lt;number&gt;2&lt;/number&gt;&lt;dates&gt;&lt;year&gt;2018&lt;/year&gt;&lt;/dates&gt;&lt;isbn&gt;0028-4793&lt;/isbn&gt;&lt;urls&gt;&lt;/urls&gt;&lt;/record&gt;&lt;/Cite&gt;&lt;/EndNote&gt;</w:instrText>
            </w:r>
            <w:r>
              <w:rPr>
                <w:sz w:val="18"/>
                <w:szCs w:val="18"/>
                <w:lang w:val="en"/>
              </w:rPr>
              <w:fldChar w:fldCharType="separate"/>
            </w:r>
            <w:r w:rsidR="00B078F9">
              <w:rPr>
                <w:noProof/>
                <w:sz w:val="18"/>
                <w:szCs w:val="18"/>
                <w:lang w:val="en"/>
              </w:rPr>
              <w:t>(Soria et al. 2018)</w:t>
            </w:r>
            <w:r>
              <w:rPr>
                <w:sz w:val="18"/>
                <w:szCs w:val="18"/>
                <w:lang w:val="en"/>
              </w:rPr>
              <w:fldChar w:fldCharType="end"/>
            </w:r>
          </w:p>
        </w:tc>
        <w:tc>
          <w:tcPr>
            <w:tcW w:w="5670" w:type="dxa"/>
          </w:tcPr>
          <w:p w14:paraId="3E4D43C8" w14:textId="3D720C1B" w:rsidR="00372024" w:rsidRDefault="00372024" w:rsidP="00372024">
            <w:pPr>
              <w:keepLines/>
              <w:rPr>
                <w:sz w:val="18"/>
                <w:szCs w:val="18"/>
                <w:lang w:val="en"/>
              </w:rPr>
            </w:pPr>
            <w:r>
              <w:rPr>
                <w:sz w:val="18"/>
                <w:szCs w:val="18"/>
                <w:lang w:val="en"/>
              </w:rPr>
              <w:t>This Phase 3</w:t>
            </w:r>
            <w:r w:rsidRPr="0051612E">
              <w:rPr>
                <w:sz w:val="18"/>
                <w:szCs w:val="18"/>
                <w:lang w:val="en"/>
              </w:rPr>
              <w:t xml:space="preserve"> </w:t>
            </w:r>
            <w:r>
              <w:rPr>
                <w:sz w:val="18"/>
                <w:szCs w:val="18"/>
                <w:lang w:val="en"/>
              </w:rPr>
              <w:t>study assessed</w:t>
            </w:r>
            <w:r w:rsidRPr="0051612E">
              <w:rPr>
                <w:sz w:val="18"/>
                <w:szCs w:val="18"/>
                <w:lang w:val="en"/>
              </w:rPr>
              <w:t xml:space="preserve"> the efficacy and safety of </w:t>
            </w:r>
            <w:r>
              <w:rPr>
                <w:sz w:val="18"/>
                <w:szCs w:val="18"/>
                <w:lang w:val="en"/>
              </w:rPr>
              <w:t>osimertinib</w:t>
            </w:r>
            <w:r w:rsidRPr="0051612E">
              <w:rPr>
                <w:sz w:val="18"/>
                <w:szCs w:val="18"/>
                <w:lang w:val="en"/>
              </w:rPr>
              <w:t xml:space="preserve"> (80 mg orally, once daily)</w:t>
            </w:r>
            <w:r>
              <w:rPr>
                <w:sz w:val="18"/>
                <w:szCs w:val="18"/>
                <w:lang w:val="en"/>
              </w:rPr>
              <w:t xml:space="preserve"> versus a standard of care</w:t>
            </w:r>
            <w:r w:rsidRPr="0051612E">
              <w:rPr>
                <w:sz w:val="18"/>
                <w:szCs w:val="18"/>
                <w:lang w:val="en"/>
              </w:rPr>
              <w:t xml:space="preserve"> </w:t>
            </w:r>
            <w:r>
              <w:rPr>
                <w:sz w:val="18"/>
                <w:szCs w:val="18"/>
                <w:lang w:val="en"/>
              </w:rPr>
              <w:t>EGFR</w:t>
            </w:r>
            <w:r w:rsidRPr="0051612E">
              <w:rPr>
                <w:sz w:val="18"/>
                <w:szCs w:val="18"/>
                <w:lang w:val="en"/>
              </w:rPr>
              <w:t xml:space="preserve"> </w:t>
            </w:r>
            <w:r>
              <w:rPr>
                <w:sz w:val="18"/>
                <w:szCs w:val="18"/>
                <w:lang w:val="en"/>
              </w:rPr>
              <w:t>TKI</w:t>
            </w:r>
            <w:r w:rsidRPr="0051612E">
              <w:rPr>
                <w:sz w:val="18"/>
                <w:szCs w:val="18"/>
                <w:lang w:val="en"/>
              </w:rPr>
              <w:t xml:space="preserve"> (either gefitinib [250 mg orally, once daily] or erlotinib [150 mg orally, once daily]) in patients with locally advanced or metastatic NSCLC</w:t>
            </w:r>
            <w:r w:rsidR="00187ACD">
              <w:rPr>
                <w:sz w:val="18"/>
                <w:szCs w:val="18"/>
                <w:lang w:val="en"/>
              </w:rPr>
              <w:t xml:space="preserve"> </w:t>
            </w:r>
            <w:r w:rsidRPr="0051612E">
              <w:rPr>
                <w:sz w:val="18"/>
                <w:szCs w:val="18"/>
                <w:lang w:val="en"/>
              </w:rPr>
              <w:t>that is known to be EGFR sensitising mutation (EGFRm) positive, treatment</w:t>
            </w:r>
            <w:r w:rsidR="00E164D2">
              <w:rPr>
                <w:sz w:val="18"/>
                <w:szCs w:val="18"/>
                <w:lang w:val="en"/>
              </w:rPr>
              <w:t xml:space="preserve"> </w:t>
            </w:r>
            <w:r w:rsidRPr="0051612E">
              <w:rPr>
                <w:sz w:val="18"/>
                <w:szCs w:val="18"/>
                <w:lang w:val="en"/>
              </w:rPr>
              <w:t>naïve and eligible for first-line treatment with an EGFR</w:t>
            </w:r>
            <w:r w:rsidR="00D0417B">
              <w:rPr>
                <w:sz w:val="18"/>
                <w:szCs w:val="18"/>
                <w:lang w:val="en"/>
              </w:rPr>
              <w:t xml:space="preserve"> </w:t>
            </w:r>
            <w:r w:rsidRPr="0051612E">
              <w:rPr>
                <w:sz w:val="18"/>
                <w:szCs w:val="18"/>
                <w:lang w:val="en"/>
              </w:rPr>
              <w:t>TKI.</w:t>
            </w:r>
          </w:p>
          <w:p w14:paraId="2A3ED4F2" w14:textId="352E3569" w:rsidR="00372024" w:rsidRPr="000F5EB0" w:rsidRDefault="00372024" w:rsidP="00372024">
            <w:pPr>
              <w:keepLines/>
              <w:rPr>
                <w:sz w:val="18"/>
                <w:szCs w:val="18"/>
              </w:rPr>
            </w:pPr>
            <w:r>
              <w:rPr>
                <w:sz w:val="18"/>
                <w:szCs w:val="18"/>
                <w:lang w:val="en"/>
              </w:rPr>
              <w:t xml:space="preserve">Improved median duration of response and 18-months overall survival rate was reported in patients treated with osimertinib compared with gefitinib/erlotinib. Patients are still being monitored for long-term overall survival. </w:t>
            </w:r>
          </w:p>
        </w:tc>
        <w:tc>
          <w:tcPr>
            <w:tcW w:w="2410" w:type="dxa"/>
          </w:tcPr>
          <w:p w14:paraId="16EA43DD" w14:textId="67ED224D" w:rsidR="00372024" w:rsidRPr="00B76A8D" w:rsidRDefault="00607C47" w:rsidP="00372024">
            <w:pPr>
              <w:keepLines/>
              <w:rPr>
                <w:sz w:val="18"/>
                <w:szCs w:val="18"/>
              </w:rPr>
            </w:pPr>
            <w:hyperlink r:id="rId18" w:history="1">
              <w:r w:rsidR="00C67139" w:rsidRPr="00B76A8D">
                <w:rPr>
                  <w:rStyle w:val="Hyperlink"/>
                  <w:sz w:val="18"/>
                  <w:szCs w:val="18"/>
                </w:rPr>
                <w:t>https://www.nejm.org/doi/full/10.1056/nejmoa1713137</w:t>
              </w:r>
            </w:hyperlink>
          </w:p>
          <w:p w14:paraId="477C0CD9" w14:textId="5AA56A42" w:rsidR="00C67139" w:rsidRPr="00B76A8D" w:rsidRDefault="00C67139" w:rsidP="00372024">
            <w:pPr>
              <w:keepLines/>
              <w:rPr>
                <w:rStyle w:val="Hyperlink"/>
                <w:sz w:val="18"/>
                <w:szCs w:val="18"/>
              </w:rPr>
            </w:pPr>
          </w:p>
        </w:tc>
        <w:tc>
          <w:tcPr>
            <w:tcW w:w="1317" w:type="dxa"/>
          </w:tcPr>
          <w:p w14:paraId="7D05BEDD" w14:textId="1A32A935" w:rsidR="00372024" w:rsidRPr="000F5EB0" w:rsidRDefault="00372024" w:rsidP="00372024">
            <w:pPr>
              <w:keepLines/>
              <w:rPr>
                <w:sz w:val="18"/>
                <w:szCs w:val="18"/>
              </w:rPr>
            </w:pPr>
            <w:r>
              <w:rPr>
                <w:sz w:val="18"/>
                <w:szCs w:val="18"/>
              </w:rPr>
              <w:t>January 2018</w:t>
            </w:r>
          </w:p>
        </w:tc>
      </w:tr>
      <w:tr w:rsidR="00450401" w:rsidRPr="000F5EB0" w14:paraId="45A330DE" w14:textId="77777777" w:rsidTr="00225180">
        <w:trPr>
          <w:cantSplit/>
        </w:trPr>
        <w:tc>
          <w:tcPr>
            <w:tcW w:w="421" w:type="dxa"/>
          </w:tcPr>
          <w:p w14:paraId="75AFBE52" w14:textId="68B11476" w:rsidR="00450401" w:rsidRPr="000F5EB0" w:rsidRDefault="00B57DBA" w:rsidP="00450401">
            <w:pPr>
              <w:keepLines/>
              <w:rPr>
                <w:sz w:val="18"/>
                <w:szCs w:val="18"/>
              </w:rPr>
            </w:pPr>
            <w:r>
              <w:rPr>
                <w:sz w:val="18"/>
                <w:szCs w:val="18"/>
              </w:rPr>
              <w:t>10</w:t>
            </w:r>
          </w:p>
        </w:tc>
        <w:tc>
          <w:tcPr>
            <w:tcW w:w="1426" w:type="dxa"/>
          </w:tcPr>
          <w:p w14:paraId="722534F1" w14:textId="243323BE" w:rsidR="00450401" w:rsidRPr="000F5EB0" w:rsidRDefault="00450401" w:rsidP="00450401">
            <w:pPr>
              <w:keepLines/>
              <w:rPr>
                <w:sz w:val="18"/>
                <w:szCs w:val="18"/>
              </w:rPr>
            </w:pPr>
            <w:r w:rsidRPr="000F5EB0">
              <w:rPr>
                <w:sz w:val="18"/>
                <w:szCs w:val="18"/>
              </w:rPr>
              <w:t>Non-randomised trial</w:t>
            </w:r>
          </w:p>
        </w:tc>
        <w:tc>
          <w:tcPr>
            <w:tcW w:w="2968" w:type="dxa"/>
          </w:tcPr>
          <w:p w14:paraId="186CE3C9" w14:textId="1A05F4E1" w:rsidR="00450401" w:rsidRPr="000F5EB0" w:rsidRDefault="00261A01" w:rsidP="000C1B95">
            <w:pPr>
              <w:keepLines/>
              <w:rPr>
                <w:sz w:val="18"/>
                <w:szCs w:val="18"/>
              </w:rPr>
            </w:pPr>
            <w:r>
              <w:rPr>
                <w:sz w:val="18"/>
                <w:szCs w:val="18"/>
              </w:rPr>
              <w:t>Efficacy of Larotrect</w:t>
            </w:r>
            <w:r w:rsidR="00030CEF">
              <w:rPr>
                <w:sz w:val="18"/>
                <w:szCs w:val="18"/>
              </w:rPr>
              <w:t xml:space="preserve">inib in TRK Fusion-Positive Cancers in Adults and Children </w:t>
            </w:r>
            <w:r w:rsidR="0091214A">
              <w:rPr>
                <w:sz w:val="18"/>
                <w:szCs w:val="18"/>
              </w:rPr>
              <w:fldChar w:fldCharType="begin"/>
            </w:r>
            <w:r w:rsidR="00B078F9">
              <w:rPr>
                <w:sz w:val="18"/>
                <w:szCs w:val="18"/>
              </w:rPr>
              <w:instrText xml:space="preserve"> ADDIN EN.CITE &lt;EndNote&gt;&lt;Cite&gt;&lt;Author&gt;Drilon&lt;/Author&gt;&lt;Year&gt;2018&lt;/Year&gt;&lt;RecNum&gt;7930&lt;/RecNum&gt;&lt;DisplayText&gt;(Drilon et al. 2018)&lt;/DisplayText&gt;&lt;record&gt;&lt;rec-number&gt;7930&lt;/rec-number&gt;&lt;foreign-keys&gt;&lt;key app="EN" db-id="rxtrxwppgpd2wde2swb5es9g90ffpzr5dx2p" timestamp="1573018795"&gt;7930&lt;/key&gt;&lt;/foreign-keys&gt;&lt;ref-type name="Journal Article"&gt;17&lt;/ref-type&gt;&lt;contributors&gt;&lt;authors&gt;&lt;author&gt;Drilon, Alexander&lt;/author&gt;&lt;author&gt;Laetsch, Theodore W&lt;/author&gt;&lt;author&gt;Kummar, Shivaani&lt;/author&gt;&lt;author&gt;DuBois, Steven G&lt;/author&gt;&lt;author&gt;Lassen, Ulrik N&lt;/author&gt;&lt;author&gt;Demetri, George D&lt;/author&gt;&lt;author&gt;Nathenson, Michael&lt;/author&gt;&lt;author&gt;Doebele, Robert C&lt;/author&gt;&lt;author&gt;Farago, Anna F&lt;/author&gt;&lt;author&gt;Pappo, Alberto S&lt;/author&gt;&lt;/authors&gt;&lt;/contributors&gt;&lt;titles&gt;&lt;title&gt;Efficacy of larotrectinib in TRK fusion–positive cancers in adults and children&lt;/title&gt;&lt;secondary-title&gt;New England Journal of Medicine&lt;/secondary-title&gt;&lt;/titles&gt;&lt;periodical&gt;&lt;full-title&gt;New England Journal of Medicine&lt;/full-title&gt;&lt;/periodical&gt;&lt;pages&gt;731-739&lt;/pages&gt;&lt;volume&gt;378&lt;/volume&gt;&lt;number&gt;8&lt;/number&gt;&lt;dates&gt;&lt;year&gt;2018&lt;/year&gt;&lt;/dates&gt;&lt;isbn&gt;0028-4793&lt;/isbn&gt;&lt;urls&gt;&lt;/urls&gt;&lt;/record&gt;&lt;/Cite&gt;&lt;/EndNote&gt;</w:instrText>
            </w:r>
            <w:r w:rsidR="0091214A">
              <w:rPr>
                <w:sz w:val="18"/>
                <w:szCs w:val="18"/>
              </w:rPr>
              <w:fldChar w:fldCharType="separate"/>
            </w:r>
            <w:r w:rsidR="00B078F9">
              <w:rPr>
                <w:noProof/>
                <w:sz w:val="18"/>
                <w:szCs w:val="18"/>
              </w:rPr>
              <w:t>(Drilon et al. 2018)</w:t>
            </w:r>
            <w:r w:rsidR="0091214A">
              <w:rPr>
                <w:sz w:val="18"/>
                <w:szCs w:val="18"/>
              </w:rPr>
              <w:fldChar w:fldCharType="end"/>
            </w:r>
          </w:p>
        </w:tc>
        <w:tc>
          <w:tcPr>
            <w:tcW w:w="5670" w:type="dxa"/>
          </w:tcPr>
          <w:p w14:paraId="246B4E98" w14:textId="558D28A5" w:rsidR="00450401" w:rsidRPr="000F5EB0" w:rsidRDefault="00450401" w:rsidP="00450401">
            <w:pPr>
              <w:keepLines/>
              <w:rPr>
                <w:sz w:val="18"/>
                <w:szCs w:val="18"/>
              </w:rPr>
            </w:pPr>
            <w:r w:rsidRPr="000F5EB0">
              <w:rPr>
                <w:sz w:val="18"/>
                <w:szCs w:val="18"/>
              </w:rPr>
              <w:t xml:space="preserve">This Phase </w:t>
            </w:r>
            <w:r w:rsidR="006D5464">
              <w:rPr>
                <w:sz w:val="18"/>
                <w:szCs w:val="18"/>
              </w:rPr>
              <w:t>1-</w:t>
            </w:r>
            <w:r w:rsidRPr="000F5EB0">
              <w:rPr>
                <w:sz w:val="18"/>
                <w:szCs w:val="18"/>
              </w:rPr>
              <w:t>2 trial is assessing larotrectinib in solid tumours harbouring a gene rearrangement in NTRK1/2/3. This trial assess</w:t>
            </w:r>
            <w:r w:rsidR="003A7165">
              <w:rPr>
                <w:sz w:val="18"/>
                <w:szCs w:val="18"/>
              </w:rPr>
              <w:t>ed</w:t>
            </w:r>
            <w:r w:rsidRPr="000F5EB0">
              <w:rPr>
                <w:sz w:val="18"/>
                <w:szCs w:val="18"/>
              </w:rPr>
              <w:t xml:space="preserve"> NSCLC patients in a separate arm to other tumour types. </w:t>
            </w:r>
            <w:r w:rsidR="00CB42DB">
              <w:rPr>
                <w:sz w:val="18"/>
                <w:szCs w:val="18"/>
              </w:rPr>
              <w:t xml:space="preserve">Based on the </w:t>
            </w:r>
            <w:r w:rsidR="00422013">
              <w:rPr>
                <w:sz w:val="18"/>
                <w:szCs w:val="18"/>
              </w:rPr>
              <w:t>interim results of this study larotrectinib has received FDA-approval as a ‘tumour agnostic’ treatment for patients har</w:t>
            </w:r>
            <w:r w:rsidR="00573929">
              <w:rPr>
                <w:sz w:val="18"/>
                <w:szCs w:val="18"/>
              </w:rPr>
              <w:t>bouring a gene rearrangement in NTRK1/2/3</w:t>
            </w:r>
            <w:r w:rsidRPr="000F5EB0">
              <w:rPr>
                <w:sz w:val="18"/>
                <w:szCs w:val="18"/>
              </w:rPr>
              <w:t>.</w:t>
            </w:r>
          </w:p>
        </w:tc>
        <w:tc>
          <w:tcPr>
            <w:tcW w:w="2410" w:type="dxa"/>
          </w:tcPr>
          <w:p w14:paraId="753F7359" w14:textId="7F905EA5" w:rsidR="00450401" w:rsidRPr="00B76A8D" w:rsidRDefault="00607C47" w:rsidP="00450401">
            <w:pPr>
              <w:keepLines/>
              <w:rPr>
                <w:sz w:val="18"/>
                <w:szCs w:val="18"/>
              </w:rPr>
            </w:pPr>
            <w:hyperlink r:id="rId19" w:history="1">
              <w:r w:rsidR="009D62C5" w:rsidRPr="00B76A8D">
                <w:rPr>
                  <w:rStyle w:val="Hyperlink"/>
                  <w:sz w:val="18"/>
                  <w:szCs w:val="18"/>
                </w:rPr>
                <w:t>https://www.nejm.org/doi/full/10.1056/nejmoa1714448</w:t>
              </w:r>
            </w:hyperlink>
          </w:p>
          <w:p w14:paraId="43B2D604" w14:textId="1BB120AE" w:rsidR="009D62C5" w:rsidRPr="00B76A8D" w:rsidRDefault="009D62C5" w:rsidP="00450401">
            <w:pPr>
              <w:keepLines/>
              <w:rPr>
                <w:rStyle w:val="Hyperlink"/>
                <w:sz w:val="18"/>
                <w:szCs w:val="18"/>
              </w:rPr>
            </w:pPr>
          </w:p>
        </w:tc>
        <w:tc>
          <w:tcPr>
            <w:tcW w:w="1317" w:type="dxa"/>
          </w:tcPr>
          <w:p w14:paraId="3EC92527" w14:textId="42C35F16" w:rsidR="00450401" w:rsidRPr="000F5EB0" w:rsidRDefault="00C67139" w:rsidP="00450401">
            <w:pPr>
              <w:keepLines/>
              <w:rPr>
                <w:sz w:val="18"/>
                <w:szCs w:val="18"/>
              </w:rPr>
            </w:pPr>
            <w:r>
              <w:rPr>
                <w:sz w:val="18"/>
                <w:szCs w:val="18"/>
              </w:rPr>
              <w:t>February</w:t>
            </w:r>
            <w:r w:rsidR="00450401" w:rsidRPr="000F5EB0">
              <w:rPr>
                <w:sz w:val="18"/>
                <w:szCs w:val="18"/>
              </w:rPr>
              <w:t xml:space="preserve"> 2018</w:t>
            </w:r>
          </w:p>
        </w:tc>
      </w:tr>
      <w:tr w:rsidR="005D5043" w:rsidRPr="000F5EB0" w14:paraId="6856EAFE" w14:textId="77777777" w:rsidTr="00225180">
        <w:trPr>
          <w:cantSplit/>
        </w:trPr>
        <w:tc>
          <w:tcPr>
            <w:tcW w:w="421" w:type="dxa"/>
          </w:tcPr>
          <w:p w14:paraId="79768136" w14:textId="0E5F76A1" w:rsidR="005D5043" w:rsidRPr="000F5EB0" w:rsidRDefault="00B57DBA" w:rsidP="005D5043">
            <w:pPr>
              <w:keepLines/>
              <w:rPr>
                <w:sz w:val="18"/>
                <w:szCs w:val="18"/>
              </w:rPr>
            </w:pPr>
            <w:r>
              <w:rPr>
                <w:sz w:val="18"/>
                <w:szCs w:val="18"/>
              </w:rPr>
              <w:t>11</w:t>
            </w:r>
          </w:p>
        </w:tc>
        <w:tc>
          <w:tcPr>
            <w:tcW w:w="1426" w:type="dxa"/>
          </w:tcPr>
          <w:p w14:paraId="5247F32C" w14:textId="7B81AD19" w:rsidR="005D5043" w:rsidRPr="000F5EB0" w:rsidRDefault="005D5043" w:rsidP="005D5043">
            <w:pPr>
              <w:keepLines/>
              <w:rPr>
                <w:sz w:val="18"/>
                <w:szCs w:val="18"/>
              </w:rPr>
            </w:pPr>
            <w:r w:rsidRPr="000F5EB0">
              <w:rPr>
                <w:sz w:val="18"/>
                <w:szCs w:val="18"/>
              </w:rPr>
              <w:t>Non-randomised trial</w:t>
            </w:r>
          </w:p>
        </w:tc>
        <w:tc>
          <w:tcPr>
            <w:tcW w:w="2968" w:type="dxa"/>
          </w:tcPr>
          <w:p w14:paraId="2D48B0E2" w14:textId="38DA8BB2" w:rsidR="005D5043" w:rsidRPr="000F5EB0" w:rsidRDefault="005D5043" w:rsidP="005D5043">
            <w:pPr>
              <w:keepLines/>
              <w:rPr>
                <w:sz w:val="18"/>
                <w:szCs w:val="18"/>
              </w:rPr>
            </w:pPr>
            <w:r w:rsidRPr="000F5EB0">
              <w:rPr>
                <w:sz w:val="18"/>
                <w:szCs w:val="18"/>
              </w:rPr>
              <w:t>Basket Study of Entrectinib (RXDX-101) for the Treatment of Patients With Solid Tumors Harboring NTRK 1/2/3, ROS1, or ALK Gene Rearrangements (Fusions): NCT0256867</w:t>
            </w:r>
          </w:p>
        </w:tc>
        <w:tc>
          <w:tcPr>
            <w:tcW w:w="5670" w:type="dxa"/>
          </w:tcPr>
          <w:p w14:paraId="58B69608" w14:textId="332E0FFF" w:rsidR="005D5043" w:rsidRPr="000F5EB0" w:rsidRDefault="005D5043" w:rsidP="005D5043">
            <w:pPr>
              <w:keepLines/>
              <w:rPr>
                <w:sz w:val="18"/>
                <w:szCs w:val="18"/>
              </w:rPr>
            </w:pPr>
            <w:r w:rsidRPr="000F5EB0">
              <w:rPr>
                <w:sz w:val="18"/>
                <w:szCs w:val="18"/>
              </w:rPr>
              <w:t>Patients with NSCLC found to harbour the following gene rearrangements were allocated to separate arms of the trial and received treatment with entrectinib: NTRK1/2/3; ROS1; ALK. The duration of PFS and OS are secondary outcomes for this trial.</w:t>
            </w:r>
          </w:p>
        </w:tc>
        <w:tc>
          <w:tcPr>
            <w:tcW w:w="2410" w:type="dxa"/>
          </w:tcPr>
          <w:p w14:paraId="0928656F" w14:textId="77777777" w:rsidR="005D5043" w:rsidRPr="000F5EB0" w:rsidRDefault="00607C47" w:rsidP="005D5043">
            <w:pPr>
              <w:rPr>
                <w:sz w:val="18"/>
                <w:szCs w:val="18"/>
              </w:rPr>
            </w:pPr>
            <w:hyperlink r:id="rId20" w:history="1">
              <w:r w:rsidR="005D5043" w:rsidRPr="000F5EB0">
                <w:rPr>
                  <w:rStyle w:val="Hyperlink"/>
                  <w:sz w:val="18"/>
                  <w:szCs w:val="18"/>
                </w:rPr>
                <w:t>https://clinicaltrials.gov/ct2/show/NCT02568267?term=NCT02568267&amp;rank=1</w:t>
              </w:r>
            </w:hyperlink>
          </w:p>
          <w:p w14:paraId="6FA69921" w14:textId="77777777" w:rsidR="005D5043" w:rsidRPr="000F5EB0" w:rsidRDefault="005D5043" w:rsidP="005D5043">
            <w:pPr>
              <w:keepLines/>
              <w:rPr>
                <w:rStyle w:val="Hyperlink"/>
                <w:sz w:val="18"/>
                <w:szCs w:val="18"/>
              </w:rPr>
            </w:pPr>
          </w:p>
        </w:tc>
        <w:tc>
          <w:tcPr>
            <w:tcW w:w="1317" w:type="dxa"/>
          </w:tcPr>
          <w:p w14:paraId="654D7A3A" w14:textId="653EC447" w:rsidR="005D5043" w:rsidRPr="000F5EB0" w:rsidRDefault="00B419A5" w:rsidP="005D5043">
            <w:pPr>
              <w:keepLines/>
              <w:rPr>
                <w:sz w:val="18"/>
                <w:szCs w:val="18"/>
              </w:rPr>
            </w:pPr>
            <w:r>
              <w:rPr>
                <w:sz w:val="18"/>
                <w:szCs w:val="18"/>
              </w:rPr>
              <w:t>Publication pen</w:t>
            </w:r>
            <w:r w:rsidR="00D4504A">
              <w:rPr>
                <w:sz w:val="18"/>
                <w:szCs w:val="18"/>
              </w:rPr>
              <w:t>ding</w:t>
            </w:r>
          </w:p>
        </w:tc>
      </w:tr>
      <w:tr w:rsidR="005D5043" w:rsidRPr="000F5EB0" w14:paraId="69B88A85" w14:textId="77777777" w:rsidTr="00225180">
        <w:trPr>
          <w:cantSplit/>
        </w:trPr>
        <w:tc>
          <w:tcPr>
            <w:tcW w:w="421" w:type="dxa"/>
          </w:tcPr>
          <w:p w14:paraId="14FA4912" w14:textId="4CB47887" w:rsidR="005D5043" w:rsidRPr="000F5EB0" w:rsidRDefault="00B57DBA" w:rsidP="005D5043">
            <w:pPr>
              <w:keepLines/>
              <w:rPr>
                <w:sz w:val="18"/>
                <w:szCs w:val="18"/>
              </w:rPr>
            </w:pPr>
            <w:r w:rsidRPr="000F5EB0">
              <w:rPr>
                <w:sz w:val="18"/>
                <w:szCs w:val="18"/>
              </w:rPr>
              <w:t>1</w:t>
            </w:r>
            <w:r>
              <w:rPr>
                <w:sz w:val="18"/>
                <w:szCs w:val="18"/>
              </w:rPr>
              <w:t>2</w:t>
            </w:r>
          </w:p>
        </w:tc>
        <w:tc>
          <w:tcPr>
            <w:tcW w:w="1426" w:type="dxa"/>
          </w:tcPr>
          <w:p w14:paraId="60D1E578" w14:textId="15D91054" w:rsidR="005D5043" w:rsidRPr="000F5EB0" w:rsidRDefault="005D5043" w:rsidP="005D5043">
            <w:pPr>
              <w:keepLines/>
              <w:rPr>
                <w:b/>
                <w:sz w:val="18"/>
                <w:szCs w:val="18"/>
              </w:rPr>
            </w:pPr>
            <w:r w:rsidRPr="000F5EB0">
              <w:rPr>
                <w:sz w:val="18"/>
                <w:szCs w:val="18"/>
              </w:rPr>
              <w:t>Clinical Management Guidelines</w:t>
            </w:r>
          </w:p>
        </w:tc>
        <w:tc>
          <w:tcPr>
            <w:tcW w:w="2968" w:type="dxa"/>
          </w:tcPr>
          <w:p w14:paraId="6F5D13B1" w14:textId="00B8820B" w:rsidR="005D5043" w:rsidRPr="000F5EB0" w:rsidRDefault="005D5043" w:rsidP="000C1B95">
            <w:pPr>
              <w:keepLines/>
              <w:rPr>
                <w:sz w:val="18"/>
                <w:szCs w:val="18"/>
              </w:rPr>
            </w:pPr>
            <w:r w:rsidRPr="000F5EB0">
              <w:rPr>
                <w:sz w:val="18"/>
                <w:szCs w:val="18"/>
              </w:rPr>
              <w:t>NCCN Clinical Practice Guidelines in Oncology: Non-Small Cell Lung Cancer:</w:t>
            </w:r>
            <w:r>
              <w:rPr>
                <w:sz w:val="18"/>
                <w:szCs w:val="18"/>
              </w:rPr>
              <w:t xml:space="preserve"> </w:t>
            </w:r>
            <w:r>
              <w:rPr>
                <w:sz w:val="18"/>
                <w:szCs w:val="18"/>
              </w:rPr>
              <w:fldChar w:fldCharType="begin"/>
            </w:r>
            <w:r w:rsidR="00B078F9">
              <w:rPr>
                <w:sz w:val="18"/>
                <w:szCs w:val="18"/>
              </w:rPr>
              <w:instrText xml:space="preserve"> ADDIN EN.CITE &lt;EndNote&gt;&lt;Cite&gt;&lt;Author&gt;NCCN&lt;/Author&gt;&lt;Year&gt;2019&lt;/Year&gt;&lt;RecNum&gt;4020&lt;/RecNum&gt;&lt;DisplayText&gt;(NCCN 2019)&lt;/DisplayText&gt;&lt;record&gt;&lt;rec-number&gt;4020&lt;/rec-number&gt;&lt;foreign-keys&gt;&lt;key app="EN" db-id="rxtrxwppgpd2wde2swb5es9g90ffpzr5dx2p" timestamp="1530152772"&gt;4020&lt;/key&gt;&lt;/foreign-keys&gt;&lt;ref-type name="Report"&gt;27&lt;/ref-type&gt;&lt;contributors&gt;&lt;authors&gt;&lt;author&gt;NCCN,&lt;/author&gt;&lt;/authors&gt;&lt;/contributors&gt;&lt;titles&gt;&lt;title&gt;NCCN Clinical Practice Guidelines in Oncology (NCCN Guidelines), Non-Small Cell Lung Caner (Version 7.2019)&lt;/title&gt;&lt;/titles&gt;&lt;dates&gt;&lt;year&gt;2019&lt;/year&gt;&lt;/dates&gt;&lt;urls&gt;&lt;related-urls&gt;&lt;url&gt;https://www.nccn.org/professionals/physician_gls/pdf/nscl.pdf&lt;/url&gt;&lt;/related-urls&gt;&lt;/urls&gt;&lt;/record&gt;&lt;/Cite&gt;&lt;/EndNote&gt;</w:instrText>
            </w:r>
            <w:r>
              <w:rPr>
                <w:sz w:val="18"/>
                <w:szCs w:val="18"/>
              </w:rPr>
              <w:fldChar w:fldCharType="separate"/>
            </w:r>
            <w:r>
              <w:rPr>
                <w:noProof/>
                <w:sz w:val="18"/>
                <w:szCs w:val="18"/>
              </w:rPr>
              <w:t>(NCCN 2019)</w:t>
            </w:r>
            <w:r>
              <w:rPr>
                <w:sz w:val="18"/>
                <w:szCs w:val="18"/>
              </w:rPr>
              <w:fldChar w:fldCharType="end"/>
            </w:r>
          </w:p>
        </w:tc>
        <w:tc>
          <w:tcPr>
            <w:tcW w:w="5670" w:type="dxa"/>
          </w:tcPr>
          <w:p w14:paraId="60C96B1B" w14:textId="31DD0DE6" w:rsidR="005D5043" w:rsidRPr="000F5EB0" w:rsidRDefault="005D5043" w:rsidP="005D5043">
            <w:pPr>
              <w:keepLines/>
              <w:rPr>
                <w:sz w:val="18"/>
                <w:szCs w:val="18"/>
              </w:rPr>
            </w:pPr>
            <w:r w:rsidRPr="000F5EB0">
              <w:rPr>
                <w:sz w:val="18"/>
                <w:szCs w:val="18"/>
              </w:rPr>
              <w:t>The NCCN guidelines outlined that assessment of the following genomic alterations should be performed as part of the diagnostic work-up of NSCLC patients: EGFR; ALK; ROS1; BRAF; KRAS. The following emerging genomic alterations are also identified which may play a role in the management of NSCLC patients in the future: MET; RET;</w:t>
            </w:r>
            <w:r>
              <w:rPr>
                <w:sz w:val="18"/>
                <w:szCs w:val="18"/>
              </w:rPr>
              <w:t xml:space="preserve"> and</w:t>
            </w:r>
            <w:r w:rsidRPr="000F5EB0">
              <w:rPr>
                <w:sz w:val="18"/>
                <w:szCs w:val="18"/>
              </w:rPr>
              <w:t xml:space="preserve"> HER2</w:t>
            </w:r>
            <w:r>
              <w:rPr>
                <w:sz w:val="18"/>
                <w:szCs w:val="18"/>
              </w:rPr>
              <w:t xml:space="preserve">; </w:t>
            </w:r>
            <w:r w:rsidRPr="000F5EB0">
              <w:rPr>
                <w:sz w:val="18"/>
                <w:szCs w:val="18"/>
              </w:rPr>
              <w:t xml:space="preserve">All of these genomic alterations are assessed simultaneously using the same biopsy sample with </w:t>
            </w:r>
            <w:r w:rsidR="00B57DBA">
              <w:rPr>
                <w:sz w:val="18"/>
                <w:szCs w:val="18"/>
              </w:rPr>
              <w:t>NGS</w:t>
            </w:r>
            <w:r w:rsidRPr="000F5EB0">
              <w:rPr>
                <w:sz w:val="18"/>
                <w:szCs w:val="18"/>
              </w:rPr>
              <w:t xml:space="preserve"> assay</w:t>
            </w:r>
            <w:r w:rsidR="001327D8">
              <w:rPr>
                <w:sz w:val="18"/>
                <w:szCs w:val="18"/>
              </w:rPr>
              <w:t>s</w:t>
            </w:r>
            <w:r w:rsidRPr="000F5EB0">
              <w:rPr>
                <w:sz w:val="18"/>
                <w:szCs w:val="18"/>
              </w:rPr>
              <w:t>.</w:t>
            </w:r>
          </w:p>
        </w:tc>
        <w:tc>
          <w:tcPr>
            <w:tcW w:w="2410" w:type="dxa"/>
          </w:tcPr>
          <w:p w14:paraId="6B56B6A2" w14:textId="77777777" w:rsidR="005D5043" w:rsidRPr="000F5EB0" w:rsidRDefault="00607C47" w:rsidP="005D5043">
            <w:pPr>
              <w:keepLines/>
              <w:rPr>
                <w:sz w:val="18"/>
                <w:szCs w:val="18"/>
              </w:rPr>
            </w:pPr>
            <w:hyperlink r:id="rId21" w:history="1">
              <w:r w:rsidR="005D5043" w:rsidRPr="000F5EB0">
                <w:rPr>
                  <w:rStyle w:val="Hyperlink"/>
                  <w:sz w:val="18"/>
                  <w:szCs w:val="18"/>
                </w:rPr>
                <w:t>https://www.nccn.org/professionals/default.aspx</w:t>
              </w:r>
            </w:hyperlink>
          </w:p>
          <w:p w14:paraId="2A1EC3C0" w14:textId="77777777" w:rsidR="005D5043" w:rsidRPr="000F5EB0" w:rsidRDefault="005D5043" w:rsidP="005D5043">
            <w:pPr>
              <w:keepLines/>
              <w:rPr>
                <w:rStyle w:val="Hyperlink"/>
                <w:sz w:val="18"/>
                <w:szCs w:val="18"/>
              </w:rPr>
            </w:pPr>
          </w:p>
        </w:tc>
        <w:tc>
          <w:tcPr>
            <w:tcW w:w="1317" w:type="dxa"/>
          </w:tcPr>
          <w:p w14:paraId="79486786" w14:textId="68A83F7E" w:rsidR="005D5043" w:rsidRPr="000F5EB0" w:rsidRDefault="005D5043" w:rsidP="005D5043">
            <w:pPr>
              <w:keepLines/>
              <w:rPr>
                <w:sz w:val="18"/>
                <w:szCs w:val="18"/>
              </w:rPr>
            </w:pPr>
            <w:r>
              <w:rPr>
                <w:sz w:val="18"/>
                <w:szCs w:val="18"/>
              </w:rPr>
              <w:t>October 2019</w:t>
            </w:r>
          </w:p>
        </w:tc>
      </w:tr>
    </w:tbl>
    <w:p w14:paraId="07E9B84E" w14:textId="28868015" w:rsidR="00DD308E" w:rsidRPr="00225180" w:rsidRDefault="00DD308E" w:rsidP="00DD308E">
      <w:pPr>
        <w:spacing w:after="0"/>
        <w:ind w:left="426"/>
        <w:rPr>
          <w:i/>
          <w:sz w:val="16"/>
          <w:szCs w:val="16"/>
        </w:rPr>
      </w:pPr>
      <w:r w:rsidRPr="00225180">
        <w:rPr>
          <w:i/>
          <w:sz w:val="16"/>
          <w:szCs w:val="16"/>
        </w:rPr>
        <w:t>* Categorise study design, for example meta-analysis, randomised trials, non-randomised trial or observational study, study of diagnostic accuracy, etc.</w:t>
      </w:r>
    </w:p>
    <w:p w14:paraId="58BF6204" w14:textId="77777777" w:rsidR="0083663E" w:rsidRPr="00225180" w:rsidRDefault="00DD308E" w:rsidP="00DD308E">
      <w:pPr>
        <w:spacing w:after="0"/>
        <w:ind w:left="426"/>
        <w:rPr>
          <w:i/>
          <w:sz w:val="16"/>
          <w:szCs w:val="16"/>
        </w:rPr>
        <w:sectPr w:rsidR="0083663E" w:rsidRPr="00225180" w:rsidSect="00225180">
          <w:footerReference w:type="default" r:id="rId22"/>
          <w:pgSz w:w="16838" w:h="11906" w:orient="landscape"/>
          <w:pgMar w:top="1440" w:right="1440" w:bottom="1276" w:left="1440" w:header="708" w:footer="708" w:gutter="0"/>
          <w:cols w:space="708"/>
          <w:docGrid w:linePitch="360"/>
        </w:sectPr>
      </w:pPr>
      <w:r w:rsidRPr="00225180">
        <w:rPr>
          <w:i/>
          <w:sz w:val="16"/>
          <w:szCs w:val="16"/>
        </w:rPr>
        <w:t>*</w:t>
      </w:r>
      <w:r w:rsidRPr="00225180">
        <w:rPr>
          <w:sz w:val="16"/>
          <w:szCs w:val="16"/>
        </w:rPr>
        <w:t>**</w:t>
      </w:r>
      <w:r w:rsidRPr="00225180">
        <w:rPr>
          <w:i/>
          <w:sz w:val="16"/>
          <w:szCs w:val="16"/>
        </w:rPr>
        <w:t xml:space="preserve"> If the publication is a follow-up to an initial publication, please advise.</w:t>
      </w:r>
    </w:p>
    <w:p w14:paraId="16186D91" w14:textId="78798AAA" w:rsidR="004C49EF" w:rsidRPr="000F5EB0" w:rsidRDefault="004C49EF" w:rsidP="00530204">
      <w:pPr>
        <w:pStyle w:val="Heading2"/>
        <w:rPr>
          <w:i/>
        </w:rPr>
      </w:pPr>
      <w:r w:rsidRPr="000F5EB0">
        <w:lastRenderedPageBreak/>
        <w:t>Identify yet to be published research that may have results available in the near future that could be relevant in the consideration of your application by MSAC (limiting these to the English language only).</w:t>
      </w:r>
      <w:r w:rsidRPr="000F5EB0">
        <w:rPr>
          <w:i/>
        </w:rPr>
        <w:t xml:space="preserve"> Please do not attach full text articles, this is just intended to be a summary.</w:t>
      </w:r>
    </w:p>
    <w:p w14:paraId="53C6194F" w14:textId="702D9F18" w:rsidR="0083663E" w:rsidRPr="000F5EB0" w:rsidRDefault="00EF4B98" w:rsidP="0083663E">
      <w:pPr>
        <w:spacing w:before="100" w:beforeAutospacing="1" w:after="100" w:afterAutospacing="1"/>
        <w:rPr>
          <w:szCs w:val="20"/>
        </w:rPr>
        <w:sectPr w:rsidR="0083663E" w:rsidRPr="000F5EB0" w:rsidSect="0083663E">
          <w:footerReference w:type="default" r:id="rId23"/>
          <w:pgSz w:w="11906" w:h="16838"/>
          <w:pgMar w:top="1440" w:right="1440" w:bottom="1440" w:left="1440" w:header="708" w:footer="708" w:gutter="0"/>
          <w:cols w:space="708"/>
          <w:docGrid w:linePitch="360"/>
        </w:sectPr>
      </w:pPr>
      <w:r w:rsidRPr="000F5EB0">
        <w:rPr>
          <w:szCs w:val="20"/>
        </w:rPr>
        <w:t xml:space="preserve">As outlined above, this application is seeking that </w:t>
      </w:r>
      <w:r w:rsidR="00246803">
        <w:rPr>
          <w:szCs w:val="20"/>
        </w:rPr>
        <w:t>NGS</w:t>
      </w:r>
      <w:r w:rsidRPr="000F5EB0">
        <w:rPr>
          <w:szCs w:val="20"/>
        </w:rPr>
        <w:t xml:space="preserve"> assay</w:t>
      </w:r>
      <w:r w:rsidR="002641C7">
        <w:rPr>
          <w:szCs w:val="20"/>
        </w:rPr>
        <w:t>s</w:t>
      </w:r>
      <w:r w:rsidRPr="000F5EB0">
        <w:rPr>
          <w:szCs w:val="20"/>
        </w:rPr>
        <w:t xml:space="preserve"> </w:t>
      </w:r>
      <w:r w:rsidR="002641C7">
        <w:rPr>
          <w:szCs w:val="20"/>
        </w:rPr>
        <w:t>be</w:t>
      </w:r>
      <w:r w:rsidRPr="000F5EB0">
        <w:rPr>
          <w:szCs w:val="20"/>
        </w:rPr>
        <w:t xml:space="preserve"> assessed as a ‘treatment agnostic’ biomarker assay for </w:t>
      </w:r>
      <w:r w:rsidR="00981A7C">
        <w:rPr>
          <w:szCs w:val="20"/>
        </w:rPr>
        <w:t xml:space="preserve">NSCLC </w:t>
      </w:r>
      <w:r w:rsidRPr="000F5EB0">
        <w:rPr>
          <w:szCs w:val="20"/>
        </w:rPr>
        <w:t xml:space="preserve">patients, i.e. the results of </w:t>
      </w:r>
      <w:r w:rsidR="002641C7">
        <w:rPr>
          <w:szCs w:val="20"/>
        </w:rPr>
        <w:t xml:space="preserve">testing </w:t>
      </w:r>
      <w:r w:rsidRPr="000F5EB0">
        <w:rPr>
          <w:szCs w:val="20"/>
        </w:rPr>
        <w:t xml:space="preserve">may be used to identify patients eligible to access </w:t>
      </w:r>
      <w:r w:rsidRPr="000F5EB0">
        <w:rPr>
          <w:szCs w:val="20"/>
          <w:u w:val="single"/>
        </w:rPr>
        <w:t>all</w:t>
      </w:r>
      <w:r w:rsidRPr="000F5EB0">
        <w:rPr>
          <w:szCs w:val="20"/>
        </w:rPr>
        <w:t xml:space="preserve"> targeted treatments currently listed on the PBS. It is also proposed that </w:t>
      </w:r>
      <w:r w:rsidR="00A1664B">
        <w:rPr>
          <w:szCs w:val="20"/>
        </w:rPr>
        <w:t xml:space="preserve">testing </w:t>
      </w:r>
      <w:r w:rsidR="00B10464">
        <w:rPr>
          <w:szCs w:val="20"/>
        </w:rPr>
        <w:t>could</w:t>
      </w:r>
      <w:r w:rsidRPr="000F5EB0">
        <w:rPr>
          <w:szCs w:val="20"/>
        </w:rPr>
        <w:t xml:space="preserve"> be used to identify patients suitable for treatment with future targeted therapies for </w:t>
      </w:r>
      <w:r w:rsidR="00A1664B">
        <w:rPr>
          <w:szCs w:val="20"/>
        </w:rPr>
        <w:t xml:space="preserve">NSCLC </w:t>
      </w:r>
      <w:r w:rsidRPr="000F5EB0">
        <w:rPr>
          <w:szCs w:val="20"/>
        </w:rPr>
        <w:t>cancer listed on the PBS after review of the efficacy, safety and cost-effectiveness of the therapy by the PBAC. The details of clinical trials assessing</w:t>
      </w:r>
      <w:r w:rsidR="001A04B3">
        <w:rPr>
          <w:szCs w:val="20"/>
        </w:rPr>
        <w:t xml:space="preserve"> the role of CGP </w:t>
      </w:r>
      <w:r w:rsidR="00B57DBA">
        <w:rPr>
          <w:szCs w:val="20"/>
        </w:rPr>
        <w:t>and the use of</w:t>
      </w:r>
      <w:r w:rsidRPr="000F5EB0">
        <w:rPr>
          <w:szCs w:val="20"/>
        </w:rPr>
        <w:t xml:space="preserve"> targeted lung cancer therapies with a biomarker anticipated to report in the near future are outlined below. </w:t>
      </w:r>
    </w:p>
    <w:tbl>
      <w:tblPr>
        <w:tblStyle w:val="TableGrid"/>
        <w:tblW w:w="13964" w:type="dxa"/>
        <w:tblLayout w:type="fixed"/>
        <w:tblLook w:val="04A0" w:firstRow="1" w:lastRow="0" w:firstColumn="1" w:lastColumn="0" w:noHBand="0" w:noVBand="1"/>
        <w:tblCaption w:val="Summary of Evidence - Yet to be Published"/>
      </w:tblPr>
      <w:tblGrid>
        <w:gridCol w:w="368"/>
        <w:gridCol w:w="1225"/>
        <w:gridCol w:w="3209"/>
        <w:gridCol w:w="3209"/>
        <w:gridCol w:w="4706"/>
        <w:gridCol w:w="1247"/>
      </w:tblGrid>
      <w:tr w:rsidR="00B3313A" w:rsidRPr="000F5EB0" w14:paraId="5D0D191D" w14:textId="77777777" w:rsidTr="00D436C6">
        <w:trPr>
          <w:cantSplit/>
          <w:tblHeader/>
        </w:trPr>
        <w:tc>
          <w:tcPr>
            <w:tcW w:w="368" w:type="dxa"/>
          </w:tcPr>
          <w:p w14:paraId="4230092D" w14:textId="77777777" w:rsidR="004C49EF" w:rsidRPr="000F5EB0" w:rsidRDefault="004C49EF" w:rsidP="00855944">
            <w:pPr>
              <w:pStyle w:val="TableHEADER"/>
              <w:rPr>
                <w:sz w:val="18"/>
                <w:szCs w:val="18"/>
              </w:rPr>
            </w:pPr>
          </w:p>
        </w:tc>
        <w:tc>
          <w:tcPr>
            <w:tcW w:w="1225" w:type="dxa"/>
          </w:tcPr>
          <w:p w14:paraId="47DCD159" w14:textId="77777777" w:rsidR="004C49EF" w:rsidRPr="000F5EB0" w:rsidRDefault="004C49EF" w:rsidP="00855944">
            <w:pPr>
              <w:pStyle w:val="TableHEADER"/>
              <w:rPr>
                <w:sz w:val="18"/>
                <w:szCs w:val="18"/>
              </w:rPr>
            </w:pPr>
            <w:r w:rsidRPr="000F5EB0">
              <w:rPr>
                <w:sz w:val="18"/>
                <w:szCs w:val="18"/>
              </w:rPr>
              <w:t>Type of study design*</w:t>
            </w:r>
          </w:p>
        </w:tc>
        <w:tc>
          <w:tcPr>
            <w:tcW w:w="3209" w:type="dxa"/>
          </w:tcPr>
          <w:p w14:paraId="7D58208A" w14:textId="77777777" w:rsidR="004C49EF" w:rsidRPr="000F5EB0" w:rsidRDefault="004C49EF" w:rsidP="00855944">
            <w:pPr>
              <w:pStyle w:val="TableHEADER"/>
              <w:rPr>
                <w:sz w:val="18"/>
                <w:szCs w:val="18"/>
              </w:rPr>
            </w:pPr>
            <w:r w:rsidRPr="000F5EB0">
              <w:rPr>
                <w:sz w:val="18"/>
                <w:szCs w:val="18"/>
              </w:rPr>
              <w:t>Title of research (including any trial identifier if relevant)</w:t>
            </w:r>
          </w:p>
        </w:tc>
        <w:tc>
          <w:tcPr>
            <w:tcW w:w="3209" w:type="dxa"/>
          </w:tcPr>
          <w:p w14:paraId="38E54CD6" w14:textId="77777777" w:rsidR="004C49EF" w:rsidRPr="000F5EB0" w:rsidRDefault="00367C1B" w:rsidP="00855944">
            <w:pPr>
              <w:pStyle w:val="TableHEADER"/>
              <w:rPr>
                <w:sz w:val="18"/>
                <w:szCs w:val="18"/>
              </w:rPr>
            </w:pPr>
            <w:r w:rsidRPr="000F5EB0">
              <w:rPr>
                <w:sz w:val="18"/>
                <w:szCs w:val="18"/>
              </w:rPr>
              <w:t xml:space="preserve">Short description of research </w:t>
            </w:r>
            <w:r w:rsidR="004C49EF" w:rsidRPr="000F5EB0">
              <w:rPr>
                <w:sz w:val="18"/>
                <w:szCs w:val="18"/>
              </w:rPr>
              <w:t>(max 50 words)**</w:t>
            </w:r>
          </w:p>
        </w:tc>
        <w:tc>
          <w:tcPr>
            <w:tcW w:w="4706" w:type="dxa"/>
          </w:tcPr>
          <w:p w14:paraId="4FC18D93" w14:textId="77777777" w:rsidR="004C49EF" w:rsidRPr="000F5EB0" w:rsidRDefault="004C49EF" w:rsidP="00855944">
            <w:pPr>
              <w:pStyle w:val="TableHEADER"/>
              <w:rPr>
                <w:sz w:val="18"/>
                <w:szCs w:val="18"/>
              </w:rPr>
            </w:pPr>
            <w:r w:rsidRPr="000F5EB0">
              <w:rPr>
                <w:sz w:val="18"/>
                <w:szCs w:val="18"/>
              </w:rPr>
              <w:t>Website link to research (if available)</w:t>
            </w:r>
          </w:p>
        </w:tc>
        <w:tc>
          <w:tcPr>
            <w:tcW w:w="1247" w:type="dxa"/>
          </w:tcPr>
          <w:p w14:paraId="4F612674" w14:textId="77777777" w:rsidR="004C49EF" w:rsidRPr="000F5EB0" w:rsidRDefault="004C49EF" w:rsidP="00855944">
            <w:pPr>
              <w:pStyle w:val="TableHEADER"/>
              <w:rPr>
                <w:sz w:val="18"/>
                <w:szCs w:val="18"/>
              </w:rPr>
            </w:pPr>
            <w:r w:rsidRPr="000F5EB0">
              <w:rPr>
                <w:sz w:val="18"/>
                <w:szCs w:val="18"/>
              </w:rPr>
              <w:t>Date***</w:t>
            </w:r>
          </w:p>
        </w:tc>
      </w:tr>
      <w:tr w:rsidR="00E52BB2" w:rsidRPr="000F5EB0" w14:paraId="38DA0C43" w14:textId="77777777" w:rsidTr="00D436C6">
        <w:trPr>
          <w:cantSplit/>
        </w:trPr>
        <w:tc>
          <w:tcPr>
            <w:tcW w:w="368" w:type="dxa"/>
          </w:tcPr>
          <w:p w14:paraId="1185EED0" w14:textId="34FBAB34" w:rsidR="00E52BB2" w:rsidRPr="000F5EB0" w:rsidRDefault="001F5281" w:rsidP="00E52BB2">
            <w:pPr>
              <w:rPr>
                <w:sz w:val="18"/>
                <w:szCs w:val="18"/>
              </w:rPr>
            </w:pPr>
            <w:r>
              <w:rPr>
                <w:sz w:val="18"/>
                <w:szCs w:val="18"/>
              </w:rPr>
              <w:t>1</w:t>
            </w:r>
            <w:r w:rsidR="00E52BB2" w:rsidRPr="000F5EB0">
              <w:rPr>
                <w:sz w:val="18"/>
                <w:szCs w:val="18"/>
              </w:rPr>
              <w:t>.</w:t>
            </w:r>
          </w:p>
        </w:tc>
        <w:tc>
          <w:tcPr>
            <w:tcW w:w="1225" w:type="dxa"/>
          </w:tcPr>
          <w:p w14:paraId="5A276C44" w14:textId="72FD9599" w:rsidR="00E52BB2" w:rsidRPr="000F5EB0" w:rsidRDefault="00E52BB2" w:rsidP="00E52BB2">
            <w:pPr>
              <w:rPr>
                <w:b/>
                <w:sz w:val="18"/>
                <w:szCs w:val="18"/>
              </w:rPr>
            </w:pPr>
            <w:r w:rsidRPr="000F5EB0">
              <w:rPr>
                <w:sz w:val="18"/>
                <w:szCs w:val="18"/>
              </w:rPr>
              <w:t>Non-randomised trial</w:t>
            </w:r>
          </w:p>
        </w:tc>
        <w:tc>
          <w:tcPr>
            <w:tcW w:w="3209" w:type="dxa"/>
          </w:tcPr>
          <w:p w14:paraId="35714A37" w14:textId="3CB87F17" w:rsidR="00E52BB2" w:rsidRPr="000F5EB0" w:rsidRDefault="00E52BB2" w:rsidP="00E52BB2">
            <w:pPr>
              <w:rPr>
                <w:b/>
                <w:sz w:val="18"/>
                <w:szCs w:val="18"/>
              </w:rPr>
            </w:pPr>
            <w:r w:rsidRPr="000F5EB0">
              <w:rPr>
                <w:sz w:val="18"/>
                <w:szCs w:val="18"/>
              </w:rPr>
              <w:t>Cabozantinib in Patients With RET Fusion-Positive Advanced Non-Small Cell Lung Cancer and Those With Other Genotypes: ROS1 or NTRK Fusions or Increased MET or AXL Activity: NCT01639508</w:t>
            </w:r>
          </w:p>
        </w:tc>
        <w:tc>
          <w:tcPr>
            <w:tcW w:w="3209" w:type="dxa"/>
          </w:tcPr>
          <w:p w14:paraId="5638EDD4" w14:textId="309CC9E2" w:rsidR="00E52BB2" w:rsidRPr="000F5EB0" w:rsidRDefault="00E52BB2" w:rsidP="00E52BB2">
            <w:pPr>
              <w:rPr>
                <w:b/>
                <w:sz w:val="18"/>
                <w:szCs w:val="18"/>
              </w:rPr>
            </w:pPr>
            <w:r w:rsidRPr="000F5EB0">
              <w:rPr>
                <w:sz w:val="18"/>
                <w:szCs w:val="18"/>
              </w:rPr>
              <w:t>This study is assessing the efficacy and safety of cabozantinib in patients with advanced NSCLC tumours harbouring genomic alteration in the following genes: RET; ROS1; or NTRK fusion, or increased MET or AXL activity. The duration of PFS and OS are secondary outcomes for this trial.</w:t>
            </w:r>
          </w:p>
        </w:tc>
        <w:tc>
          <w:tcPr>
            <w:tcW w:w="4706" w:type="dxa"/>
          </w:tcPr>
          <w:p w14:paraId="497C81A2" w14:textId="77777777" w:rsidR="00E52BB2" w:rsidRPr="000F5EB0" w:rsidRDefault="00607C47" w:rsidP="00E52BB2">
            <w:pPr>
              <w:rPr>
                <w:sz w:val="18"/>
                <w:szCs w:val="18"/>
              </w:rPr>
            </w:pPr>
            <w:hyperlink r:id="rId24" w:history="1">
              <w:r w:rsidR="00E52BB2" w:rsidRPr="000F5EB0">
                <w:rPr>
                  <w:rStyle w:val="Hyperlink"/>
                  <w:sz w:val="18"/>
                  <w:szCs w:val="18"/>
                </w:rPr>
                <w:t>https://clinicaltrials.gov/ct2/show/NCT01639508?term=NCT01639508&amp;rank=1</w:t>
              </w:r>
            </w:hyperlink>
          </w:p>
          <w:p w14:paraId="6108D3A7" w14:textId="09F9A6B1" w:rsidR="00E52BB2" w:rsidRPr="000F5EB0" w:rsidRDefault="00E52BB2" w:rsidP="00E52BB2">
            <w:pPr>
              <w:rPr>
                <w:b/>
                <w:sz w:val="18"/>
                <w:szCs w:val="18"/>
              </w:rPr>
            </w:pPr>
          </w:p>
        </w:tc>
        <w:tc>
          <w:tcPr>
            <w:tcW w:w="1247" w:type="dxa"/>
          </w:tcPr>
          <w:p w14:paraId="2AAC8E41" w14:textId="499D902C" w:rsidR="00E52BB2" w:rsidRPr="000F5EB0" w:rsidRDefault="005A0D94" w:rsidP="00E52BB2">
            <w:pPr>
              <w:rPr>
                <w:b/>
                <w:sz w:val="18"/>
                <w:szCs w:val="18"/>
              </w:rPr>
            </w:pPr>
            <w:r>
              <w:rPr>
                <w:sz w:val="18"/>
                <w:szCs w:val="18"/>
              </w:rPr>
              <w:t>Unknown</w:t>
            </w:r>
          </w:p>
        </w:tc>
      </w:tr>
      <w:tr w:rsidR="00E52BB2" w:rsidRPr="000F5EB0" w14:paraId="66FA4AC6" w14:textId="77777777" w:rsidTr="00D436C6">
        <w:trPr>
          <w:cantSplit/>
        </w:trPr>
        <w:tc>
          <w:tcPr>
            <w:tcW w:w="368" w:type="dxa"/>
          </w:tcPr>
          <w:p w14:paraId="762D91F0" w14:textId="7E73E79E" w:rsidR="00E52BB2" w:rsidRPr="000F5EB0" w:rsidRDefault="001F5281" w:rsidP="00E52BB2">
            <w:pPr>
              <w:rPr>
                <w:sz w:val="18"/>
                <w:szCs w:val="18"/>
              </w:rPr>
            </w:pPr>
            <w:r>
              <w:rPr>
                <w:sz w:val="18"/>
                <w:szCs w:val="18"/>
              </w:rPr>
              <w:t>2</w:t>
            </w:r>
            <w:r w:rsidR="00E52BB2" w:rsidRPr="000F5EB0">
              <w:rPr>
                <w:sz w:val="18"/>
                <w:szCs w:val="18"/>
              </w:rPr>
              <w:t>.</w:t>
            </w:r>
          </w:p>
        </w:tc>
        <w:tc>
          <w:tcPr>
            <w:tcW w:w="1225" w:type="dxa"/>
          </w:tcPr>
          <w:p w14:paraId="4D448FB6" w14:textId="1472093F" w:rsidR="00E52BB2" w:rsidRPr="000F5EB0" w:rsidRDefault="00E52BB2" w:rsidP="00E52BB2">
            <w:pPr>
              <w:rPr>
                <w:b/>
                <w:sz w:val="18"/>
                <w:szCs w:val="18"/>
              </w:rPr>
            </w:pPr>
            <w:r w:rsidRPr="000F5EB0">
              <w:rPr>
                <w:sz w:val="18"/>
                <w:szCs w:val="18"/>
              </w:rPr>
              <w:t>Non-randomised trial</w:t>
            </w:r>
          </w:p>
        </w:tc>
        <w:tc>
          <w:tcPr>
            <w:tcW w:w="3209" w:type="dxa"/>
          </w:tcPr>
          <w:p w14:paraId="5A4A05C4" w14:textId="32EACC98" w:rsidR="00E52BB2" w:rsidRPr="000F5EB0" w:rsidRDefault="00E52BB2" w:rsidP="00E52BB2">
            <w:pPr>
              <w:rPr>
                <w:b/>
                <w:sz w:val="18"/>
                <w:szCs w:val="18"/>
              </w:rPr>
            </w:pPr>
            <w:r w:rsidRPr="000F5EB0">
              <w:rPr>
                <w:sz w:val="18"/>
                <w:szCs w:val="18"/>
              </w:rPr>
              <w:t>A Study of Lorlatinib in Advanced ALK and ROS1 Rearranged Lung Cancer With CNS Metastasis in the Absence of Measurable Extracranial Lesions: NCT02927340</w:t>
            </w:r>
          </w:p>
        </w:tc>
        <w:tc>
          <w:tcPr>
            <w:tcW w:w="3209" w:type="dxa"/>
          </w:tcPr>
          <w:p w14:paraId="64CC296F" w14:textId="26C67C1B" w:rsidR="00E52BB2" w:rsidRPr="000F5EB0" w:rsidRDefault="00E52BB2" w:rsidP="00E52BB2">
            <w:pPr>
              <w:rPr>
                <w:b/>
                <w:sz w:val="18"/>
                <w:szCs w:val="18"/>
              </w:rPr>
            </w:pPr>
            <w:r w:rsidRPr="000F5EB0">
              <w:rPr>
                <w:sz w:val="18"/>
                <w:szCs w:val="18"/>
              </w:rPr>
              <w:t>In this Phase 2 trial patients with NSCLC harbouring an ALK or ROS1 gene rearrangement received treatment with lorlatinib. Patients could be treatment naïve or received prior treatment on at least 1 prior ALK/ROS1 inhibitor. The duration of OS is a secondary outcome for this trial.</w:t>
            </w:r>
          </w:p>
        </w:tc>
        <w:tc>
          <w:tcPr>
            <w:tcW w:w="4706" w:type="dxa"/>
          </w:tcPr>
          <w:p w14:paraId="71BB7189" w14:textId="77777777" w:rsidR="00E52BB2" w:rsidRPr="000F5EB0" w:rsidRDefault="00607C47" w:rsidP="00E52BB2">
            <w:pPr>
              <w:rPr>
                <w:sz w:val="18"/>
                <w:szCs w:val="18"/>
              </w:rPr>
            </w:pPr>
            <w:hyperlink r:id="rId25" w:history="1">
              <w:r w:rsidR="00E52BB2" w:rsidRPr="000F5EB0">
                <w:rPr>
                  <w:rStyle w:val="Hyperlink"/>
                  <w:sz w:val="18"/>
                  <w:szCs w:val="18"/>
                </w:rPr>
                <w:t>https://clinicaltrials.gov/ct2/show/NCT02927340?term=NCT02927340&amp;rank=1</w:t>
              </w:r>
            </w:hyperlink>
          </w:p>
          <w:p w14:paraId="075E837C" w14:textId="6C8CD45A" w:rsidR="00E52BB2" w:rsidRPr="000F5EB0" w:rsidRDefault="00E52BB2" w:rsidP="00E52BB2">
            <w:pPr>
              <w:rPr>
                <w:b/>
                <w:sz w:val="18"/>
                <w:szCs w:val="18"/>
              </w:rPr>
            </w:pPr>
          </w:p>
        </w:tc>
        <w:tc>
          <w:tcPr>
            <w:tcW w:w="1247" w:type="dxa"/>
          </w:tcPr>
          <w:p w14:paraId="4FE6DEB3" w14:textId="6B7383B0" w:rsidR="00E52BB2" w:rsidRPr="000F5EB0" w:rsidRDefault="00E52BB2" w:rsidP="00E52BB2">
            <w:pPr>
              <w:rPr>
                <w:b/>
                <w:sz w:val="18"/>
                <w:szCs w:val="18"/>
              </w:rPr>
            </w:pPr>
            <w:r w:rsidRPr="000F5EB0">
              <w:rPr>
                <w:sz w:val="18"/>
                <w:szCs w:val="18"/>
              </w:rPr>
              <w:t>March 2020</w:t>
            </w:r>
          </w:p>
        </w:tc>
      </w:tr>
      <w:tr w:rsidR="002736C2" w:rsidRPr="000F5EB0" w14:paraId="0375D2C4" w14:textId="77777777" w:rsidTr="00D436C6">
        <w:trPr>
          <w:cantSplit/>
        </w:trPr>
        <w:tc>
          <w:tcPr>
            <w:tcW w:w="368" w:type="dxa"/>
          </w:tcPr>
          <w:p w14:paraId="12305014" w14:textId="1A200B74" w:rsidR="002736C2" w:rsidRDefault="002736C2" w:rsidP="00E52BB2">
            <w:pPr>
              <w:rPr>
                <w:sz w:val="18"/>
                <w:szCs w:val="18"/>
              </w:rPr>
            </w:pPr>
            <w:r>
              <w:rPr>
                <w:sz w:val="18"/>
                <w:szCs w:val="18"/>
              </w:rPr>
              <w:t>3.</w:t>
            </w:r>
          </w:p>
        </w:tc>
        <w:tc>
          <w:tcPr>
            <w:tcW w:w="1225" w:type="dxa"/>
          </w:tcPr>
          <w:p w14:paraId="627CBC72" w14:textId="52A4A7D5" w:rsidR="002736C2" w:rsidRPr="000F5EB0" w:rsidRDefault="006E578D" w:rsidP="00E52BB2">
            <w:pPr>
              <w:rPr>
                <w:sz w:val="18"/>
                <w:szCs w:val="18"/>
              </w:rPr>
            </w:pPr>
            <w:r>
              <w:rPr>
                <w:sz w:val="18"/>
                <w:szCs w:val="18"/>
              </w:rPr>
              <w:t>Non-randomised trial</w:t>
            </w:r>
          </w:p>
        </w:tc>
        <w:tc>
          <w:tcPr>
            <w:tcW w:w="3209" w:type="dxa"/>
          </w:tcPr>
          <w:p w14:paraId="66564F8E" w14:textId="391AF6A8" w:rsidR="002736C2" w:rsidRPr="000F5EB0" w:rsidRDefault="00644325" w:rsidP="00E52BB2">
            <w:pPr>
              <w:rPr>
                <w:sz w:val="18"/>
                <w:szCs w:val="18"/>
              </w:rPr>
            </w:pPr>
            <w:r>
              <w:rPr>
                <w:sz w:val="18"/>
                <w:szCs w:val="18"/>
              </w:rPr>
              <w:t>ASPiRATION Lung Cancer Study</w:t>
            </w:r>
          </w:p>
        </w:tc>
        <w:tc>
          <w:tcPr>
            <w:tcW w:w="3209" w:type="dxa"/>
          </w:tcPr>
          <w:p w14:paraId="1836FB3E" w14:textId="4AE7F3E0" w:rsidR="002736C2" w:rsidRPr="000F5EB0" w:rsidRDefault="009B3847" w:rsidP="00E52BB2">
            <w:pPr>
              <w:rPr>
                <w:sz w:val="18"/>
                <w:szCs w:val="18"/>
              </w:rPr>
            </w:pPr>
            <w:r>
              <w:rPr>
                <w:sz w:val="18"/>
                <w:szCs w:val="18"/>
              </w:rPr>
              <w:t xml:space="preserve">Comprehensive Genomic Profiling will be performed in 1,000 </w:t>
            </w:r>
            <w:r w:rsidR="00715200">
              <w:rPr>
                <w:sz w:val="18"/>
                <w:szCs w:val="18"/>
              </w:rPr>
              <w:t xml:space="preserve">non-squamous </w:t>
            </w:r>
            <w:r>
              <w:rPr>
                <w:sz w:val="18"/>
                <w:szCs w:val="18"/>
              </w:rPr>
              <w:t>NSCLC patients in Australia</w:t>
            </w:r>
            <w:r w:rsidR="00B26D84">
              <w:rPr>
                <w:sz w:val="18"/>
                <w:szCs w:val="18"/>
              </w:rPr>
              <w:t>.</w:t>
            </w:r>
            <w:r w:rsidR="001A2080">
              <w:rPr>
                <w:sz w:val="18"/>
                <w:szCs w:val="18"/>
              </w:rPr>
              <w:t xml:space="preserve"> Patients identified with an actionable mutation will have to opportunity to receive targeted therapy as part of this study</w:t>
            </w:r>
            <w:r w:rsidR="007573F8">
              <w:rPr>
                <w:sz w:val="18"/>
                <w:szCs w:val="18"/>
              </w:rPr>
              <w:t>.</w:t>
            </w:r>
            <w:r w:rsidR="00B26D84">
              <w:rPr>
                <w:sz w:val="18"/>
                <w:szCs w:val="18"/>
              </w:rPr>
              <w:t xml:space="preserve"> This study is scheduled to commence in July 2020</w:t>
            </w:r>
            <w:r w:rsidR="00012781">
              <w:rPr>
                <w:sz w:val="18"/>
                <w:szCs w:val="18"/>
              </w:rPr>
              <w:t>.</w:t>
            </w:r>
          </w:p>
        </w:tc>
        <w:tc>
          <w:tcPr>
            <w:tcW w:w="4706" w:type="dxa"/>
          </w:tcPr>
          <w:p w14:paraId="10512848" w14:textId="3491BD9D" w:rsidR="002736C2" w:rsidRDefault="00607C47" w:rsidP="00E52BB2">
            <w:hyperlink r:id="rId26" w:history="1">
              <w:r w:rsidR="00405AC0" w:rsidRPr="002817EF">
                <w:rPr>
                  <w:rStyle w:val="Hyperlink"/>
                </w:rPr>
                <w:t>https://altg.com.au/research-overview/clinical-trials-list/</w:t>
              </w:r>
            </w:hyperlink>
          </w:p>
        </w:tc>
        <w:tc>
          <w:tcPr>
            <w:tcW w:w="1247" w:type="dxa"/>
          </w:tcPr>
          <w:p w14:paraId="148312D3" w14:textId="47E815D9" w:rsidR="002736C2" w:rsidRPr="000F5EB0" w:rsidRDefault="00E42AE7" w:rsidP="00E52BB2">
            <w:pPr>
              <w:rPr>
                <w:sz w:val="18"/>
                <w:szCs w:val="18"/>
              </w:rPr>
            </w:pPr>
            <w:r>
              <w:rPr>
                <w:sz w:val="18"/>
                <w:szCs w:val="18"/>
              </w:rPr>
              <w:t>2022</w:t>
            </w:r>
          </w:p>
        </w:tc>
      </w:tr>
    </w:tbl>
    <w:p w14:paraId="2744F746" w14:textId="4AEC76B3" w:rsidR="004C49EF" w:rsidRPr="000F5EB0" w:rsidRDefault="004C49EF" w:rsidP="004C49EF">
      <w:pPr>
        <w:spacing w:after="0"/>
        <w:ind w:left="426"/>
        <w:rPr>
          <w:i/>
          <w:szCs w:val="20"/>
        </w:rPr>
      </w:pPr>
      <w:r w:rsidRPr="000F5EB0">
        <w:rPr>
          <w:i/>
          <w:szCs w:val="20"/>
        </w:rPr>
        <w:t>* Categorise study design, for example meta-analysis, randomised trials, non-randomised trial or observational study, study of diagnostic accuracy, etc.</w:t>
      </w:r>
    </w:p>
    <w:p w14:paraId="1BCF08C1" w14:textId="77777777" w:rsidR="004C49EF" w:rsidRPr="000F5EB0" w:rsidRDefault="004C49EF" w:rsidP="004C49EF">
      <w:pPr>
        <w:spacing w:after="0"/>
        <w:ind w:left="426"/>
        <w:rPr>
          <w:i/>
          <w:szCs w:val="20"/>
        </w:rPr>
      </w:pPr>
      <w:r w:rsidRPr="000F5EB0">
        <w:rPr>
          <w:i/>
          <w:szCs w:val="20"/>
        </w:rPr>
        <w:t>**Provide high level information including population numbers and whether patients are being recruited or in post-recruitment.</w:t>
      </w:r>
    </w:p>
    <w:p w14:paraId="51734DEF" w14:textId="391EA677" w:rsidR="00DD308E" w:rsidRPr="000F5EB0" w:rsidRDefault="004C49EF" w:rsidP="00A83281">
      <w:pPr>
        <w:spacing w:after="0"/>
        <w:ind w:left="426"/>
        <w:rPr>
          <w:b/>
          <w:sz w:val="32"/>
          <w:szCs w:val="32"/>
        </w:rPr>
        <w:sectPr w:rsidR="00DD308E" w:rsidRPr="000F5EB0" w:rsidSect="00DD308E">
          <w:footerReference w:type="default" r:id="rId27"/>
          <w:pgSz w:w="16838" w:h="11906" w:orient="landscape"/>
          <w:pgMar w:top="1440" w:right="1440" w:bottom="1440" w:left="1440" w:header="708" w:footer="708" w:gutter="0"/>
          <w:cols w:space="708"/>
          <w:docGrid w:linePitch="360"/>
        </w:sectPr>
      </w:pPr>
      <w:r w:rsidRPr="000F5EB0">
        <w:rPr>
          <w:i/>
          <w:szCs w:val="20"/>
        </w:rPr>
        <w:t>*</w:t>
      </w:r>
      <w:r w:rsidRPr="000F5EB0">
        <w:rPr>
          <w:szCs w:val="20"/>
        </w:rPr>
        <w:t>**</w:t>
      </w:r>
      <w:r w:rsidRPr="000F5EB0">
        <w:rPr>
          <w:i/>
          <w:szCs w:val="20"/>
        </w:rPr>
        <w:t>Date of when results will be made available (to the best of your knowledge).</w:t>
      </w:r>
      <w:r w:rsidR="00F301F1" w:rsidRPr="000F5EB0">
        <w:rPr>
          <w:b/>
          <w:sz w:val="32"/>
          <w:szCs w:val="32"/>
        </w:rPr>
        <w:br w:type="page"/>
      </w:r>
    </w:p>
    <w:p w14:paraId="4F81B558" w14:textId="4EDC9697" w:rsidR="00E82F54" w:rsidRDefault="005C3AE7" w:rsidP="00CA26DD">
      <w:pPr>
        <w:pStyle w:val="Heading1"/>
      </w:pPr>
      <w:r w:rsidRPr="000F5EB0">
        <w:lastRenderedPageBreak/>
        <w:t>PART 5</w:t>
      </w:r>
      <w:r w:rsidR="00F93784" w:rsidRPr="000F5EB0">
        <w:t xml:space="preserve"> – </w:t>
      </w:r>
      <w:r w:rsidR="00E82F54" w:rsidRPr="000F5EB0">
        <w:t>CLINICAL ENDORSEMENT AND CONSUMER INFORMATION</w:t>
      </w:r>
    </w:p>
    <w:p w14:paraId="3E16E3E9" w14:textId="77777777" w:rsidR="00E82F54" w:rsidRPr="000F5EB0" w:rsidRDefault="00E82F54" w:rsidP="005C3AE7">
      <w:pPr>
        <w:pStyle w:val="Heading2"/>
      </w:pPr>
      <w:r w:rsidRPr="000F5EB0">
        <w:t xml:space="preserve">List </w:t>
      </w:r>
      <w:r w:rsidR="00EA173C" w:rsidRPr="000F5EB0">
        <w:t>all appropriate professional bodies / organisations</w:t>
      </w:r>
      <w:r w:rsidRPr="000F5EB0">
        <w:t xml:space="preserve"> representing the group(s) of health profess</w:t>
      </w:r>
      <w:r w:rsidR="00EA173C" w:rsidRPr="000F5EB0">
        <w:t xml:space="preserve">ionals who provide the service </w:t>
      </w:r>
      <w:r w:rsidR="00F93784" w:rsidRPr="000F5EB0">
        <w:t xml:space="preserve">(please </w:t>
      </w:r>
      <w:r w:rsidR="00EA173C" w:rsidRPr="000F5EB0">
        <w:t>attach</w:t>
      </w:r>
      <w:r w:rsidR="00F93784" w:rsidRPr="000F5EB0">
        <w:t xml:space="preserve"> a </w:t>
      </w:r>
      <w:r w:rsidR="00254813" w:rsidRPr="000F5EB0">
        <w:t>statement of clinical relevance from</w:t>
      </w:r>
      <w:r w:rsidR="00EA173C" w:rsidRPr="000F5EB0">
        <w:t xml:space="preserve"> each </w:t>
      </w:r>
      <w:r w:rsidR="00F93784" w:rsidRPr="000F5EB0">
        <w:t>group</w:t>
      </w:r>
      <w:r w:rsidR="00EA173C" w:rsidRPr="000F5EB0">
        <w:t xml:space="preserve"> nominated</w:t>
      </w:r>
      <w:r w:rsidR="00F93784" w:rsidRPr="000F5EB0">
        <w:t>)</w:t>
      </w:r>
      <w:r w:rsidR="00A727B6" w:rsidRPr="000F5EB0">
        <w:t>:</w:t>
      </w:r>
    </w:p>
    <w:p w14:paraId="3C47BD99" w14:textId="209D09B9" w:rsidR="00824432" w:rsidRPr="000F5EB0" w:rsidRDefault="001F197F" w:rsidP="00A727B6">
      <w:pPr>
        <w:ind w:left="426"/>
      </w:pPr>
      <w:r>
        <w:t xml:space="preserve">Organisations </w:t>
      </w:r>
      <w:r w:rsidR="00A3390B">
        <w:t xml:space="preserve">which may </w:t>
      </w:r>
      <w:r w:rsidR="004D2823">
        <w:t xml:space="preserve">verify the </w:t>
      </w:r>
      <w:r w:rsidR="00824432" w:rsidRPr="000F5EB0">
        <w:t xml:space="preserve">clinical relevance of </w:t>
      </w:r>
      <w:r w:rsidR="00CE10FC">
        <w:t xml:space="preserve">CGP </w:t>
      </w:r>
      <w:r w:rsidR="00A17B67">
        <w:t>tumour tissue from</w:t>
      </w:r>
      <w:r w:rsidR="004D2823">
        <w:t xml:space="preserve"> NSCLC </w:t>
      </w:r>
      <w:r w:rsidR="00891F8C">
        <w:t>patients</w:t>
      </w:r>
      <w:r w:rsidR="00D579DD">
        <w:t xml:space="preserve"> </w:t>
      </w:r>
      <w:r w:rsidR="00891F8C">
        <w:t>in order to determine suitability for targeted treatment</w:t>
      </w:r>
      <w:r w:rsidR="00A3390B">
        <w:t xml:space="preserve"> are</w:t>
      </w:r>
      <w:r w:rsidR="00B10464">
        <w:t>:</w:t>
      </w:r>
    </w:p>
    <w:p w14:paraId="0F322D8D" w14:textId="147919A7" w:rsidR="00A727B6" w:rsidRPr="000F5EB0" w:rsidRDefault="00825773" w:rsidP="00FD4715">
      <w:pPr>
        <w:pStyle w:val="ListParagraph"/>
        <w:numPr>
          <w:ilvl w:val="0"/>
          <w:numId w:val="16"/>
        </w:numPr>
      </w:pPr>
      <w:r w:rsidRPr="000F5EB0">
        <w:t>The Royal College of Pathologists of Australasia (RCPA)</w:t>
      </w:r>
    </w:p>
    <w:p w14:paraId="130A2DC7" w14:textId="2A0D17F4" w:rsidR="00825773" w:rsidRDefault="00825773" w:rsidP="00FD4715">
      <w:pPr>
        <w:pStyle w:val="ListParagraph"/>
        <w:numPr>
          <w:ilvl w:val="0"/>
          <w:numId w:val="16"/>
        </w:numPr>
      </w:pPr>
      <w:r w:rsidRPr="000F5EB0">
        <w:t>The Medical Oncology Group of Australia (MOGA)</w:t>
      </w:r>
    </w:p>
    <w:p w14:paraId="535CBC90" w14:textId="6C929F65" w:rsidR="00B10464" w:rsidRPr="000F5EB0" w:rsidRDefault="00B10464" w:rsidP="00FD4715">
      <w:pPr>
        <w:pStyle w:val="ListParagraph"/>
        <w:numPr>
          <w:ilvl w:val="0"/>
          <w:numId w:val="16"/>
        </w:numPr>
      </w:pPr>
      <w:r>
        <w:t>The Australian Genomic Cancer Medicine Cancer Medicine Centre (AGCMC)</w:t>
      </w:r>
    </w:p>
    <w:p w14:paraId="088ADD93" w14:textId="77777777" w:rsidR="00EA173C" w:rsidRPr="000F5EB0" w:rsidRDefault="00EA173C" w:rsidP="00530204">
      <w:pPr>
        <w:pStyle w:val="Heading2"/>
      </w:pPr>
      <w:r w:rsidRPr="000F5EB0">
        <w:t>List any professional bodies / organisations that may be impacted by this medical service</w:t>
      </w:r>
      <w:r w:rsidR="00F93784" w:rsidRPr="000F5EB0">
        <w:t xml:space="preserve"> (i.e. those who provide the comparator service)</w:t>
      </w:r>
      <w:r w:rsidR="00197D29" w:rsidRPr="000F5EB0">
        <w:t>:</w:t>
      </w:r>
    </w:p>
    <w:p w14:paraId="3EB5A9F6" w14:textId="77777777" w:rsidR="001D53AA" w:rsidRDefault="00825773" w:rsidP="00A727B6">
      <w:pPr>
        <w:ind w:left="426"/>
      </w:pPr>
      <w:r w:rsidRPr="000F5EB0">
        <w:t>Th</w:t>
      </w:r>
      <w:r w:rsidR="00DB3408">
        <w:t xml:space="preserve">ere is currently no </w:t>
      </w:r>
      <w:r w:rsidRPr="000F5EB0">
        <w:t xml:space="preserve">MBS reimbursed </w:t>
      </w:r>
      <w:r w:rsidR="00464429" w:rsidRPr="000F5EB0">
        <w:t>CGP service</w:t>
      </w:r>
      <w:r w:rsidR="00CA4C9F">
        <w:t xml:space="preserve"> for NSCLC patients</w:t>
      </w:r>
      <w:r w:rsidR="00464429" w:rsidRPr="000F5EB0">
        <w:t xml:space="preserve"> in</w:t>
      </w:r>
      <w:r w:rsidRPr="000F5EB0">
        <w:t xml:space="preserve"> Australia</w:t>
      </w:r>
      <w:r w:rsidR="00CA4C9F">
        <w:t xml:space="preserve">, however </w:t>
      </w:r>
      <w:r w:rsidR="00C65557">
        <w:rPr>
          <w:szCs w:val="20"/>
        </w:rPr>
        <w:t>NGS</w:t>
      </w:r>
      <w:r w:rsidR="00CF1E74">
        <w:rPr>
          <w:szCs w:val="20"/>
        </w:rPr>
        <w:t xml:space="preserve"> </w:t>
      </w:r>
      <w:r w:rsidR="00C65557">
        <w:rPr>
          <w:szCs w:val="20"/>
        </w:rPr>
        <w:t>assays</w:t>
      </w:r>
      <w:r w:rsidR="00C0316F">
        <w:rPr>
          <w:szCs w:val="20"/>
        </w:rPr>
        <w:t xml:space="preserve"> </w:t>
      </w:r>
      <w:r w:rsidR="00464429" w:rsidRPr="000F5EB0">
        <w:t xml:space="preserve">are </w:t>
      </w:r>
      <w:r w:rsidR="00260783">
        <w:t xml:space="preserve">currently being </w:t>
      </w:r>
      <w:r w:rsidR="00464429" w:rsidRPr="000F5EB0">
        <w:t>used in academic centres</w:t>
      </w:r>
      <w:r w:rsidR="009A13B3">
        <w:t xml:space="preserve"> and some private pathology laboratories</w:t>
      </w:r>
      <w:r w:rsidR="00464429" w:rsidRPr="000F5EB0">
        <w:t>.</w:t>
      </w:r>
    </w:p>
    <w:p w14:paraId="5262FF4F" w14:textId="75F92A91" w:rsidR="00EA173C" w:rsidRPr="000F5EB0" w:rsidRDefault="001D53AA" w:rsidP="00A727B6">
      <w:pPr>
        <w:ind w:left="426"/>
      </w:pPr>
      <w:r>
        <w:t xml:space="preserve">The Applicant understands </w:t>
      </w:r>
      <w:r w:rsidR="004B0AE0">
        <w:t xml:space="preserve">that some small NGS panels are routinely used in clinical practice </w:t>
      </w:r>
      <w:r w:rsidR="00500D3C">
        <w:t xml:space="preserve">and claimed under the single gene MBS items </w:t>
      </w:r>
      <w:r w:rsidR="00F608C7">
        <w:t>(e.g. MBS item7337 for EGFR testing</w:t>
      </w:r>
      <w:r w:rsidR="00CA1A68">
        <w:t>).</w:t>
      </w:r>
    </w:p>
    <w:p w14:paraId="3AE9484D" w14:textId="77777777" w:rsidR="00E82F54" w:rsidRPr="000F5EB0" w:rsidRDefault="00E82F54" w:rsidP="00530204">
      <w:pPr>
        <w:pStyle w:val="Heading2"/>
      </w:pPr>
      <w:r w:rsidRPr="000F5EB0">
        <w:t>List the relevant consumer organisations relevant to the proposed medical service</w:t>
      </w:r>
      <w:r w:rsidR="00C12C5C" w:rsidRPr="000F5EB0">
        <w:t xml:space="preserve"> (please attach a letter of support for each consumer organisation nominated)</w:t>
      </w:r>
      <w:r w:rsidR="00197D29" w:rsidRPr="000F5EB0">
        <w:t>:</w:t>
      </w:r>
    </w:p>
    <w:p w14:paraId="3DDEDC1D" w14:textId="40C9C669" w:rsidR="001D0C6C" w:rsidRDefault="00825773" w:rsidP="001214C8">
      <w:pPr>
        <w:ind w:left="426"/>
      </w:pPr>
      <w:r w:rsidRPr="000F5EB0">
        <w:t>The Lung Foundation of Australia</w:t>
      </w:r>
    </w:p>
    <w:p w14:paraId="22877A35" w14:textId="17CD9179" w:rsidR="00E82F54" w:rsidRPr="000F5EB0" w:rsidRDefault="001D0C6C" w:rsidP="001214C8">
      <w:pPr>
        <w:ind w:left="426"/>
      </w:pPr>
      <w:r>
        <w:t>The Lung Foundation previously provided support for a submission from Roche Products for Foundation Medicine (letter dated 4 July 2018)</w:t>
      </w:r>
      <w:r w:rsidR="00212AB3">
        <w:t>.</w:t>
      </w:r>
    </w:p>
    <w:p w14:paraId="5D6FD703" w14:textId="77777777" w:rsidR="003433D1" w:rsidRPr="000F5EB0" w:rsidRDefault="003433D1" w:rsidP="00530204">
      <w:pPr>
        <w:pStyle w:val="Heading2"/>
      </w:pPr>
      <w:r w:rsidRPr="000F5EB0">
        <w:t xml:space="preserve">List the relevant sponsor(s) and / or manufacturer(s) who produce similar products relevant </w:t>
      </w:r>
      <w:r w:rsidR="00197D29" w:rsidRPr="000F5EB0">
        <w:t>to the proposed medical service:</w:t>
      </w:r>
    </w:p>
    <w:p w14:paraId="52B36536" w14:textId="377D519D" w:rsidR="005C7F29" w:rsidRDefault="00BE2B9D" w:rsidP="00EE6450">
      <w:pPr>
        <w:ind w:left="426"/>
      </w:pPr>
      <w:r>
        <w:t>M</w:t>
      </w:r>
      <w:r w:rsidR="00BD2C0F">
        <w:t xml:space="preserve">anufacturers of </w:t>
      </w:r>
      <w:r w:rsidR="00A15F7D">
        <w:t xml:space="preserve">commercially supplied </w:t>
      </w:r>
      <w:r w:rsidR="00391E42">
        <w:rPr>
          <w:szCs w:val="20"/>
        </w:rPr>
        <w:t>NGS</w:t>
      </w:r>
      <w:r>
        <w:rPr>
          <w:szCs w:val="20"/>
        </w:rPr>
        <w:t xml:space="preserve"> </w:t>
      </w:r>
      <w:r w:rsidR="00391E42">
        <w:rPr>
          <w:szCs w:val="20"/>
        </w:rPr>
        <w:t xml:space="preserve">assays </w:t>
      </w:r>
      <w:r w:rsidR="00C0316F">
        <w:t>which</w:t>
      </w:r>
      <w:r w:rsidR="004A732E">
        <w:t xml:space="preserve"> </w:t>
      </w:r>
      <w:r w:rsidR="002F07B5">
        <w:t xml:space="preserve">may be used to </w:t>
      </w:r>
      <w:r w:rsidR="00765A1F">
        <w:t xml:space="preserve">test tumour tissue from </w:t>
      </w:r>
      <w:r w:rsidR="005C7F29">
        <w:t xml:space="preserve">NSCLC patients </w:t>
      </w:r>
      <w:r w:rsidR="004A732E">
        <w:t>are</w:t>
      </w:r>
      <w:r w:rsidR="005C7F29">
        <w:t>:</w:t>
      </w:r>
    </w:p>
    <w:p w14:paraId="338BD3C2" w14:textId="77777777" w:rsidR="00330AD0" w:rsidRDefault="00330AD0" w:rsidP="00330AD0">
      <w:pPr>
        <w:pStyle w:val="ListParagraph"/>
        <w:numPr>
          <w:ilvl w:val="0"/>
          <w:numId w:val="24"/>
        </w:numPr>
      </w:pPr>
      <w:r>
        <w:t>Roche Products (Roche Pharmaceuticals) are the owner of Foundation Medicine Inc who are the manufacturer of the FoundationOne</w:t>
      </w:r>
      <w:r>
        <w:rPr>
          <w:rFonts w:cstheme="minorHAnsi"/>
        </w:rPr>
        <w:t>®</w:t>
      </w:r>
      <w:r>
        <w:t xml:space="preserve"> CDx assay (FDA-approved IVD companion diagnostic)</w:t>
      </w:r>
    </w:p>
    <w:p w14:paraId="23EB45B9" w14:textId="6D29D5AE" w:rsidR="00BE2B9D" w:rsidRDefault="00C75E4D" w:rsidP="00DA3D90">
      <w:pPr>
        <w:pStyle w:val="ListParagraph"/>
        <w:numPr>
          <w:ilvl w:val="0"/>
          <w:numId w:val="24"/>
        </w:numPr>
      </w:pPr>
      <w:r w:rsidRPr="007328A4">
        <w:t>Roche Diagnostics</w:t>
      </w:r>
      <w:r w:rsidR="00D85903" w:rsidRPr="007328A4">
        <w:t>: manufacturer</w:t>
      </w:r>
      <w:r w:rsidR="00D85903">
        <w:t xml:space="preserve"> of the AVENIO </w:t>
      </w:r>
      <w:r w:rsidR="00861F58">
        <w:t xml:space="preserve">Tumor </w:t>
      </w:r>
      <w:r w:rsidR="00E67822">
        <w:t xml:space="preserve">Tissue </w:t>
      </w:r>
      <w:r w:rsidR="00E51672">
        <w:t>panels</w:t>
      </w:r>
      <w:r w:rsidR="00911120">
        <w:t xml:space="preserve"> (RUO</w:t>
      </w:r>
      <w:r w:rsidR="005E4A1B">
        <w:t xml:space="preserve"> assays)</w:t>
      </w:r>
    </w:p>
    <w:p w14:paraId="6A9A7531" w14:textId="2214888E" w:rsidR="005C7F29" w:rsidRDefault="005C7F29" w:rsidP="00FD4715">
      <w:pPr>
        <w:pStyle w:val="ListParagraph"/>
        <w:numPr>
          <w:ilvl w:val="0"/>
          <w:numId w:val="24"/>
        </w:numPr>
      </w:pPr>
      <w:r>
        <w:t>Illumina</w:t>
      </w:r>
      <w:r w:rsidR="009E0CEE">
        <w:t>: manufacturer</w:t>
      </w:r>
      <w:r w:rsidR="00EC4F04">
        <w:t xml:space="preserve"> of various </w:t>
      </w:r>
      <w:r w:rsidR="0065437B">
        <w:t>solid tumour NGS panels</w:t>
      </w:r>
      <w:r w:rsidR="00EC1AB1">
        <w:t>, including the TruSight Oncology Panels</w:t>
      </w:r>
      <w:r w:rsidR="00330AD0">
        <w:t xml:space="preserve"> (RUO assays)</w:t>
      </w:r>
    </w:p>
    <w:p w14:paraId="716FE095" w14:textId="6EDF3E64" w:rsidR="009E0CEE" w:rsidRDefault="00C5295A" w:rsidP="00FD4715">
      <w:pPr>
        <w:pStyle w:val="ListParagraph"/>
        <w:numPr>
          <w:ilvl w:val="0"/>
          <w:numId w:val="24"/>
        </w:numPr>
      </w:pPr>
      <w:r>
        <w:t>Thermo</w:t>
      </w:r>
      <w:r w:rsidR="009E0CEE">
        <w:t>Fisher Scientific: manufacturer of various solid tumour NGS panels</w:t>
      </w:r>
      <w:r w:rsidR="00EC1AB1">
        <w:t>, including the</w:t>
      </w:r>
      <w:r w:rsidR="00EC7330">
        <w:t xml:space="preserve"> Ion AmpliSeq </w:t>
      </w:r>
      <w:r w:rsidR="00F64E44">
        <w:t>Cancer Panels</w:t>
      </w:r>
      <w:r w:rsidR="00330AD0">
        <w:t xml:space="preserve"> (RUO assays)</w:t>
      </w:r>
    </w:p>
    <w:p w14:paraId="1312B6C3" w14:textId="4CDED576" w:rsidR="003A106C" w:rsidRDefault="00545D78" w:rsidP="00EE6450">
      <w:pPr>
        <w:ind w:left="426"/>
      </w:pPr>
      <w:r>
        <w:t xml:space="preserve">The current </w:t>
      </w:r>
      <w:r w:rsidR="00977B47">
        <w:t xml:space="preserve">Australian </w:t>
      </w:r>
      <w:r w:rsidR="00D134CB">
        <w:t xml:space="preserve">regulatory status for </w:t>
      </w:r>
      <w:r>
        <w:t xml:space="preserve">NGS </w:t>
      </w:r>
      <w:r w:rsidR="001805BA">
        <w:t xml:space="preserve">oncology </w:t>
      </w:r>
      <w:r w:rsidR="00F13D2B">
        <w:t>assays</w:t>
      </w:r>
      <w:r w:rsidR="001805BA">
        <w:t xml:space="preserve"> are </w:t>
      </w:r>
      <w:r w:rsidR="000371CC">
        <w:t>as</w:t>
      </w:r>
      <w:r w:rsidR="001805BA">
        <w:t xml:space="preserve"> RUO</w:t>
      </w:r>
      <w:r w:rsidR="000371CC">
        <w:t xml:space="preserve"> product</w:t>
      </w:r>
      <w:r w:rsidR="00ED4C81">
        <w:t>s</w:t>
      </w:r>
      <w:r w:rsidR="000371CC">
        <w:t xml:space="preserve">. </w:t>
      </w:r>
      <w:r w:rsidR="00AC1F5F">
        <w:t xml:space="preserve">Under the Australian regulatory framework for </w:t>
      </w:r>
      <w:r w:rsidR="00C7386B">
        <w:t>IVDs</w:t>
      </w:r>
      <w:r w:rsidR="00ED4C81">
        <w:t>,</w:t>
      </w:r>
      <w:r w:rsidR="00C7386B">
        <w:t xml:space="preserve"> l</w:t>
      </w:r>
      <w:r w:rsidR="00E75746">
        <w:t>o</w:t>
      </w:r>
      <w:r w:rsidR="00DC6C9D">
        <w:t>cal laboratories may</w:t>
      </w:r>
      <w:r w:rsidR="00A15F7D">
        <w:t xml:space="preserve"> </w:t>
      </w:r>
      <w:r w:rsidR="00E75746">
        <w:t xml:space="preserve">use </w:t>
      </w:r>
      <w:r w:rsidR="000D2BF4">
        <w:t xml:space="preserve">RUO </w:t>
      </w:r>
      <w:r w:rsidR="00400DE0">
        <w:rPr>
          <w:szCs w:val="20"/>
        </w:rPr>
        <w:t>NGS</w:t>
      </w:r>
      <w:r w:rsidR="00936FE8">
        <w:rPr>
          <w:szCs w:val="20"/>
        </w:rPr>
        <w:t xml:space="preserve"> </w:t>
      </w:r>
      <w:r w:rsidR="00400DE0">
        <w:rPr>
          <w:szCs w:val="20"/>
        </w:rPr>
        <w:t xml:space="preserve">assays </w:t>
      </w:r>
      <w:r w:rsidR="00F07316">
        <w:t xml:space="preserve">as </w:t>
      </w:r>
      <w:r w:rsidR="006C6AAC">
        <w:t>in</w:t>
      </w:r>
      <w:r w:rsidR="00400DE0">
        <w:t>-</w:t>
      </w:r>
      <w:r w:rsidR="006C6AAC">
        <w:t>house IVDs</w:t>
      </w:r>
      <w:r w:rsidR="003A106C">
        <w:t xml:space="preserve"> after the conduct of appropriate testing and validation</w:t>
      </w:r>
      <w:r w:rsidR="00F30B8A">
        <w:t>.</w:t>
      </w:r>
    </w:p>
    <w:p w14:paraId="614C47F1" w14:textId="01C4A587" w:rsidR="00FF07E1" w:rsidRDefault="003A106C" w:rsidP="00EE6450">
      <w:pPr>
        <w:ind w:left="426"/>
      </w:pPr>
      <w:r>
        <w:t xml:space="preserve">The </w:t>
      </w:r>
      <w:r w:rsidR="00EA1A38">
        <w:t>FoundationOne</w:t>
      </w:r>
      <w:r w:rsidR="008A4702">
        <w:rPr>
          <w:rFonts w:cstheme="minorHAnsi"/>
        </w:rPr>
        <w:t>®</w:t>
      </w:r>
      <w:r w:rsidR="008A4702">
        <w:t xml:space="preserve"> </w:t>
      </w:r>
      <w:r w:rsidR="00EA1A38">
        <w:t>CDx assay is FDA</w:t>
      </w:r>
      <w:r w:rsidR="00F35D9F">
        <w:t xml:space="preserve"> </w:t>
      </w:r>
      <w:r w:rsidR="00EA1A38">
        <w:t>approved as a</w:t>
      </w:r>
      <w:r w:rsidR="008A4702">
        <w:t>n IVD</w:t>
      </w:r>
      <w:r w:rsidR="00EA1A38">
        <w:t xml:space="preserve"> comp</w:t>
      </w:r>
      <w:r w:rsidR="005C2D4D">
        <w:t>anion diagnostic</w:t>
      </w:r>
      <w:r w:rsidR="00075798">
        <w:t xml:space="preserve"> in solid tumours (including NSCLC).</w:t>
      </w:r>
      <w:r w:rsidR="001975BE">
        <w:t xml:space="preserve"> </w:t>
      </w:r>
      <w:r w:rsidR="00D94FB9">
        <w:t xml:space="preserve">As outlined </w:t>
      </w:r>
      <w:r w:rsidR="00D94FB9" w:rsidRPr="00BA21F0">
        <w:t xml:space="preserve">previously, </w:t>
      </w:r>
      <w:r w:rsidR="00075FEE" w:rsidRPr="00BA21F0">
        <w:t>Foundation Medicine and Roche Sequencing Solutions (Roche Diagnostics) are developing a CGP panel based on the FoundationOne® CDx assay that will enable laboratories to perform CGP locally.</w:t>
      </w:r>
    </w:p>
    <w:p w14:paraId="47528FB9" w14:textId="77777777" w:rsidR="00FF07E1" w:rsidRDefault="00FF07E1">
      <w:pPr>
        <w:spacing w:before="0" w:after="200" w:line="276" w:lineRule="auto"/>
      </w:pPr>
      <w:r>
        <w:br w:type="page"/>
      </w:r>
    </w:p>
    <w:p w14:paraId="13AC4B44" w14:textId="77777777" w:rsidR="00E82F54" w:rsidRPr="000F5EB0" w:rsidRDefault="00E82F54" w:rsidP="00530204">
      <w:pPr>
        <w:pStyle w:val="Heading2"/>
      </w:pPr>
      <w:r w:rsidRPr="000F5EB0">
        <w:lastRenderedPageBreak/>
        <w:t>Nominate two experts who could be approached about the proposed medical service and the current clinical management of the service(s):</w:t>
      </w:r>
    </w:p>
    <w:p w14:paraId="53D0188A" w14:textId="51B9EC8B" w:rsidR="00A96329" w:rsidRPr="000F5EB0" w:rsidRDefault="00825773" w:rsidP="00225180">
      <w:pPr>
        <w:ind w:left="360"/>
      </w:pPr>
      <w:r w:rsidRPr="000F5EB0">
        <w:t>The following two experts have had the most experience using Foundation Medicine CGP service in Australia</w:t>
      </w:r>
      <w:r w:rsidR="002746CD" w:rsidRPr="000F5EB0">
        <w:t>:</w:t>
      </w:r>
    </w:p>
    <w:p w14:paraId="714A3FBF" w14:textId="7AA3C3C2" w:rsidR="00987ABE" w:rsidRPr="000F5EB0" w:rsidRDefault="00987ABE" w:rsidP="00987ABE">
      <w:pPr>
        <w:ind w:left="426"/>
        <w:rPr>
          <w:szCs w:val="20"/>
        </w:rPr>
      </w:pPr>
      <w:r w:rsidRPr="000F5EB0">
        <w:rPr>
          <w:szCs w:val="20"/>
        </w:rPr>
        <w:t xml:space="preserve">Name of expert 1: </w:t>
      </w:r>
      <w:r w:rsidR="009B057C" w:rsidRPr="00810F30">
        <w:rPr>
          <w:b/>
          <w:bCs/>
        </w:rPr>
        <w:t>REDACTED</w:t>
      </w:r>
    </w:p>
    <w:p w14:paraId="487C6584" w14:textId="039E4926" w:rsidR="00987ABE" w:rsidRPr="000F5EB0" w:rsidRDefault="00987ABE" w:rsidP="00987ABE">
      <w:pPr>
        <w:ind w:left="426"/>
        <w:rPr>
          <w:szCs w:val="20"/>
        </w:rPr>
      </w:pPr>
      <w:r w:rsidRPr="000F5EB0">
        <w:rPr>
          <w:szCs w:val="20"/>
        </w:rPr>
        <w:t xml:space="preserve">Telephone number(s): </w:t>
      </w:r>
      <w:r w:rsidR="009B057C" w:rsidRPr="00810F30">
        <w:rPr>
          <w:b/>
          <w:bCs/>
        </w:rPr>
        <w:t>REDACTED</w:t>
      </w:r>
    </w:p>
    <w:p w14:paraId="06E3D6E6" w14:textId="134FA0F6" w:rsidR="00E67BB9" w:rsidRDefault="00987ABE" w:rsidP="00E67BB9">
      <w:pPr>
        <w:ind w:left="426"/>
      </w:pPr>
      <w:r w:rsidRPr="000F5EB0">
        <w:rPr>
          <w:szCs w:val="20"/>
        </w:rPr>
        <w:t xml:space="preserve">Email address: </w:t>
      </w:r>
      <w:r w:rsidR="009B057C" w:rsidRPr="009B057C">
        <w:rPr>
          <w:bCs/>
        </w:rPr>
        <w:t xml:space="preserve"> </w:t>
      </w:r>
      <w:r w:rsidR="009B057C" w:rsidRPr="00810F30">
        <w:rPr>
          <w:b/>
          <w:bCs/>
        </w:rPr>
        <w:t>REDACTED</w:t>
      </w:r>
    </w:p>
    <w:p w14:paraId="6AF3F2B9" w14:textId="2A400EB4" w:rsidR="00987ABE" w:rsidRPr="000F5EB0" w:rsidRDefault="00987ABE" w:rsidP="00987ABE">
      <w:pPr>
        <w:ind w:left="426"/>
        <w:rPr>
          <w:szCs w:val="20"/>
        </w:rPr>
      </w:pPr>
      <w:r w:rsidRPr="000F5EB0">
        <w:rPr>
          <w:szCs w:val="20"/>
        </w:rPr>
        <w:t xml:space="preserve">Justification of expertise: </w:t>
      </w:r>
      <w:r w:rsidR="009B057C" w:rsidRPr="00810F30">
        <w:rPr>
          <w:b/>
          <w:bCs/>
        </w:rPr>
        <w:t>REDACTED</w:t>
      </w:r>
    </w:p>
    <w:p w14:paraId="753D483F" w14:textId="77777777" w:rsidR="00FF07E1" w:rsidRDefault="00FF07E1" w:rsidP="00987ABE">
      <w:pPr>
        <w:ind w:left="426"/>
        <w:rPr>
          <w:szCs w:val="20"/>
        </w:rPr>
      </w:pPr>
    </w:p>
    <w:p w14:paraId="246B9216" w14:textId="66D64A06" w:rsidR="00987ABE" w:rsidRPr="000F5EB0" w:rsidRDefault="00987ABE" w:rsidP="00987ABE">
      <w:pPr>
        <w:ind w:left="426"/>
        <w:rPr>
          <w:szCs w:val="20"/>
        </w:rPr>
      </w:pPr>
      <w:r w:rsidRPr="000F5EB0">
        <w:rPr>
          <w:szCs w:val="20"/>
        </w:rPr>
        <w:t xml:space="preserve">Name of expert 2: </w:t>
      </w:r>
      <w:r w:rsidR="009B057C" w:rsidRPr="00810F30">
        <w:rPr>
          <w:b/>
          <w:bCs/>
        </w:rPr>
        <w:t>REDACTED</w:t>
      </w:r>
    </w:p>
    <w:p w14:paraId="4DD00E56" w14:textId="410E038F" w:rsidR="00987ABE" w:rsidRPr="000F5EB0" w:rsidRDefault="00987ABE" w:rsidP="00987ABE">
      <w:pPr>
        <w:ind w:left="426"/>
        <w:rPr>
          <w:szCs w:val="20"/>
        </w:rPr>
      </w:pPr>
      <w:r w:rsidRPr="000F5EB0">
        <w:rPr>
          <w:szCs w:val="20"/>
        </w:rPr>
        <w:t xml:space="preserve">Telephone number(s): </w:t>
      </w:r>
      <w:r w:rsidR="009B057C" w:rsidRPr="00810F30">
        <w:rPr>
          <w:b/>
          <w:bCs/>
        </w:rPr>
        <w:t>REDACTED</w:t>
      </w:r>
    </w:p>
    <w:p w14:paraId="129C396B" w14:textId="6CB647C7" w:rsidR="00E67BB9" w:rsidRPr="00E67BB9" w:rsidRDefault="00E67BB9" w:rsidP="00E67BB9">
      <w:pPr>
        <w:ind w:left="426"/>
      </w:pPr>
      <w:r>
        <w:rPr>
          <w:szCs w:val="20"/>
        </w:rPr>
        <w:t xml:space="preserve">Email address: </w:t>
      </w:r>
      <w:r w:rsidR="009B057C" w:rsidRPr="00810F30">
        <w:rPr>
          <w:b/>
          <w:bCs/>
        </w:rPr>
        <w:t>REDACTED</w:t>
      </w:r>
    </w:p>
    <w:p w14:paraId="6D9276FC" w14:textId="1B4D1554" w:rsidR="002746CD" w:rsidRPr="000F5EB0" w:rsidRDefault="00987ABE" w:rsidP="002746CD">
      <w:pPr>
        <w:ind w:left="426"/>
        <w:rPr>
          <w:szCs w:val="20"/>
        </w:rPr>
      </w:pPr>
      <w:r w:rsidRPr="000F5EB0">
        <w:rPr>
          <w:szCs w:val="20"/>
        </w:rPr>
        <w:t xml:space="preserve">Justification of expertise: </w:t>
      </w:r>
      <w:r w:rsidR="009B057C" w:rsidRPr="00810F30">
        <w:rPr>
          <w:b/>
          <w:bCs/>
        </w:rPr>
        <w:t>REDACTED</w:t>
      </w:r>
    </w:p>
    <w:p w14:paraId="64AB18EA" w14:textId="77777777" w:rsidR="009B3B80" w:rsidRDefault="009B3B80" w:rsidP="002746CD">
      <w:pPr>
        <w:ind w:left="426"/>
        <w:rPr>
          <w:szCs w:val="20"/>
        </w:rPr>
      </w:pPr>
    </w:p>
    <w:p w14:paraId="34D200BA" w14:textId="11CEAD8B" w:rsidR="002746CD" w:rsidRPr="000F5EB0" w:rsidRDefault="002746CD" w:rsidP="002746CD">
      <w:pPr>
        <w:ind w:left="426"/>
      </w:pPr>
      <w:r w:rsidRPr="000F5EB0">
        <w:rPr>
          <w:szCs w:val="20"/>
        </w:rPr>
        <w:t xml:space="preserve">Name of expert 3: </w:t>
      </w:r>
      <w:r w:rsidR="009B057C" w:rsidRPr="00810F30">
        <w:rPr>
          <w:b/>
          <w:bCs/>
        </w:rPr>
        <w:t>REDACTED</w:t>
      </w:r>
    </w:p>
    <w:p w14:paraId="7772B5E2" w14:textId="712FC007" w:rsidR="002746CD" w:rsidRPr="000F5EB0" w:rsidRDefault="002746CD" w:rsidP="002746CD">
      <w:pPr>
        <w:ind w:left="426"/>
        <w:rPr>
          <w:szCs w:val="20"/>
        </w:rPr>
      </w:pPr>
      <w:r w:rsidRPr="000F5EB0">
        <w:rPr>
          <w:szCs w:val="20"/>
        </w:rPr>
        <w:t xml:space="preserve">Telephone number(s): </w:t>
      </w:r>
      <w:r w:rsidR="009B057C" w:rsidRPr="00810F30">
        <w:rPr>
          <w:b/>
          <w:bCs/>
        </w:rPr>
        <w:t>REDACTED</w:t>
      </w:r>
    </w:p>
    <w:p w14:paraId="06B8A8E6" w14:textId="66E5C3E2" w:rsidR="00987ABE" w:rsidRPr="000F5EB0" w:rsidRDefault="002746CD" w:rsidP="002746CD">
      <w:pPr>
        <w:ind w:left="426"/>
        <w:rPr>
          <w:szCs w:val="20"/>
        </w:rPr>
      </w:pPr>
      <w:r w:rsidRPr="000F5EB0">
        <w:rPr>
          <w:szCs w:val="20"/>
        </w:rPr>
        <w:t xml:space="preserve">Email address: </w:t>
      </w:r>
      <w:r w:rsidR="009B057C" w:rsidRPr="00810F30">
        <w:rPr>
          <w:b/>
          <w:bCs/>
        </w:rPr>
        <w:t>REDACTED</w:t>
      </w:r>
    </w:p>
    <w:p w14:paraId="75343487" w14:textId="43E2BC37" w:rsidR="002746CD" w:rsidRPr="000F5EB0" w:rsidRDefault="002746CD" w:rsidP="00E82F54">
      <w:pPr>
        <w:ind w:left="426"/>
        <w:rPr>
          <w:szCs w:val="20"/>
        </w:rPr>
      </w:pPr>
      <w:r w:rsidRPr="000F5EB0">
        <w:rPr>
          <w:szCs w:val="20"/>
        </w:rPr>
        <w:t xml:space="preserve">Justification of expertise: </w:t>
      </w:r>
      <w:r w:rsidR="009B057C" w:rsidRPr="00810F30">
        <w:rPr>
          <w:b/>
          <w:bCs/>
        </w:rPr>
        <w:t>REDACTED</w:t>
      </w:r>
    </w:p>
    <w:p w14:paraId="6ED008FD" w14:textId="77777777" w:rsidR="002746CD" w:rsidRPr="000F5EB0" w:rsidRDefault="002746CD" w:rsidP="00E82F54">
      <w:pPr>
        <w:ind w:left="426"/>
        <w:rPr>
          <w:szCs w:val="20"/>
        </w:rPr>
      </w:pPr>
    </w:p>
    <w:p w14:paraId="3DF5CC1E" w14:textId="77777777" w:rsidR="00E82F54" w:rsidRPr="000F5EB0" w:rsidRDefault="00E82F54" w:rsidP="00E82F54">
      <w:pPr>
        <w:ind w:left="426"/>
        <w:rPr>
          <w:i/>
          <w:szCs w:val="20"/>
        </w:rPr>
      </w:pPr>
      <w:r w:rsidRPr="000F5EB0">
        <w:rPr>
          <w:i/>
          <w:szCs w:val="20"/>
        </w:rPr>
        <w:t>Please note that the Department may also consult with other referrers, proceduralists and disease specialists to obtain their insight.</w:t>
      </w:r>
    </w:p>
    <w:p w14:paraId="19A47EA1" w14:textId="77777777" w:rsidR="003433D1" w:rsidRPr="000F5EB0" w:rsidRDefault="003433D1">
      <w:pPr>
        <w:rPr>
          <w:b/>
          <w:sz w:val="32"/>
          <w:szCs w:val="32"/>
        </w:rPr>
      </w:pPr>
      <w:r w:rsidRPr="000F5EB0">
        <w:rPr>
          <w:b/>
          <w:sz w:val="32"/>
          <w:szCs w:val="32"/>
        </w:rPr>
        <w:br w:type="page"/>
      </w:r>
    </w:p>
    <w:p w14:paraId="569AB743" w14:textId="77777777" w:rsidR="00E82F54" w:rsidRPr="000F5EB0" w:rsidRDefault="00F93784" w:rsidP="00A96329">
      <w:pPr>
        <w:pStyle w:val="Heading1"/>
      </w:pPr>
      <w:r w:rsidRPr="000F5EB0">
        <w:lastRenderedPageBreak/>
        <w:t>PAR</w:t>
      </w:r>
      <w:r w:rsidR="005C3AE7" w:rsidRPr="000F5EB0">
        <w:t>T 6</w:t>
      </w:r>
      <w:r w:rsidRPr="000F5EB0">
        <w:t xml:space="preserve"> – POPULATION</w:t>
      </w:r>
      <w:r w:rsidR="000525BC" w:rsidRPr="000F5EB0">
        <w:t xml:space="preserve"> (AND PRIOR TESTS)</w:t>
      </w:r>
      <w:r w:rsidRPr="000F5EB0">
        <w:t>, INDICATION, COMPARATOR, OUTCOME (PICO)</w:t>
      </w:r>
    </w:p>
    <w:p w14:paraId="087557D7" w14:textId="77777777" w:rsidR="0021185D" w:rsidRPr="000F5EB0" w:rsidRDefault="005C3AE7" w:rsidP="005C3AE7">
      <w:pPr>
        <w:pStyle w:val="Subtitle"/>
      </w:pPr>
      <w:r w:rsidRPr="000F5EB0">
        <w:t xml:space="preserve">PART 6a – </w:t>
      </w:r>
      <w:r w:rsidR="0021185D" w:rsidRPr="000F5EB0">
        <w:t>INFORMATION ABOUT THE PROPOSED POPULATION</w:t>
      </w:r>
    </w:p>
    <w:p w14:paraId="18B7860F" w14:textId="77777777" w:rsidR="0021185D" w:rsidRPr="000F5EB0" w:rsidRDefault="0021185D" w:rsidP="005C3AE7">
      <w:pPr>
        <w:pStyle w:val="Heading2"/>
      </w:pPr>
      <w:r w:rsidRPr="000F5EB0">
        <w:t>Define the medical condition, including providing information</w:t>
      </w:r>
      <w:r w:rsidR="00DF0C51" w:rsidRPr="000F5EB0">
        <w:t xml:space="preserve"> on the natural history of the </w:t>
      </w:r>
      <w:r w:rsidRPr="000F5EB0">
        <w:t>condition</w:t>
      </w:r>
      <w:r w:rsidR="0018630F" w:rsidRPr="000F5EB0">
        <w:t xml:space="preserve"> and a high level</w:t>
      </w:r>
      <w:r w:rsidR="009C03FB" w:rsidRPr="000F5EB0">
        <w:t xml:space="preserve"> summary of associated </w:t>
      </w:r>
      <w:r w:rsidR="0018630F" w:rsidRPr="000F5EB0">
        <w:t>burden of disea</w:t>
      </w:r>
      <w:r w:rsidR="009C03FB" w:rsidRPr="000F5EB0">
        <w:t>se</w:t>
      </w:r>
      <w:r w:rsidR="0054594B" w:rsidRPr="000F5EB0">
        <w:t xml:space="preserve"> in terms of both morbidity and mortality</w:t>
      </w:r>
      <w:r w:rsidR="00197D29" w:rsidRPr="000F5EB0">
        <w:t>:</w:t>
      </w:r>
    </w:p>
    <w:p w14:paraId="56270AB2" w14:textId="2CBD6314" w:rsidR="004E584D" w:rsidRPr="000F5EB0" w:rsidRDefault="00D435C6" w:rsidP="00225180">
      <w:pPr>
        <w:ind w:left="360"/>
      </w:pPr>
      <w:r w:rsidRPr="000F5EB0">
        <w:rPr>
          <w:szCs w:val="20"/>
        </w:rPr>
        <w:t xml:space="preserve">Based on projections of lung cancer incidence </w:t>
      </w:r>
      <w:r>
        <w:t xml:space="preserve">outlined in the background document to the PD-(L)1 checkpoint inhibitor stakeholder meeting </w:t>
      </w:r>
      <w:r>
        <w:fldChar w:fldCharType="begin"/>
      </w:r>
      <w:r w:rsidR="00B078F9">
        <w:instrText xml:space="preserve"> ADDIN EN.CITE &lt;EndNote&gt;&lt;Cite&gt;&lt;Author&gt;DoH&lt;/Author&gt;&lt;Year&gt;2019&lt;/Year&gt;&lt;RecNum&gt;7934&lt;/RecNum&gt;&lt;DisplayText&gt;(DoH 2019)&lt;/DisplayText&gt;&lt;record&gt;&lt;rec-number&gt;7934&lt;/rec-number&gt;&lt;foreign-keys&gt;&lt;key app="EN" db-id="rxtrxwppgpd2wde2swb5es9g90ffpzr5dx2p" timestamp="1573080362"&gt;7934&lt;/key&gt;&lt;/foreign-keys&gt;&lt;ref-type name="Government Document"&gt;46&lt;/ref-type&gt;&lt;contributors&gt;&lt;authors&gt;&lt;author&gt;DoH,&lt;/author&gt;&lt;/authors&gt;&lt;secondary-authors&gt;&lt;author&gt;Department of Health&lt;/author&gt;&lt;/secondary-authors&gt;&lt;/contributors&gt;&lt;titles&gt;&lt;title&gt;PD-(L)1 checkpoint inhibitor stakeholder meeting&lt;/title&gt;&lt;/titles&gt;&lt;dates&gt;&lt;year&gt;2019&lt;/year&gt;&lt;/dates&gt;&lt;urls&gt;&lt;/urls&gt;&lt;/record&gt;&lt;/Cite&gt;&lt;/EndNote&gt;</w:instrText>
      </w:r>
      <w:r>
        <w:fldChar w:fldCharType="separate"/>
      </w:r>
      <w:r>
        <w:rPr>
          <w:noProof/>
        </w:rPr>
        <w:t>(DoH 2019)</w:t>
      </w:r>
      <w:r>
        <w:fldChar w:fldCharType="end"/>
      </w:r>
      <w:r w:rsidRPr="000F5EB0">
        <w:rPr>
          <w:szCs w:val="20"/>
        </w:rPr>
        <w:t xml:space="preserve"> there </w:t>
      </w:r>
      <w:r w:rsidR="001F02C6">
        <w:rPr>
          <w:szCs w:val="20"/>
        </w:rPr>
        <w:t xml:space="preserve">will be 12,990 </w:t>
      </w:r>
      <w:r w:rsidRPr="000F5EB0">
        <w:rPr>
          <w:szCs w:val="20"/>
        </w:rPr>
        <w:t xml:space="preserve">new cases of lung cancer in Australia in </w:t>
      </w:r>
      <w:r w:rsidR="001F02C6">
        <w:rPr>
          <w:szCs w:val="20"/>
        </w:rPr>
        <w:t>2020</w:t>
      </w:r>
      <w:r w:rsidR="005633E4">
        <w:rPr>
          <w:szCs w:val="20"/>
        </w:rPr>
        <w:t>.</w:t>
      </w:r>
      <w:r w:rsidR="004E584D" w:rsidRPr="000F5EB0">
        <w:t xml:space="preserve"> Non-small cell lung cancer is a subtype of lung cancer that accounts for around </w:t>
      </w:r>
      <w:r w:rsidR="006F1CB7">
        <w:t>86.6</w:t>
      </w:r>
      <w:r w:rsidR="004E584D" w:rsidRPr="000F5EB0">
        <w:t xml:space="preserve">% of lung cancers. Based on </w:t>
      </w:r>
      <w:r w:rsidR="006F1CB7" w:rsidRPr="000F5EB0">
        <w:t>8</w:t>
      </w:r>
      <w:r w:rsidR="006F1CB7">
        <w:t>6.6</w:t>
      </w:r>
      <w:r w:rsidR="004E584D" w:rsidRPr="000F5EB0">
        <w:t xml:space="preserve">% of lung cancers being classified as NSCLC </w:t>
      </w:r>
      <w:r w:rsidR="006F1CB7">
        <w:t>there was</w:t>
      </w:r>
      <w:r w:rsidR="004E584D" w:rsidRPr="000F5EB0">
        <w:t xml:space="preserve"> an estimated</w:t>
      </w:r>
      <w:r w:rsidR="00527783">
        <w:t xml:space="preserve"> </w:t>
      </w:r>
      <w:r w:rsidR="00A12A4B">
        <w:t>11,249</w:t>
      </w:r>
      <w:r w:rsidR="00527783">
        <w:t xml:space="preserve"> incident cases of NSCLC</w:t>
      </w:r>
      <w:r w:rsidR="004E584D" w:rsidRPr="000F5EB0">
        <w:t xml:space="preserve"> in Australia in </w:t>
      </w:r>
      <w:r w:rsidR="00A12A4B" w:rsidRPr="000F5EB0">
        <w:t>20</w:t>
      </w:r>
      <w:r w:rsidR="00A12A4B">
        <w:t>20</w:t>
      </w:r>
      <w:r w:rsidR="003E1413">
        <w:t xml:space="preserve">, of which </w:t>
      </w:r>
      <w:r w:rsidR="00373F4B">
        <w:t>8</w:t>
      </w:r>
      <w:r w:rsidR="00732A94">
        <w:t>,696</w:t>
      </w:r>
      <w:r w:rsidR="003E1413">
        <w:t xml:space="preserve"> (</w:t>
      </w:r>
      <w:r w:rsidR="000566FE">
        <w:t>77.3%) were Stage III or IV</w:t>
      </w:r>
      <w:r w:rsidR="00944B55">
        <w:t xml:space="preserve"> </w:t>
      </w:r>
      <w:r w:rsidR="00944B55">
        <w:fldChar w:fldCharType="begin"/>
      </w:r>
      <w:r w:rsidR="00B078F9">
        <w:instrText xml:space="preserve"> ADDIN EN.CITE &lt;EndNote&gt;&lt;Cite&gt;&lt;Author&gt;DoH&lt;/Author&gt;&lt;Year&gt;2019&lt;/Year&gt;&lt;RecNum&gt;7934&lt;/RecNum&gt;&lt;DisplayText&gt;(DoH 2019)&lt;/DisplayText&gt;&lt;record&gt;&lt;rec-number&gt;7934&lt;/rec-number&gt;&lt;foreign-keys&gt;&lt;key app="EN" db-id="rxtrxwppgpd2wde2swb5es9g90ffpzr5dx2p" timestamp="1573080362"&gt;7934&lt;/key&gt;&lt;/foreign-keys&gt;&lt;ref-type name="Government Document"&gt;46&lt;/ref-type&gt;&lt;contributors&gt;&lt;authors&gt;&lt;author&gt;DoH,&lt;/author&gt;&lt;/authors&gt;&lt;secondary-authors&gt;&lt;author&gt;Department of Health&lt;/author&gt;&lt;/secondary-authors&gt;&lt;/contributors&gt;&lt;titles&gt;&lt;title&gt;PD-(L)1 checkpoint inhibitor stakeholder meeting&lt;/title&gt;&lt;/titles&gt;&lt;dates&gt;&lt;year&gt;2019&lt;/year&gt;&lt;/dates&gt;&lt;urls&gt;&lt;/urls&gt;&lt;/record&gt;&lt;/Cite&gt;&lt;/EndNote&gt;</w:instrText>
      </w:r>
      <w:r w:rsidR="00944B55">
        <w:fldChar w:fldCharType="separate"/>
      </w:r>
      <w:r w:rsidR="00944B55">
        <w:rPr>
          <w:noProof/>
        </w:rPr>
        <w:t>(DoH 2019)</w:t>
      </w:r>
      <w:r w:rsidR="00944B55">
        <w:fldChar w:fldCharType="end"/>
      </w:r>
      <w:r w:rsidR="004E584D" w:rsidRPr="000F5EB0">
        <w:t>.</w:t>
      </w:r>
    </w:p>
    <w:p w14:paraId="43B64B0B" w14:textId="3EADBDF9" w:rsidR="004E584D" w:rsidRPr="000F5EB0" w:rsidRDefault="004E584D" w:rsidP="00225180">
      <w:pPr>
        <w:ind w:left="360"/>
      </w:pPr>
      <w:r w:rsidRPr="000F5EB0">
        <w:t>Patients with advanced lung cancer have a poor prognosis. For patients with NSCLC the 5-year survival rates for patients with Stage III or Stage IV disease is 36%-13% (Stage IIIA-Stage IIIC) and 10% respectively</w:t>
      </w:r>
      <w:r w:rsidRPr="000F5EB0">
        <w:rPr>
          <w:vertAlign w:val="superscript"/>
        </w:rPr>
        <w:footnoteReference w:id="3"/>
      </w:r>
      <w:r w:rsidRPr="000F5EB0">
        <w:t>.</w:t>
      </w:r>
      <w:r w:rsidR="003E1413">
        <w:t xml:space="preserve"> </w:t>
      </w:r>
      <w:r w:rsidR="0089205E">
        <w:t>Resulting from</w:t>
      </w:r>
      <w:r w:rsidRPr="000F5EB0">
        <w:t xml:space="preserve"> the low 5-year survival rates for patients with lung cancer, the mortality burden of lung cancer is very high. In Australia in </w:t>
      </w:r>
      <w:r w:rsidR="009E29F7">
        <w:t>201</w:t>
      </w:r>
      <w:r w:rsidR="00E739EB">
        <w:t>8</w:t>
      </w:r>
      <w:r w:rsidR="00C11717">
        <w:t>,</w:t>
      </w:r>
      <w:r w:rsidRPr="000F5EB0">
        <w:t xml:space="preserve"> it is estimated that there were 8,</w:t>
      </w:r>
      <w:r w:rsidR="006D4675">
        <w:t>898</w:t>
      </w:r>
      <w:r w:rsidR="009E29F7" w:rsidRPr="000F5EB0">
        <w:t xml:space="preserve"> </w:t>
      </w:r>
      <w:r w:rsidRPr="000F5EB0">
        <w:t>lung cancer-related deaths</w:t>
      </w:r>
      <w:r w:rsidR="006D4675">
        <w:t xml:space="preserve"> </w:t>
      </w:r>
      <w:r w:rsidR="00165BFA">
        <w:fldChar w:fldCharType="begin"/>
      </w:r>
      <w:r w:rsidR="00B078F9">
        <w:instrText xml:space="preserve"> ADDIN EN.CITE &lt;EndNote&gt;&lt;Cite&gt;&lt;Author&gt;AIHW&lt;/Author&gt;&lt;Year&gt;2019&lt;/Year&gt;&lt;RecNum&gt;7929&lt;/RecNum&gt;&lt;DisplayText&gt;(AIHW 2019)&lt;/DisplayText&gt;&lt;record&gt;&lt;rec-number&gt;7929&lt;/rec-number&gt;&lt;foreign-keys&gt;&lt;key app="EN" db-id="rxtrxwppgpd2wde2swb5es9g90ffpzr5dx2p" timestamp="1572915460"&gt;7929&lt;/key&gt;&lt;/foreign-keys&gt;&lt;ref-type name="Report"&gt;27&lt;/ref-type&gt;&lt;contributors&gt;&lt;authors&gt;&lt;author&gt;AIHW,&lt;/author&gt;&lt;/authors&gt;&lt;/contributors&gt;&lt;titles&gt;&lt;title&gt;Australian Institute of Health Welfare :Cancer data in Australia&lt;/title&gt;&lt;/titles&gt;&lt;dates&gt;&lt;year&gt;2019&lt;/year&gt;&lt;/dates&gt;&lt;pub-location&gt;Canberra&lt;/pub-location&gt;&lt;publisher&gt;AIHW&lt;/publisher&gt;&lt;urls&gt;&lt;related-urls&gt;&lt;url&gt;https://www.aihw.gov.au/reports/cancer/cancer-data-in-australia&lt;/url&gt;&lt;/related-urls&gt;&lt;/urls&gt;&lt;/record&gt;&lt;/Cite&gt;&lt;/EndNote&gt;</w:instrText>
      </w:r>
      <w:r w:rsidR="00165BFA">
        <w:fldChar w:fldCharType="separate"/>
      </w:r>
      <w:r w:rsidR="00165BFA">
        <w:rPr>
          <w:noProof/>
        </w:rPr>
        <w:t>(AIHW 2019)</w:t>
      </w:r>
      <w:r w:rsidR="00165BFA">
        <w:fldChar w:fldCharType="end"/>
      </w:r>
      <w:r w:rsidRPr="000F5EB0">
        <w:t>.</w:t>
      </w:r>
    </w:p>
    <w:p w14:paraId="4B4C4398" w14:textId="508DAB95" w:rsidR="004E584D" w:rsidRPr="000F5EB0" w:rsidRDefault="00191FC6" w:rsidP="00225180">
      <w:pPr>
        <w:ind w:left="360"/>
      </w:pPr>
      <w:r w:rsidRPr="00191FC6">
        <w:t xml:space="preserve">NSCLC is a heterogeneous disease with a wide diversity of genomic subtypes </w:t>
      </w:r>
      <w:r w:rsidR="00547FD3">
        <w:t xml:space="preserve">known to </w:t>
      </w:r>
      <w:r>
        <w:t>drive cancer cell growth</w:t>
      </w:r>
      <w:r w:rsidR="00811A80">
        <w:t>. Th</w:t>
      </w:r>
      <w:r w:rsidR="004E584D" w:rsidRPr="000F5EB0">
        <w:t>is has led to the development and introduction into clinical practice of several therapies targeting these oncogenic drivers, e.g. EGFR</w:t>
      </w:r>
      <w:r w:rsidR="0026472B">
        <w:t>, ALK, and ROS1-</w:t>
      </w:r>
      <w:r w:rsidR="004E584D" w:rsidRPr="000F5EB0">
        <w:t>targeting</w:t>
      </w:r>
      <w:r w:rsidR="006003F2">
        <w:t xml:space="preserve"> tyrosine kinase inhibitors (</w:t>
      </w:r>
      <w:r w:rsidR="004E584D" w:rsidRPr="000F5EB0">
        <w:t>TKIs</w:t>
      </w:r>
      <w:r w:rsidR="006003F2">
        <w:t>)</w:t>
      </w:r>
      <w:r w:rsidR="004E584D" w:rsidRPr="000F5EB0">
        <w:t>. There are additional therapies targeting new oncogenic drivers under active clinical development</w:t>
      </w:r>
      <w:r w:rsidR="00CF6C3A">
        <w:t xml:space="preserve"> or in the regulatory </w:t>
      </w:r>
      <w:r w:rsidR="002B7FE0">
        <w:t xml:space="preserve">assessment </w:t>
      </w:r>
      <w:r w:rsidR="00CF6C3A">
        <w:t>process</w:t>
      </w:r>
      <w:r w:rsidR="004E584D" w:rsidRPr="000F5EB0">
        <w:t xml:space="preserve">, </w:t>
      </w:r>
      <w:r w:rsidR="00F97F06" w:rsidRPr="000F5EB0">
        <w:t xml:space="preserve">including </w:t>
      </w:r>
      <w:r w:rsidR="004E584D" w:rsidRPr="000F5EB0">
        <w:t xml:space="preserve">agents targeting patients harbouring genomic </w:t>
      </w:r>
      <w:r w:rsidR="00295CE5">
        <w:t>aberrations</w:t>
      </w:r>
      <w:r w:rsidR="004029D4">
        <w:t xml:space="preserve"> </w:t>
      </w:r>
      <w:r w:rsidR="004E584D" w:rsidRPr="000F5EB0">
        <w:t>in</w:t>
      </w:r>
      <w:r w:rsidR="0026472B">
        <w:t xml:space="preserve"> </w:t>
      </w:r>
      <w:r w:rsidR="002B3765" w:rsidRPr="000F5EB0">
        <w:t xml:space="preserve">BRAF, </w:t>
      </w:r>
      <w:r w:rsidR="004E584D" w:rsidRPr="000F5EB0">
        <w:t>RET, NTRK, MET</w:t>
      </w:r>
      <w:r w:rsidR="004029D4">
        <w:t xml:space="preserve"> </w:t>
      </w:r>
      <w:r w:rsidR="0026472B">
        <w:t>and</w:t>
      </w:r>
      <w:r w:rsidR="00132507" w:rsidRPr="000F5EB0">
        <w:t xml:space="preserve"> HER2</w:t>
      </w:r>
      <w:r w:rsidR="00295CE5">
        <w:t xml:space="preserve"> genes</w:t>
      </w:r>
      <w:r w:rsidR="004E584D" w:rsidRPr="000F5EB0">
        <w:t>.</w:t>
      </w:r>
    </w:p>
    <w:p w14:paraId="539EB4B5" w14:textId="1AB2C781" w:rsidR="002A6753" w:rsidRPr="000F5EB0" w:rsidRDefault="0089205E" w:rsidP="00225180">
      <w:pPr>
        <w:ind w:left="360"/>
      </w:pPr>
      <w:r>
        <w:t>Increasingly t</w:t>
      </w:r>
      <w:r w:rsidR="004E584D" w:rsidRPr="000F5EB0">
        <w:t>he selection of the most appropriate treatment for</w:t>
      </w:r>
      <w:r w:rsidR="00295CE5">
        <w:t xml:space="preserve"> NSCLC </w:t>
      </w:r>
      <w:r w:rsidR="004E584D" w:rsidRPr="000F5EB0">
        <w:t xml:space="preserve">patients </w:t>
      </w:r>
      <w:r w:rsidR="00486C50" w:rsidRPr="000F5EB0">
        <w:t>is</w:t>
      </w:r>
      <w:r>
        <w:t xml:space="preserve"> </w:t>
      </w:r>
      <w:r w:rsidR="004E584D" w:rsidRPr="000F5EB0">
        <w:t>informed by the results of molecular testing</w:t>
      </w:r>
      <w:r w:rsidR="008D60C2" w:rsidRPr="000F5EB0">
        <w:t>. As such,</w:t>
      </w:r>
      <w:r w:rsidR="004E584D" w:rsidRPr="000F5EB0">
        <w:t xml:space="preserve"> there is a need for </w:t>
      </w:r>
      <w:r w:rsidR="001D41D0">
        <w:t xml:space="preserve">equitable access to testing with </w:t>
      </w:r>
      <w:r w:rsidR="004E584D" w:rsidRPr="000F5EB0">
        <w:t>a</w:t>
      </w:r>
      <w:r w:rsidR="00BA3F9F">
        <w:t>n assay that</w:t>
      </w:r>
      <w:r>
        <w:t xml:space="preserve"> </w:t>
      </w:r>
      <w:r w:rsidR="002A3E9F" w:rsidRPr="000F5EB0">
        <w:t>robustly</w:t>
      </w:r>
      <w:r w:rsidR="004E584D" w:rsidRPr="000F5EB0">
        <w:t xml:space="preserve"> </w:t>
      </w:r>
      <w:r w:rsidR="00510CE3">
        <w:t xml:space="preserve">and reliably </w:t>
      </w:r>
      <w:r w:rsidR="004E584D" w:rsidRPr="000F5EB0">
        <w:t>assess</w:t>
      </w:r>
      <w:r>
        <w:t>es</w:t>
      </w:r>
      <w:r w:rsidR="004E584D" w:rsidRPr="000F5EB0">
        <w:t xml:space="preserve"> the presence of </w:t>
      </w:r>
      <w:r w:rsidR="00737F3F">
        <w:rPr>
          <w:szCs w:val="20"/>
        </w:rPr>
        <w:t xml:space="preserve">genomic alterations </w:t>
      </w:r>
      <w:r w:rsidR="004E584D" w:rsidRPr="000F5EB0">
        <w:t>in tumour tissue</w:t>
      </w:r>
      <w:r w:rsidR="00510CE3">
        <w:t xml:space="preserve"> </w:t>
      </w:r>
      <w:r w:rsidR="00132507" w:rsidRPr="000F5EB0">
        <w:t>to</w:t>
      </w:r>
      <w:r w:rsidR="004E584D" w:rsidRPr="000F5EB0">
        <w:t xml:space="preserve"> inform appropriate treatment selection.</w:t>
      </w:r>
    </w:p>
    <w:p w14:paraId="0A8753A2" w14:textId="77777777" w:rsidR="00AA5FDA" w:rsidRPr="000F5EB0" w:rsidRDefault="00AA5FDA" w:rsidP="00530204">
      <w:pPr>
        <w:pStyle w:val="Heading2"/>
      </w:pPr>
      <w:r w:rsidRPr="000F5EB0">
        <w:t>Specify any characteristics of patients with the medical condition</w:t>
      </w:r>
      <w:r w:rsidR="00707D4D" w:rsidRPr="000F5EB0">
        <w:t>, or suspected of,</w:t>
      </w:r>
      <w:r w:rsidRPr="000F5EB0">
        <w:t xml:space="preserve"> who are proposed to be eligible for the proposed medical service</w:t>
      </w:r>
      <w:r w:rsidR="00102686" w:rsidRPr="000F5EB0">
        <w:t>, including any details of how a patient w</w:t>
      </w:r>
      <w:r w:rsidR="0054594B" w:rsidRPr="000F5EB0">
        <w:t>ould be</w:t>
      </w:r>
      <w:r w:rsidR="00102686" w:rsidRPr="000F5EB0">
        <w:t xml:space="preserve"> </w:t>
      </w:r>
      <w:r w:rsidR="0018630F" w:rsidRPr="000F5EB0">
        <w:t>investigated</w:t>
      </w:r>
      <w:r w:rsidR="0054594B" w:rsidRPr="000F5EB0">
        <w:t>,</w:t>
      </w:r>
      <w:r w:rsidR="0018630F" w:rsidRPr="000F5EB0">
        <w:t xml:space="preserve"> managed </w:t>
      </w:r>
      <w:r w:rsidR="0054594B" w:rsidRPr="000F5EB0">
        <w:t xml:space="preserve">and referred </w:t>
      </w:r>
      <w:r w:rsidR="007D2358" w:rsidRPr="000F5EB0">
        <w:t xml:space="preserve">within the Australian health care system </w:t>
      </w:r>
      <w:r w:rsidR="0018630F" w:rsidRPr="000F5EB0">
        <w:t xml:space="preserve">in the lead up to being considered </w:t>
      </w:r>
      <w:r w:rsidR="00DF6D37" w:rsidRPr="000F5EB0">
        <w:t xml:space="preserve">eligible </w:t>
      </w:r>
      <w:r w:rsidR="0018630F" w:rsidRPr="000F5EB0">
        <w:t>for the service</w:t>
      </w:r>
      <w:r w:rsidR="00197D29" w:rsidRPr="000F5EB0">
        <w:t>:</w:t>
      </w:r>
    </w:p>
    <w:p w14:paraId="5A25AB63" w14:textId="4816307D" w:rsidR="00700887" w:rsidRDefault="00AE43D2" w:rsidP="00225180">
      <w:pPr>
        <w:spacing w:before="100" w:beforeAutospacing="1" w:after="100" w:afterAutospacing="1"/>
        <w:ind w:left="360"/>
        <w:rPr>
          <w:szCs w:val="20"/>
        </w:rPr>
      </w:pPr>
      <w:r>
        <w:t xml:space="preserve">NSCLC </w:t>
      </w:r>
      <w:r w:rsidR="0081367F">
        <w:t xml:space="preserve">patients </w:t>
      </w:r>
      <w:r w:rsidR="00941752" w:rsidRPr="000F5EB0">
        <w:t xml:space="preserve">would have CGP performed using </w:t>
      </w:r>
      <w:r w:rsidR="00F25E8B">
        <w:t>a NGS</w:t>
      </w:r>
      <w:r w:rsidR="00941752" w:rsidRPr="000F5EB0">
        <w:t xml:space="preserve"> assay </w:t>
      </w:r>
      <w:r w:rsidR="009F6990" w:rsidRPr="000F5EB0">
        <w:t>prior to treatment initiation</w:t>
      </w:r>
      <w:r w:rsidR="00640E95" w:rsidRPr="000F5EB0">
        <w:t xml:space="preserve">. </w:t>
      </w:r>
      <w:r w:rsidR="00853C55" w:rsidRPr="000F5EB0">
        <w:t xml:space="preserve">Based on current clinical management guidelines </w:t>
      </w:r>
      <w:r w:rsidR="00340609" w:rsidRPr="000F5EB0">
        <w:t xml:space="preserve">and PBS restrictions for systemic </w:t>
      </w:r>
      <w:r w:rsidR="00B9301E" w:rsidRPr="000F5EB0">
        <w:t xml:space="preserve">lung cancer </w:t>
      </w:r>
      <w:r w:rsidR="0096796D" w:rsidRPr="000F5EB0">
        <w:t>treatments</w:t>
      </w:r>
      <w:r w:rsidR="0089205E">
        <w:t>,</w:t>
      </w:r>
      <w:r w:rsidR="0096796D" w:rsidRPr="000F5EB0">
        <w:t xml:space="preserve"> </w:t>
      </w:r>
      <w:r w:rsidR="00B9301E" w:rsidRPr="000F5EB0">
        <w:t xml:space="preserve">it is reasonable that patients with </w:t>
      </w:r>
      <w:r w:rsidR="00671535">
        <w:t>Stage IIIB (locally advanced) or Stage IV (meta</w:t>
      </w:r>
      <w:r w:rsidR="007E390A">
        <w:t xml:space="preserve">static) disease </w:t>
      </w:r>
      <w:r w:rsidR="005E1E6B">
        <w:t>of non-squamous (or not otherwise specified) histology</w:t>
      </w:r>
      <w:r w:rsidR="005E1E6B" w:rsidRPr="000F5EB0">
        <w:t xml:space="preserve"> </w:t>
      </w:r>
      <w:r w:rsidR="00B9301E" w:rsidRPr="000F5EB0">
        <w:t>would be considered for CGP</w:t>
      </w:r>
      <w:r w:rsidR="00C22CF1">
        <w:t>.</w:t>
      </w:r>
    </w:p>
    <w:p w14:paraId="6B2F52FD" w14:textId="0B72F5E0" w:rsidR="000F57AE" w:rsidRPr="000F5EB0" w:rsidRDefault="002E6B11" w:rsidP="00225180">
      <w:pPr>
        <w:spacing w:before="100" w:beforeAutospacing="1" w:after="100" w:afterAutospacing="1"/>
        <w:ind w:left="360"/>
        <w:rPr>
          <w:szCs w:val="20"/>
        </w:rPr>
      </w:pPr>
      <w:r w:rsidRPr="000F5EB0">
        <w:rPr>
          <w:szCs w:val="20"/>
        </w:rPr>
        <w:t>Disease</w:t>
      </w:r>
      <w:r w:rsidR="00A535D0" w:rsidRPr="000F5EB0">
        <w:rPr>
          <w:szCs w:val="20"/>
        </w:rPr>
        <w:t xml:space="preserve"> staging </w:t>
      </w:r>
      <w:r w:rsidR="00345CA0">
        <w:rPr>
          <w:szCs w:val="20"/>
        </w:rPr>
        <w:t xml:space="preserve">and histology assessment </w:t>
      </w:r>
      <w:r w:rsidR="000F57AE" w:rsidRPr="000F5EB0">
        <w:rPr>
          <w:szCs w:val="20"/>
        </w:rPr>
        <w:t xml:space="preserve">is part of the routine management of </w:t>
      </w:r>
      <w:r w:rsidR="00B63261" w:rsidRPr="000F5EB0">
        <w:rPr>
          <w:szCs w:val="20"/>
        </w:rPr>
        <w:t>lung cancer</w:t>
      </w:r>
      <w:r w:rsidR="000F57AE" w:rsidRPr="000F5EB0">
        <w:rPr>
          <w:szCs w:val="20"/>
        </w:rPr>
        <w:t xml:space="preserve"> patients. </w:t>
      </w:r>
      <w:r w:rsidR="00BF37AA">
        <w:rPr>
          <w:szCs w:val="20"/>
        </w:rPr>
        <w:t>Therefore,</w:t>
      </w:r>
      <w:r w:rsidR="005E1E6B">
        <w:rPr>
          <w:szCs w:val="20"/>
        </w:rPr>
        <w:t xml:space="preserve"> </w:t>
      </w:r>
      <w:r w:rsidR="000F57AE" w:rsidRPr="000F5EB0">
        <w:rPr>
          <w:szCs w:val="20"/>
        </w:rPr>
        <w:t>there would be no changes in the use of investigative procedures used during initial disease staging</w:t>
      </w:r>
      <w:r w:rsidR="003F3C8B" w:rsidRPr="000F5EB0">
        <w:rPr>
          <w:szCs w:val="20"/>
        </w:rPr>
        <w:t xml:space="preserve"> if CGP using </w:t>
      </w:r>
      <w:r w:rsidR="00EE2DEC">
        <w:rPr>
          <w:szCs w:val="20"/>
        </w:rPr>
        <w:t xml:space="preserve">a NGS </w:t>
      </w:r>
      <w:r w:rsidR="003F3C8B" w:rsidRPr="000F5EB0">
        <w:rPr>
          <w:szCs w:val="20"/>
        </w:rPr>
        <w:t xml:space="preserve">assay </w:t>
      </w:r>
      <w:r w:rsidR="00122089" w:rsidRPr="000F5EB0">
        <w:rPr>
          <w:szCs w:val="20"/>
        </w:rPr>
        <w:t xml:space="preserve">was used to identify </w:t>
      </w:r>
      <w:r w:rsidR="00700887">
        <w:rPr>
          <w:szCs w:val="20"/>
        </w:rPr>
        <w:t xml:space="preserve">genomic alterations used to </w:t>
      </w:r>
      <w:r w:rsidR="00D76F6D" w:rsidRPr="000F5EB0">
        <w:rPr>
          <w:szCs w:val="20"/>
        </w:rPr>
        <w:t>inform</w:t>
      </w:r>
      <w:r w:rsidR="00700887">
        <w:rPr>
          <w:szCs w:val="20"/>
        </w:rPr>
        <w:t xml:space="preserve"> </w:t>
      </w:r>
      <w:r w:rsidR="004C6036" w:rsidRPr="000F5EB0">
        <w:rPr>
          <w:szCs w:val="20"/>
        </w:rPr>
        <w:t>decision</w:t>
      </w:r>
      <w:r w:rsidR="00FD6350">
        <w:rPr>
          <w:szCs w:val="20"/>
        </w:rPr>
        <w:t>s</w:t>
      </w:r>
      <w:r w:rsidR="000D4139" w:rsidRPr="000F5EB0">
        <w:rPr>
          <w:szCs w:val="20"/>
        </w:rPr>
        <w:t xml:space="preserve"> to use </w:t>
      </w:r>
      <w:r w:rsidR="00D76F6D" w:rsidRPr="000F5EB0">
        <w:rPr>
          <w:szCs w:val="20"/>
        </w:rPr>
        <w:t xml:space="preserve">a targeted </w:t>
      </w:r>
      <w:r w:rsidR="004C6036" w:rsidRPr="000F5EB0">
        <w:rPr>
          <w:szCs w:val="20"/>
        </w:rPr>
        <w:t>treatment</w:t>
      </w:r>
      <w:r w:rsidR="004605AB" w:rsidRPr="000F5EB0">
        <w:rPr>
          <w:szCs w:val="20"/>
        </w:rPr>
        <w:t>.</w:t>
      </w:r>
    </w:p>
    <w:p w14:paraId="0C093DC3" w14:textId="77777777" w:rsidR="0018630F" w:rsidRPr="000F5EB0" w:rsidRDefault="0018630F" w:rsidP="00530204">
      <w:pPr>
        <w:pStyle w:val="Heading2"/>
      </w:pPr>
      <w:r w:rsidRPr="000F5EB0">
        <w:t xml:space="preserve">Define and summarise the current clinical management pathway </w:t>
      </w:r>
      <w:r w:rsidRPr="000F5EB0">
        <w:rPr>
          <w:i/>
        </w:rPr>
        <w:t>before</w:t>
      </w:r>
      <w:r w:rsidRPr="000F5EB0">
        <w:t xml:space="preserve"> patients would be eligible for the proposed medical service (supplement this summary with </w:t>
      </w:r>
      <w:r w:rsidR="00F33F1A" w:rsidRPr="000F5EB0">
        <w:t xml:space="preserve">an easy to follow flowchart </w:t>
      </w:r>
      <w:r w:rsidR="00DF0C51" w:rsidRPr="000F5EB0">
        <w:t xml:space="preserve">[as an attachment to the Application Form] </w:t>
      </w:r>
      <w:r w:rsidR="00F33F1A" w:rsidRPr="000F5EB0">
        <w:t>dep</w:t>
      </w:r>
      <w:r w:rsidRPr="000F5EB0">
        <w:t>icting the current clinical manag</w:t>
      </w:r>
      <w:r w:rsidR="00197D29" w:rsidRPr="000F5EB0">
        <w:t>ement pathway up to this point):</w:t>
      </w:r>
    </w:p>
    <w:p w14:paraId="3C810E24" w14:textId="1D967564" w:rsidR="0078384E" w:rsidRPr="000F5EB0" w:rsidRDefault="0078384E" w:rsidP="00225180">
      <w:pPr>
        <w:ind w:left="360"/>
      </w:pPr>
      <w:r w:rsidRPr="000F5EB0">
        <w:t>Guidelines for the management of NSCLC</w:t>
      </w:r>
      <w:r w:rsidR="0005016E">
        <w:t xml:space="preserve"> </w:t>
      </w:r>
      <w:r w:rsidR="00391F44">
        <w:fldChar w:fldCharType="begin">
          <w:fldData xml:space="preserve">PEVuZE5vdGU+PENpdGU+PEF1dGhvcj5OQ0NOPC9BdXRob3I+PFllYXI+MjAxOTwvWWVhcj48UmVj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</w:fldData>
        </w:fldChar>
      </w:r>
      <w:r w:rsidR="00B078F9">
        <w:instrText xml:space="preserve"> ADDIN EN.CITE </w:instrText>
      </w:r>
      <w:r w:rsidR="00B078F9">
        <w:fldChar w:fldCharType="begin">
          <w:fldData xml:space="preserve">PEVuZE5vdGU+PENpdGU+PEF1dGhvcj5OQ0NOPC9BdXRob3I+PFllYXI+MjAxOTwvWWVhcj48UmVj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</w:fldData>
        </w:fldChar>
      </w:r>
      <w:r w:rsidR="00B078F9">
        <w:instrText xml:space="preserve"> ADDIN EN.CITE.DATA </w:instrText>
      </w:r>
      <w:r w:rsidR="00B078F9">
        <w:fldChar w:fldCharType="end"/>
      </w:r>
      <w:r w:rsidR="00391F44">
        <w:fldChar w:fldCharType="separate"/>
      </w:r>
      <w:r w:rsidR="00B078F9">
        <w:rPr>
          <w:noProof/>
        </w:rPr>
        <w:t>(Planchard et al. 2018, NCCN 2019)</w:t>
      </w:r>
      <w:r w:rsidR="00391F44">
        <w:fldChar w:fldCharType="end"/>
      </w:r>
      <w:r w:rsidR="00FD6350">
        <w:t xml:space="preserve"> </w:t>
      </w:r>
      <w:r w:rsidRPr="000F5EB0">
        <w:t xml:space="preserve">outline the following procedures as part of the diagnosis and initial assessment of </w:t>
      </w:r>
      <w:r w:rsidR="00391F44">
        <w:t xml:space="preserve">NSCLC </w:t>
      </w:r>
      <w:r w:rsidR="005E1E6B">
        <w:t>patients:</w:t>
      </w:r>
      <w:r w:rsidRPr="000F5EB0">
        <w:t xml:space="preserve"> physical examination and assessment of medical history; complete blood count; renal and liver function testing; pathologic evaluation of tumour biopsy specimen to determine histological subtype; contrast-enhanced computed tomography </w:t>
      </w:r>
      <w:r w:rsidRPr="000F5EB0">
        <w:lastRenderedPageBreak/>
        <w:t>(CT) scan of the chest and upper abdomen; and a potential further FDG-PET scan if the presence of metastatic disease is suspected after CT scan (equivocal CT scan result). These investigations should</w:t>
      </w:r>
      <w:r w:rsidR="005E1E6B">
        <w:t xml:space="preserve"> </w:t>
      </w:r>
      <w:r w:rsidRPr="000F5EB0">
        <w:t>be performed on all patients as part of the initial diagnosis and staging of disease.</w:t>
      </w:r>
    </w:p>
    <w:p w14:paraId="3E084CAD" w14:textId="511549B5" w:rsidR="0078384E" w:rsidRPr="000F5EB0" w:rsidRDefault="0078384E" w:rsidP="00225180">
      <w:pPr>
        <w:ind w:left="360"/>
      </w:pPr>
      <w:r w:rsidRPr="000F5EB0">
        <w:t xml:space="preserve">Based on initial diagnosis and staging outcomes, if </w:t>
      </w:r>
      <w:r w:rsidR="00C11717">
        <w:t xml:space="preserve">the </w:t>
      </w:r>
      <w:r w:rsidRPr="000F5EB0">
        <w:t>patient has locally advanced or metastatic disease unsuitable for conservative management or surgical resection</w:t>
      </w:r>
      <w:r w:rsidR="005E1E6B">
        <w:t>, the use of systemic treatment</w:t>
      </w:r>
      <w:r w:rsidRPr="000F5EB0">
        <w:t xml:space="preserve"> is recommended.</w:t>
      </w:r>
    </w:p>
    <w:p w14:paraId="5993249A" w14:textId="65067C20" w:rsidR="00BC424B" w:rsidRPr="000F5EB0" w:rsidRDefault="0078384E" w:rsidP="00225180">
      <w:pPr>
        <w:ind w:left="360"/>
      </w:pPr>
      <w:r w:rsidRPr="000F5EB0">
        <w:t>Prior to the commencement of systemic therapy for locally advanced or metastatic NSCLC, molecular</w:t>
      </w:r>
      <w:r w:rsidR="00D808B1">
        <w:t xml:space="preserve"> testing</w:t>
      </w:r>
      <w:r w:rsidRPr="000F5EB0">
        <w:t xml:space="preserve"> of the patient’s </w:t>
      </w:r>
      <w:r w:rsidR="00D808B1">
        <w:t xml:space="preserve">tumour tissue </w:t>
      </w:r>
      <w:r w:rsidRPr="000F5EB0">
        <w:t xml:space="preserve">should be undertaken to </w:t>
      </w:r>
      <w:r w:rsidR="00D408F0" w:rsidRPr="000F5EB0">
        <w:t xml:space="preserve">determine </w:t>
      </w:r>
      <w:r w:rsidR="008C1594" w:rsidRPr="000F5EB0">
        <w:t xml:space="preserve">eligibility to PBS-listed </w:t>
      </w:r>
      <w:r w:rsidRPr="000F5EB0">
        <w:t>treatment with EGFR</w:t>
      </w:r>
      <w:r w:rsidR="00CB0DB9" w:rsidRPr="000F5EB0">
        <w:t>-</w:t>
      </w:r>
      <w:r w:rsidRPr="000F5EB0">
        <w:t>TKIs (gefitinib, erlotinib, afatinib)</w:t>
      </w:r>
      <w:r w:rsidR="00EF5F5D">
        <w:t xml:space="preserve">, </w:t>
      </w:r>
      <w:r w:rsidRPr="000F5EB0">
        <w:t>ALK</w:t>
      </w:r>
      <w:r w:rsidR="002B0A32">
        <w:t>-</w:t>
      </w:r>
      <w:r w:rsidRPr="000F5EB0">
        <w:t>TKIs (crizotinib, ceritinib, alectinib)</w:t>
      </w:r>
      <w:r w:rsidR="00EF5F5D">
        <w:t xml:space="preserve"> or ROS1</w:t>
      </w:r>
      <w:r w:rsidR="00040535">
        <w:t>-</w:t>
      </w:r>
      <w:r w:rsidR="00EF5F5D">
        <w:t>TKIs (</w:t>
      </w:r>
      <w:r w:rsidR="00DF688D">
        <w:t>crizotinib)</w:t>
      </w:r>
      <w:r w:rsidRPr="000F5EB0">
        <w:t>.</w:t>
      </w:r>
      <w:r w:rsidR="002B0A32">
        <w:t xml:space="preserve"> </w:t>
      </w:r>
      <w:r w:rsidR="009C0484" w:rsidRPr="000F5EB0">
        <w:t xml:space="preserve">Due to </w:t>
      </w:r>
      <w:r w:rsidR="005E1E6B">
        <w:t>simultaneous</w:t>
      </w:r>
      <w:r w:rsidR="009C0484" w:rsidRPr="000F5EB0">
        <w:t xml:space="preserve"> assess</w:t>
      </w:r>
      <w:r w:rsidR="005E1E6B">
        <w:t>ment</w:t>
      </w:r>
      <w:r w:rsidR="009C0484" w:rsidRPr="000F5EB0">
        <w:t xml:space="preserve"> all </w:t>
      </w:r>
      <w:r w:rsidR="00451BEA">
        <w:rPr>
          <w:szCs w:val="20"/>
        </w:rPr>
        <w:t>genomic alterations</w:t>
      </w:r>
      <w:r w:rsidR="009C0484" w:rsidRPr="000F5EB0">
        <w:t xml:space="preserve"> currently used </w:t>
      </w:r>
      <w:r w:rsidR="00D408F0" w:rsidRPr="000F5EB0">
        <w:t>to determine patient eligibility to access target treatment through the PBS, it</w:t>
      </w:r>
      <w:r w:rsidR="00E02271">
        <w:t xml:space="preserve"> i</w:t>
      </w:r>
      <w:r w:rsidR="00D408F0" w:rsidRPr="000F5EB0">
        <w:t xml:space="preserve">s proposed that </w:t>
      </w:r>
      <w:r w:rsidR="00007B9B" w:rsidRPr="000F5EB0">
        <w:t xml:space="preserve">CGP using </w:t>
      </w:r>
      <w:r w:rsidR="00395D9B">
        <w:t xml:space="preserve">a NGS </w:t>
      </w:r>
      <w:r w:rsidR="00007B9B" w:rsidRPr="000F5EB0">
        <w:t xml:space="preserve">assay would be used as an </w:t>
      </w:r>
      <w:r w:rsidR="00007B9B" w:rsidRPr="00A83281">
        <w:rPr>
          <w:u w:val="single"/>
        </w:rPr>
        <w:t>alternative</w:t>
      </w:r>
      <w:r w:rsidR="00007B9B" w:rsidRPr="000F5EB0">
        <w:t xml:space="preserve"> to </w:t>
      </w:r>
      <w:r w:rsidR="009E2580" w:rsidRPr="000F5EB0">
        <w:t xml:space="preserve">a sequence of </w:t>
      </w:r>
      <w:r w:rsidR="00EA1234" w:rsidRPr="000F5EB0">
        <w:t>individual</w:t>
      </w:r>
      <w:r w:rsidR="006F7AB3">
        <w:t xml:space="preserve"> EGFR, ALK and ROS1 </w:t>
      </w:r>
      <w:r w:rsidR="009E2580" w:rsidRPr="000F5EB0">
        <w:t xml:space="preserve">biomarker </w:t>
      </w:r>
      <w:r w:rsidR="00321082">
        <w:t xml:space="preserve">testing </w:t>
      </w:r>
      <w:r w:rsidR="00E47CAB" w:rsidRPr="000F5EB0">
        <w:t>currently listed on the MBS.</w:t>
      </w:r>
    </w:p>
    <w:p w14:paraId="7CEFFBB6" w14:textId="77777777" w:rsidR="002A50FD" w:rsidRPr="000F5EB0" w:rsidRDefault="005C3AE7" w:rsidP="005C3AE7">
      <w:pPr>
        <w:pStyle w:val="Subtitle"/>
      </w:pPr>
      <w:r w:rsidRPr="000F5EB0">
        <w:t xml:space="preserve">PART 6b – </w:t>
      </w:r>
      <w:r w:rsidR="002A50FD" w:rsidRPr="000F5EB0">
        <w:t>INFORMATION ABOUT THE INTERVENTION</w:t>
      </w:r>
    </w:p>
    <w:p w14:paraId="1D98782B" w14:textId="77777777" w:rsidR="002A50FD" w:rsidRPr="000F5EB0" w:rsidRDefault="002A6753" w:rsidP="00530204">
      <w:pPr>
        <w:pStyle w:val="Heading2"/>
      </w:pPr>
      <w:r w:rsidRPr="000F5EB0">
        <w:t xml:space="preserve">Describe the </w:t>
      </w:r>
      <w:r w:rsidR="00DF6D37" w:rsidRPr="000F5EB0">
        <w:t>key components and</w:t>
      </w:r>
      <w:r w:rsidR="00B771AD" w:rsidRPr="000F5EB0">
        <w:t xml:space="preserve"> clinical</w:t>
      </w:r>
      <w:r w:rsidR="00DF6D37" w:rsidRPr="000F5EB0">
        <w:t xml:space="preserve"> steps involved in delivering </w:t>
      </w:r>
      <w:r w:rsidR="00C05A45" w:rsidRPr="000F5EB0">
        <w:t xml:space="preserve">the </w:t>
      </w:r>
      <w:r w:rsidR="00197D29" w:rsidRPr="000F5EB0">
        <w:t>proposed medical service:</w:t>
      </w:r>
    </w:p>
    <w:p w14:paraId="0AB2C76D" w14:textId="3569E6FA" w:rsidR="00646A85" w:rsidRDefault="005C1CC8" w:rsidP="00225180">
      <w:pPr>
        <w:ind w:left="360"/>
      </w:pPr>
      <w:r>
        <w:t xml:space="preserve">The conduct of CGP using </w:t>
      </w:r>
      <w:r w:rsidR="00CE54FF">
        <w:t xml:space="preserve">a NGS </w:t>
      </w:r>
      <w:r w:rsidR="00584B9F">
        <w:t>assay</w:t>
      </w:r>
      <w:r w:rsidR="00646A85">
        <w:t xml:space="preserve"> involves the following key steps:</w:t>
      </w:r>
    </w:p>
    <w:p w14:paraId="228E33CE" w14:textId="443F7B6F" w:rsidR="00646A85" w:rsidRDefault="00646A85" w:rsidP="00225180">
      <w:pPr>
        <w:pStyle w:val="ListParagraph"/>
        <w:numPr>
          <w:ilvl w:val="0"/>
          <w:numId w:val="25"/>
        </w:numPr>
        <w:ind w:left="1080"/>
      </w:pPr>
      <w:r>
        <w:t xml:space="preserve">Isolation of </w:t>
      </w:r>
      <w:r w:rsidR="009F1775">
        <w:t>tumour DNA from tumour tissue specimen</w:t>
      </w:r>
    </w:p>
    <w:p w14:paraId="5FD4A316" w14:textId="77777777" w:rsidR="00B54E9B" w:rsidRDefault="00502C7C" w:rsidP="00225180">
      <w:pPr>
        <w:pStyle w:val="ListParagraph"/>
        <w:numPr>
          <w:ilvl w:val="0"/>
          <w:numId w:val="25"/>
        </w:numPr>
        <w:ind w:left="1080"/>
      </w:pPr>
      <w:r>
        <w:t>Preparation of sequencing libraries</w:t>
      </w:r>
    </w:p>
    <w:p w14:paraId="1EE81338" w14:textId="77777777" w:rsidR="009B412C" w:rsidRDefault="00B54E9B" w:rsidP="00225180">
      <w:pPr>
        <w:pStyle w:val="ListParagraph"/>
        <w:numPr>
          <w:ilvl w:val="0"/>
          <w:numId w:val="25"/>
        </w:numPr>
        <w:ind w:left="1080"/>
      </w:pPr>
      <w:r>
        <w:t>Enrich</w:t>
      </w:r>
      <w:r w:rsidR="00BD020E">
        <w:t xml:space="preserve">ment of </w:t>
      </w:r>
      <w:r w:rsidR="009B412C">
        <w:t>sequencing libraries for genes of interest</w:t>
      </w:r>
    </w:p>
    <w:p w14:paraId="23BB35EE" w14:textId="77777777" w:rsidR="006A1933" w:rsidRDefault="00DF0BF5" w:rsidP="00225180">
      <w:pPr>
        <w:pStyle w:val="ListParagraph"/>
        <w:numPr>
          <w:ilvl w:val="0"/>
          <w:numId w:val="25"/>
        </w:numPr>
        <w:ind w:left="1080"/>
      </w:pPr>
      <w:r>
        <w:t xml:space="preserve">Sequencing of </w:t>
      </w:r>
      <w:r w:rsidR="006A1933">
        <w:t>enriched libraries</w:t>
      </w:r>
    </w:p>
    <w:p w14:paraId="526F2D7C" w14:textId="2082A240" w:rsidR="00502C7C" w:rsidRDefault="006A1933" w:rsidP="00225180">
      <w:pPr>
        <w:pStyle w:val="ListParagraph"/>
        <w:numPr>
          <w:ilvl w:val="0"/>
          <w:numId w:val="25"/>
        </w:numPr>
        <w:ind w:left="1080"/>
      </w:pPr>
      <w:r>
        <w:t>Analysis and reporting of test results</w:t>
      </w:r>
    </w:p>
    <w:p w14:paraId="51253E7C" w14:textId="75C467FA" w:rsidR="006A5B5B" w:rsidRPr="000F5EB0" w:rsidRDefault="00810F30" w:rsidP="00225180">
      <w:pPr>
        <w:ind w:left="360"/>
      </w:pPr>
      <w:r>
        <w:t>A</w:t>
      </w:r>
      <w:r w:rsidR="006A5B5B" w:rsidRPr="000F5EB0">
        <w:t xml:space="preserve"> </w:t>
      </w:r>
      <w:r w:rsidR="009B3B80">
        <w:t xml:space="preserve">general </w:t>
      </w:r>
      <w:r w:rsidR="006A5B5B" w:rsidRPr="000F5EB0">
        <w:t>overview of the workflow associated with</w:t>
      </w:r>
      <w:r w:rsidR="005A0EA0">
        <w:t xml:space="preserve"> the conduct of CGP using</w:t>
      </w:r>
      <w:r w:rsidR="006A5B5B" w:rsidRPr="000F5EB0">
        <w:t xml:space="preserve"> </w:t>
      </w:r>
      <w:r w:rsidR="00B9523C">
        <w:t>NGS assay</w:t>
      </w:r>
      <w:r w:rsidR="00550093">
        <w:t>s</w:t>
      </w:r>
      <w:r w:rsidR="00B9523C">
        <w:t xml:space="preserve"> is </w:t>
      </w:r>
      <w:r w:rsidR="006A5B5B" w:rsidRPr="000F5EB0">
        <w:t xml:space="preserve">provided in </w:t>
      </w:r>
      <w:r w:rsidR="006A5B5B" w:rsidRPr="000F5EB0">
        <w:fldChar w:fldCharType="begin"/>
      </w:r>
      <w:r w:rsidR="006A5B5B" w:rsidRPr="000F5EB0">
        <w:instrText xml:space="preserve"> REF _Ref514527162 \h </w:instrText>
      </w:r>
      <w:r w:rsidR="000F5EB0">
        <w:instrText xml:space="preserve"> \* MERGEFORMAT </w:instrText>
      </w:r>
      <w:r w:rsidR="006A5B5B" w:rsidRPr="000F5EB0">
        <w:fldChar w:fldCharType="separate"/>
      </w:r>
      <w:r w:rsidR="00BC5CC8" w:rsidRPr="000F5EB0">
        <w:t xml:space="preserve">Figure </w:t>
      </w:r>
      <w:r w:rsidR="00BC5CC8">
        <w:t>1</w:t>
      </w:r>
      <w:r w:rsidR="006A5B5B" w:rsidRPr="000F5EB0">
        <w:fldChar w:fldCharType="end"/>
      </w:r>
      <w:r w:rsidR="006A5B5B" w:rsidRPr="000F5EB0">
        <w:t>.</w:t>
      </w:r>
    </w:p>
    <w:p w14:paraId="1CDB073F" w14:textId="49D8EC90" w:rsidR="006A5B5B" w:rsidRDefault="006A5B5B" w:rsidP="00DC3F37">
      <w:pPr>
        <w:pStyle w:val="Caption"/>
        <w:rPr>
          <w:szCs w:val="20"/>
        </w:rPr>
      </w:pPr>
      <w:bookmarkStart w:id="4" w:name="_Ref514527162"/>
      <w:r w:rsidRPr="000F5EB0">
        <w:t xml:space="preserve">Figure </w:t>
      </w:r>
      <w:r w:rsidR="00A66EBE">
        <w:rPr>
          <w:b w:val="0"/>
          <w:bCs w:val="0"/>
          <w:noProof/>
        </w:rPr>
        <w:fldChar w:fldCharType="begin"/>
      </w:r>
      <w:r w:rsidR="00A66EBE">
        <w:rPr>
          <w:noProof/>
        </w:rPr>
        <w:instrText xml:space="preserve"> SEQ Figure \* ARABIC </w:instrText>
      </w:r>
      <w:r w:rsidR="00A66EBE">
        <w:rPr>
          <w:b w:val="0"/>
          <w:bCs w:val="0"/>
          <w:noProof/>
        </w:rPr>
        <w:fldChar w:fldCharType="separate"/>
      </w:r>
      <w:r w:rsidR="00BC5CC8">
        <w:rPr>
          <w:noProof/>
        </w:rPr>
        <w:t>1</w:t>
      </w:r>
      <w:r w:rsidR="00A66EBE">
        <w:rPr>
          <w:b w:val="0"/>
          <w:bCs w:val="0"/>
          <w:noProof/>
        </w:rPr>
        <w:fldChar w:fldCharType="end"/>
      </w:r>
      <w:bookmarkEnd w:id="4"/>
      <w:r w:rsidRPr="000F5EB0">
        <w:tab/>
        <w:t xml:space="preserve">Workflow </w:t>
      </w:r>
      <w:r w:rsidR="003506EB" w:rsidRPr="000F5EB0">
        <w:t xml:space="preserve">applicable to </w:t>
      </w:r>
      <w:r w:rsidR="00C122EF">
        <w:rPr>
          <w:szCs w:val="20"/>
        </w:rPr>
        <w:t>NGS</w:t>
      </w:r>
      <w:r w:rsidR="00E55833">
        <w:rPr>
          <w:szCs w:val="20"/>
        </w:rPr>
        <w:t xml:space="preserve"> </w:t>
      </w:r>
      <w:r w:rsidR="00C122EF">
        <w:rPr>
          <w:szCs w:val="20"/>
        </w:rPr>
        <w:t>assays</w:t>
      </w:r>
    </w:p>
    <w:p w14:paraId="21DA69F7" w14:textId="51EA86D4" w:rsidR="00BE5C33" w:rsidRDefault="002B0E48" w:rsidP="00BE5C33">
      <w:pPr>
        <w:rPr>
          <w:lang w:eastAsia="zh-CN"/>
        </w:rPr>
      </w:pPr>
      <w:r w:rsidRPr="002B0E48">
        <w:rPr>
          <w:noProof/>
          <w:lang w:eastAsia="en-AU"/>
        </w:rPr>
        <w:drawing>
          <wp:inline distT="0" distB="0" distL="0" distR="0" wp14:anchorId="2D436668" wp14:editId="39D2E8B9">
            <wp:extent cx="5731510" cy="2359660"/>
            <wp:effectExtent l="0" t="0" r="2540" b="2540"/>
            <wp:docPr id="2" name="Picture 2"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2359660"/>
                    </a:xfrm>
                    <a:prstGeom prst="rect">
                      <a:avLst/>
                    </a:prstGeom>
                  </pic:spPr>
                </pic:pic>
              </a:graphicData>
            </a:graphic>
          </wp:inline>
        </w:drawing>
      </w:r>
    </w:p>
    <w:p w14:paraId="7561031F" w14:textId="47C02C89" w:rsidR="00BE5C33" w:rsidRPr="00CD0568" w:rsidRDefault="00283C9D" w:rsidP="00DA3D90">
      <w:pPr>
        <w:rPr>
          <w:lang w:val="fr-FR" w:eastAsia="zh-CN"/>
        </w:rPr>
      </w:pPr>
      <w:r w:rsidRPr="00CD0568">
        <w:rPr>
          <w:lang w:val="fr-FR" w:eastAsia="zh-CN"/>
        </w:rPr>
        <w:t>Source:</w:t>
      </w:r>
      <w:r w:rsidR="00576F18" w:rsidRPr="00CD0568">
        <w:rPr>
          <w:lang w:val="fr-FR" w:eastAsia="zh-CN"/>
        </w:rPr>
        <w:t xml:space="preserve"> </w:t>
      </w:r>
      <w:hyperlink r:id="rId29" w:history="1">
        <w:r w:rsidR="00576F18" w:rsidRPr="00CD0568">
          <w:rPr>
            <w:rStyle w:val="Hyperlink"/>
            <w:lang w:val="fr-FR" w:eastAsia="zh-CN"/>
          </w:rPr>
          <w:t>https://www.pieriandx.com/news-room/cap-distributive-model-of-ngs-testing</w:t>
        </w:r>
      </w:hyperlink>
      <w:r w:rsidR="00576F18" w:rsidRPr="00CD0568">
        <w:rPr>
          <w:lang w:val="fr-FR" w:eastAsia="zh-CN"/>
        </w:rPr>
        <w:t xml:space="preserve"> </w:t>
      </w:r>
    </w:p>
    <w:p w14:paraId="32796B19" w14:textId="228F23DF" w:rsidR="00FE2CCC" w:rsidRPr="0053648A" w:rsidRDefault="00FE2CCC" w:rsidP="00CD6C1F">
      <w:pPr>
        <w:rPr>
          <w:lang w:val="fr-FR"/>
        </w:rPr>
      </w:pPr>
    </w:p>
    <w:p w14:paraId="685FE538" w14:textId="47BAB343" w:rsidR="001F5002" w:rsidRPr="00CD6C1F" w:rsidRDefault="001D77CE" w:rsidP="00CD6C1F">
      <w:r>
        <w:t>W</w:t>
      </w:r>
      <w:r w:rsidR="0033786B" w:rsidRPr="00CD6C1F">
        <w:t xml:space="preserve">et lab and dry lab </w:t>
      </w:r>
      <w:r w:rsidR="001C5951" w:rsidRPr="00CD6C1F">
        <w:t>components of the workflow associated</w:t>
      </w:r>
      <w:r w:rsidR="00CD6C1F" w:rsidRPr="00CD6C1F">
        <w:t xml:space="preserve"> </w:t>
      </w:r>
      <w:r w:rsidR="001C5951" w:rsidRPr="00CD6C1F">
        <w:t xml:space="preserve">with </w:t>
      </w:r>
      <w:r w:rsidR="00B3401B">
        <w:t>CGP</w:t>
      </w:r>
      <w:r w:rsidR="001C5951" w:rsidRPr="00CD6C1F">
        <w:t xml:space="preserve"> using NGS assa</w:t>
      </w:r>
      <w:r w:rsidR="00CD6C1F">
        <w:t xml:space="preserve">ys </w:t>
      </w:r>
      <w:r w:rsidR="004663B4">
        <w:t xml:space="preserve">can </w:t>
      </w:r>
      <w:r w:rsidR="00BB5E59">
        <w:t xml:space="preserve">be </w:t>
      </w:r>
      <w:r w:rsidR="009F6266">
        <w:t>perfo</w:t>
      </w:r>
      <w:r w:rsidR="001275C6">
        <w:t xml:space="preserve">rmed on multiple tumour specimens </w:t>
      </w:r>
      <w:r w:rsidR="00DF6F47">
        <w:t>at the same time</w:t>
      </w:r>
      <w:r w:rsidR="001E6E79">
        <w:t>. Thus</w:t>
      </w:r>
      <w:r w:rsidR="00DF6F47">
        <w:t xml:space="preserve">, </w:t>
      </w:r>
      <w:r w:rsidR="000A5537">
        <w:t>some of the lab</w:t>
      </w:r>
      <w:r w:rsidR="00706523">
        <w:t>oratory</w:t>
      </w:r>
      <w:r w:rsidR="00B61DA2">
        <w:t xml:space="preserve"> </w:t>
      </w:r>
      <w:r w:rsidR="00706523">
        <w:t xml:space="preserve">components of </w:t>
      </w:r>
      <w:r w:rsidR="00D47997">
        <w:t>CGP using NGS assay</w:t>
      </w:r>
      <w:r>
        <w:t>s</w:t>
      </w:r>
      <w:r w:rsidR="00D47997">
        <w:t xml:space="preserve"> </w:t>
      </w:r>
      <w:r w:rsidR="00AB0B47">
        <w:t xml:space="preserve">benefit from </w:t>
      </w:r>
      <w:r w:rsidR="008C4B8E">
        <w:t xml:space="preserve">efficiencies </w:t>
      </w:r>
      <w:r w:rsidR="001A589E">
        <w:t xml:space="preserve">from ‘batch </w:t>
      </w:r>
      <w:r w:rsidR="00472A26">
        <w:t>processing</w:t>
      </w:r>
      <w:r w:rsidR="001A589E">
        <w:t xml:space="preserve">’ </w:t>
      </w:r>
      <w:r w:rsidR="006B39C7">
        <w:t>and/or aut</w:t>
      </w:r>
      <w:r w:rsidR="003472C9">
        <w:t xml:space="preserve">omation of </w:t>
      </w:r>
      <w:r w:rsidR="00FA4B31">
        <w:t xml:space="preserve">processing </w:t>
      </w:r>
      <w:r w:rsidR="001A589E">
        <w:t>clinical sa</w:t>
      </w:r>
      <w:r w:rsidR="00472A26">
        <w:t>m</w:t>
      </w:r>
      <w:r w:rsidR="001A589E">
        <w:t>ple</w:t>
      </w:r>
      <w:r w:rsidR="00472A26">
        <w:t xml:space="preserve">s. In contrast, </w:t>
      </w:r>
      <w:r w:rsidR="008435A7">
        <w:t xml:space="preserve">the </w:t>
      </w:r>
      <w:r w:rsidR="003544DA">
        <w:t xml:space="preserve">curation of </w:t>
      </w:r>
      <w:r w:rsidR="00EF2D49">
        <w:t>variant</w:t>
      </w:r>
      <w:r w:rsidR="003544DA">
        <w:t>s</w:t>
      </w:r>
      <w:r w:rsidR="009B2200">
        <w:t xml:space="preserve"> detect</w:t>
      </w:r>
      <w:r w:rsidR="00FA4B31">
        <w:t xml:space="preserve">ed in a </w:t>
      </w:r>
      <w:r w:rsidR="00AB2E97">
        <w:t>tumour specimen</w:t>
      </w:r>
      <w:r w:rsidR="003544DA">
        <w:t xml:space="preserve"> </w:t>
      </w:r>
      <w:r w:rsidR="00667F12">
        <w:t xml:space="preserve">and preparation of a </w:t>
      </w:r>
      <w:r w:rsidR="0072524A">
        <w:t>test report</w:t>
      </w:r>
      <w:r w:rsidR="00D358DF">
        <w:t xml:space="preserve"> outlining </w:t>
      </w:r>
      <w:r w:rsidR="007736A6">
        <w:t xml:space="preserve">the </w:t>
      </w:r>
      <w:r w:rsidR="00D004DB">
        <w:t xml:space="preserve">results of biomarker </w:t>
      </w:r>
      <w:r w:rsidR="00756B79">
        <w:t>testing</w:t>
      </w:r>
      <w:r w:rsidR="002263D0">
        <w:t xml:space="preserve"> must be performed </w:t>
      </w:r>
      <w:r w:rsidR="003B0184">
        <w:t>manually and on</w:t>
      </w:r>
      <w:r w:rsidR="002263D0">
        <w:t xml:space="preserve"> a per patient basis. </w:t>
      </w:r>
      <w:r w:rsidR="003B0184">
        <w:t xml:space="preserve">Thus, </w:t>
      </w:r>
      <w:r w:rsidR="004071F1">
        <w:t xml:space="preserve">the curation and reporting to CGP test results </w:t>
      </w:r>
      <w:r w:rsidR="00CB3770">
        <w:t>re</w:t>
      </w:r>
      <w:r w:rsidR="006325D5">
        <w:t>present</w:t>
      </w:r>
      <w:r w:rsidR="004071F1">
        <w:t xml:space="preserve">s </w:t>
      </w:r>
      <w:r w:rsidR="006325D5">
        <w:t xml:space="preserve">a </w:t>
      </w:r>
      <w:r w:rsidR="00CB3770">
        <w:t>significant</w:t>
      </w:r>
      <w:r w:rsidR="00916F86">
        <w:t xml:space="preserve"> investment of</w:t>
      </w:r>
      <w:r w:rsidR="006325D5">
        <w:t xml:space="preserve"> </w:t>
      </w:r>
      <w:r w:rsidR="00916F86">
        <w:t>time and expertise</w:t>
      </w:r>
      <w:r w:rsidR="00E4625E">
        <w:t xml:space="preserve"> </w:t>
      </w:r>
      <w:r w:rsidR="001C6C34">
        <w:t xml:space="preserve">and </w:t>
      </w:r>
      <w:r w:rsidR="00C66497">
        <w:t xml:space="preserve">will </w:t>
      </w:r>
      <w:r w:rsidR="007274CB">
        <w:t>contribute</w:t>
      </w:r>
      <w:r w:rsidR="00C66497">
        <w:t xml:space="preserve"> </w:t>
      </w:r>
      <w:r w:rsidR="007274CB">
        <w:t xml:space="preserve">to </w:t>
      </w:r>
      <w:r w:rsidR="00C66497">
        <w:t xml:space="preserve">an increase in the </w:t>
      </w:r>
      <w:r w:rsidR="00A30011">
        <w:t>cost</w:t>
      </w:r>
      <w:r w:rsidR="00415289">
        <w:t xml:space="preserve"> of </w:t>
      </w:r>
      <w:r w:rsidR="00A30011">
        <w:t>NGS</w:t>
      </w:r>
      <w:r w:rsidR="003644E0">
        <w:t xml:space="preserve"> </w:t>
      </w:r>
      <w:r w:rsidR="00A30011">
        <w:t xml:space="preserve">based </w:t>
      </w:r>
      <w:r w:rsidR="00C66497">
        <w:t xml:space="preserve">testing compared with single gene testing currently </w:t>
      </w:r>
      <w:r w:rsidR="003D4FCC">
        <w:t>funded through the MBS</w:t>
      </w:r>
      <w:r w:rsidR="00F55B21">
        <w:t>.</w:t>
      </w:r>
    </w:p>
    <w:p w14:paraId="38B6520F" w14:textId="77777777" w:rsidR="001F5002" w:rsidRPr="00CD6C1F" w:rsidRDefault="001F5002" w:rsidP="00CD6C1F"/>
    <w:p w14:paraId="21CACBFA" w14:textId="77777777" w:rsidR="002A6753" w:rsidRPr="000F5EB0" w:rsidRDefault="002A6753" w:rsidP="00530204">
      <w:pPr>
        <w:pStyle w:val="Heading2"/>
      </w:pPr>
      <w:r w:rsidRPr="000F5EB0">
        <w:lastRenderedPageBreak/>
        <w:t>Does the proposed medical service include a registered trademark</w:t>
      </w:r>
      <w:r w:rsidR="00707D4D" w:rsidRPr="000F5EB0">
        <w:t xml:space="preserve"> component</w:t>
      </w:r>
      <w:r w:rsidRPr="000F5EB0">
        <w:t xml:space="preserve"> with characteristics that distinguishes it from other similar health </w:t>
      </w:r>
      <w:r w:rsidR="00707D4D" w:rsidRPr="000F5EB0">
        <w:t>components</w:t>
      </w:r>
      <w:r w:rsidRPr="000F5EB0">
        <w:t>?</w:t>
      </w:r>
    </w:p>
    <w:p w14:paraId="0854D27E" w14:textId="77777777" w:rsidR="00FD3D51" w:rsidRDefault="00FD3D51" w:rsidP="00225180">
      <w:pPr>
        <w:ind w:left="360"/>
      </w:pPr>
      <w:r>
        <w:t>Not applicable.</w:t>
      </w:r>
    </w:p>
    <w:p w14:paraId="7BFFE7CB" w14:textId="0E9522E4" w:rsidR="002A6753" w:rsidRPr="000F5EB0" w:rsidRDefault="00E3202B" w:rsidP="00225180">
      <w:pPr>
        <w:ind w:left="360"/>
      </w:pPr>
      <w:r>
        <w:t>Whil</w:t>
      </w:r>
      <w:r w:rsidR="0040527E">
        <w:t>e</w:t>
      </w:r>
      <w:r>
        <w:t xml:space="preserve"> t</w:t>
      </w:r>
      <w:r w:rsidR="00611E24">
        <w:t xml:space="preserve">here is </w:t>
      </w:r>
      <w:r w:rsidR="004A1F63">
        <w:t xml:space="preserve">a degree of variation </w:t>
      </w:r>
      <w:r w:rsidR="00020170">
        <w:t xml:space="preserve">as to the </w:t>
      </w:r>
      <w:r w:rsidR="00634BB2" w:rsidRPr="000F5EB0">
        <w:t xml:space="preserve">unique list of genes assessed </w:t>
      </w:r>
      <w:r w:rsidR="00FB053F" w:rsidRPr="000F5EB0">
        <w:t xml:space="preserve">with </w:t>
      </w:r>
      <w:r w:rsidR="00C62379">
        <w:t xml:space="preserve">various NGS </w:t>
      </w:r>
      <w:r w:rsidR="00FB053F" w:rsidRPr="000F5EB0">
        <w:t>assay</w:t>
      </w:r>
      <w:r w:rsidR="00001354">
        <w:t>s</w:t>
      </w:r>
      <w:r w:rsidR="00DF1466">
        <w:t xml:space="preserve"> this application does not proposed to limit </w:t>
      </w:r>
      <w:r w:rsidR="00C76A5A">
        <w:t xml:space="preserve">the use of </w:t>
      </w:r>
      <w:r w:rsidR="00B3401B">
        <w:t>CGP</w:t>
      </w:r>
      <w:r w:rsidR="00C76A5A">
        <w:t xml:space="preserve"> </w:t>
      </w:r>
      <w:r w:rsidR="00547716">
        <w:t xml:space="preserve">to a specific NGS assay </w:t>
      </w:r>
      <w:r w:rsidR="00811DE2">
        <w:t>with a registered trademark(s).</w:t>
      </w:r>
    </w:p>
    <w:p w14:paraId="236C5CDF" w14:textId="77777777" w:rsidR="00C22AD8" w:rsidRPr="000F5EB0" w:rsidRDefault="00C22AD8" w:rsidP="00530204">
      <w:pPr>
        <w:pStyle w:val="Heading2"/>
      </w:pPr>
      <w:r w:rsidRPr="000F5EB0">
        <w:t>If the proposed medical service has a prosthesis or device component to it, does it involve a new approach towards managing a particular sub-group of the population with the specific medical condition?</w:t>
      </w:r>
    </w:p>
    <w:p w14:paraId="0F338FE3" w14:textId="5CB32F7E" w:rsidR="00DF0C51" w:rsidRPr="000F5EB0" w:rsidRDefault="00153779" w:rsidP="00225180">
      <w:pPr>
        <w:ind w:firstLine="360"/>
      </w:pPr>
      <w:r w:rsidRPr="000F5EB0">
        <w:t>Not applicable.</w:t>
      </w:r>
    </w:p>
    <w:p w14:paraId="4823A5C5" w14:textId="77777777" w:rsidR="006B1B49" w:rsidRPr="000F5EB0" w:rsidRDefault="006B1B49" w:rsidP="00530204">
      <w:pPr>
        <w:pStyle w:val="Heading2"/>
      </w:pPr>
      <w:r w:rsidRPr="000F5EB0">
        <w:t xml:space="preserve">If applicable, are there any limitations on the </w:t>
      </w:r>
      <w:r w:rsidR="00DF0C51" w:rsidRPr="000F5EB0">
        <w:t xml:space="preserve">provision </w:t>
      </w:r>
      <w:r w:rsidRPr="000F5EB0">
        <w:t>of the proposed medical se</w:t>
      </w:r>
      <w:r w:rsidR="00DF0C51" w:rsidRPr="000F5EB0">
        <w:t xml:space="preserve">rvice delivered to the patient </w:t>
      </w:r>
      <w:r w:rsidR="00D30BDC" w:rsidRPr="000F5EB0">
        <w:t>(</w:t>
      </w:r>
      <w:r w:rsidR="00DF0C51" w:rsidRPr="000F5EB0">
        <w:t>i</w:t>
      </w:r>
      <w:r w:rsidR="00812EDD" w:rsidRPr="000F5EB0">
        <w:t>.</w:t>
      </w:r>
      <w:r w:rsidR="00DF0C51" w:rsidRPr="000F5EB0">
        <w:t xml:space="preserve">e. </w:t>
      </w:r>
      <w:r w:rsidR="00707D4D" w:rsidRPr="000F5EB0">
        <w:t xml:space="preserve">accessibility, </w:t>
      </w:r>
      <w:r w:rsidR="00DF0C51" w:rsidRPr="000F5EB0">
        <w:t>dosage, quantity, duration or frequency</w:t>
      </w:r>
      <w:r w:rsidR="00D30BDC" w:rsidRPr="000F5EB0">
        <w:t>)</w:t>
      </w:r>
      <w:r w:rsidR="00AE1188" w:rsidRPr="000F5EB0">
        <w:t>:</w:t>
      </w:r>
    </w:p>
    <w:p w14:paraId="553DFA02" w14:textId="5068A27C" w:rsidR="00CD62DF" w:rsidRPr="000F5EB0" w:rsidRDefault="00F46CA0" w:rsidP="00225180">
      <w:pPr>
        <w:spacing w:before="100" w:beforeAutospacing="1" w:after="100" w:afterAutospacing="1"/>
        <w:ind w:left="360"/>
        <w:rPr>
          <w:szCs w:val="20"/>
        </w:rPr>
      </w:pPr>
      <w:r w:rsidRPr="000F5EB0">
        <w:rPr>
          <w:szCs w:val="20"/>
        </w:rPr>
        <w:t xml:space="preserve">It is proposed that </w:t>
      </w:r>
      <w:r w:rsidR="00533007" w:rsidRPr="000F5EB0">
        <w:rPr>
          <w:szCs w:val="20"/>
        </w:rPr>
        <w:t xml:space="preserve">CGP of tumour tissue using </w:t>
      </w:r>
      <w:r w:rsidR="00941003">
        <w:rPr>
          <w:szCs w:val="20"/>
        </w:rPr>
        <w:t xml:space="preserve">a NGS </w:t>
      </w:r>
      <w:r w:rsidR="00533007" w:rsidRPr="000F5EB0">
        <w:rPr>
          <w:szCs w:val="20"/>
        </w:rPr>
        <w:t xml:space="preserve">assay </w:t>
      </w:r>
      <w:r w:rsidRPr="000F5EB0">
        <w:rPr>
          <w:szCs w:val="20"/>
        </w:rPr>
        <w:t>would</w:t>
      </w:r>
      <w:r w:rsidR="00C85F5B">
        <w:rPr>
          <w:szCs w:val="20"/>
        </w:rPr>
        <w:t xml:space="preserve"> </w:t>
      </w:r>
      <w:r w:rsidR="003E2CA2">
        <w:rPr>
          <w:szCs w:val="20"/>
        </w:rPr>
        <w:t xml:space="preserve">be performed </w:t>
      </w:r>
      <w:r w:rsidR="006E0886">
        <w:rPr>
          <w:szCs w:val="20"/>
        </w:rPr>
        <w:t xml:space="preserve">once </w:t>
      </w:r>
      <w:r w:rsidR="000F6AA2">
        <w:rPr>
          <w:szCs w:val="20"/>
        </w:rPr>
        <w:t>per</w:t>
      </w:r>
      <w:r w:rsidR="006E0886">
        <w:rPr>
          <w:szCs w:val="20"/>
        </w:rPr>
        <w:t xml:space="preserve"> course of therapy</w:t>
      </w:r>
      <w:r w:rsidRPr="000F5EB0">
        <w:rPr>
          <w:szCs w:val="20"/>
        </w:rPr>
        <w:t xml:space="preserve">. For most </w:t>
      </w:r>
      <w:r w:rsidR="00F97803">
        <w:rPr>
          <w:szCs w:val="20"/>
        </w:rPr>
        <w:t xml:space="preserve">NSCLC </w:t>
      </w:r>
      <w:r w:rsidRPr="000F5EB0">
        <w:rPr>
          <w:szCs w:val="20"/>
        </w:rPr>
        <w:t xml:space="preserve">patients </w:t>
      </w:r>
      <w:r w:rsidR="00A5382A">
        <w:rPr>
          <w:szCs w:val="20"/>
        </w:rPr>
        <w:t>testing for genomic alterations</w:t>
      </w:r>
      <w:r w:rsidR="00BA187F" w:rsidRPr="000F5EB0">
        <w:rPr>
          <w:szCs w:val="20"/>
        </w:rPr>
        <w:t xml:space="preserve"> </w:t>
      </w:r>
      <w:r w:rsidR="005E1E6B">
        <w:rPr>
          <w:szCs w:val="20"/>
        </w:rPr>
        <w:t>will</w:t>
      </w:r>
      <w:r w:rsidRPr="000F5EB0">
        <w:rPr>
          <w:szCs w:val="20"/>
        </w:rPr>
        <w:t xml:space="preserve"> be performed when a decision to initiate systemic treatment is made</w:t>
      </w:r>
      <w:r w:rsidR="00410FF8">
        <w:rPr>
          <w:szCs w:val="20"/>
        </w:rPr>
        <w:t>.</w:t>
      </w:r>
    </w:p>
    <w:p w14:paraId="046E2B87" w14:textId="7505DFF4" w:rsidR="00F46CA0" w:rsidRPr="000F5EB0" w:rsidRDefault="00AF726F" w:rsidP="00225180">
      <w:pPr>
        <w:spacing w:before="100" w:beforeAutospacing="1" w:after="100" w:afterAutospacing="1"/>
        <w:ind w:left="360"/>
        <w:rPr>
          <w:szCs w:val="20"/>
        </w:rPr>
      </w:pPr>
      <w:r w:rsidRPr="000F5EB0">
        <w:rPr>
          <w:szCs w:val="20"/>
        </w:rPr>
        <w:t>I</w:t>
      </w:r>
      <w:r w:rsidR="00F46CA0" w:rsidRPr="000F5EB0">
        <w:rPr>
          <w:szCs w:val="20"/>
        </w:rPr>
        <w:t>n some cases</w:t>
      </w:r>
      <w:r w:rsidR="00F71C66">
        <w:rPr>
          <w:szCs w:val="20"/>
        </w:rPr>
        <w:t xml:space="preserve"> testing of NSCLC tumour tissue </w:t>
      </w:r>
      <w:r w:rsidR="00410FF8">
        <w:rPr>
          <w:szCs w:val="20"/>
        </w:rPr>
        <w:t xml:space="preserve">for genomic alterations </w:t>
      </w:r>
      <w:r w:rsidR="00F46CA0" w:rsidRPr="000F5EB0">
        <w:rPr>
          <w:szCs w:val="20"/>
        </w:rPr>
        <w:t xml:space="preserve">may be </w:t>
      </w:r>
      <w:r w:rsidRPr="000F5EB0">
        <w:rPr>
          <w:szCs w:val="20"/>
        </w:rPr>
        <w:t xml:space="preserve">requested </w:t>
      </w:r>
      <w:r w:rsidR="00F46CA0" w:rsidRPr="000F5EB0">
        <w:rPr>
          <w:szCs w:val="20"/>
        </w:rPr>
        <w:t>in patients diagnosed with early-stage disease (not amenable to management with systemic therapy) to avoid delays, costs and safety issues associated with the collection of a second biopsy specimen at the time of disease progression.</w:t>
      </w:r>
      <w:r w:rsidR="00054327" w:rsidRPr="000F5EB0">
        <w:rPr>
          <w:szCs w:val="20"/>
        </w:rPr>
        <w:t xml:space="preserve"> In this </w:t>
      </w:r>
      <w:r w:rsidR="005E1E6B">
        <w:rPr>
          <w:szCs w:val="20"/>
        </w:rPr>
        <w:t>situation</w:t>
      </w:r>
      <w:r w:rsidR="00054327" w:rsidRPr="000F5EB0">
        <w:rPr>
          <w:szCs w:val="20"/>
        </w:rPr>
        <w:t xml:space="preserve"> it is proposed that</w:t>
      </w:r>
      <w:r w:rsidR="007E5F00" w:rsidRPr="000F5EB0">
        <w:rPr>
          <w:szCs w:val="20"/>
        </w:rPr>
        <w:t xml:space="preserve"> </w:t>
      </w:r>
      <w:r w:rsidR="00DD6B6C">
        <w:rPr>
          <w:szCs w:val="20"/>
        </w:rPr>
        <w:t xml:space="preserve">the results of testing conducted at the time of diagnosis would be </w:t>
      </w:r>
      <w:r w:rsidR="001B2B5A">
        <w:rPr>
          <w:szCs w:val="20"/>
        </w:rPr>
        <w:t xml:space="preserve">used to inform treatment decisions at the </w:t>
      </w:r>
      <w:r w:rsidR="00F72667" w:rsidRPr="000F5EB0">
        <w:rPr>
          <w:szCs w:val="20"/>
        </w:rPr>
        <w:t>time of initiation with systemic therapy.</w:t>
      </w:r>
    </w:p>
    <w:p w14:paraId="54DE26A4" w14:textId="77777777" w:rsidR="00791C8D" w:rsidRPr="000F5EB0" w:rsidRDefault="00791C8D" w:rsidP="00530204">
      <w:pPr>
        <w:pStyle w:val="Heading2"/>
      </w:pPr>
      <w:r w:rsidRPr="000F5EB0">
        <w:t xml:space="preserve">If applicable, identify any healthcare resources </w:t>
      </w:r>
      <w:r w:rsidR="007522E3" w:rsidRPr="000F5EB0">
        <w:t xml:space="preserve">or other medical services </w:t>
      </w:r>
      <w:r w:rsidRPr="000F5EB0">
        <w:t xml:space="preserve">that would need to be delivered </w:t>
      </w:r>
      <w:r w:rsidRPr="000F5EB0">
        <w:rPr>
          <w:u w:val="single"/>
        </w:rPr>
        <w:t>at the same time</w:t>
      </w:r>
      <w:r w:rsidRPr="000F5EB0">
        <w:t xml:space="preserve"> </w:t>
      </w:r>
      <w:r w:rsidR="00197D29" w:rsidRPr="000F5EB0">
        <w:t>as the proposed medical service:</w:t>
      </w:r>
    </w:p>
    <w:p w14:paraId="481B84E1" w14:textId="4E97288C" w:rsidR="00033ACE" w:rsidRPr="000F5EB0" w:rsidRDefault="004A4D42" w:rsidP="00225180">
      <w:pPr>
        <w:ind w:left="360"/>
      </w:pPr>
      <w:r w:rsidRPr="000F5EB0">
        <w:t xml:space="preserve">No additional healthcare resources are required when </w:t>
      </w:r>
      <w:r w:rsidR="00F803A9" w:rsidRPr="000F5EB0">
        <w:t>CGP is performed using</w:t>
      </w:r>
      <w:r w:rsidR="00863043">
        <w:t xml:space="preserve"> </w:t>
      </w:r>
      <w:r w:rsidR="007C1CBB">
        <w:t xml:space="preserve">a NGS </w:t>
      </w:r>
      <w:r w:rsidR="00F803A9" w:rsidRPr="000F5EB0">
        <w:t>assay</w:t>
      </w:r>
      <w:r w:rsidR="006C711E" w:rsidRPr="000F5EB0">
        <w:t>.</w:t>
      </w:r>
    </w:p>
    <w:p w14:paraId="3C79E740" w14:textId="011AF28F" w:rsidR="0047205D" w:rsidRPr="000F5EB0" w:rsidRDefault="006C711E" w:rsidP="00225180">
      <w:pPr>
        <w:ind w:left="360"/>
      </w:pPr>
      <w:r w:rsidRPr="000F5EB0">
        <w:t xml:space="preserve">The </w:t>
      </w:r>
      <w:r w:rsidR="00502658">
        <w:t xml:space="preserve">handling of </w:t>
      </w:r>
      <w:r w:rsidR="006B2250">
        <w:t xml:space="preserve">NSCLC </w:t>
      </w:r>
      <w:r w:rsidR="003C0A85">
        <w:t xml:space="preserve">tumour </w:t>
      </w:r>
      <w:r w:rsidRPr="000F5EB0">
        <w:t>samples</w:t>
      </w:r>
      <w:r w:rsidR="001E72EC" w:rsidRPr="000F5EB0">
        <w:t xml:space="preserve"> </w:t>
      </w:r>
      <w:r w:rsidR="00F10B10" w:rsidRPr="000F5EB0">
        <w:t xml:space="preserve">in </w:t>
      </w:r>
      <w:r w:rsidR="006B2250">
        <w:t>pathology</w:t>
      </w:r>
      <w:r w:rsidR="00F10B10" w:rsidRPr="000F5EB0">
        <w:t xml:space="preserve"> </w:t>
      </w:r>
      <w:r w:rsidR="001E72EC" w:rsidRPr="000F5EB0">
        <w:t>laborat</w:t>
      </w:r>
      <w:r w:rsidR="002B0BCE" w:rsidRPr="000F5EB0">
        <w:t>or</w:t>
      </w:r>
      <w:r w:rsidR="00F10B10" w:rsidRPr="000F5EB0">
        <w:t xml:space="preserve">ies </w:t>
      </w:r>
      <w:r w:rsidR="002B0BCE" w:rsidRPr="000F5EB0">
        <w:t xml:space="preserve">is required as part of the preparation of </w:t>
      </w:r>
      <w:r w:rsidR="00192180" w:rsidRPr="000F5EB0">
        <w:t xml:space="preserve">a tumour tissue specimen </w:t>
      </w:r>
      <w:r w:rsidR="00A97B50" w:rsidRPr="000F5EB0">
        <w:t>for</w:t>
      </w:r>
      <w:r w:rsidR="009D2DB7" w:rsidRPr="000F5EB0">
        <w:t xml:space="preserve"> histological review </w:t>
      </w:r>
      <w:r w:rsidR="00935CF9" w:rsidRPr="000F5EB0">
        <w:t xml:space="preserve">during disease staging </w:t>
      </w:r>
      <w:r w:rsidR="009D2DB7" w:rsidRPr="000F5EB0">
        <w:t xml:space="preserve">and </w:t>
      </w:r>
      <w:r w:rsidR="00F10B10" w:rsidRPr="000F5EB0">
        <w:t>tissue archiving purposes</w:t>
      </w:r>
      <w:r w:rsidR="0047205D" w:rsidRPr="000F5EB0">
        <w:t>.</w:t>
      </w:r>
    </w:p>
    <w:p w14:paraId="1A50355A" w14:textId="0523E197" w:rsidR="006C711E" w:rsidRPr="000F5EB0" w:rsidRDefault="00395C58" w:rsidP="00225180">
      <w:pPr>
        <w:ind w:left="360"/>
      </w:pPr>
      <w:r>
        <w:t>A</w:t>
      </w:r>
      <w:r w:rsidR="00E43313" w:rsidRPr="000F5EB0">
        <w:t xml:space="preserve">ll tests </w:t>
      </w:r>
      <w:r w:rsidR="008D0399">
        <w:t xml:space="preserve">for </w:t>
      </w:r>
      <w:r w:rsidR="008D0399">
        <w:rPr>
          <w:szCs w:val="20"/>
        </w:rPr>
        <w:t xml:space="preserve">genomic alterations </w:t>
      </w:r>
      <w:r w:rsidR="00E43313" w:rsidRPr="000F5EB0">
        <w:t>currently funded on the MBS for NSCLC patients</w:t>
      </w:r>
      <w:r w:rsidR="008F0946">
        <w:t xml:space="preserve"> have</w:t>
      </w:r>
      <w:r w:rsidR="001079F8">
        <w:t xml:space="preserve"> the </w:t>
      </w:r>
      <w:r w:rsidR="008F0946">
        <w:t xml:space="preserve">potential to be </w:t>
      </w:r>
      <w:r w:rsidR="00E43313" w:rsidRPr="000F5EB0">
        <w:t xml:space="preserve">consolidated with the use of </w:t>
      </w:r>
      <w:r w:rsidR="007C1CBB">
        <w:t xml:space="preserve">a single NGS </w:t>
      </w:r>
      <w:r w:rsidR="00E43313" w:rsidRPr="000F5EB0">
        <w:t>assay</w:t>
      </w:r>
      <w:r>
        <w:t xml:space="preserve">. Subsequently, </w:t>
      </w:r>
      <w:r w:rsidR="003B1258" w:rsidRPr="000F5EB0">
        <w:t xml:space="preserve">there is likely to be a </w:t>
      </w:r>
      <w:r w:rsidR="003B1258" w:rsidRPr="000F5EB0">
        <w:rPr>
          <w:u w:val="single"/>
        </w:rPr>
        <w:t>reduction</w:t>
      </w:r>
      <w:r w:rsidR="003B1258" w:rsidRPr="000F5EB0">
        <w:t xml:space="preserve"> in </w:t>
      </w:r>
      <w:r>
        <w:t xml:space="preserve">the </w:t>
      </w:r>
      <w:r w:rsidR="001F3E94" w:rsidRPr="000F5EB0">
        <w:t xml:space="preserve">number of </w:t>
      </w:r>
      <w:r w:rsidR="00E7744E" w:rsidRPr="000F5EB0">
        <w:t xml:space="preserve">individual </w:t>
      </w:r>
      <w:r w:rsidR="006827FF" w:rsidRPr="000F5EB0">
        <w:t xml:space="preserve">testing </w:t>
      </w:r>
      <w:r w:rsidR="001F3E94" w:rsidRPr="000F5EB0">
        <w:t>procedures</w:t>
      </w:r>
      <w:r w:rsidR="006827FF" w:rsidRPr="000F5EB0">
        <w:t xml:space="preserve"> </w:t>
      </w:r>
      <w:r w:rsidR="008A4814" w:rsidRPr="000F5EB0">
        <w:t xml:space="preserve">performed as part of the diagnostic work-up of </w:t>
      </w:r>
      <w:r>
        <w:t>NSCLC patients</w:t>
      </w:r>
      <w:r w:rsidR="008E785E">
        <w:t xml:space="preserve"> if CGP is undertaken using these assays</w:t>
      </w:r>
      <w:r w:rsidR="00033ACE" w:rsidRPr="000F5EB0">
        <w:t>.</w:t>
      </w:r>
    </w:p>
    <w:p w14:paraId="047FC7FF" w14:textId="46260D0A" w:rsidR="00B17E26" w:rsidRPr="0091378D" w:rsidRDefault="00B17E26" w:rsidP="002738DD">
      <w:pPr>
        <w:pStyle w:val="Heading2"/>
      </w:pPr>
      <w:r w:rsidRPr="0091378D">
        <w:t>If applicable, advise which health profession</w:t>
      </w:r>
      <w:r w:rsidR="00E4321E" w:rsidRPr="0091378D">
        <w:t xml:space="preserve">als </w:t>
      </w:r>
      <w:r w:rsidRPr="0091378D">
        <w:t>will</w:t>
      </w:r>
      <w:r w:rsidR="00E4321E" w:rsidRPr="0091378D">
        <w:t xml:space="preserve"> </w:t>
      </w:r>
      <w:r w:rsidR="007D2358" w:rsidRPr="0091378D">
        <w:t xml:space="preserve">primarily deliver the </w:t>
      </w:r>
      <w:r w:rsidR="00E4321E" w:rsidRPr="0091378D">
        <w:t xml:space="preserve">proposed </w:t>
      </w:r>
      <w:r w:rsidR="00AE1188" w:rsidRPr="0091378D">
        <w:t>service:</w:t>
      </w:r>
    </w:p>
    <w:p w14:paraId="2E6397EE" w14:textId="4DEAC24A" w:rsidR="00E6113D" w:rsidRPr="000F5EB0" w:rsidRDefault="00E6113D" w:rsidP="00225180">
      <w:pPr>
        <w:ind w:left="360"/>
      </w:pPr>
      <w:r w:rsidRPr="000F5EB0">
        <w:t xml:space="preserve">A request for </w:t>
      </w:r>
      <w:r w:rsidR="00533C86">
        <w:t xml:space="preserve">testing for </w:t>
      </w:r>
      <w:r w:rsidR="00533C86">
        <w:rPr>
          <w:szCs w:val="20"/>
        </w:rPr>
        <w:t xml:space="preserve">genomic alterations in </w:t>
      </w:r>
      <w:r w:rsidR="004D5A80">
        <w:t xml:space="preserve">tumour tissue </w:t>
      </w:r>
      <w:r w:rsidR="000C6F05">
        <w:t xml:space="preserve">from a NSCLC patient </w:t>
      </w:r>
      <w:r w:rsidRPr="000F5EB0">
        <w:t xml:space="preserve">would be </w:t>
      </w:r>
      <w:r w:rsidR="00B5305D" w:rsidRPr="000F5EB0">
        <w:t xml:space="preserve">initiated by the </w:t>
      </w:r>
      <w:r w:rsidRPr="000F5EB0">
        <w:t>patient’s managing clinician, most likely a medical oncologist or thoracic medicine specialist.</w:t>
      </w:r>
    </w:p>
    <w:p w14:paraId="35282993" w14:textId="5EDF907E" w:rsidR="00B17E26" w:rsidRPr="000F5EB0" w:rsidRDefault="007A19CE" w:rsidP="00225180">
      <w:pPr>
        <w:ind w:left="360"/>
      </w:pPr>
      <w:r>
        <w:t xml:space="preserve">All steps associated with the conduct of </w:t>
      </w:r>
      <w:r w:rsidR="00B3401B">
        <w:t>CGP</w:t>
      </w:r>
      <w:r w:rsidR="003E05C4">
        <w:t xml:space="preserve"> using </w:t>
      </w:r>
      <w:r w:rsidR="000A73B9">
        <w:t xml:space="preserve">a NGS </w:t>
      </w:r>
      <w:r w:rsidR="003E05C4">
        <w:t xml:space="preserve">assay </w:t>
      </w:r>
      <w:r w:rsidR="005E1E6B">
        <w:t>will</w:t>
      </w:r>
      <w:r w:rsidR="002A415B" w:rsidRPr="000F5EB0">
        <w:t xml:space="preserve"> </w:t>
      </w:r>
      <w:r w:rsidR="00E6113D" w:rsidRPr="000F5EB0">
        <w:t xml:space="preserve">be performed by a </w:t>
      </w:r>
      <w:r w:rsidR="00DF6DDC">
        <w:t xml:space="preserve">local </w:t>
      </w:r>
      <w:r w:rsidR="00E6113D" w:rsidRPr="000F5EB0">
        <w:t>pathologist</w:t>
      </w:r>
      <w:r w:rsidR="003E05C4">
        <w:t>/</w:t>
      </w:r>
      <w:r w:rsidR="00DF6DDC">
        <w:t>laboratory technician</w:t>
      </w:r>
      <w:r w:rsidR="00E6113D" w:rsidRPr="000F5EB0">
        <w:t xml:space="preserve"> on the request of the treating clinician, with results of</w:t>
      </w:r>
      <w:r w:rsidR="00AF5B47" w:rsidRPr="000F5EB0">
        <w:t xml:space="preserve"> </w:t>
      </w:r>
      <w:r w:rsidR="00DF6DDC">
        <w:t xml:space="preserve">testing </w:t>
      </w:r>
      <w:r w:rsidR="00EA5849" w:rsidRPr="000F5EB0">
        <w:t>being</w:t>
      </w:r>
      <w:r w:rsidR="00AF5B47" w:rsidRPr="000F5EB0">
        <w:t xml:space="preserve"> </w:t>
      </w:r>
      <w:r w:rsidR="00E6113D" w:rsidRPr="000F5EB0">
        <w:t>reported back to the treating clinician to guide treatment selection.</w:t>
      </w:r>
    </w:p>
    <w:p w14:paraId="60CFBF1F" w14:textId="77777777" w:rsidR="00B17E26" w:rsidRPr="000F5EB0" w:rsidRDefault="00B17E26" w:rsidP="00530204">
      <w:pPr>
        <w:pStyle w:val="Heading2"/>
      </w:pPr>
      <w:r w:rsidRPr="000F5EB0">
        <w:t>If applicable, advise whether the proposed medical service could be delegated or referred to another professional for delive</w:t>
      </w:r>
      <w:r w:rsidR="00AE1188" w:rsidRPr="000F5EB0">
        <w:t>ry:</w:t>
      </w:r>
    </w:p>
    <w:p w14:paraId="7806048A" w14:textId="75620674" w:rsidR="008A478E" w:rsidRPr="000F5EB0" w:rsidRDefault="00003BAC" w:rsidP="00225180">
      <w:pPr>
        <w:ind w:left="360"/>
      </w:pPr>
      <w:r w:rsidRPr="000F5EB0">
        <w:t xml:space="preserve">The conduct of CGP using </w:t>
      </w:r>
      <w:r w:rsidR="0092358F">
        <w:t xml:space="preserve">a NGS </w:t>
      </w:r>
      <w:r w:rsidRPr="000F5EB0">
        <w:t>assay</w:t>
      </w:r>
      <w:r w:rsidR="00A079A6" w:rsidRPr="000F5EB0">
        <w:t xml:space="preserve"> </w:t>
      </w:r>
      <w:r w:rsidR="00A75DA9">
        <w:t>c</w:t>
      </w:r>
      <w:r w:rsidR="00A079A6" w:rsidRPr="000F5EB0">
        <w:t xml:space="preserve">ould be delegated to </w:t>
      </w:r>
      <w:r w:rsidR="00B21104" w:rsidRPr="000F5EB0">
        <w:t>a</w:t>
      </w:r>
      <w:r w:rsidR="008114AD">
        <w:t xml:space="preserve"> </w:t>
      </w:r>
      <w:r w:rsidR="00A75DA9">
        <w:t xml:space="preserve">laboratory within the pathology laboratory network with </w:t>
      </w:r>
      <w:r w:rsidR="002F54C0">
        <w:t>the expertise</w:t>
      </w:r>
      <w:r w:rsidR="008114AD">
        <w:t>,</w:t>
      </w:r>
      <w:r w:rsidR="002F54C0">
        <w:t xml:space="preserve"> capital equipment </w:t>
      </w:r>
      <w:r w:rsidR="008114AD">
        <w:t xml:space="preserve">and </w:t>
      </w:r>
      <w:r w:rsidR="00E548F1">
        <w:t xml:space="preserve">National Association of Testing Authorities, Australia </w:t>
      </w:r>
      <w:r w:rsidR="00216B16">
        <w:t>(</w:t>
      </w:r>
      <w:r w:rsidR="00E83276">
        <w:t>NATA</w:t>
      </w:r>
      <w:r w:rsidR="00216B16">
        <w:t xml:space="preserve">) </w:t>
      </w:r>
      <w:r w:rsidR="00E83276">
        <w:t xml:space="preserve">accreditation </w:t>
      </w:r>
      <w:r w:rsidR="002F54C0">
        <w:t xml:space="preserve">required to perform </w:t>
      </w:r>
      <w:r w:rsidR="008B1B86">
        <w:rPr>
          <w:szCs w:val="20"/>
        </w:rPr>
        <w:t>NGS-based gene panel testing</w:t>
      </w:r>
      <w:r w:rsidR="002F54C0">
        <w:t>.</w:t>
      </w:r>
    </w:p>
    <w:p w14:paraId="7073ADF0" w14:textId="77777777" w:rsidR="00EA0E25" w:rsidRPr="000F5EB0" w:rsidRDefault="00EA0E25" w:rsidP="00530204">
      <w:pPr>
        <w:pStyle w:val="Heading2"/>
      </w:pPr>
      <w:r w:rsidRPr="000F5EB0">
        <w:t xml:space="preserve">If applicable, specify any proposed limitations on who might deliver the proposed medical service, or who </w:t>
      </w:r>
      <w:r w:rsidR="00AE1188" w:rsidRPr="000F5EB0">
        <w:t>might provide a referral for it:</w:t>
      </w:r>
    </w:p>
    <w:p w14:paraId="20E4C78D" w14:textId="7F22FA85" w:rsidR="00EA0E25" w:rsidRPr="000F5EB0" w:rsidRDefault="007B6483" w:rsidP="00225180">
      <w:pPr>
        <w:ind w:firstLine="360"/>
      </w:pPr>
      <w:r w:rsidRPr="000F5EB0">
        <w:t>Not applicable.</w:t>
      </w:r>
    </w:p>
    <w:p w14:paraId="03C82D57" w14:textId="77777777" w:rsidR="00EA0E25" w:rsidRPr="000F5EB0" w:rsidRDefault="00EA0E25" w:rsidP="00530204">
      <w:pPr>
        <w:pStyle w:val="Heading2"/>
      </w:pPr>
      <w:r w:rsidRPr="000F5EB0">
        <w:t xml:space="preserve">If applicable, advise what type of training </w:t>
      </w:r>
      <w:r w:rsidR="009C03FB" w:rsidRPr="000F5EB0">
        <w:t xml:space="preserve">or qualifications </w:t>
      </w:r>
      <w:r w:rsidRPr="000F5EB0">
        <w:t xml:space="preserve">would be required to perform the </w:t>
      </w:r>
      <w:r w:rsidR="007522E3" w:rsidRPr="000F5EB0">
        <w:t xml:space="preserve">proposed </w:t>
      </w:r>
      <w:r w:rsidRPr="000F5EB0">
        <w:t>service</w:t>
      </w:r>
      <w:r w:rsidR="00257FF2" w:rsidRPr="000F5EB0">
        <w:t xml:space="preserve"> as well as any accreditation requirements to suppor</w:t>
      </w:r>
      <w:r w:rsidR="009C03FB" w:rsidRPr="000F5EB0">
        <w:t xml:space="preserve">t </w:t>
      </w:r>
      <w:r w:rsidR="00257FF2" w:rsidRPr="000F5EB0">
        <w:t>service</w:t>
      </w:r>
      <w:r w:rsidR="009C03FB" w:rsidRPr="000F5EB0">
        <w:t xml:space="preserve"> delivery</w:t>
      </w:r>
      <w:r w:rsidR="00AE1188" w:rsidRPr="000F5EB0">
        <w:t>:</w:t>
      </w:r>
    </w:p>
    <w:p w14:paraId="3180102A" w14:textId="5E7FB5D3" w:rsidR="00EA0E25" w:rsidRDefault="001D1009" w:rsidP="00225180">
      <w:pPr>
        <w:ind w:left="360"/>
      </w:pPr>
      <w:r w:rsidRPr="000F5EB0">
        <w:t>T</w:t>
      </w:r>
      <w:r w:rsidR="00821C2C" w:rsidRPr="000F5EB0">
        <w:t xml:space="preserve">he </w:t>
      </w:r>
      <w:r w:rsidRPr="000F5EB0">
        <w:t>conduct of testing</w:t>
      </w:r>
      <w:r w:rsidR="008754BC" w:rsidRPr="000F5EB0">
        <w:t xml:space="preserve"> </w:t>
      </w:r>
      <w:r w:rsidR="00F419DA">
        <w:t xml:space="preserve">for </w:t>
      </w:r>
      <w:r w:rsidR="00F419DA">
        <w:rPr>
          <w:szCs w:val="20"/>
        </w:rPr>
        <w:t xml:space="preserve">genomic alterations in </w:t>
      </w:r>
      <w:r w:rsidR="008754BC" w:rsidRPr="000F5EB0">
        <w:t xml:space="preserve">tumour tissue </w:t>
      </w:r>
      <w:r w:rsidR="00F419DA">
        <w:t>from NS</w:t>
      </w:r>
      <w:r w:rsidR="00522BBB">
        <w:t xml:space="preserve">CLC patients </w:t>
      </w:r>
      <w:r w:rsidR="008754BC" w:rsidRPr="000F5EB0">
        <w:t xml:space="preserve">and use of </w:t>
      </w:r>
      <w:r w:rsidR="00821C2C" w:rsidRPr="000F5EB0">
        <w:t>targeted treatment</w:t>
      </w:r>
      <w:r w:rsidR="00522BBB">
        <w:t xml:space="preserve"> </w:t>
      </w:r>
      <w:r w:rsidR="00821C2C" w:rsidRPr="000F5EB0">
        <w:t>is already established in Australian clinical practice</w:t>
      </w:r>
      <w:r w:rsidR="008754BC" w:rsidRPr="000F5EB0">
        <w:t>. As such</w:t>
      </w:r>
      <w:r w:rsidR="00821C2C" w:rsidRPr="000F5EB0">
        <w:t xml:space="preserve">, no additional </w:t>
      </w:r>
      <w:r w:rsidR="00FC44D0">
        <w:t xml:space="preserve">formal </w:t>
      </w:r>
      <w:r w:rsidR="00821C2C" w:rsidRPr="000F5EB0">
        <w:t xml:space="preserve">training or </w:t>
      </w:r>
      <w:r w:rsidR="00821C2C" w:rsidRPr="000F5EB0">
        <w:lastRenderedPageBreak/>
        <w:t xml:space="preserve">qualifications would be required with </w:t>
      </w:r>
      <w:r w:rsidR="00784004" w:rsidRPr="000F5EB0">
        <w:t xml:space="preserve">availability of </w:t>
      </w:r>
      <w:r w:rsidR="00F01718" w:rsidRPr="000F5EB0">
        <w:t xml:space="preserve">CGP </w:t>
      </w:r>
      <w:r w:rsidR="00506C98" w:rsidRPr="000F5EB0">
        <w:t xml:space="preserve">using </w:t>
      </w:r>
      <w:r w:rsidR="00A2628C">
        <w:t xml:space="preserve">a NGS </w:t>
      </w:r>
      <w:r w:rsidR="00506C98" w:rsidRPr="000F5EB0">
        <w:t>assay</w:t>
      </w:r>
      <w:r w:rsidR="00821C2C" w:rsidRPr="000F5EB0">
        <w:t>.</w:t>
      </w:r>
      <w:r w:rsidR="001142FA">
        <w:t xml:space="preserve"> It is also noted that </w:t>
      </w:r>
      <w:r w:rsidR="00F707E4">
        <w:t xml:space="preserve">testing for genomic alterations using </w:t>
      </w:r>
      <w:r w:rsidR="008B3B87">
        <w:t xml:space="preserve">NGS is already being undertaken in several </w:t>
      </w:r>
      <w:r w:rsidR="00C92058">
        <w:t xml:space="preserve">public hospital laboratories and private pathology </w:t>
      </w:r>
      <w:r w:rsidR="009C4D84">
        <w:t>laboratory networks</w:t>
      </w:r>
      <w:r w:rsidR="003E38D8">
        <w:t xml:space="preserve">, supporting the position that additional </w:t>
      </w:r>
      <w:r w:rsidR="00D455D7">
        <w:t xml:space="preserve">training of qualifications are not required prior to </w:t>
      </w:r>
      <w:r w:rsidR="00B3401B">
        <w:t>CGP</w:t>
      </w:r>
      <w:r w:rsidR="00D455D7">
        <w:t xml:space="preserve"> </w:t>
      </w:r>
      <w:r w:rsidR="0008737F">
        <w:t xml:space="preserve">of NSCLC </w:t>
      </w:r>
      <w:r w:rsidR="004473AA">
        <w:t xml:space="preserve">tumour specimens </w:t>
      </w:r>
      <w:r w:rsidR="00D455D7">
        <w:t>using NGS assay</w:t>
      </w:r>
      <w:r w:rsidR="001478C4">
        <w:t>s</w:t>
      </w:r>
      <w:r w:rsidR="00774C5A">
        <w:t xml:space="preserve"> being </w:t>
      </w:r>
      <w:r w:rsidR="00513317">
        <w:t>delivered in Australia.</w:t>
      </w:r>
      <w:r w:rsidR="00D455D7">
        <w:t xml:space="preserve">  </w:t>
      </w:r>
    </w:p>
    <w:p w14:paraId="69FFD6A1" w14:textId="0AE8E5D8" w:rsidR="002F5891" w:rsidRDefault="00DB5917" w:rsidP="00225180">
      <w:pPr>
        <w:ind w:left="360"/>
      </w:pPr>
      <w:r>
        <w:t xml:space="preserve">All laboratories </w:t>
      </w:r>
      <w:r w:rsidR="00A81BC7">
        <w:t xml:space="preserve">performing </w:t>
      </w:r>
      <w:r w:rsidR="0063598E">
        <w:t>gen</w:t>
      </w:r>
      <w:r w:rsidR="00D07A18">
        <w:t xml:space="preserve">omic </w:t>
      </w:r>
      <w:r w:rsidR="002F5891">
        <w:t xml:space="preserve">testing used to inform patient management </w:t>
      </w:r>
      <w:r w:rsidR="00024BA3">
        <w:t>us</w:t>
      </w:r>
      <w:r w:rsidR="002F5891">
        <w:t xml:space="preserve">ing </w:t>
      </w:r>
      <w:r w:rsidR="00192576">
        <w:t xml:space="preserve">a </w:t>
      </w:r>
      <w:r w:rsidR="002F5891">
        <w:t>NGS</w:t>
      </w:r>
      <w:r w:rsidR="00192576">
        <w:t xml:space="preserve"> assay</w:t>
      </w:r>
      <w:r w:rsidR="00024BA3">
        <w:t xml:space="preserve"> must hold the appropriate accreditations to do so</w:t>
      </w:r>
      <w:r w:rsidR="00985D18">
        <w:t xml:space="preserve">. Testing </w:t>
      </w:r>
      <w:r w:rsidR="0063598E">
        <w:t xml:space="preserve">must be </w:t>
      </w:r>
      <w:r w:rsidR="00643D47">
        <w:t>performed in line with the</w:t>
      </w:r>
      <w:r w:rsidR="0063598E">
        <w:t xml:space="preserve"> </w:t>
      </w:r>
      <w:r w:rsidR="00D07A18">
        <w:t>standards set out in the</w:t>
      </w:r>
      <w:r w:rsidR="00643D47">
        <w:t xml:space="preserve"> ‘Requirement</w:t>
      </w:r>
      <w:r w:rsidR="002C77D5">
        <w:t>s</w:t>
      </w:r>
      <w:r w:rsidR="00643D47">
        <w:t xml:space="preserve"> for human medical genome testing</w:t>
      </w:r>
      <w:r w:rsidR="00ED6EDE">
        <w:t xml:space="preserve"> utilising massively parallel sequencing technologies</w:t>
      </w:r>
      <w:r w:rsidR="00820277">
        <w:t>’</w:t>
      </w:r>
      <w:r w:rsidR="00D07A18">
        <w:t xml:space="preserve"> document</w:t>
      </w:r>
      <w:r w:rsidR="00DD4520">
        <w:t xml:space="preserve"> </w:t>
      </w:r>
      <w:r w:rsidR="00DD4520">
        <w:fldChar w:fldCharType="begin"/>
      </w:r>
      <w:r w:rsidR="00B078F9">
        <w:instrText xml:space="preserve"> ADDIN EN.CITE &lt;EndNote&gt;&lt;Cite&gt;&lt;Author&gt;NPACC&lt;/Author&gt;&lt;Year&gt;2017&lt;/Year&gt;&lt;RecNum&gt;7933&lt;/RecNum&gt;&lt;DisplayText&gt;(NPACC 2017)&lt;/DisplayText&gt;&lt;record&gt;&lt;rec-number&gt;7933&lt;/rec-number&gt;&lt;foreign-keys&gt;&lt;key app="EN" db-id="rxtrxwppgpd2wde2swb5es9g90ffpzr5dx2p" timestamp="1573035966"&gt;7933&lt;/key&gt;&lt;/foreign-keys&gt;&lt;ref-type name="Government Document"&gt;46&lt;/ref-type&gt;&lt;contributors&gt;&lt;authors&gt;&lt;author&gt;NPACC,&lt;/author&gt;&lt;/authors&gt;&lt;secondary-authors&gt;&lt;author&gt;Department of Health&lt;/author&gt;&lt;/secondary-authors&gt;&lt;/contributors&gt;&lt;titles&gt;&lt;title&gt;Requirements for human medical genome testing utilising massively parallel sequencing technologies, First Edition 2017&lt;/title&gt;&lt;/titles&gt;&lt;dates&gt;&lt;year&gt;2017&lt;/year&gt;&lt;/dates&gt;&lt;urls&gt;&lt;/urls&gt;&lt;/record&gt;&lt;/Cite&gt;&lt;/EndNote&gt;</w:instrText>
      </w:r>
      <w:r w:rsidR="00DD4520">
        <w:fldChar w:fldCharType="separate"/>
      </w:r>
      <w:r w:rsidR="00DD4520">
        <w:rPr>
          <w:noProof/>
        </w:rPr>
        <w:t>(NPACC 2017)</w:t>
      </w:r>
      <w:r w:rsidR="00DD4520">
        <w:fldChar w:fldCharType="end"/>
      </w:r>
      <w:r w:rsidR="00DD4520">
        <w:t>.</w:t>
      </w:r>
    </w:p>
    <w:p w14:paraId="44E38379" w14:textId="6320C03F" w:rsidR="00772D7D" w:rsidRDefault="00F24DE6" w:rsidP="00225180">
      <w:pPr>
        <w:ind w:left="360"/>
      </w:pPr>
      <w:r>
        <w:t>A</w:t>
      </w:r>
      <w:r w:rsidR="009A27C5">
        <w:t xml:space="preserve">udits against the testing standards </w:t>
      </w:r>
      <w:r w:rsidR="00A13E9C">
        <w:t>and laboratory a</w:t>
      </w:r>
      <w:r>
        <w:t xml:space="preserve">ccreditation is </w:t>
      </w:r>
      <w:r w:rsidR="00A13E9C">
        <w:t xml:space="preserve">undertaken by </w:t>
      </w:r>
      <w:r w:rsidR="00216B16">
        <w:t>NATA.</w:t>
      </w:r>
    </w:p>
    <w:p w14:paraId="18F8DF85" w14:textId="77777777" w:rsidR="005F3F07" w:rsidRPr="000F5EB0" w:rsidRDefault="005C3AE7" w:rsidP="00530204">
      <w:pPr>
        <w:pStyle w:val="Heading2"/>
      </w:pPr>
      <w:r w:rsidRPr="000F5EB0">
        <w:t xml:space="preserve">(a) </w:t>
      </w:r>
      <w:r w:rsidR="005F3F07" w:rsidRPr="000F5EB0">
        <w:t>Indicate the proposed setting</w:t>
      </w:r>
      <w:r w:rsidR="00D30BDC" w:rsidRPr="000F5EB0">
        <w:t>(</w:t>
      </w:r>
      <w:r w:rsidR="005F3F07" w:rsidRPr="000F5EB0">
        <w:t>s</w:t>
      </w:r>
      <w:r w:rsidR="00D30BDC" w:rsidRPr="000F5EB0">
        <w:t>)</w:t>
      </w:r>
      <w:r w:rsidR="005F3F07" w:rsidRPr="000F5EB0">
        <w:t xml:space="preserve"> in which the proposed medical service will be delivered</w:t>
      </w:r>
      <w:r w:rsidR="00D30BDC" w:rsidRPr="000F5EB0">
        <w:t xml:space="preserve"> (select all relevant settings)</w:t>
      </w:r>
      <w:r w:rsidR="00AE1188" w:rsidRPr="000F5EB0">
        <w:t>:</w:t>
      </w:r>
    </w:p>
    <w:p w14:paraId="1EA3B701" w14:textId="6C786A29" w:rsidR="000A478F" w:rsidRPr="000F5EB0" w:rsidRDefault="00082717" w:rsidP="000A478F">
      <w:pPr>
        <w:spacing w:before="0" w:after="0"/>
        <w:ind w:left="426"/>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0A478F" w:rsidRPr="000F5EB0">
        <w:rPr>
          <w:szCs w:val="20"/>
        </w:rPr>
        <w:t xml:space="preserve"> </w:t>
      </w:r>
      <w:r w:rsidR="000A478F" w:rsidRPr="000F5EB0">
        <w:t>Inpatient private hospital</w:t>
      </w:r>
    </w:p>
    <w:p w14:paraId="09B051FF" w14:textId="1BF60076" w:rsidR="000A478F" w:rsidRPr="000F5EB0" w:rsidRDefault="00082717" w:rsidP="000A478F">
      <w:pPr>
        <w:spacing w:before="0" w:after="0"/>
        <w:ind w:left="426"/>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0A478F" w:rsidRPr="000F5EB0">
        <w:rPr>
          <w:szCs w:val="20"/>
        </w:rPr>
        <w:t xml:space="preserve"> </w:t>
      </w:r>
      <w:r w:rsidR="000A478F" w:rsidRPr="000F5EB0">
        <w:t>Inpatient public hospital</w:t>
      </w:r>
    </w:p>
    <w:p w14:paraId="4C4652B1" w14:textId="77777777" w:rsidR="000A478F" w:rsidRPr="000F5EB0" w:rsidRDefault="000A478F" w:rsidP="000A478F">
      <w:pPr>
        <w:spacing w:before="0" w:after="0"/>
        <w:ind w:left="426"/>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w:t>
      </w:r>
      <w:r w:rsidRPr="000F5EB0">
        <w:t>Outpatient clinic</w:t>
      </w:r>
    </w:p>
    <w:p w14:paraId="40DF2CD6" w14:textId="77777777" w:rsidR="000A478F" w:rsidRPr="000F5EB0" w:rsidRDefault="000A478F" w:rsidP="000A478F">
      <w:pPr>
        <w:spacing w:before="0" w:after="0"/>
        <w:ind w:left="426"/>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w:t>
      </w:r>
      <w:r w:rsidRPr="000F5EB0">
        <w:t>Emergency Department</w:t>
      </w:r>
    </w:p>
    <w:p w14:paraId="4CC7F418" w14:textId="7E799D5F" w:rsidR="000A478F" w:rsidRPr="000F5EB0" w:rsidRDefault="00E4637D" w:rsidP="000A478F">
      <w:pPr>
        <w:spacing w:before="0" w:after="0"/>
        <w:ind w:left="426"/>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0A478F" w:rsidRPr="000F5EB0">
        <w:rPr>
          <w:szCs w:val="20"/>
        </w:rPr>
        <w:t xml:space="preserve"> </w:t>
      </w:r>
      <w:r w:rsidR="000A478F" w:rsidRPr="000F5EB0">
        <w:t>Consulting rooms</w:t>
      </w:r>
    </w:p>
    <w:p w14:paraId="2DEC1B34" w14:textId="19F28DE0" w:rsidR="000A478F" w:rsidRPr="000F5EB0" w:rsidRDefault="00082717" w:rsidP="000A478F">
      <w:pPr>
        <w:spacing w:before="0" w:after="0"/>
        <w:ind w:left="426"/>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0A478F" w:rsidRPr="000F5EB0">
        <w:rPr>
          <w:szCs w:val="20"/>
        </w:rPr>
        <w:t xml:space="preserve"> </w:t>
      </w:r>
      <w:r w:rsidR="000A478F" w:rsidRPr="000F5EB0">
        <w:t>Day surgery centre</w:t>
      </w:r>
    </w:p>
    <w:p w14:paraId="55DC759A" w14:textId="77777777" w:rsidR="000A478F" w:rsidRPr="000F5EB0" w:rsidRDefault="000A478F" w:rsidP="000A478F">
      <w:pPr>
        <w:spacing w:before="0" w:after="0"/>
        <w:ind w:left="426"/>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w:t>
      </w:r>
      <w:r w:rsidRPr="000F5EB0">
        <w:t>Residential aged care facility</w:t>
      </w:r>
    </w:p>
    <w:p w14:paraId="05987B60" w14:textId="77777777" w:rsidR="000A478F" w:rsidRPr="000F5EB0" w:rsidRDefault="000A478F" w:rsidP="000A478F">
      <w:pPr>
        <w:spacing w:before="0" w:after="0"/>
        <w:ind w:left="426"/>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w:t>
      </w:r>
      <w:r w:rsidRPr="000F5EB0">
        <w:t>Patient’s home</w:t>
      </w:r>
    </w:p>
    <w:p w14:paraId="45C1D0F7" w14:textId="4685C152" w:rsidR="000A478F" w:rsidRPr="000F5EB0" w:rsidRDefault="00981313" w:rsidP="000A478F">
      <w:pPr>
        <w:spacing w:before="0" w:after="0"/>
        <w:ind w:left="426"/>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0A478F" w:rsidRPr="000F5EB0">
        <w:rPr>
          <w:szCs w:val="20"/>
        </w:rPr>
        <w:t xml:space="preserve"> </w:t>
      </w:r>
      <w:r w:rsidR="000A478F" w:rsidRPr="000F5EB0">
        <w:t>Laboratory</w:t>
      </w:r>
    </w:p>
    <w:p w14:paraId="377A6B53" w14:textId="77777777" w:rsidR="000A478F" w:rsidRPr="000F5EB0" w:rsidRDefault="000A478F" w:rsidP="000A478F">
      <w:pPr>
        <w:spacing w:before="0" w:after="0"/>
        <w:ind w:left="426"/>
      </w:pPr>
      <w:r w:rsidRPr="000F5EB0">
        <w:rPr>
          <w:szCs w:val="20"/>
        </w:rPr>
        <w:fldChar w:fldCharType="begin">
          <w:ffData>
            <w:name w:val="Check1"/>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w:t>
      </w:r>
      <w:r w:rsidRPr="000F5EB0">
        <w:t>Other – please specify below</w:t>
      </w:r>
    </w:p>
    <w:p w14:paraId="7586F5C9" w14:textId="77777777" w:rsidR="003433D1" w:rsidRPr="000F5EB0" w:rsidRDefault="00E048ED" w:rsidP="00FD4715">
      <w:pPr>
        <w:pStyle w:val="ListParagraph"/>
        <w:numPr>
          <w:ilvl w:val="0"/>
          <w:numId w:val="8"/>
        </w:numPr>
        <w:rPr>
          <w:b/>
          <w:szCs w:val="20"/>
        </w:rPr>
      </w:pPr>
      <w:r w:rsidRPr="000F5EB0">
        <w:rPr>
          <w:b/>
          <w:szCs w:val="20"/>
        </w:rPr>
        <w:t>Where the proposed medical service is provided in more than one setting, please describ</w:t>
      </w:r>
      <w:r w:rsidR="00AE1188" w:rsidRPr="000F5EB0">
        <w:rPr>
          <w:b/>
          <w:szCs w:val="20"/>
        </w:rPr>
        <w:t>e the rationale related to each:</w:t>
      </w:r>
    </w:p>
    <w:p w14:paraId="16B61D39" w14:textId="4D476616" w:rsidR="00EF0159" w:rsidRPr="000F5EB0" w:rsidRDefault="00EF0159" w:rsidP="00225180">
      <w:pPr>
        <w:spacing w:before="100" w:beforeAutospacing="1" w:after="100" w:afterAutospacing="1"/>
        <w:ind w:left="720"/>
        <w:rPr>
          <w:szCs w:val="20"/>
        </w:rPr>
      </w:pPr>
      <w:r w:rsidRPr="000F5EB0">
        <w:rPr>
          <w:szCs w:val="20"/>
        </w:rPr>
        <w:t>Physical examinations</w:t>
      </w:r>
      <w:r w:rsidR="003B5BBD" w:rsidRPr="000F5EB0">
        <w:rPr>
          <w:szCs w:val="20"/>
        </w:rPr>
        <w:t xml:space="preserve"> </w:t>
      </w:r>
      <w:r w:rsidRPr="000F5EB0">
        <w:rPr>
          <w:szCs w:val="20"/>
        </w:rPr>
        <w:t xml:space="preserve">and ongoing assessments of </w:t>
      </w:r>
      <w:r w:rsidR="001D6DE9">
        <w:rPr>
          <w:szCs w:val="20"/>
        </w:rPr>
        <w:t xml:space="preserve">NSCLC </w:t>
      </w:r>
      <w:r w:rsidRPr="000F5EB0">
        <w:rPr>
          <w:szCs w:val="20"/>
        </w:rPr>
        <w:t>patients would be most likely to take place in the consulting rooms of the patients’ managing clinician.</w:t>
      </w:r>
    </w:p>
    <w:p w14:paraId="650E6022" w14:textId="40C60F81" w:rsidR="00884747" w:rsidRPr="000F5EB0" w:rsidRDefault="00EF0159" w:rsidP="00225180">
      <w:pPr>
        <w:spacing w:before="100" w:beforeAutospacing="1" w:after="100" w:afterAutospacing="1"/>
        <w:ind w:left="720"/>
        <w:rPr>
          <w:szCs w:val="20"/>
        </w:rPr>
      </w:pPr>
      <w:r w:rsidRPr="000F5EB0">
        <w:rPr>
          <w:szCs w:val="20"/>
        </w:rPr>
        <w:t xml:space="preserve">The </w:t>
      </w:r>
      <w:r w:rsidR="00B55E46" w:rsidRPr="000F5EB0">
        <w:rPr>
          <w:szCs w:val="20"/>
        </w:rPr>
        <w:t xml:space="preserve">collection of </w:t>
      </w:r>
      <w:r w:rsidR="00717685" w:rsidRPr="000F5EB0">
        <w:rPr>
          <w:szCs w:val="20"/>
        </w:rPr>
        <w:t xml:space="preserve">the </w:t>
      </w:r>
      <w:r w:rsidR="00B55E46" w:rsidRPr="000F5EB0">
        <w:rPr>
          <w:szCs w:val="20"/>
        </w:rPr>
        <w:t xml:space="preserve">tumour tissue </w:t>
      </w:r>
      <w:r w:rsidR="00BE324B" w:rsidRPr="000F5EB0">
        <w:rPr>
          <w:szCs w:val="20"/>
        </w:rPr>
        <w:t xml:space="preserve">used for testing </w:t>
      </w:r>
      <w:r w:rsidR="00B55E46" w:rsidRPr="000F5EB0">
        <w:rPr>
          <w:szCs w:val="20"/>
        </w:rPr>
        <w:t xml:space="preserve">may </w:t>
      </w:r>
      <w:r w:rsidR="007F71CF" w:rsidRPr="000F5EB0">
        <w:rPr>
          <w:szCs w:val="20"/>
        </w:rPr>
        <w:t xml:space="preserve">occur as part of an admitted episode </w:t>
      </w:r>
      <w:r w:rsidR="004B44D8" w:rsidRPr="000F5EB0">
        <w:rPr>
          <w:szCs w:val="20"/>
        </w:rPr>
        <w:t xml:space="preserve">of hospital care (private or public hospital) </w:t>
      </w:r>
      <w:r w:rsidR="00F7410C" w:rsidRPr="000F5EB0">
        <w:rPr>
          <w:szCs w:val="20"/>
        </w:rPr>
        <w:t>or in a day surgery centre</w:t>
      </w:r>
      <w:r w:rsidR="0051447E" w:rsidRPr="000F5EB0">
        <w:rPr>
          <w:szCs w:val="20"/>
        </w:rPr>
        <w:t>.</w:t>
      </w:r>
    </w:p>
    <w:p w14:paraId="638BD2CB" w14:textId="4FD18915" w:rsidR="00EF0159" w:rsidRPr="000F5EB0" w:rsidRDefault="005B14CC" w:rsidP="00225180">
      <w:pPr>
        <w:spacing w:before="100" w:beforeAutospacing="1" w:after="100" w:afterAutospacing="1"/>
        <w:ind w:left="720"/>
        <w:rPr>
          <w:szCs w:val="20"/>
        </w:rPr>
      </w:pPr>
      <w:r w:rsidRPr="000F5EB0">
        <w:rPr>
          <w:szCs w:val="20"/>
        </w:rPr>
        <w:t>C</w:t>
      </w:r>
      <w:r w:rsidR="00EF0159" w:rsidRPr="000F5EB0">
        <w:rPr>
          <w:szCs w:val="20"/>
        </w:rPr>
        <w:t xml:space="preserve">onduct of </w:t>
      </w:r>
      <w:r w:rsidRPr="000F5EB0">
        <w:rPr>
          <w:szCs w:val="20"/>
        </w:rPr>
        <w:t xml:space="preserve">CGP using </w:t>
      </w:r>
      <w:r w:rsidR="00914BB9">
        <w:rPr>
          <w:szCs w:val="20"/>
        </w:rPr>
        <w:t xml:space="preserve">a NGS </w:t>
      </w:r>
      <w:r w:rsidRPr="000F5EB0">
        <w:rPr>
          <w:szCs w:val="20"/>
        </w:rPr>
        <w:t xml:space="preserve">assay would </w:t>
      </w:r>
      <w:r w:rsidR="00EF0159" w:rsidRPr="000F5EB0">
        <w:rPr>
          <w:szCs w:val="20"/>
        </w:rPr>
        <w:t xml:space="preserve">take place in </w:t>
      </w:r>
      <w:r w:rsidR="004F68C7">
        <w:rPr>
          <w:szCs w:val="20"/>
        </w:rPr>
        <w:t xml:space="preserve">a NATA accredited </w:t>
      </w:r>
      <w:r w:rsidR="00EF0159" w:rsidRPr="000F5EB0">
        <w:rPr>
          <w:szCs w:val="20"/>
        </w:rPr>
        <w:t>laboratory.</w:t>
      </w:r>
    </w:p>
    <w:p w14:paraId="11C723C6" w14:textId="60F7CB6E" w:rsidR="003E30FB" w:rsidRPr="000F5EB0" w:rsidRDefault="003E30FB" w:rsidP="00EF0159">
      <w:pPr>
        <w:pStyle w:val="Heading2"/>
      </w:pPr>
      <w:r w:rsidRPr="000F5EB0">
        <w:t>Is the proposed medical service intended to be entirely rendered in Australia?</w:t>
      </w:r>
    </w:p>
    <w:p w14:paraId="1FB40FBD" w14:textId="0ABE7B71" w:rsidR="000A478F" w:rsidRPr="000F5EB0" w:rsidRDefault="00455D6B"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07C47">
        <w:rPr>
          <w:szCs w:val="20"/>
        </w:rPr>
      </w:r>
      <w:r w:rsidR="00607C47">
        <w:rPr>
          <w:szCs w:val="20"/>
        </w:rPr>
        <w:fldChar w:fldCharType="separate"/>
      </w:r>
      <w:r>
        <w:rPr>
          <w:szCs w:val="20"/>
        </w:rPr>
        <w:fldChar w:fldCharType="end"/>
      </w:r>
      <w:r w:rsidR="000A478F" w:rsidRPr="000F5EB0">
        <w:rPr>
          <w:szCs w:val="20"/>
        </w:rPr>
        <w:t xml:space="preserve"> Yes</w:t>
      </w:r>
    </w:p>
    <w:p w14:paraId="59CC90F6" w14:textId="489266F5" w:rsidR="000A478F" w:rsidRDefault="00455D6B"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07C47">
        <w:rPr>
          <w:szCs w:val="20"/>
        </w:rPr>
      </w:r>
      <w:r w:rsidR="00607C47">
        <w:rPr>
          <w:szCs w:val="20"/>
        </w:rPr>
        <w:fldChar w:fldCharType="separate"/>
      </w:r>
      <w:r>
        <w:rPr>
          <w:szCs w:val="20"/>
        </w:rPr>
        <w:fldChar w:fldCharType="end"/>
      </w:r>
      <w:r w:rsidR="000A478F" w:rsidRPr="000F5EB0">
        <w:rPr>
          <w:szCs w:val="20"/>
        </w:rPr>
        <w:t xml:space="preserve"> No</w:t>
      </w:r>
      <w:r w:rsidR="00C4696B" w:rsidRPr="000F5EB0">
        <w:rPr>
          <w:szCs w:val="20"/>
        </w:rPr>
        <w:t xml:space="preserve"> – please specify below</w:t>
      </w:r>
    </w:p>
    <w:p w14:paraId="338494BB" w14:textId="089C5B7B" w:rsidR="00094018" w:rsidRDefault="00094018">
      <w:pPr>
        <w:spacing w:before="0" w:after="200" w:line="276" w:lineRule="auto"/>
        <w:rPr>
          <w:szCs w:val="20"/>
        </w:rPr>
      </w:pPr>
      <w:r>
        <w:rPr>
          <w:szCs w:val="20"/>
        </w:rPr>
        <w:br w:type="page"/>
      </w:r>
    </w:p>
    <w:p w14:paraId="6A7391C3" w14:textId="77777777" w:rsidR="00E60529" w:rsidRPr="000F5EB0" w:rsidRDefault="005C3AE7" w:rsidP="005C3AE7">
      <w:pPr>
        <w:pStyle w:val="Subtitle"/>
      </w:pPr>
      <w:r w:rsidRPr="000F5EB0">
        <w:lastRenderedPageBreak/>
        <w:t xml:space="preserve">PART 6c – </w:t>
      </w:r>
      <w:r w:rsidR="00E60529" w:rsidRPr="000F5EB0">
        <w:t>INFORMATION ABOUT THE COMPARATOR</w:t>
      </w:r>
      <w:r w:rsidR="00A83EC6" w:rsidRPr="000F5EB0">
        <w:t>(S)</w:t>
      </w:r>
    </w:p>
    <w:p w14:paraId="6EABD09C" w14:textId="77777777" w:rsidR="00E60529" w:rsidRPr="000F5EB0" w:rsidRDefault="00A83EC6" w:rsidP="00530204">
      <w:pPr>
        <w:pStyle w:val="Heading2"/>
      </w:pPr>
      <w:r w:rsidRPr="000F5EB0">
        <w:t>Nominate the appropriate comparator(s) for the proposed medical service</w:t>
      </w:r>
      <w:r w:rsidR="00757232" w:rsidRPr="000F5EB0">
        <w:t>, i</w:t>
      </w:r>
      <w:r w:rsidR="00D30BDC" w:rsidRPr="000F5EB0">
        <w:t>.</w:t>
      </w:r>
      <w:r w:rsidR="000159B9" w:rsidRPr="000F5EB0">
        <w:t xml:space="preserve">e. how is the proposed population currently managed in </w:t>
      </w:r>
      <w:r w:rsidR="00707D4D" w:rsidRPr="000F5EB0">
        <w:t>the</w:t>
      </w:r>
      <w:r w:rsidR="000159B9" w:rsidRPr="000F5EB0">
        <w:t xml:space="preserve"> absence of the proposed medical service </w:t>
      </w:r>
      <w:r w:rsidR="00257FF2" w:rsidRPr="000F5EB0">
        <w:t>being available in the Australian health care system (</w:t>
      </w:r>
      <w:r w:rsidR="00757232" w:rsidRPr="000F5EB0">
        <w:t xml:space="preserve">including </w:t>
      </w:r>
      <w:r w:rsidR="00257FF2" w:rsidRPr="000F5EB0">
        <w:t>identify</w:t>
      </w:r>
      <w:r w:rsidR="00757232" w:rsidRPr="000F5EB0">
        <w:t>ing</w:t>
      </w:r>
      <w:r w:rsidR="00E4321E" w:rsidRPr="000F5EB0">
        <w:t xml:space="preserve"> health care resources that </w:t>
      </w:r>
      <w:r w:rsidR="00257FF2" w:rsidRPr="000F5EB0">
        <w:t xml:space="preserve">are </w:t>
      </w:r>
      <w:r w:rsidR="00E4321E" w:rsidRPr="000F5EB0">
        <w:t>need</w:t>
      </w:r>
      <w:r w:rsidR="00757232" w:rsidRPr="000F5EB0">
        <w:t>ed</w:t>
      </w:r>
      <w:r w:rsidR="00E4321E" w:rsidRPr="000F5EB0">
        <w:t xml:space="preserve"> to be delivered at </w:t>
      </w:r>
      <w:r w:rsidR="00257FF2" w:rsidRPr="000F5EB0">
        <w:t xml:space="preserve">the </w:t>
      </w:r>
      <w:r w:rsidR="00E4321E" w:rsidRPr="000F5EB0">
        <w:t xml:space="preserve">same time </w:t>
      </w:r>
      <w:r w:rsidR="00257FF2" w:rsidRPr="000F5EB0">
        <w:t>as the</w:t>
      </w:r>
      <w:r w:rsidR="00E4321E" w:rsidRPr="000F5EB0">
        <w:t xml:space="preserve"> </w:t>
      </w:r>
      <w:r w:rsidR="00257FF2" w:rsidRPr="000F5EB0">
        <w:t xml:space="preserve">comparator </w:t>
      </w:r>
      <w:r w:rsidR="00E4321E" w:rsidRPr="000F5EB0">
        <w:t>service</w:t>
      </w:r>
      <w:r w:rsidR="00257FF2" w:rsidRPr="000F5EB0">
        <w:t>)</w:t>
      </w:r>
      <w:r w:rsidR="00AE1188" w:rsidRPr="000F5EB0">
        <w:t>:</w:t>
      </w:r>
    </w:p>
    <w:p w14:paraId="18DE4BDC" w14:textId="3ADA3122" w:rsidR="00B8443F" w:rsidRPr="000F5EB0" w:rsidRDefault="00C06CD7" w:rsidP="00225180">
      <w:pPr>
        <w:ind w:left="360"/>
      </w:pPr>
      <w:r w:rsidRPr="000F5EB0">
        <w:t>The comparator</w:t>
      </w:r>
      <w:r w:rsidR="00163A6B" w:rsidRPr="000F5EB0">
        <w:t>s</w:t>
      </w:r>
      <w:r w:rsidRPr="000F5EB0">
        <w:t xml:space="preserve"> </w:t>
      </w:r>
      <w:r w:rsidR="00163A6B" w:rsidRPr="000F5EB0">
        <w:t xml:space="preserve">nominated for </w:t>
      </w:r>
      <w:r w:rsidR="0045150A">
        <w:t xml:space="preserve">NGS </w:t>
      </w:r>
      <w:r w:rsidR="00163A6B" w:rsidRPr="000F5EB0">
        <w:t>assay</w:t>
      </w:r>
      <w:r w:rsidR="00B80D3D">
        <w:t>s</w:t>
      </w:r>
      <w:r w:rsidR="00163A6B" w:rsidRPr="000F5EB0">
        <w:t xml:space="preserve"> are </w:t>
      </w:r>
      <w:r w:rsidR="00163A6B" w:rsidRPr="00561EE7">
        <w:t>all</w:t>
      </w:r>
      <w:r w:rsidR="009D49A2" w:rsidRPr="000F5EB0">
        <w:t xml:space="preserve"> </w:t>
      </w:r>
      <w:r w:rsidR="00187563" w:rsidRPr="000F5EB0">
        <w:t xml:space="preserve">molecular </w:t>
      </w:r>
      <w:r w:rsidR="009D49A2" w:rsidRPr="000F5EB0">
        <w:t>biomarker tests currently</w:t>
      </w:r>
      <w:r w:rsidR="0058264A" w:rsidRPr="000F5EB0">
        <w:t xml:space="preserve"> </w:t>
      </w:r>
      <w:r w:rsidR="009D49A2" w:rsidRPr="000F5EB0">
        <w:t>listed on the MBS</w:t>
      </w:r>
      <w:r w:rsidR="00195B3E" w:rsidRPr="000F5EB0">
        <w:t xml:space="preserve"> </w:t>
      </w:r>
      <w:r w:rsidR="003F3F78">
        <w:t xml:space="preserve">and </w:t>
      </w:r>
      <w:r w:rsidR="009D49A2" w:rsidRPr="000F5EB0">
        <w:t xml:space="preserve">used to identify </w:t>
      </w:r>
      <w:r w:rsidR="00EF798D">
        <w:t xml:space="preserve">NSCLC </w:t>
      </w:r>
      <w:r w:rsidR="003F3F78">
        <w:t>p</w:t>
      </w:r>
      <w:r w:rsidR="009D49A2" w:rsidRPr="000F5EB0">
        <w:t>atients eligible for treatment with</w:t>
      </w:r>
      <w:r w:rsidR="001B204E" w:rsidRPr="000F5EB0">
        <w:t xml:space="preserve"> a targeted therapy</w:t>
      </w:r>
      <w:r w:rsidR="00B8443F" w:rsidRPr="000F5EB0">
        <w:t>, specifically:</w:t>
      </w:r>
    </w:p>
    <w:p w14:paraId="5D6CF7AA" w14:textId="7BBDD1BD" w:rsidR="00B8443F" w:rsidRPr="000F5EB0" w:rsidRDefault="008039EA" w:rsidP="00225180">
      <w:pPr>
        <w:pStyle w:val="ListParagraph"/>
        <w:numPr>
          <w:ilvl w:val="0"/>
          <w:numId w:val="20"/>
        </w:numPr>
        <w:ind w:left="1080"/>
      </w:pPr>
      <w:r w:rsidRPr="000F5EB0">
        <w:t xml:space="preserve">Testing of </w:t>
      </w:r>
      <w:r w:rsidR="008C3144" w:rsidRPr="000F5EB0">
        <w:t xml:space="preserve">EGFR gene </w:t>
      </w:r>
      <w:r w:rsidR="00F5738A" w:rsidRPr="000F5EB0">
        <w:t xml:space="preserve">mutation </w:t>
      </w:r>
      <w:r w:rsidR="008C3144" w:rsidRPr="000F5EB0">
        <w:t>statu</w:t>
      </w:r>
      <w:r w:rsidR="00631469">
        <w:t>s</w:t>
      </w:r>
    </w:p>
    <w:p w14:paraId="172F129C" w14:textId="3C244BED" w:rsidR="00B968F8" w:rsidRPr="000F5EB0" w:rsidRDefault="00C730C3" w:rsidP="00225180">
      <w:pPr>
        <w:pStyle w:val="ListParagraph"/>
        <w:numPr>
          <w:ilvl w:val="0"/>
          <w:numId w:val="20"/>
        </w:numPr>
        <w:ind w:left="1080"/>
      </w:pPr>
      <w:r w:rsidRPr="000F5EB0">
        <w:t>Immunohistochemistry</w:t>
      </w:r>
      <w:r w:rsidR="00386007" w:rsidRPr="000F5EB0">
        <w:t xml:space="preserve"> </w:t>
      </w:r>
      <w:r w:rsidR="00F5738A" w:rsidRPr="000F5EB0">
        <w:t xml:space="preserve">testing </w:t>
      </w:r>
      <w:r w:rsidR="00C94502" w:rsidRPr="000F5EB0">
        <w:t xml:space="preserve">as </w:t>
      </w:r>
      <w:r w:rsidR="00B968F8" w:rsidRPr="000F5EB0">
        <w:t xml:space="preserve">triage </w:t>
      </w:r>
      <w:r w:rsidR="00C94502" w:rsidRPr="000F5EB0">
        <w:t>ALK</w:t>
      </w:r>
      <w:r w:rsidR="00B968F8" w:rsidRPr="000F5EB0">
        <w:t xml:space="preserve"> testing</w:t>
      </w:r>
    </w:p>
    <w:p w14:paraId="072C3BCF" w14:textId="229C72CB" w:rsidR="00B522B7" w:rsidRPr="000F5EB0" w:rsidRDefault="007C3C72" w:rsidP="00225180">
      <w:pPr>
        <w:pStyle w:val="ListParagraph"/>
        <w:numPr>
          <w:ilvl w:val="0"/>
          <w:numId w:val="20"/>
        </w:numPr>
        <w:ind w:left="1080"/>
      </w:pPr>
      <w:r w:rsidRPr="000F5EB0">
        <w:t xml:space="preserve">Testing </w:t>
      </w:r>
      <w:r w:rsidR="00F5738A" w:rsidRPr="000F5EB0">
        <w:t xml:space="preserve">of </w:t>
      </w:r>
      <w:r w:rsidRPr="000F5EB0">
        <w:t xml:space="preserve">ALK </w:t>
      </w:r>
      <w:r w:rsidR="00F5738A" w:rsidRPr="000F5EB0">
        <w:t xml:space="preserve">gene rearrangement </w:t>
      </w:r>
      <w:r w:rsidRPr="000F5EB0">
        <w:t>status by FISH</w:t>
      </w:r>
    </w:p>
    <w:p w14:paraId="1C28446B" w14:textId="1CE5CF89" w:rsidR="00AA6E96" w:rsidRPr="000F5EB0" w:rsidRDefault="00AA6E96" w:rsidP="00225180">
      <w:pPr>
        <w:pStyle w:val="ListParagraph"/>
        <w:numPr>
          <w:ilvl w:val="0"/>
          <w:numId w:val="20"/>
        </w:numPr>
        <w:ind w:left="1080"/>
      </w:pPr>
      <w:r w:rsidRPr="000F5EB0">
        <w:t xml:space="preserve">Immunohistochemistry </w:t>
      </w:r>
      <w:r w:rsidR="00F5738A" w:rsidRPr="000F5EB0">
        <w:t xml:space="preserve">testing </w:t>
      </w:r>
      <w:r w:rsidRPr="000F5EB0">
        <w:t>as triage ROS1 testing</w:t>
      </w:r>
    </w:p>
    <w:p w14:paraId="18FD2FEA" w14:textId="311EADB2" w:rsidR="00F46505" w:rsidRPr="000F5EB0" w:rsidRDefault="00E620D6" w:rsidP="00225180">
      <w:pPr>
        <w:pStyle w:val="ListParagraph"/>
        <w:numPr>
          <w:ilvl w:val="0"/>
          <w:numId w:val="20"/>
        </w:numPr>
        <w:ind w:left="1080"/>
      </w:pPr>
      <w:r w:rsidRPr="000F5EB0">
        <w:t xml:space="preserve">Testing of ROS1 </w:t>
      </w:r>
      <w:r w:rsidR="00315805" w:rsidRPr="000F5EB0">
        <w:t xml:space="preserve">gene rearrangement </w:t>
      </w:r>
      <w:r w:rsidRPr="000F5EB0">
        <w:t>status by FISH</w:t>
      </w:r>
    </w:p>
    <w:p w14:paraId="4A2CFDC8" w14:textId="77777777" w:rsidR="00757232" w:rsidRPr="000F5EB0" w:rsidRDefault="00AF5D1E" w:rsidP="00530204">
      <w:pPr>
        <w:pStyle w:val="Heading2"/>
      </w:pPr>
      <w:r w:rsidRPr="000F5EB0">
        <w:t>Does the medical service that has been nominated as the comparator</w:t>
      </w:r>
      <w:r w:rsidR="000159B9" w:rsidRPr="000F5EB0">
        <w:t xml:space="preserve"> </w:t>
      </w:r>
      <w:r w:rsidRPr="000F5EB0">
        <w:t>have an existing MBS item number</w:t>
      </w:r>
      <w:r w:rsidR="00D30BDC" w:rsidRPr="000F5EB0">
        <w:t>(s)</w:t>
      </w:r>
      <w:r w:rsidR="00757232" w:rsidRPr="000F5EB0">
        <w:t>?</w:t>
      </w:r>
    </w:p>
    <w:p w14:paraId="3B10B7D3" w14:textId="1F16A174" w:rsidR="006A1038" w:rsidRPr="000F5EB0" w:rsidRDefault="003B2E4E" w:rsidP="006A1038">
      <w:pPr>
        <w:spacing w:before="0" w:after="0"/>
        <w:ind w:left="426"/>
        <w:rPr>
          <w:szCs w:val="20"/>
        </w:rPr>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6A1038" w:rsidRPr="000F5EB0">
        <w:rPr>
          <w:szCs w:val="20"/>
        </w:rPr>
        <w:t xml:space="preserve"> Yes (please provide all relevant MBS item numbers below)</w:t>
      </w:r>
    </w:p>
    <w:p w14:paraId="0B68EF26" w14:textId="17FB5EA6" w:rsidR="000159B9" w:rsidRPr="000F5EB0" w:rsidRDefault="006A1038" w:rsidP="006A1038">
      <w:pPr>
        <w:spacing w:before="0" w:after="0"/>
        <w:ind w:left="426"/>
        <w:rPr>
          <w:szCs w:val="20"/>
        </w:rPr>
      </w:pPr>
      <w:r w:rsidRPr="000F5EB0">
        <w:rPr>
          <w:szCs w:val="20"/>
        </w:rPr>
        <w:fldChar w:fldCharType="begin">
          <w:ffData>
            <w:name w:val="Check2"/>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No</w:t>
      </w:r>
    </w:p>
    <w:p w14:paraId="53AB41F2" w14:textId="4A56E6E1" w:rsidR="000159B9" w:rsidRPr="000F5EB0" w:rsidRDefault="00315805" w:rsidP="00225180">
      <w:pPr>
        <w:ind w:left="426"/>
      </w:pPr>
      <w:r w:rsidRPr="000F5EB0">
        <w:t>Testing of EGFR gene mutation status</w:t>
      </w:r>
      <w:r w:rsidR="003B2E4E" w:rsidRPr="000F5EB0">
        <w:t xml:space="preserve">: MBS item </w:t>
      </w:r>
      <w:r w:rsidR="000610CC" w:rsidRPr="000F5EB0">
        <w:t>73337</w:t>
      </w:r>
    </w:p>
    <w:p w14:paraId="02F540B8" w14:textId="6A680A54" w:rsidR="008D3128" w:rsidRPr="000F5EB0" w:rsidRDefault="00315805" w:rsidP="00225180">
      <w:pPr>
        <w:ind w:left="426"/>
      </w:pPr>
      <w:r w:rsidRPr="000F5EB0">
        <w:t xml:space="preserve">Immunohistochemistry testing as triage ALK </w:t>
      </w:r>
      <w:r w:rsidR="00101C02">
        <w:t xml:space="preserve">and ROS1 </w:t>
      </w:r>
      <w:r w:rsidRPr="000F5EB0">
        <w:t>testing</w:t>
      </w:r>
      <w:r w:rsidR="000610CC" w:rsidRPr="000F5EB0">
        <w:t>: eligible under MBS item</w:t>
      </w:r>
      <w:r w:rsidR="008D3128" w:rsidRPr="000F5EB0">
        <w:t xml:space="preserve"> 72846</w:t>
      </w:r>
    </w:p>
    <w:p w14:paraId="1E15FCA2" w14:textId="0647FBB9" w:rsidR="000610CC" w:rsidRDefault="00315805" w:rsidP="00225180">
      <w:pPr>
        <w:ind w:left="426"/>
      </w:pPr>
      <w:r w:rsidRPr="000F5EB0">
        <w:t>Testing of ALK gene rearrangement status by FISH</w:t>
      </w:r>
      <w:r w:rsidR="008D3128" w:rsidRPr="000F5EB0">
        <w:t xml:space="preserve">: </w:t>
      </w:r>
      <w:r w:rsidR="000610CC" w:rsidRPr="000F5EB0">
        <w:t xml:space="preserve">MBS </w:t>
      </w:r>
      <w:r w:rsidR="008D3128" w:rsidRPr="000F5EB0">
        <w:t xml:space="preserve">item </w:t>
      </w:r>
      <w:r w:rsidR="00FA006A" w:rsidRPr="000F5EB0">
        <w:t>73341</w:t>
      </w:r>
      <w:r w:rsidR="000610CC" w:rsidRPr="000F5EB0">
        <w:t>.</w:t>
      </w:r>
    </w:p>
    <w:p w14:paraId="1290A906" w14:textId="1BBF416B" w:rsidR="00E91479" w:rsidRPr="000F5EB0" w:rsidRDefault="00E91479" w:rsidP="00225180">
      <w:pPr>
        <w:ind w:left="426"/>
      </w:pPr>
      <w:r>
        <w:t>Testing of ROS1 gene rearrangement status by FISH</w:t>
      </w:r>
      <w:r w:rsidR="006F2EB0">
        <w:t xml:space="preserve">: MBS item </w:t>
      </w:r>
      <w:r w:rsidR="00956F71">
        <w:t>73344</w:t>
      </w:r>
      <w:r w:rsidR="00A071CB">
        <w:t>.</w:t>
      </w:r>
    </w:p>
    <w:p w14:paraId="6C0DC325" w14:textId="77777777" w:rsidR="00AF5D1E" w:rsidRPr="000F5EB0" w:rsidRDefault="00AF5D1E" w:rsidP="00530204">
      <w:pPr>
        <w:pStyle w:val="Heading2"/>
      </w:pPr>
      <w:r w:rsidRPr="000F5EB0">
        <w:t>Define and summarise the current cl</w:t>
      </w:r>
      <w:r w:rsidR="00F33F1A" w:rsidRPr="000F5EB0">
        <w:t xml:space="preserve">inical management pathways that patients may follow </w:t>
      </w:r>
      <w:r w:rsidR="00F33F1A" w:rsidRPr="000F5EB0">
        <w:rPr>
          <w:i/>
        </w:rPr>
        <w:t>after</w:t>
      </w:r>
      <w:r w:rsidR="00757232" w:rsidRPr="000F5EB0">
        <w:t xml:space="preserve"> they receive</w:t>
      </w:r>
      <w:r w:rsidRPr="000F5EB0">
        <w:t xml:space="preserve"> </w:t>
      </w:r>
      <w:r w:rsidR="00F33F1A" w:rsidRPr="000F5EB0">
        <w:t xml:space="preserve">the medical service that has been nominated as the comparator </w:t>
      </w:r>
      <w:r w:rsidRPr="000F5EB0">
        <w:t xml:space="preserve">(supplement this summary with </w:t>
      </w:r>
      <w:r w:rsidR="00F33F1A" w:rsidRPr="000F5EB0">
        <w:t xml:space="preserve">an easy to follow flowchart </w:t>
      </w:r>
      <w:r w:rsidR="00757232" w:rsidRPr="000F5EB0">
        <w:t xml:space="preserve">[as an attachment to the Application Form] </w:t>
      </w:r>
      <w:r w:rsidR="00F33F1A" w:rsidRPr="000F5EB0">
        <w:t>dep</w:t>
      </w:r>
      <w:r w:rsidRPr="000F5EB0">
        <w:t>icting the current c</w:t>
      </w:r>
      <w:r w:rsidR="0054594B" w:rsidRPr="000F5EB0">
        <w:t>linical management pathway</w:t>
      </w:r>
      <w:r w:rsidR="00757232" w:rsidRPr="000F5EB0">
        <w:t xml:space="preserve"> </w:t>
      </w:r>
      <w:r w:rsidR="0054594B" w:rsidRPr="000F5EB0">
        <w:t>that patients may follow from the point of receiving the comparator onwards</w:t>
      </w:r>
      <w:r w:rsidR="00E4321E" w:rsidRPr="000F5EB0">
        <w:t xml:space="preserve"> including health care resources</w:t>
      </w:r>
      <w:r w:rsidR="00AE1188" w:rsidRPr="000F5EB0">
        <w:t>):</w:t>
      </w:r>
    </w:p>
    <w:p w14:paraId="4E175269" w14:textId="1B4AD972" w:rsidR="00C908E7" w:rsidRPr="000F5EB0" w:rsidRDefault="00677DD8" w:rsidP="00225180">
      <w:pPr>
        <w:spacing w:before="100" w:beforeAutospacing="1" w:after="100" w:afterAutospacing="1"/>
        <w:ind w:left="360"/>
        <w:rPr>
          <w:szCs w:val="20"/>
        </w:rPr>
      </w:pPr>
      <w:r w:rsidRPr="000F5EB0">
        <w:rPr>
          <w:szCs w:val="20"/>
        </w:rPr>
        <w:t>As p</w:t>
      </w:r>
      <w:r w:rsidR="00A76549" w:rsidRPr="000F5EB0">
        <w:rPr>
          <w:szCs w:val="20"/>
        </w:rPr>
        <w:t xml:space="preserve">er the </w:t>
      </w:r>
      <w:r w:rsidR="00A76549" w:rsidRPr="000F5EB0">
        <w:rPr>
          <w:szCs w:val="20"/>
          <w:u w:val="single"/>
        </w:rPr>
        <w:t xml:space="preserve">current access arrangements </w:t>
      </w:r>
      <w:r w:rsidR="003476FE" w:rsidRPr="000F5EB0">
        <w:rPr>
          <w:szCs w:val="20"/>
          <w:u w:val="single"/>
        </w:rPr>
        <w:t xml:space="preserve">to </w:t>
      </w:r>
      <w:r w:rsidR="0028739F" w:rsidRPr="000F5EB0">
        <w:rPr>
          <w:szCs w:val="20"/>
          <w:u w:val="single"/>
        </w:rPr>
        <w:t>PBS-listed targeted lung cancer treatments</w:t>
      </w:r>
      <w:r w:rsidR="0028739F" w:rsidRPr="000F5EB0">
        <w:rPr>
          <w:szCs w:val="20"/>
        </w:rPr>
        <w:t xml:space="preserve"> </w:t>
      </w:r>
      <w:r w:rsidR="00B9588A" w:rsidRPr="000F5EB0">
        <w:rPr>
          <w:szCs w:val="20"/>
        </w:rPr>
        <w:t xml:space="preserve">the following treatments may be used based on the </w:t>
      </w:r>
      <w:r w:rsidR="00C9040A" w:rsidRPr="000F5EB0">
        <w:rPr>
          <w:szCs w:val="20"/>
        </w:rPr>
        <w:t>results of</w:t>
      </w:r>
      <w:r w:rsidR="00320890">
        <w:rPr>
          <w:szCs w:val="20"/>
        </w:rPr>
        <w:t xml:space="preserve"> </w:t>
      </w:r>
      <w:r w:rsidR="00B3401B">
        <w:rPr>
          <w:szCs w:val="20"/>
        </w:rPr>
        <w:t>CGP</w:t>
      </w:r>
      <w:r w:rsidR="00320890">
        <w:rPr>
          <w:szCs w:val="20"/>
        </w:rPr>
        <w:t xml:space="preserve"> </w:t>
      </w:r>
      <w:r w:rsidR="00FF5218">
        <w:rPr>
          <w:szCs w:val="20"/>
        </w:rPr>
        <w:t>with a NG</w:t>
      </w:r>
      <w:r w:rsidR="004F68C7">
        <w:rPr>
          <w:szCs w:val="20"/>
        </w:rPr>
        <w:t>S</w:t>
      </w:r>
      <w:r w:rsidR="00FF5218">
        <w:rPr>
          <w:szCs w:val="20"/>
        </w:rPr>
        <w:t xml:space="preserve"> assay</w:t>
      </w:r>
      <w:r w:rsidR="00092429" w:rsidRPr="000F5EB0">
        <w:rPr>
          <w:szCs w:val="20"/>
        </w:rPr>
        <w:t xml:space="preserve"> </w:t>
      </w:r>
      <w:r w:rsidR="00C9040A" w:rsidRPr="000F5EB0">
        <w:rPr>
          <w:szCs w:val="20"/>
        </w:rPr>
        <w:t xml:space="preserve">(or </w:t>
      </w:r>
      <w:r w:rsidR="00421AF3" w:rsidRPr="000F5EB0">
        <w:rPr>
          <w:szCs w:val="20"/>
        </w:rPr>
        <w:t xml:space="preserve">testing using </w:t>
      </w:r>
      <w:r w:rsidR="00C908E7" w:rsidRPr="000F5EB0">
        <w:rPr>
          <w:szCs w:val="20"/>
        </w:rPr>
        <w:t xml:space="preserve">molecular biomarker tests </w:t>
      </w:r>
      <w:r w:rsidR="00421AF3" w:rsidRPr="000F5EB0">
        <w:rPr>
          <w:szCs w:val="20"/>
        </w:rPr>
        <w:t xml:space="preserve">currently </w:t>
      </w:r>
      <w:r w:rsidR="00C908E7" w:rsidRPr="000F5EB0">
        <w:rPr>
          <w:szCs w:val="20"/>
        </w:rPr>
        <w:t>listed on the MBS):</w:t>
      </w:r>
    </w:p>
    <w:p w14:paraId="6C23EED5" w14:textId="7DE5E5F8" w:rsidR="00C908E7" w:rsidRPr="000F5EB0" w:rsidRDefault="00E56FE9" w:rsidP="00225180">
      <w:pPr>
        <w:pStyle w:val="ListParagraph"/>
        <w:numPr>
          <w:ilvl w:val="0"/>
          <w:numId w:val="21"/>
        </w:numPr>
        <w:spacing w:before="100" w:beforeAutospacing="1" w:after="100" w:afterAutospacing="1"/>
        <w:ind w:left="1080"/>
        <w:rPr>
          <w:szCs w:val="20"/>
        </w:rPr>
      </w:pPr>
      <w:r w:rsidRPr="000F5EB0">
        <w:rPr>
          <w:szCs w:val="20"/>
        </w:rPr>
        <w:t>EGFR mutation positive</w:t>
      </w:r>
      <w:r w:rsidR="009B4984" w:rsidRPr="000F5EB0">
        <w:rPr>
          <w:szCs w:val="20"/>
        </w:rPr>
        <w:t>: erlotinib; gefitini</w:t>
      </w:r>
      <w:r w:rsidR="00E536FF" w:rsidRPr="000F5EB0">
        <w:rPr>
          <w:szCs w:val="20"/>
        </w:rPr>
        <w:t>b; afatinib</w:t>
      </w:r>
      <w:r w:rsidR="005A536E">
        <w:rPr>
          <w:szCs w:val="20"/>
        </w:rPr>
        <w:t>; osimertinib</w:t>
      </w:r>
    </w:p>
    <w:p w14:paraId="79AEE60F" w14:textId="000EC94F" w:rsidR="00E536FF" w:rsidRDefault="00E536FF" w:rsidP="00225180">
      <w:pPr>
        <w:pStyle w:val="ListParagraph"/>
        <w:numPr>
          <w:ilvl w:val="0"/>
          <w:numId w:val="21"/>
        </w:numPr>
        <w:spacing w:before="100" w:beforeAutospacing="1" w:after="100" w:afterAutospacing="1"/>
        <w:ind w:left="1080"/>
        <w:rPr>
          <w:szCs w:val="20"/>
        </w:rPr>
      </w:pPr>
      <w:r w:rsidRPr="000F5EB0">
        <w:rPr>
          <w:szCs w:val="20"/>
        </w:rPr>
        <w:t>ALK gene rearrangement positive: alectinib; ceritinib; crizotinib</w:t>
      </w:r>
      <w:r w:rsidR="00EC5C39">
        <w:rPr>
          <w:szCs w:val="20"/>
        </w:rPr>
        <w:t>; brigatini</w:t>
      </w:r>
      <w:r w:rsidR="00AF401F">
        <w:rPr>
          <w:szCs w:val="20"/>
        </w:rPr>
        <w:t>b</w:t>
      </w:r>
      <w:r w:rsidR="00EC5C39">
        <w:rPr>
          <w:szCs w:val="20"/>
        </w:rPr>
        <w:t xml:space="preserve"> (PBAC recommend</w:t>
      </w:r>
      <w:r w:rsidR="000224EB">
        <w:rPr>
          <w:szCs w:val="20"/>
        </w:rPr>
        <w:t xml:space="preserve">ed </w:t>
      </w:r>
      <w:r w:rsidR="00391F4B">
        <w:rPr>
          <w:szCs w:val="20"/>
        </w:rPr>
        <w:t>November 2019)</w:t>
      </w:r>
    </w:p>
    <w:p w14:paraId="5F136DDA" w14:textId="3BC7B250" w:rsidR="005A536E" w:rsidRPr="000F5EB0" w:rsidRDefault="005A536E" w:rsidP="00225180">
      <w:pPr>
        <w:pStyle w:val="ListParagraph"/>
        <w:numPr>
          <w:ilvl w:val="0"/>
          <w:numId w:val="21"/>
        </w:numPr>
        <w:spacing w:before="100" w:beforeAutospacing="1" w:after="100" w:afterAutospacing="1"/>
        <w:ind w:left="1080"/>
        <w:rPr>
          <w:szCs w:val="20"/>
        </w:rPr>
      </w:pPr>
      <w:r>
        <w:rPr>
          <w:szCs w:val="20"/>
        </w:rPr>
        <w:t>ROS1 gene rearrangement positive: crizotinib</w:t>
      </w:r>
      <w:r w:rsidR="00391F4B">
        <w:rPr>
          <w:szCs w:val="20"/>
        </w:rPr>
        <w:t>; entrectinib (</w:t>
      </w:r>
      <w:r w:rsidR="00EB17D6">
        <w:rPr>
          <w:szCs w:val="20"/>
        </w:rPr>
        <w:t xml:space="preserve">pending outcome of </w:t>
      </w:r>
      <w:r w:rsidR="00274528">
        <w:rPr>
          <w:szCs w:val="20"/>
        </w:rPr>
        <w:t>PBAC decision at March 2019 meeting)</w:t>
      </w:r>
    </w:p>
    <w:p w14:paraId="540DD16A" w14:textId="7AB22294" w:rsidR="00225EC0" w:rsidRPr="000F5EB0" w:rsidRDefault="00225EC0" w:rsidP="00225180">
      <w:pPr>
        <w:spacing w:before="100" w:beforeAutospacing="1" w:after="100" w:afterAutospacing="1"/>
        <w:ind w:left="360"/>
        <w:rPr>
          <w:szCs w:val="20"/>
        </w:rPr>
      </w:pPr>
      <w:r w:rsidRPr="000F5EB0">
        <w:rPr>
          <w:szCs w:val="20"/>
        </w:rPr>
        <w:t>Pending the outcome of</w:t>
      </w:r>
      <w:r w:rsidR="00AF7971" w:rsidRPr="000F5EB0">
        <w:rPr>
          <w:szCs w:val="20"/>
        </w:rPr>
        <w:t xml:space="preserve"> the </w:t>
      </w:r>
      <w:r w:rsidR="00AF7971" w:rsidRPr="000F5EB0">
        <w:rPr>
          <w:szCs w:val="20"/>
          <w:u w:val="single"/>
        </w:rPr>
        <w:t xml:space="preserve">clinical development </w:t>
      </w:r>
      <w:r w:rsidR="00836692" w:rsidRPr="000F5EB0">
        <w:rPr>
          <w:szCs w:val="20"/>
          <w:u w:val="single"/>
        </w:rPr>
        <w:t xml:space="preserve">of </w:t>
      </w:r>
      <w:r w:rsidRPr="000F5EB0">
        <w:rPr>
          <w:szCs w:val="20"/>
          <w:u w:val="single"/>
        </w:rPr>
        <w:t>targeted lung cancer treatments</w:t>
      </w:r>
      <w:r w:rsidRPr="000F5EB0">
        <w:rPr>
          <w:szCs w:val="20"/>
        </w:rPr>
        <w:t xml:space="preserve"> the following</w:t>
      </w:r>
      <w:r w:rsidR="00E11144">
        <w:rPr>
          <w:szCs w:val="20"/>
        </w:rPr>
        <w:t xml:space="preserve"> new</w:t>
      </w:r>
      <w:r w:rsidRPr="000F5EB0">
        <w:rPr>
          <w:szCs w:val="20"/>
        </w:rPr>
        <w:t xml:space="preserve"> treatments may be used based on the results of</w:t>
      </w:r>
      <w:r w:rsidR="00274528">
        <w:rPr>
          <w:szCs w:val="20"/>
        </w:rPr>
        <w:t xml:space="preserve"> </w:t>
      </w:r>
      <w:r w:rsidR="00B3401B">
        <w:rPr>
          <w:szCs w:val="20"/>
        </w:rPr>
        <w:t>CGP</w:t>
      </w:r>
      <w:r w:rsidR="00274528">
        <w:rPr>
          <w:szCs w:val="20"/>
        </w:rPr>
        <w:t xml:space="preserve"> with a NGS assay </w:t>
      </w:r>
      <w:r w:rsidR="00F21D20" w:rsidRPr="000F5EB0">
        <w:rPr>
          <w:szCs w:val="20"/>
        </w:rPr>
        <w:t xml:space="preserve">in the foreseeable future, noting </w:t>
      </w:r>
      <w:r w:rsidR="006E7452" w:rsidRPr="000F5EB0">
        <w:rPr>
          <w:szCs w:val="20"/>
        </w:rPr>
        <w:t xml:space="preserve">that use of these treatments </w:t>
      </w:r>
      <w:r w:rsidR="00896187" w:rsidRPr="000F5EB0">
        <w:rPr>
          <w:szCs w:val="20"/>
        </w:rPr>
        <w:t xml:space="preserve">in lung cancer patients </w:t>
      </w:r>
      <w:r w:rsidR="006E7452" w:rsidRPr="000F5EB0">
        <w:rPr>
          <w:szCs w:val="20"/>
        </w:rPr>
        <w:t>will be contingent o</w:t>
      </w:r>
      <w:r w:rsidR="00896187" w:rsidRPr="000F5EB0">
        <w:rPr>
          <w:szCs w:val="20"/>
        </w:rPr>
        <w:t>n obtaining TGA-approval and PBS</w:t>
      </w:r>
      <w:r w:rsidR="00ED1CA7">
        <w:rPr>
          <w:szCs w:val="20"/>
        </w:rPr>
        <w:t xml:space="preserve"> </w:t>
      </w:r>
      <w:r w:rsidR="00896187" w:rsidRPr="000F5EB0">
        <w:rPr>
          <w:szCs w:val="20"/>
        </w:rPr>
        <w:t>listing as per standard processes</w:t>
      </w:r>
      <w:r w:rsidRPr="000F5EB0">
        <w:rPr>
          <w:szCs w:val="20"/>
        </w:rPr>
        <w:t>:</w:t>
      </w:r>
    </w:p>
    <w:p w14:paraId="4ECB3874" w14:textId="17B5F807" w:rsidR="00D74958" w:rsidRDefault="00D74958" w:rsidP="00FD4715">
      <w:pPr>
        <w:pStyle w:val="ListParagraph"/>
        <w:numPr>
          <w:ilvl w:val="0"/>
          <w:numId w:val="22"/>
        </w:numPr>
        <w:spacing w:before="100" w:beforeAutospacing="1" w:after="100" w:afterAutospacing="1"/>
        <w:rPr>
          <w:szCs w:val="20"/>
        </w:rPr>
      </w:pPr>
      <w:r>
        <w:rPr>
          <w:szCs w:val="20"/>
        </w:rPr>
        <w:t>EGFR Ex19del, L858R: dacomitinib</w:t>
      </w:r>
    </w:p>
    <w:p w14:paraId="5D0C7DC2" w14:textId="06015582" w:rsidR="00D87052" w:rsidRPr="000F5EB0" w:rsidRDefault="00EC7C3B" w:rsidP="00FD4715">
      <w:pPr>
        <w:pStyle w:val="ListParagraph"/>
        <w:numPr>
          <w:ilvl w:val="0"/>
          <w:numId w:val="22"/>
        </w:numPr>
        <w:spacing w:before="100" w:beforeAutospacing="1" w:after="100" w:afterAutospacing="1"/>
        <w:rPr>
          <w:szCs w:val="20"/>
        </w:rPr>
      </w:pPr>
      <w:r w:rsidRPr="000F5EB0">
        <w:rPr>
          <w:szCs w:val="20"/>
        </w:rPr>
        <w:t>B</w:t>
      </w:r>
      <w:r w:rsidR="00D87052" w:rsidRPr="000F5EB0">
        <w:rPr>
          <w:szCs w:val="20"/>
        </w:rPr>
        <w:t>RAF V600E positive: dabrafenib+trametinib</w:t>
      </w:r>
    </w:p>
    <w:p w14:paraId="7279830D" w14:textId="257D3379" w:rsidR="00710649" w:rsidRPr="000F5EB0" w:rsidRDefault="00710649" w:rsidP="00FD4715">
      <w:pPr>
        <w:pStyle w:val="ListParagraph"/>
        <w:numPr>
          <w:ilvl w:val="0"/>
          <w:numId w:val="22"/>
        </w:numPr>
        <w:spacing w:before="100" w:beforeAutospacing="1" w:after="100" w:afterAutospacing="1"/>
        <w:rPr>
          <w:szCs w:val="20"/>
        </w:rPr>
      </w:pPr>
      <w:r w:rsidRPr="000F5EB0">
        <w:rPr>
          <w:szCs w:val="20"/>
        </w:rPr>
        <w:t xml:space="preserve">ROS1 gene rearrangement positive: </w:t>
      </w:r>
      <w:r w:rsidR="00590766" w:rsidRPr="000F5EB0">
        <w:rPr>
          <w:szCs w:val="20"/>
        </w:rPr>
        <w:t>lorlatinib</w:t>
      </w:r>
      <w:r w:rsidR="00723560">
        <w:rPr>
          <w:szCs w:val="20"/>
        </w:rPr>
        <w:t>; cabozantinib; repo</w:t>
      </w:r>
      <w:r w:rsidR="00E82C91">
        <w:rPr>
          <w:szCs w:val="20"/>
        </w:rPr>
        <w:t>trectinib</w:t>
      </w:r>
    </w:p>
    <w:p w14:paraId="61975C61" w14:textId="34518F2E" w:rsidR="005B2DDB" w:rsidRPr="000F5EB0" w:rsidRDefault="00405393" w:rsidP="00FD4715">
      <w:pPr>
        <w:pStyle w:val="ListParagraph"/>
        <w:numPr>
          <w:ilvl w:val="0"/>
          <w:numId w:val="22"/>
        </w:numPr>
        <w:spacing w:before="100" w:beforeAutospacing="1" w:after="100" w:afterAutospacing="1"/>
        <w:rPr>
          <w:szCs w:val="20"/>
        </w:rPr>
      </w:pPr>
      <w:r w:rsidRPr="000F5EB0">
        <w:rPr>
          <w:szCs w:val="20"/>
        </w:rPr>
        <w:t xml:space="preserve">RET </w:t>
      </w:r>
      <w:r w:rsidR="00AE4EB1" w:rsidRPr="000F5EB0">
        <w:rPr>
          <w:szCs w:val="20"/>
        </w:rPr>
        <w:t xml:space="preserve">gene rearrangement positive: </w:t>
      </w:r>
      <w:r w:rsidR="00277C12" w:rsidRPr="000F5EB0">
        <w:rPr>
          <w:szCs w:val="20"/>
        </w:rPr>
        <w:t>cabozantinib; vandetanib</w:t>
      </w:r>
    </w:p>
    <w:p w14:paraId="37EEA5DD" w14:textId="7FAE1A5D" w:rsidR="00277C12" w:rsidRPr="000F5EB0" w:rsidRDefault="00277C12" w:rsidP="00FD4715">
      <w:pPr>
        <w:pStyle w:val="ListParagraph"/>
        <w:numPr>
          <w:ilvl w:val="0"/>
          <w:numId w:val="22"/>
        </w:numPr>
        <w:spacing w:before="100" w:beforeAutospacing="1" w:after="100" w:afterAutospacing="1"/>
        <w:rPr>
          <w:szCs w:val="20"/>
          <w:lang w:val="fr-FR"/>
        </w:rPr>
      </w:pPr>
      <w:r w:rsidRPr="000F5EB0">
        <w:rPr>
          <w:szCs w:val="20"/>
          <w:lang w:val="fr-FR"/>
        </w:rPr>
        <w:t>NTRK gene rearrangement positive: entrectinib</w:t>
      </w:r>
      <w:r w:rsidR="001C5FEA" w:rsidRPr="000F5EB0">
        <w:rPr>
          <w:szCs w:val="20"/>
          <w:lang w:val="fr-FR"/>
        </w:rPr>
        <w:t>; larotrectinib</w:t>
      </w:r>
    </w:p>
    <w:p w14:paraId="55365420" w14:textId="715E9590" w:rsidR="001C5FEA" w:rsidRPr="000F5EB0" w:rsidRDefault="00E013F9" w:rsidP="00FD4715">
      <w:pPr>
        <w:pStyle w:val="ListParagraph"/>
        <w:numPr>
          <w:ilvl w:val="0"/>
          <w:numId w:val="22"/>
        </w:numPr>
        <w:spacing w:before="100" w:beforeAutospacing="1" w:after="100" w:afterAutospacing="1"/>
        <w:rPr>
          <w:szCs w:val="20"/>
        </w:rPr>
      </w:pPr>
      <w:r w:rsidRPr="000F5EB0">
        <w:rPr>
          <w:szCs w:val="20"/>
        </w:rPr>
        <w:t>MET amplification: cabozantinib</w:t>
      </w:r>
    </w:p>
    <w:p w14:paraId="549CB151" w14:textId="05496F47" w:rsidR="00BA3F70" w:rsidRDefault="00BA3F70" w:rsidP="00FD4715">
      <w:pPr>
        <w:pStyle w:val="ListParagraph"/>
        <w:numPr>
          <w:ilvl w:val="0"/>
          <w:numId w:val="22"/>
        </w:numPr>
        <w:spacing w:before="100" w:beforeAutospacing="1" w:after="100" w:afterAutospacing="1"/>
        <w:rPr>
          <w:szCs w:val="20"/>
        </w:rPr>
      </w:pPr>
      <w:r w:rsidRPr="000F5EB0">
        <w:rPr>
          <w:szCs w:val="20"/>
        </w:rPr>
        <w:t xml:space="preserve">HER2 mutation positive: </w:t>
      </w:r>
      <w:r w:rsidR="00E82C91">
        <w:rPr>
          <w:szCs w:val="20"/>
        </w:rPr>
        <w:t>ado-tras</w:t>
      </w:r>
      <w:r w:rsidR="00B23BB1">
        <w:rPr>
          <w:szCs w:val="20"/>
        </w:rPr>
        <w:t>tuzumab emtansine</w:t>
      </w:r>
    </w:p>
    <w:p w14:paraId="2949FF51" w14:textId="61500C56" w:rsidR="00A83EC6" w:rsidRPr="000F5EB0" w:rsidRDefault="00863CB3" w:rsidP="00530204">
      <w:pPr>
        <w:pStyle w:val="Heading2"/>
      </w:pPr>
      <w:r w:rsidRPr="000F5EB0">
        <w:t xml:space="preserve"> </w:t>
      </w:r>
      <w:r w:rsidR="005C3AE7" w:rsidRPr="000F5EB0">
        <w:t xml:space="preserve">(a) </w:t>
      </w:r>
      <w:r w:rsidR="00CD7A7D" w:rsidRPr="000F5EB0">
        <w:t xml:space="preserve">Will </w:t>
      </w:r>
      <w:r w:rsidR="00A83EC6" w:rsidRPr="000F5EB0">
        <w:t>the proposed medical service be used in addition to, or instead of, the nominated comparator(s)</w:t>
      </w:r>
      <w:r w:rsidR="00D30BDC" w:rsidRPr="000F5EB0">
        <w:t>?</w:t>
      </w:r>
    </w:p>
    <w:p w14:paraId="16D47FD3" w14:textId="33DF0479" w:rsidR="001B29A1" w:rsidRPr="000F5EB0" w:rsidRDefault="009C766C" w:rsidP="001B29A1">
      <w:pPr>
        <w:spacing w:before="0" w:after="0"/>
        <w:ind w:left="426"/>
        <w:rPr>
          <w:szCs w:val="20"/>
        </w:rPr>
      </w:pPr>
      <w:r w:rsidRPr="000F5EB0">
        <w:rPr>
          <w:szCs w:val="20"/>
        </w:rPr>
        <w:lastRenderedPageBreak/>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1B29A1" w:rsidRPr="000F5EB0">
        <w:rPr>
          <w:szCs w:val="20"/>
        </w:rPr>
        <w:t xml:space="preserve"> Yes </w:t>
      </w:r>
      <w:r w:rsidR="00623457">
        <w:rPr>
          <w:szCs w:val="20"/>
        </w:rPr>
        <w:t>(instead of nominated comparators)</w:t>
      </w:r>
    </w:p>
    <w:p w14:paraId="71387A5F" w14:textId="216ACD57" w:rsidR="001B29A1" w:rsidRPr="000F5EB0" w:rsidRDefault="001B29A1" w:rsidP="001B29A1">
      <w:pPr>
        <w:spacing w:before="0" w:after="0"/>
        <w:ind w:left="426"/>
        <w:rPr>
          <w:szCs w:val="20"/>
        </w:rPr>
      </w:pPr>
      <w:r w:rsidRPr="000F5EB0">
        <w:rPr>
          <w:szCs w:val="20"/>
        </w:rPr>
        <w:fldChar w:fldCharType="begin">
          <w:ffData>
            <w:name w:val="Check2"/>
            <w:enabled/>
            <w:calcOnExit w:val="0"/>
            <w:checkBox>
              <w:sizeAuto/>
              <w:default w:val="0"/>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Pr="000F5EB0">
        <w:rPr>
          <w:szCs w:val="20"/>
        </w:rPr>
        <w:t xml:space="preserve"> No</w:t>
      </w:r>
    </w:p>
    <w:p w14:paraId="1EBB7B9C" w14:textId="77777777" w:rsidR="00E70D86" w:rsidRPr="000F5EB0" w:rsidRDefault="00E70D86" w:rsidP="00FD4715">
      <w:pPr>
        <w:pStyle w:val="Heading2"/>
        <w:numPr>
          <w:ilvl w:val="0"/>
          <w:numId w:val="9"/>
        </w:numPr>
      </w:pPr>
      <w:r w:rsidRPr="000F5EB0">
        <w:t xml:space="preserve">If </w:t>
      </w:r>
      <w:r w:rsidR="00D00122" w:rsidRPr="000F5EB0">
        <w:t xml:space="preserve">yes, </w:t>
      </w:r>
      <w:r w:rsidRPr="000F5EB0">
        <w:t xml:space="preserve">please </w:t>
      </w:r>
      <w:r w:rsidR="00F33F1A" w:rsidRPr="000F5EB0">
        <w:t xml:space="preserve">outline </w:t>
      </w:r>
      <w:r w:rsidRPr="000F5EB0">
        <w:t xml:space="preserve">the extent of </w:t>
      </w:r>
      <w:r w:rsidR="00F33F1A" w:rsidRPr="000F5EB0">
        <w:t xml:space="preserve">which </w:t>
      </w:r>
      <w:r w:rsidR="00D00122" w:rsidRPr="000F5EB0">
        <w:t xml:space="preserve">the </w:t>
      </w:r>
      <w:r w:rsidR="00F33F1A" w:rsidRPr="000F5EB0">
        <w:t xml:space="preserve">current service/comparator is expected to be </w:t>
      </w:r>
      <w:r w:rsidR="00AE1188" w:rsidRPr="000F5EB0">
        <w:t>substituted:</w:t>
      </w:r>
    </w:p>
    <w:p w14:paraId="1981D522" w14:textId="3061DE1A" w:rsidR="003433D1" w:rsidRPr="000F5EB0" w:rsidRDefault="009C766C" w:rsidP="00225180">
      <w:pPr>
        <w:ind w:left="720"/>
      </w:pPr>
      <w:r w:rsidRPr="000F5EB0">
        <w:t xml:space="preserve">It is anticipated that </w:t>
      </w:r>
      <w:r w:rsidR="00AC10A2" w:rsidRPr="000F5EB0">
        <w:t>CGP using</w:t>
      </w:r>
      <w:r w:rsidR="0052596B">
        <w:t xml:space="preserve"> a NGS assay </w:t>
      </w:r>
      <w:r w:rsidR="004D41EF" w:rsidRPr="000F5EB0">
        <w:t xml:space="preserve">will </w:t>
      </w:r>
      <w:r w:rsidR="00133649">
        <w:t xml:space="preserve">largely substitute </w:t>
      </w:r>
      <w:r w:rsidR="004D41EF" w:rsidRPr="000F5EB0">
        <w:t>the use of EGFR, ALK</w:t>
      </w:r>
      <w:r w:rsidR="00876821" w:rsidRPr="000F5EB0">
        <w:t xml:space="preserve"> (IHC triage and FISH)</w:t>
      </w:r>
      <w:r w:rsidR="004D41EF" w:rsidRPr="000F5EB0">
        <w:t xml:space="preserve"> and ROS1 (</w:t>
      </w:r>
      <w:r w:rsidR="00314DB7" w:rsidRPr="000F5EB0">
        <w:t>IHC triage and FISH</w:t>
      </w:r>
      <w:r w:rsidR="004D41EF" w:rsidRPr="000F5EB0">
        <w:t>) testing</w:t>
      </w:r>
      <w:r w:rsidR="00D8449A" w:rsidRPr="000F5EB0">
        <w:t xml:space="preserve"> in </w:t>
      </w:r>
      <w:r w:rsidR="00623457">
        <w:t>NSCLC patients</w:t>
      </w:r>
      <w:r w:rsidR="00D8449A" w:rsidRPr="000F5EB0">
        <w:t xml:space="preserve"> to determine eligibility to </w:t>
      </w:r>
      <w:r w:rsidR="006F22EA" w:rsidRPr="000F5EB0">
        <w:t>access PBS-listed targeted treatment.</w:t>
      </w:r>
      <w:r w:rsidR="002E2F15" w:rsidRPr="000F5EB0">
        <w:t xml:space="preserve"> That is, there will be no need to </w:t>
      </w:r>
      <w:r w:rsidR="007B07AD">
        <w:t xml:space="preserve">mandate </w:t>
      </w:r>
      <w:r w:rsidR="00490741">
        <w:t xml:space="preserve">the </w:t>
      </w:r>
      <w:r w:rsidR="002E2F15" w:rsidRPr="000F5EB0">
        <w:t>confirm</w:t>
      </w:r>
      <w:r w:rsidR="00844656">
        <w:t>ation of</w:t>
      </w:r>
      <w:r w:rsidR="002E2F15" w:rsidRPr="000F5EB0">
        <w:t xml:space="preserve"> the biomarker status </w:t>
      </w:r>
      <w:r w:rsidR="00D87337" w:rsidRPr="000F5EB0">
        <w:t xml:space="preserve">reported with </w:t>
      </w:r>
      <w:r w:rsidR="00CC3313">
        <w:t xml:space="preserve">a NGS assay </w:t>
      </w:r>
      <w:r w:rsidR="00D87337" w:rsidRPr="000F5EB0">
        <w:t>with an alternate methodology</w:t>
      </w:r>
      <w:r w:rsidR="00642F0A">
        <w:t xml:space="preserve"> currently funded through the MBS</w:t>
      </w:r>
      <w:r w:rsidR="00D87337" w:rsidRPr="000F5EB0">
        <w:t>.</w:t>
      </w:r>
    </w:p>
    <w:p w14:paraId="24DA3B71" w14:textId="77777777" w:rsidR="0054594B" w:rsidRPr="000F5EB0" w:rsidRDefault="009C03FB" w:rsidP="00530204">
      <w:pPr>
        <w:pStyle w:val="Heading2"/>
      </w:pPr>
      <w:r w:rsidRPr="000F5EB0">
        <w:t>Define and summarise how</w:t>
      </w:r>
      <w:r w:rsidR="00F33F1A" w:rsidRPr="000F5EB0">
        <w:t xml:space="preserve"> curr</w:t>
      </w:r>
      <w:r w:rsidRPr="000F5EB0">
        <w:t>ent clinical management pathways (from the point of service delivery onwards) are</w:t>
      </w:r>
      <w:r w:rsidR="00F33F1A" w:rsidRPr="000F5EB0">
        <w:t xml:space="preserve"> expected to change as a consequence of introducing the proposed medical service </w:t>
      </w:r>
      <w:r w:rsidR="007D2358" w:rsidRPr="000F5EB0">
        <w:t xml:space="preserve">including variation in health care resources </w:t>
      </w:r>
      <w:r w:rsidRPr="000F5EB0">
        <w:t>(</w:t>
      </w:r>
      <w:r w:rsidR="002053F2" w:rsidRPr="000F5EB0">
        <w:t xml:space="preserve">Refer to </w:t>
      </w:r>
      <w:r w:rsidR="00F33F1A" w:rsidRPr="000F5EB0">
        <w:t xml:space="preserve">Question </w:t>
      </w:r>
      <w:r w:rsidR="00197D29" w:rsidRPr="000F5EB0">
        <w:t>39</w:t>
      </w:r>
      <w:r w:rsidR="00F33F1A" w:rsidRPr="000F5EB0">
        <w:t xml:space="preserve"> as baseline)</w:t>
      </w:r>
      <w:r w:rsidR="00AE1188" w:rsidRPr="000F5EB0">
        <w:t>:</w:t>
      </w:r>
    </w:p>
    <w:p w14:paraId="63271978" w14:textId="4898152B" w:rsidR="0054594B" w:rsidRPr="000F5EB0" w:rsidRDefault="00B756F0" w:rsidP="00225180">
      <w:pPr>
        <w:ind w:left="357"/>
      </w:pPr>
      <w:r w:rsidRPr="000F5EB0">
        <w:t xml:space="preserve">The use of </w:t>
      </w:r>
      <w:r w:rsidR="00B51005" w:rsidRPr="000F5EB0">
        <w:t xml:space="preserve">CGP using </w:t>
      </w:r>
      <w:r w:rsidR="00CC3313">
        <w:t xml:space="preserve">a NGS assay </w:t>
      </w:r>
      <w:r w:rsidR="00AE5163" w:rsidRPr="000F5EB0">
        <w:t>proposed in th</w:t>
      </w:r>
      <w:r w:rsidR="00EC5772">
        <w:t>is</w:t>
      </w:r>
      <w:r w:rsidR="00AE5163" w:rsidRPr="000F5EB0">
        <w:t xml:space="preserve"> application</w:t>
      </w:r>
      <w:r w:rsidRPr="000F5EB0">
        <w:t xml:space="preserve"> </w:t>
      </w:r>
      <w:r w:rsidR="00180F27" w:rsidRPr="000F5EB0">
        <w:t xml:space="preserve">is as an </w:t>
      </w:r>
      <w:r w:rsidR="00180F27" w:rsidRPr="000F5EB0">
        <w:rPr>
          <w:u w:val="single"/>
        </w:rPr>
        <w:t>alternative</w:t>
      </w:r>
      <w:r w:rsidR="00180F27" w:rsidRPr="000F5EB0">
        <w:t xml:space="preserve"> to molecular biomarker tests currently used to determine eligibility for lung cancer patients to access </w:t>
      </w:r>
      <w:r w:rsidR="00AE5163" w:rsidRPr="000F5EB0">
        <w:t>PBS-listed targeted treatments.</w:t>
      </w:r>
      <w:r w:rsidR="00B677CE" w:rsidRPr="000F5EB0">
        <w:t xml:space="preserve"> Therefor</w:t>
      </w:r>
      <w:r w:rsidR="00CE53D9" w:rsidRPr="000F5EB0">
        <w:t>e</w:t>
      </w:r>
      <w:r w:rsidR="000D44A7" w:rsidRPr="000F5EB0">
        <w:t>,</w:t>
      </w:r>
      <w:r w:rsidR="00CE53D9" w:rsidRPr="000F5EB0">
        <w:t xml:space="preserve"> </w:t>
      </w:r>
      <w:r w:rsidR="006C56B6">
        <w:t>no</w:t>
      </w:r>
      <w:r w:rsidR="00CE53D9" w:rsidRPr="000F5EB0">
        <w:t xml:space="preserve"> </w:t>
      </w:r>
      <w:r w:rsidR="006C56B6" w:rsidRPr="000F5EB0">
        <w:t xml:space="preserve">change </w:t>
      </w:r>
      <w:r w:rsidR="00CE53D9" w:rsidRPr="000F5EB0">
        <w:t xml:space="preserve">to </w:t>
      </w:r>
      <w:r w:rsidR="00503493" w:rsidRPr="000F5EB0">
        <w:t xml:space="preserve">the clinical management pathway for </w:t>
      </w:r>
      <w:r w:rsidR="00495E5B">
        <w:t xml:space="preserve">NSCLC </w:t>
      </w:r>
      <w:r w:rsidR="00503493" w:rsidRPr="000F5EB0">
        <w:t xml:space="preserve">patients beyond the </w:t>
      </w:r>
      <w:r w:rsidR="008107F6" w:rsidRPr="000F5EB0">
        <w:t xml:space="preserve">treatment decisions informed by </w:t>
      </w:r>
      <w:r w:rsidR="006B11F1">
        <w:t xml:space="preserve">the results of </w:t>
      </w:r>
      <w:r w:rsidR="00204FFD" w:rsidRPr="000F5EB0">
        <w:t>molecular biomarker test</w:t>
      </w:r>
      <w:r w:rsidR="00B0357A" w:rsidRPr="000F5EB0">
        <w:t xml:space="preserve">ing </w:t>
      </w:r>
      <w:r w:rsidR="005F4C97" w:rsidRPr="000F5EB0">
        <w:t xml:space="preserve">for </w:t>
      </w:r>
      <w:r w:rsidR="00025409">
        <w:t xml:space="preserve">NSCLC </w:t>
      </w:r>
      <w:r w:rsidR="005F4C97" w:rsidRPr="000F5EB0">
        <w:t>patients</w:t>
      </w:r>
      <w:r w:rsidR="00204FFD" w:rsidRPr="000F5EB0">
        <w:t xml:space="preserve"> already</w:t>
      </w:r>
      <w:r w:rsidR="005F4C97" w:rsidRPr="000F5EB0">
        <w:t xml:space="preserve"> listed on the MBS</w:t>
      </w:r>
      <w:r w:rsidR="006C56B6">
        <w:t xml:space="preserve"> is expected</w:t>
      </w:r>
      <w:r w:rsidR="005F4C97" w:rsidRPr="000F5EB0">
        <w:t>.</w:t>
      </w:r>
    </w:p>
    <w:p w14:paraId="6F8040CD" w14:textId="77777777" w:rsidR="00DF0D47" w:rsidRPr="000F5EB0" w:rsidRDefault="005C3AE7" w:rsidP="005C3AE7">
      <w:pPr>
        <w:pStyle w:val="Subtitle"/>
      </w:pPr>
      <w:r w:rsidRPr="000F5EB0">
        <w:t xml:space="preserve">PART 6d – </w:t>
      </w:r>
      <w:r w:rsidR="00DF0D47" w:rsidRPr="000F5EB0">
        <w:t xml:space="preserve">INFORMATION ABOUT THE </w:t>
      </w:r>
      <w:r w:rsidR="00CF5AD8" w:rsidRPr="000F5EB0">
        <w:t xml:space="preserve">CLINICAL </w:t>
      </w:r>
      <w:r w:rsidR="00DF0D47" w:rsidRPr="000F5EB0">
        <w:t>OUTCOME</w:t>
      </w:r>
    </w:p>
    <w:p w14:paraId="2642FBE6" w14:textId="77777777" w:rsidR="004E3CC7" w:rsidRPr="000F5EB0" w:rsidRDefault="004E3CC7" w:rsidP="00530204">
      <w:pPr>
        <w:pStyle w:val="Heading2"/>
      </w:pPr>
      <w:r w:rsidRPr="000F5EB0">
        <w:t>Summarise the clinical claims for the proposed medical service against the appropriate comparator(s), in terms of consequences for health outcomes</w:t>
      </w:r>
      <w:r w:rsidR="00CF5AD8" w:rsidRPr="000F5EB0">
        <w:t xml:space="preserve"> (</w:t>
      </w:r>
      <w:r w:rsidR="009F0C02" w:rsidRPr="000F5EB0">
        <w:t>comparative benefits and harms)</w:t>
      </w:r>
      <w:r w:rsidR="00AE1188" w:rsidRPr="000F5EB0">
        <w:t>:</w:t>
      </w:r>
    </w:p>
    <w:p w14:paraId="72C6711B" w14:textId="2CEE2A19" w:rsidR="004E3CC7" w:rsidRPr="000F5EB0" w:rsidRDefault="00916F9F" w:rsidP="00225180">
      <w:pPr>
        <w:ind w:left="360"/>
      </w:pPr>
      <w:r w:rsidRPr="000F5EB0">
        <w:t xml:space="preserve">It is </w:t>
      </w:r>
      <w:r w:rsidR="000C3C20">
        <w:t xml:space="preserve">foreshadowed that </w:t>
      </w:r>
      <w:r w:rsidR="00007778">
        <w:t>the evidence presented in the</w:t>
      </w:r>
      <w:r w:rsidR="00984BCE">
        <w:t xml:space="preserve"> Applicant Developed Assessment Report will </w:t>
      </w:r>
      <w:r w:rsidR="0001289D">
        <w:t xml:space="preserve">support a claim </w:t>
      </w:r>
      <w:r w:rsidRPr="000F5EB0">
        <w:t xml:space="preserve">that CGP using </w:t>
      </w:r>
      <w:r w:rsidR="00CC6312">
        <w:t xml:space="preserve">a NGS assay </w:t>
      </w:r>
      <w:r w:rsidRPr="000F5EB0">
        <w:t>is at least</w:t>
      </w:r>
      <w:r w:rsidR="00BE1B14" w:rsidRPr="000F5EB0">
        <w:t xml:space="preserve"> as effective, and </w:t>
      </w:r>
      <w:r w:rsidR="00217755" w:rsidRPr="000F5EB0">
        <w:t xml:space="preserve">conceivably </w:t>
      </w:r>
      <w:r w:rsidR="00BE1B14" w:rsidRPr="000F5EB0">
        <w:t xml:space="preserve">more effective, in identifying </w:t>
      </w:r>
      <w:r w:rsidR="006976AF" w:rsidRPr="000F5EB0">
        <w:t xml:space="preserve">genomic alterations used to inform clinical management </w:t>
      </w:r>
      <w:r w:rsidR="00B346EC" w:rsidRPr="000F5EB0">
        <w:t>decisions</w:t>
      </w:r>
      <w:r w:rsidR="006976AF" w:rsidRPr="000F5EB0">
        <w:t xml:space="preserve"> for lung cancer patients </w:t>
      </w:r>
      <w:r w:rsidR="00012F01" w:rsidRPr="000F5EB0">
        <w:t>compared with</w:t>
      </w:r>
      <w:r w:rsidR="002A65A6" w:rsidRPr="000F5EB0">
        <w:t xml:space="preserve"> </w:t>
      </w:r>
      <w:r w:rsidR="00B346EC" w:rsidRPr="000F5EB0">
        <w:t xml:space="preserve">the </w:t>
      </w:r>
      <w:r w:rsidR="00FE0155" w:rsidRPr="000F5EB0">
        <w:t xml:space="preserve">sequential use of </w:t>
      </w:r>
      <w:r w:rsidR="00027DED" w:rsidRPr="000F5EB0">
        <w:t>molecular biomarker tests currently listed on the MBS.</w:t>
      </w:r>
    </w:p>
    <w:p w14:paraId="4E7C0E34" w14:textId="64024FD7" w:rsidR="00F07DA5" w:rsidRPr="000F5EB0" w:rsidRDefault="006839F8" w:rsidP="00225180">
      <w:pPr>
        <w:ind w:left="360"/>
      </w:pPr>
      <w:r w:rsidRPr="000F5EB0">
        <w:t>S</w:t>
      </w:r>
      <w:r w:rsidR="0026527E" w:rsidRPr="000F5EB0">
        <w:t xml:space="preserve">tudies have shown that patients previously assessed as being EGFR </w:t>
      </w:r>
      <w:r w:rsidR="00A45E40" w:rsidRPr="000F5EB0">
        <w:t>or ALK negative by alternate testing methodol</w:t>
      </w:r>
      <w:r w:rsidR="004265C7">
        <w:t>og</w:t>
      </w:r>
      <w:r w:rsidR="00A45E40" w:rsidRPr="000F5EB0">
        <w:t xml:space="preserve">ies were subsequently </w:t>
      </w:r>
      <w:r w:rsidR="00AB33AA" w:rsidRPr="000F5EB0">
        <w:t xml:space="preserve">found to harbour EGFR gene mutations </w:t>
      </w:r>
      <w:r w:rsidR="007B071F" w:rsidRPr="000F5EB0">
        <w:fldChar w:fldCharType="begin"/>
      </w:r>
      <w:r w:rsidR="00B078F9">
        <w:instrText xml:space="preserve"> ADDIN EN.CITE &lt;EndNote&gt;&lt;Cite&gt;&lt;Author&gt;Schrock&lt;/Author&gt;&lt;Year&gt;2016&lt;/Year&gt;&lt;RecNum&gt;4018&lt;/RecNum&gt;&lt;DisplayText&gt;(Schrock et al. 2016)&lt;/DisplayText&gt;&lt;record&gt;&lt;rec-number&gt;4018&lt;/rec-number&gt;&lt;foreign-keys&gt;&lt;key app="EN" db-id="rxtrxwppgpd2wde2swb5es9g90ffpzr5dx2p" timestamp="1530063568"&gt;4018&lt;/key&gt;&lt;/foreign-keys&gt;&lt;ref-type name="Journal Article"&gt;17&lt;/ref-type&gt;&lt;contributors&gt;&lt;authors&gt;&lt;author&gt;Schrock, Alexa B&lt;/author&gt;&lt;author&gt;Frampton, Garrett M&lt;/author&gt;&lt;author&gt;Herndon, Dana&lt;/author&gt;&lt;author&gt;Greenbowe, Joel R&lt;/author&gt;&lt;author&gt;Wang, Kai&lt;/author&gt;&lt;author&gt;Lipson, Doron&lt;/author&gt;&lt;author&gt;Yelensky, Roman&lt;/author&gt;&lt;author&gt;Chalmers, Zachary R&lt;/author&gt;&lt;author&gt;Chmielecki, Juliann&lt;/author&gt;&lt;author&gt;Elvin, Julia A&lt;/author&gt;&lt;/authors&gt;&lt;/contributors&gt;&lt;titles&gt;&lt;title&gt;Comprehensive genomic profiling identifies frequent drug-sensitive EGFR exon 19 deletions in NSCLC not identified by prior molecular testing&lt;/title&gt;&lt;secondary-title&gt;Clinical Cancer Research&lt;/secondary-title&gt;&lt;/titles&gt;&lt;periodical&gt;&lt;full-title&gt;Clinical Cancer Research&lt;/full-title&gt;&lt;/periodical&gt;&lt;pages&gt;3281-3285&lt;/pages&gt;&lt;volume&gt;22&lt;/volume&gt;&lt;number&gt;13&lt;/number&gt;&lt;dates&gt;&lt;year&gt;2016&lt;/year&gt;&lt;/dates&gt;&lt;isbn&gt;1078-0432&lt;/isbn&gt;&lt;urls&gt;&lt;related-urls&gt;&lt;url&gt;http://clincancerres.aacrjournals.org/content/clincanres/22/13/3281.full.pdf&lt;/url&gt;&lt;/related-urls&gt;&lt;/urls&gt;&lt;/record&gt;&lt;/Cite&gt;&lt;/EndNote&gt;</w:instrText>
      </w:r>
      <w:r w:rsidR="007B071F" w:rsidRPr="000F5EB0">
        <w:fldChar w:fldCharType="separate"/>
      </w:r>
      <w:r w:rsidR="00B078F9">
        <w:rPr>
          <w:noProof/>
        </w:rPr>
        <w:t>(Schrock et al. 2016)</w:t>
      </w:r>
      <w:r w:rsidR="007B071F" w:rsidRPr="000F5EB0">
        <w:fldChar w:fldCharType="end"/>
      </w:r>
      <w:r w:rsidR="00AB33AA" w:rsidRPr="000F5EB0">
        <w:t xml:space="preserve"> or </w:t>
      </w:r>
      <w:r w:rsidR="007B071F" w:rsidRPr="000F5EB0">
        <w:t xml:space="preserve">ALK gene rearrangements </w:t>
      </w:r>
      <w:r w:rsidRPr="000F5EB0">
        <w:fldChar w:fldCharType="begin">
          <w:fldData xml:space="preserve">PEVuZE5vdGU+PENpdGU+PEF1dGhvcj5BbGk8L0F1dGhvcj48WWVhcj4yMDE2PC9ZZWFyPjxSZWNO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==
</w:fldData>
        </w:fldChar>
      </w:r>
      <w:r w:rsidR="00B078F9">
        <w:instrText xml:space="preserve"> ADDIN EN.CITE </w:instrText>
      </w:r>
      <w:r w:rsidR="00B078F9">
        <w:fldChar w:fldCharType="begin">
          <w:fldData xml:space="preserve">PEVuZE5vdGU+PENpdGU+PEF1dGhvcj5BbGk8L0F1dGhvcj48WWVhcj4yMDE2PC9ZZWFyPjxSZWNO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==
</w:fldData>
        </w:fldChar>
      </w:r>
      <w:r w:rsidR="00B078F9">
        <w:instrText xml:space="preserve"> ADDIN EN.CITE.DATA </w:instrText>
      </w:r>
      <w:r w:rsidR="00B078F9">
        <w:fldChar w:fldCharType="end"/>
      </w:r>
      <w:r w:rsidRPr="000F5EB0">
        <w:fldChar w:fldCharType="separate"/>
      </w:r>
      <w:r w:rsidR="00B078F9">
        <w:rPr>
          <w:noProof/>
        </w:rPr>
        <w:t>(Ali et al. 2016, Lin et al. 2019)</w:t>
      </w:r>
      <w:r w:rsidRPr="000F5EB0">
        <w:fldChar w:fldCharType="end"/>
      </w:r>
      <w:r w:rsidRPr="000F5EB0">
        <w:t xml:space="preserve"> using </w:t>
      </w:r>
      <w:r w:rsidR="000F26F2" w:rsidRPr="000F5EB0">
        <w:t xml:space="preserve">CGP with a </w:t>
      </w:r>
      <w:r w:rsidR="002918F9">
        <w:t>NGS assay</w:t>
      </w:r>
      <w:r w:rsidR="000F26F2" w:rsidRPr="000F5EB0">
        <w:t xml:space="preserve">. </w:t>
      </w:r>
      <w:r w:rsidR="008D2014" w:rsidRPr="000F5EB0">
        <w:t>On this basis, it is conc</w:t>
      </w:r>
      <w:r w:rsidR="00CD4D45" w:rsidRPr="000F5EB0">
        <w:t>eivable that CGP using</w:t>
      </w:r>
      <w:r w:rsidR="004F6941">
        <w:t xml:space="preserve"> a NGS assay </w:t>
      </w:r>
      <w:r w:rsidR="0026098F" w:rsidRPr="000F5EB0">
        <w:t>i</w:t>
      </w:r>
      <w:r w:rsidR="00CD4D45" w:rsidRPr="000F5EB0">
        <w:t xml:space="preserve">s </w:t>
      </w:r>
      <w:r w:rsidR="0026098F" w:rsidRPr="000F5EB0">
        <w:t xml:space="preserve">more effective in identifying patients suitable for treatment with a targeted therapy than </w:t>
      </w:r>
      <w:r w:rsidR="00B4077A" w:rsidRPr="000F5EB0">
        <w:t xml:space="preserve">the molecular biomarker testing methodologies currently </w:t>
      </w:r>
      <w:r w:rsidR="00DA462E" w:rsidRPr="000F5EB0">
        <w:t>funded through the</w:t>
      </w:r>
      <w:r w:rsidR="00B4077A" w:rsidRPr="000F5EB0">
        <w:t xml:space="preserve"> MBS.</w:t>
      </w:r>
    </w:p>
    <w:p w14:paraId="03A422FA" w14:textId="6A81F153" w:rsidR="00933FF9" w:rsidRPr="000F5EB0" w:rsidRDefault="00BC3FF9" w:rsidP="00225180">
      <w:pPr>
        <w:ind w:left="360"/>
        <w:rPr>
          <w:szCs w:val="20"/>
        </w:rPr>
      </w:pPr>
      <w:r>
        <w:rPr>
          <w:szCs w:val="20"/>
        </w:rPr>
        <w:t xml:space="preserve">An advantage of NGS assays </w:t>
      </w:r>
      <w:r>
        <w:t xml:space="preserve">is that they are able to </w:t>
      </w:r>
      <w:r w:rsidR="001167FF" w:rsidRPr="000F5EB0">
        <w:rPr>
          <w:szCs w:val="20"/>
        </w:rPr>
        <w:t>simultaneous</w:t>
      </w:r>
      <w:r w:rsidR="00DA462E" w:rsidRPr="000F5EB0">
        <w:rPr>
          <w:szCs w:val="20"/>
        </w:rPr>
        <w:t>ly</w:t>
      </w:r>
      <w:r w:rsidR="001167FF" w:rsidRPr="000F5EB0">
        <w:rPr>
          <w:szCs w:val="20"/>
        </w:rPr>
        <w:t xml:space="preserve"> assess </w:t>
      </w:r>
      <w:r w:rsidR="00CB23F2" w:rsidRPr="000F5EB0">
        <w:rPr>
          <w:szCs w:val="20"/>
        </w:rPr>
        <w:t xml:space="preserve">all </w:t>
      </w:r>
      <w:r w:rsidR="00850FC2">
        <w:rPr>
          <w:szCs w:val="20"/>
        </w:rPr>
        <w:t xml:space="preserve">molecular </w:t>
      </w:r>
      <w:r w:rsidR="001167FF" w:rsidRPr="000F5EB0">
        <w:rPr>
          <w:szCs w:val="20"/>
        </w:rPr>
        <w:t>biomarkers</w:t>
      </w:r>
      <w:r w:rsidR="00CB23F2" w:rsidRPr="000F5EB0">
        <w:rPr>
          <w:szCs w:val="20"/>
        </w:rPr>
        <w:t xml:space="preserve"> used in the </w:t>
      </w:r>
      <w:r w:rsidR="008E37A3" w:rsidRPr="000F5EB0">
        <w:rPr>
          <w:szCs w:val="20"/>
        </w:rPr>
        <w:t xml:space="preserve">diagnostic work-up of </w:t>
      </w:r>
      <w:r w:rsidR="00850FC2">
        <w:rPr>
          <w:szCs w:val="20"/>
        </w:rPr>
        <w:t xml:space="preserve">NSCLC </w:t>
      </w:r>
      <w:r w:rsidR="008E37A3" w:rsidRPr="000F5EB0">
        <w:rPr>
          <w:szCs w:val="20"/>
        </w:rPr>
        <w:t xml:space="preserve">patients </w:t>
      </w:r>
      <w:r w:rsidR="00020060" w:rsidRPr="000F5EB0">
        <w:rPr>
          <w:szCs w:val="20"/>
        </w:rPr>
        <w:t xml:space="preserve">currently </w:t>
      </w:r>
      <w:r w:rsidR="008E37A3" w:rsidRPr="000F5EB0">
        <w:rPr>
          <w:szCs w:val="20"/>
        </w:rPr>
        <w:t>listed on the MBS</w:t>
      </w:r>
      <w:r w:rsidR="00F77807" w:rsidRPr="000F5EB0">
        <w:rPr>
          <w:szCs w:val="20"/>
        </w:rPr>
        <w:t xml:space="preserve"> in a single test as opposed to current practice where each test</w:t>
      </w:r>
      <w:r w:rsidR="001F7678" w:rsidRPr="000F5EB0">
        <w:rPr>
          <w:szCs w:val="20"/>
        </w:rPr>
        <w:t xml:space="preserve"> must be perfo</w:t>
      </w:r>
      <w:r w:rsidR="00E56224" w:rsidRPr="000F5EB0">
        <w:rPr>
          <w:szCs w:val="20"/>
        </w:rPr>
        <w:t>r</w:t>
      </w:r>
      <w:r w:rsidR="001F7678" w:rsidRPr="000F5EB0">
        <w:rPr>
          <w:szCs w:val="20"/>
        </w:rPr>
        <w:t>med in a sequence in order to be eligible to attract a Medicare benefit</w:t>
      </w:r>
      <w:r w:rsidR="008E37A3" w:rsidRPr="000F5EB0">
        <w:rPr>
          <w:szCs w:val="20"/>
        </w:rPr>
        <w:t xml:space="preserve">. </w:t>
      </w:r>
      <w:r w:rsidR="009F7A1C" w:rsidRPr="000F5EB0">
        <w:rPr>
          <w:szCs w:val="20"/>
        </w:rPr>
        <w:t xml:space="preserve">As such, it is </w:t>
      </w:r>
      <w:r w:rsidR="00C61C23">
        <w:rPr>
          <w:szCs w:val="20"/>
        </w:rPr>
        <w:t xml:space="preserve">foreshadowed that </w:t>
      </w:r>
      <w:r w:rsidR="00756C6A">
        <w:rPr>
          <w:szCs w:val="20"/>
        </w:rPr>
        <w:t xml:space="preserve">a </w:t>
      </w:r>
      <w:r w:rsidR="009F7A1C" w:rsidRPr="000F5EB0">
        <w:rPr>
          <w:szCs w:val="20"/>
        </w:rPr>
        <w:t xml:space="preserve">claim that </w:t>
      </w:r>
      <w:r w:rsidR="009F7A1C" w:rsidRPr="000F5EB0">
        <w:t xml:space="preserve">CGP using </w:t>
      </w:r>
      <w:r w:rsidR="007C7897">
        <w:t xml:space="preserve">NGS assays </w:t>
      </w:r>
      <w:r w:rsidR="00376B38" w:rsidRPr="000F5EB0">
        <w:t>ha</w:t>
      </w:r>
      <w:r w:rsidR="00C57DE1">
        <w:t xml:space="preserve">ve </w:t>
      </w:r>
      <w:r w:rsidR="00376B38" w:rsidRPr="000F5EB0">
        <w:t>at least a non-inferior</w:t>
      </w:r>
      <w:r w:rsidR="00020060" w:rsidRPr="000F5EB0">
        <w:t xml:space="preserve">, and potentially </w:t>
      </w:r>
      <w:r w:rsidR="00867E40" w:rsidRPr="000F5EB0">
        <w:t xml:space="preserve">superior safety </w:t>
      </w:r>
      <w:r w:rsidR="00012F01" w:rsidRPr="000F5EB0">
        <w:t>profile</w:t>
      </w:r>
      <w:r w:rsidR="002A65A6" w:rsidRPr="000F5EB0">
        <w:t xml:space="preserve"> compared with </w:t>
      </w:r>
      <w:r w:rsidR="008155EF" w:rsidRPr="000F5EB0">
        <w:t>biomarker tests currently on the MBS</w:t>
      </w:r>
      <w:r w:rsidR="00F369E0">
        <w:t xml:space="preserve"> will be presented in the Applicant Developed Assessment Report</w:t>
      </w:r>
      <w:r w:rsidR="008155EF" w:rsidRPr="000F5EB0">
        <w:t>. The potential</w:t>
      </w:r>
      <w:r w:rsidR="0056610D" w:rsidRPr="000F5EB0">
        <w:t xml:space="preserve">ly superior safety profile </w:t>
      </w:r>
      <w:r w:rsidR="00593A0E">
        <w:t xml:space="preserve">would </w:t>
      </w:r>
      <w:r w:rsidR="0056610D" w:rsidRPr="000F5EB0">
        <w:t>arise</w:t>
      </w:r>
      <w:r w:rsidR="00931EDF" w:rsidRPr="000F5EB0">
        <w:t xml:space="preserve"> from </w:t>
      </w:r>
      <w:r w:rsidR="00295504">
        <w:t xml:space="preserve">a </w:t>
      </w:r>
      <w:r w:rsidR="00464804" w:rsidRPr="000F5EB0">
        <w:rPr>
          <w:szCs w:val="20"/>
        </w:rPr>
        <w:t>reduction in</w:t>
      </w:r>
      <w:r w:rsidR="00933FF9" w:rsidRPr="000F5EB0">
        <w:rPr>
          <w:szCs w:val="20"/>
        </w:rPr>
        <w:t xml:space="preserve"> re-biopsy procedures </w:t>
      </w:r>
      <w:r w:rsidR="00464804" w:rsidRPr="000F5EB0">
        <w:rPr>
          <w:szCs w:val="20"/>
        </w:rPr>
        <w:t xml:space="preserve">required </w:t>
      </w:r>
      <w:r w:rsidR="00A77243" w:rsidRPr="000F5EB0">
        <w:rPr>
          <w:szCs w:val="20"/>
        </w:rPr>
        <w:t xml:space="preserve">to </w:t>
      </w:r>
      <w:r w:rsidR="00C52B32" w:rsidRPr="000F5EB0">
        <w:rPr>
          <w:szCs w:val="20"/>
        </w:rPr>
        <w:t xml:space="preserve">undertake </w:t>
      </w:r>
      <w:r w:rsidR="005B675D" w:rsidRPr="000F5EB0">
        <w:rPr>
          <w:szCs w:val="20"/>
        </w:rPr>
        <w:t xml:space="preserve">all </w:t>
      </w:r>
      <w:r w:rsidR="00C52B32" w:rsidRPr="000F5EB0">
        <w:rPr>
          <w:szCs w:val="20"/>
        </w:rPr>
        <w:t xml:space="preserve">of the </w:t>
      </w:r>
      <w:r w:rsidR="005B675D" w:rsidRPr="000F5EB0">
        <w:rPr>
          <w:szCs w:val="20"/>
        </w:rPr>
        <w:t xml:space="preserve">biomarker </w:t>
      </w:r>
      <w:r w:rsidR="00A77243" w:rsidRPr="000F5EB0">
        <w:rPr>
          <w:szCs w:val="20"/>
        </w:rPr>
        <w:t xml:space="preserve">tests </w:t>
      </w:r>
      <w:r w:rsidR="00C52B32" w:rsidRPr="000F5EB0">
        <w:rPr>
          <w:szCs w:val="20"/>
        </w:rPr>
        <w:t xml:space="preserve">recommended for NSCLC patients </w:t>
      </w:r>
      <w:r w:rsidR="00B71F48">
        <w:rPr>
          <w:szCs w:val="20"/>
        </w:rPr>
        <w:t>should</w:t>
      </w:r>
      <w:r w:rsidR="00B71F48" w:rsidRPr="000F5EB0">
        <w:rPr>
          <w:szCs w:val="20"/>
        </w:rPr>
        <w:t xml:space="preserve"> </w:t>
      </w:r>
      <w:r w:rsidR="00933FF9" w:rsidRPr="000F5EB0">
        <w:rPr>
          <w:szCs w:val="20"/>
        </w:rPr>
        <w:t xml:space="preserve">the original </w:t>
      </w:r>
      <w:r w:rsidR="00455DB6" w:rsidRPr="000F5EB0">
        <w:rPr>
          <w:szCs w:val="20"/>
        </w:rPr>
        <w:t xml:space="preserve">tumour tissue specimen </w:t>
      </w:r>
      <w:r w:rsidR="00A65CE9" w:rsidRPr="000F5EB0">
        <w:rPr>
          <w:szCs w:val="20"/>
        </w:rPr>
        <w:t>i</w:t>
      </w:r>
      <w:r w:rsidR="00455DB6" w:rsidRPr="000F5EB0">
        <w:rPr>
          <w:szCs w:val="20"/>
        </w:rPr>
        <w:t>s</w:t>
      </w:r>
      <w:r w:rsidR="00933FF9" w:rsidRPr="000F5EB0">
        <w:rPr>
          <w:szCs w:val="20"/>
        </w:rPr>
        <w:t xml:space="preserve"> insufficient or</w:t>
      </w:r>
      <w:r w:rsidR="00A65CE9" w:rsidRPr="000F5EB0">
        <w:rPr>
          <w:szCs w:val="20"/>
        </w:rPr>
        <w:t xml:space="preserve"> becomes</w:t>
      </w:r>
      <w:r w:rsidR="00933FF9" w:rsidRPr="000F5EB0">
        <w:rPr>
          <w:szCs w:val="20"/>
        </w:rPr>
        <w:t xml:space="preserve"> depleted</w:t>
      </w:r>
      <w:r w:rsidR="00ED4257" w:rsidRPr="000F5EB0">
        <w:rPr>
          <w:szCs w:val="20"/>
        </w:rPr>
        <w:t xml:space="preserve"> with the follow-on associated reduction in risk of complications </w:t>
      </w:r>
      <w:r w:rsidR="00345012" w:rsidRPr="000F5EB0">
        <w:rPr>
          <w:szCs w:val="20"/>
        </w:rPr>
        <w:t>associated with a lung biopsy</w:t>
      </w:r>
      <w:r w:rsidR="00933FF9" w:rsidRPr="000F5EB0">
        <w:rPr>
          <w:szCs w:val="20"/>
        </w:rPr>
        <w:t>.</w:t>
      </w:r>
    </w:p>
    <w:p w14:paraId="41EE0EBF" w14:textId="77777777" w:rsidR="004E3CC7" w:rsidRPr="000F5EB0" w:rsidRDefault="004E3CC7" w:rsidP="00530204">
      <w:pPr>
        <w:pStyle w:val="Heading2"/>
      </w:pPr>
      <w:r w:rsidRPr="000F5EB0">
        <w:t xml:space="preserve">Please advise if the </w:t>
      </w:r>
      <w:r w:rsidR="00CF5AD8" w:rsidRPr="000F5EB0">
        <w:t xml:space="preserve">overall </w:t>
      </w:r>
      <w:r w:rsidRPr="000F5EB0">
        <w:t>clinical claim is for:</w:t>
      </w:r>
    </w:p>
    <w:p w14:paraId="64B88BA1" w14:textId="48FF3727" w:rsidR="001B29A1" w:rsidRPr="000F5EB0" w:rsidRDefault="00455DB6" w:rsidP="001B29A1">
      <w:pPr>
        <w:spacing w:before="0" w:after="0"/>
        <w:ind w:left="426"/>
        <w:rPr>
          <w:szCs w:val="20"/>
        </w:rPr>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1B29A1" w:rsidRPr="000F5EB0">
        <w:rPr>
          <w:szCs w:val="20"/>
        </w:rPr>
        <w:t xml:space="preserve"> Superiority</w:t>
      </w:r>
      <w:r w:rsidR="001B29A1" w:rsidRPr="000F5EB0">
        <w:rPr>
          <w:szCs w:val="20"/>
        </w:rPr>
        <w:tab/>
      </w:r>
      <w:r w:rsidR="0074268C" w:rsidRPr="000F5EB0">
        <w:rPr>
          <w:szCs w:val="20"/>
        </w:rPr>
        <w:t xml:space="preserve">Potential for superior safety </w:t>
      </w:r>
      <w:r w:rsidR="00A65CE9" w:rsidRPr="000F5EB0">
        <w:rPr>
          <w:szCs w:val="20"/>
        </w:rPr>
        <w:t xml:space="preserve">resulting </w:t>
      </w:r>
      <w:r w:rsidR="0074268C" w:rsidRPr="000F5EB0">
        <w:rPr>
          <w:szCs w:val="20"/>
        </w:rPr>
        <w:t>from a reduction in re-biops</w:t>
      </w:r>
      <w:r w:rsidR="00EC09C8" w:rsidRPr="000F5EB0">
        <w:rPr>
          <w:szCs w:val="20"/>
        </w:rPr>
        <w:t>y procedures</w:t>
      </w:r>
    </w:p>
    <w:p w14:paraId="16D17BF4" w14:textId="0B11C2BD" w:rsidR="00656876" w:rsidRPr="000F5EB0" w:rsidRDefault="00455DB6" w:rsidP="001B29A1">
      <w:pPr>
        <w:spacing w:before="0" w:after="0"/>
        <w:ind w:left="426"/>
        <w:rPr>
          <w:szCs w:val="20"/>
        </w:rPr>
      </w:pPr>
      <w:r w:rsidRPr="000F5EB0">
        <w:rPr>
          <w:szCs w:val="20"/>
        </w:rPr>
        <w:fldChar w:fldCharType="begin">
          <w:ffData>
            <w:name w:val=""/>
            <w:enabled/>
            <w:calcOnExit w:val="0"/>
            <w:checkBox>
              <w:sizeAuto/>
              <w:default w:val="1"/>
            </w:checkBox>
          </w:ffData>
        </w:fldChar>
      </w:r>
      <w:r w:rsidRPr="000F5EB0">
        <w:rPr>
          <w:szCs w:val="20"/>
        </w:rPr>
        <w:instrText xml:space="preserve"> FORMCHECKBOX </w:instrText>
      </w:r>
      <w:r w:rsidR="00607C47">
        <w:rPr>
          <w:szCs w:val="20"/>
        </w:rPr>
      </w:r>
      <w:r w:rsidR="00607C47">
        <w:rPr>
          <w:szCs w:val="20"/>
        </w:rPr>
        <w:fldChar w:fldCharType="separate"/>
      </w:r>
      <w:r w:rsidRPr="000F5EB0">
        <w:rPr>
          <w:szCs w:val="20"/>
        </w:rPr>
        <w:fldChar w:fldCharType="end"/>
      </w:r>
      <w:r w:rsidR="001B29A1" w:rsidRPr="000F5EB0">
        <w:rPr>
          <w:szCs w:val="20"/>
        </w:rPr>
        <w:t xml:space="preserve"> Non-inferiority</w:t>
      </w:r>
      <w:r w:rsidR="001B29A1" w:rsidRPr="000F5EB0">
        <w:rPr>
          <w:szCs w:val="20"/>
        </w:rPr>
        <w:tab/>
      </w:r>
      <w:r w:rsidR="00EC09C8" w:rsidRPr="000F5EB0">
        <w:rPr>
          <w:szCs w:val="20"/>
        </w:rPr>
        <w:t xml:space="preserve">Non-inferior, and </w:t>
      </w:r>
      <w:r w:rsidR="0059362D" w:rsidRPr="000F5EB0">
        <w:rPr>
          <w:szCs w:val="20"/>
        </w:rPr>
        <w:t xml:space="preserve">conceivably </w:t>
      </w:r>
      <w:r w:rsidR="00EC09C8" w:rsidRPr="000F5EB0">
        <w:rPr>
          <w:szCs w:val="20"/>
        </w:rPr>
        <w:t xml:space="preserve">superior, </w:t>
      </w:r>
      <w:r w:rsidR="00A64BF4" w:rsidRPr="000F5EB0">
        <w:rPr>
          <w:szCs w:val="20"/>
        </w:rPr>
        <w:t>in identifying genomic alterations</w:t>
      </w:r>
    </w:p>
    <w:p w14:paraId="05D7DFDD" w14:textId="1C217978" w:rsidR="00E7525D" w:rsidRDefault="00AF752B" w:rsidP="00225180">
      <w:pPr>
        <w:ind w:left="360"/>
      </w:pPr>
      <w:r>
        <w:t xml:space="preserve">Note that these claims relate to </w:t>
      </w:r>
      <w:r w:rsidR="0069708E">
        <w:t xml:space="preserve">those foreshadowed to be supported </w:t>
      </w:r>
      <w:r w:rsidR="00973F89">
        <w:t>by the evidence presented in</w:t>
      </w:r>
      <w:r w:rsidR="00E36008">
        <w:t xml:space="preserve"> an</w:t>
      </w:r>
      <w:r w:rsidR="00A87C31">
        <w:t xml:space="preserve"> </w:t>
      </w:r>
      <w:r w:rsidR="00E36008">
        <w:t xml:space="preserve">Applicant Developed Assessment Report </w:t>
      </w:r>
      <w:r w:rsidR="00131F29">
        <w:t xml:space="preserve">reviewing the efficacy and safety of </w:t>
      </w:r>
      <w:r w:rsidR="00A3305A">
        <w:t>CGP using NGS assays</w:t>
      </w:r>
      <w:r w:rsidR="008B6BB5">
        <w:t xml:space="preserve"> compared with </w:t>
      </w:r>
      <w:r w:rsidR="009A46CF">
        <w:t xml:space="preserve">the sequential </w:t>
      </w:r>
      <w:r w:rsidR="00171466">
        <w:t xml:space="preserve">use of </w:t>
      </w:r>
      <w:r w:rsidR="00EE5B5C" w:rsidRPr="000F5EB0">
        <w:t>molecular biomarker tests currently listed on the MBS</w:t>
      </w:r>
      <w:r w:rsidR="00A11C3B">
        <w:t>. This</w:t>
      </w:r>
      <w:r w:rsidR="00424A5D">
        <w:t xml:space="preserve"> document </w:t>
      </w:r>
      <w:r w:rsidR="00A610B7">
        <w:t>is not making a</w:t>
      </w:r>
      <w:r w:rsidR="00424A5D">
        <w:t xml:space="preserve"> </w:t>
      </w:r>
      <w:r w:rsidR="00711DCB">
        <w:t xml:space="preserve">clinical claim </w:t>
      </w:r>
      <w:r w:rsidR="00D35EB5">
        <w:t xml:space="preserve">for </w:t>
      </w:r>
      <w:r w:rsidR="0082267E">
        <w:t>any specific NGS assay</w:t>
      </w:r>
      <w:r w:rsidR="00F573F5">
        <w:t xml:space="preserve"> </w:t>
      </w:r>
      <w:r w:rsidR="0082267E">
        <w:t xml:space="preserve">offered by </w:t>
      </w:r>
      <w:r w:rsidR="00D57483">
        <w:t>a commercial manufacturer</w:t>
      </w:r>
      <w:r w:rsidR="00D35EB5">
        <w:t>s</w:t>
      </w:r>
      <w:r w:rsidR="00D57483">
        <w:t xml:space="preserve"> which </w:t>
      </w:r>
      <w:r w:rsidR="00A96826">
        <w:t>do</w:t>
      </w:r>
      <w:r w:rsidR="00F573F5">
        <w:t>es</w:t>
      </w:r>
      <w:r w:rsidR="00D35EB5">
        <w:t xml:space="preserve"> </w:t>
      </w:r>
      <w:r w:rsidR="00A96826">
        <w:t>not have the regulatory approval</w:t>
      </w:r>
      <w:r w:rsidR="002D519B">
        <w:t xml:space="preserve"> </w:t>
      </w:r>
      <w:r w:rsidR="00CD65D9">
        <w:t>as a</w:t>
      </w:r>
      <w:r w:rsidR="00B07DA3">
        <w:t>n IVD</w:t>
      </w:r>
      <w:r w:rsidR="008450F2">
        <w:t xml:space="preserve"> companion diagnostic.</w:t>
      </w:r>
    </w:p>
    <w:p w14:paraId="4B3DB4C7" w14:textId="77777777" w:rsidR="00E7525D" w:rsidRDefault="00E7525D">
      <w:pPr>
        <w:spacing w:before="0" w:after="200" w:line="276" w:lineRule="auto"/>
      </w:pPr>
      <w:r>
        <w:br w:type="page"/>
      </w:r>
    </w:p>
    <w:p w14:paraId="7D8CF8A8" w14:textId="77777777" w:rsidR="00B25D20" w:rsidRPr="000F5EB0" w:rsidRDefault="001B29A1" w:rsidP="00530204">
      <w:pPr>
        <w:pStyle w:val="Heading2"/>
      </w:pPr>
      <w:r w:rsidRPr="000F5EB0">
        <w:lastRenderedPageBreak/>
        <w:t>Below, l</w:t>
      </w:r>
      <w:r w:rsidR="00B25D20" w:rsidRPr="000F5EB0">
        <w:t xml:space="preserve">ist the key health outcomes </w:t>
      </w:r>
      <w:r w:rsidR="00707D4D" w:rsidRPr="000F5EB0">
        <w:t xml:space="preserve">(major and minor – prioritising major key health outcomes first) </w:t>
      </w:r>
      <w:r w:rsidR="00B25D20" w:rsidRPr="000F5EB0">
        <w:t>that will ne</w:t>
      </w:r>
      <w:r w:rsidR="00AD37D4" w:rsidRPr="000F5EB0">
        <w:t xml:space="preserve">ed to be specifically measured </w:t>
      </w:r>
      <w:r w:rsidR="00B25D20" w:rsidRPr="000F5EB0">
        <w:t>in assessing the clinical claim of the proposed medica</w:t>
      </w:r>
      <w:r w:rsidRPr="000F5EB0">
        <w:t>l service versus the comparator</w:t>
      </w:r>
      <w:r w:rsidR="00AD37D4" w:rsidRPr="000F5EB0">
        <w:t>:</w:t>
      </w:r>
    </w:p>
    <w:p w14:paraId="242C4E01" w14:textId="19543D94" w:rsidR="001B29A1" w:rsidRPr="000F5EB0" w:rsidRDefault="001B29A1" w:rsidP="001B29A1">
      <w:pPr>
        <w:pBdr>
          <w:top w:val="single" w:sz="4" w:space="1" w:color="auto"/>
          <w:left w:val="single" w:sz="4" w:space="4" w:color="auto"/>
          <w:bottom w:val="single" w:sz="4" w:space="1" w:color="auto"/>
          <w:right w:val="single" w:sz="4" w:space="4" w:color="auto"/>
        </w:pBdr>
        <w:rPr>
          <w:b/>
          <w:szCs w:val="20"/>
        </w:rPr>
      </w:pPr>
      <w:r w:rsidRPr="000F5EB0">
        <w:rPr>
          <w:b/>
          <w:szCs w:val="20"/>
        </w:rPr>
        <w:t xml:space="preserve">Safety Outcomes: </w:t>
      </w:r>
      <w:r w:rsidR="00783EBC" w:rsidRPr="000F5EB0">
        <w:t xml:space="preserve">As the collection of tumour tissue is already required as part of the diagnostic </w:t>
      </w:r>
      <w:r w:rsidR="008D6BDE" w:rsidRPr="000F5EB0">
        <w:t xml:space="preserve">work-up of lung cancer patients there are no additional safety considerations </w:t>
      </w:r>
      <w:r w:rsidR="00E775D1" w:rsidRPr="000F5EB0">
        <w:t xml:space="preserve">associated with </w:t>
      </w:r>
      <w:r w:rsidR="008D6BDE" w:rsidRPr="000F5EB0">
        <w:t xml:space="preserve">the </w:t>
      </w:r>
      <w:r w:rsidR="003B0182" w:rsidRPr="000F5EB0">
        <w:t xml:space="preserve">conduct of CGP using </w:t>
      </w:r>
      <w:r w:rsidR="00FC3D63">
        <w:t>NGS assays</w:t>
      </w:r>
      <w:r w:rsidR="003B0182" w:rsidRPr="000F5EB0">
        <w:t>.</w:t>
      </w:r>
    </w:p>
    <w:p w14:paraId="25A69A31" w14:textId="54B1515A" w:rsidR="00B25D20" w:rsidRPr="000F5EB0" w:rsidRDefault="001B29A1" w:rsidP="001B29A1">
      <w:pPr>
        <w:pBdr>
          <w:top w:val="single" w:sz="4" w:space="1" w:color="auto"/>
          <w:left w:val="single" w:sz="4" w:space="4" w:color="auto"/>
          <w:bottom w:val="single" w:sz="4" w:space="1" w:color="auto"/>
          <w:right w:val="single" w:sz="4" w:space="4" w:color="auto"/>
        </w:pBdr>
        <w:rPr>
          <w:szCs w:val="20"/>
        </w:rPr>
      </w:pPr>
      <w:r w:rsidRPr="000F5EB0">
        <w:rPr>
          <w:b/>
          <w:szCs w:val="20"/>
        </w:rPr>
        <w:t xml:space="preserve">Clinical Effectiveness Outcomes: </w:t>
      </w:r>
      <w:r w:rsidR="00417134" w:rsidRPr="000F5EB0">
        <w:rPr>
          <w:szCs w:val="20"/>
        </w:rPr>
        <w:t xml:space="preserve">The intended use of </w:t>
      </w:r>
      <w:r w:rsidR="00971D75">
        <w:rPr>
          <w:szCs w:val="20"/>
        </w:rPr>
        <w:t xml:space="preserve">CGP using a NGS assay </w:t>
      </w:r>
      <w:r w:rsidR="001B6299">
        <w:rPr>
          <w:szCs w:val="20"/>
        </w:rPr>
        <w:t>sought</w:t>
      </w:r>
      <w:r w:rsidR="00E775D1" w:rsidRPr="000F5EB0">
        <w:rPr>
          <w:szCs w:val="20"/>
        </w:rPr>
        <w:t xml:space="preserve"> </w:t>
      </w:r>
      <w:r w:rsidR="00487B7C" w:rsidRPr="000F5EB0">
        <w:rPr>
          <w:szCs w:val="20"/>
        </w:rPr>
        <w:t xml:space="preserve">through this MSAC application is as an alternative to molecular biomarker </w:t>
      </w:r>
      <w:r w:rsidR="000E75B8" w:rsidRPr="000F5EB0">
        <w:rPr>
          <w:szCs w:val="20"/>
        </w:rPr>
        <w:t xml:space="preserve">tests </w:t>
      </w:r>
      <w:r w:rsidR="000B5026" w:rsidRPr="000F5EB0">
        <w:rPr>
          <w:szCs w:val="20"/>
        </w:rPr>
        <w:t xml:space="preserve">currently </w:t>
      </w:r>
      <w:r w:rsidR="000E75B8" w:rsidRPr="000F5EB0">
        <w:rPr>
          <w:szCs w:val="20"/>
        </w:rPr>
        <w:t xml:space="preserve">listed on the MBS used </w:t>
      </w:r>
      <w:r w:rsidR="00417134" w:rsidRPr="000F5EB0">
        <w:rPr>
          <w:szCs w:val="20"/>
        </w:rPr>
        <w:t xml:space="preserve">to identify </w:t>
      </w:r>
      <w:r w:rsidR="00557B68">
        <w:rPr>
          <w:szCs w:val="20"/>
        </w:rPr>
        <w:t>NSCLC</w:t>
      </w:r>
      <w:r w:rsidR="00417134" w:rsidRPr="000F5EB0">
        <w:rPr>
          <w:szCs w:val="20"/>
        </w:rPr>
        <w:t xml:space="preserve"> patients suitable for treatment with a targeted therapy</w:t>
      </w:r>
      <w:r w:rsidR="00C9264F" w:rsidRPr="000F5EB0">
        <w:rPr>
          <w:szCs w:val="20"/>
        </w:rPr>
        <w:t xml:space="preserve"> listed on the PBS</w:t>
      </w:r>
      <w:r w:rsidR="000E75B8" w:rsidRPr="000F5EB0">
        <w:rPr>
          <w:szCs w:val="20"/>
        </w:rPr>
        <w:t>.</w:t>
      </w:r>
    </w:p>
    <w:p w14:paraId="0C756A4D" w14:textId="56518465" w:rsidR="00040458" w:rsidRPr="000F5EB0" w:rsidRDefault="00040458" w:rsidP="001B29A1">
      <w:pPr>
        <w:pBdr>
          <w:top w:val="single" w:sz="4" w:space="1" w:color="auto"/>
          <w:left w:val="single" w:sz="4" w:space="4" w:color="auto"/>
          <w:bottom w:val="single" w:sz="4" w:space="1" w:color="auto"/>
          <w:right w:val="single" w:sz="4" w:space="4" w:color="auto"/>
        </w:pBdr>
        <w:rPr>
          <w:szCs w:val="20"/>
        </w:rPr>
      </w:pPr>
      <w:r w:rsidRPr="000F5EB0">
        <w:rPr>
          <w:szCs w:val="20"/>
        </w:rPr>
        <w:t xml:space="preserve">The outcomes relevant to the assessment of the efficacy of </w:t>
      </w:r>
      <w:r w:rsidR="006356FE">
        <w:rPr>
          <w:szCs w:val="20"/>
        </w:rPr>
        <w:t xml:space="preserve">NGS assays </w:t>
      </w:r>
      <w:r w:rsidR="00C46791" w:rsidRPr="000F5EB0">
        <w:rPr>
          <w:szCs w:val="20"/>
        </w:rPr>
        <w:t>for the use proposed in this MSAC application are:</w:t>
      </w:r>
    </w:p>
    <w:p w14:paraId="741F4C59" w14:textId="02D4B5B3" w:rsidR="00C46791" w:rsidRPr="000F5EB0" w:rsidRDefault="00617E96" w:rsidP="00617E96">
      <w:pPr>
        <w:pBdr>
          <w:top w:val="single" w:sz="4" w:space="1" w:color="auto"/>
          <w:left w:val="single" w:sz="4" w:space="4" w:color="auto"/>
          <w:bottom w:val="single" w:sz="4" w:space="1" w:color="auto"/>
          <w:right w:val="single" w:sz="4" w:space="4" w:color="auto"/>
        </w:pBdr>
        <w:rPr>
          <w:szCs w:val="20"/>
        </w:rPr>
      </w:pPr>
      <w:r w:rsidRPr="000F5EB0">
        <w:rPr>
          <w:szCs w:val="20"/>
        </w:rPr>
        <w:t xml:space="preserve">- </w:t>
      </w:r>
      <w:r w:rsidR="00DC3DA4" w:rsidRPr="000F5EB0">
        <w:rPr>
          <w:szCs w:val="20"/>
        </w:rPr>
        <w:t xml:space="preserve">Measures of </w:t>
      </w:r>
      <w:r w:rsidR="00426162" w:rsidRPr="000F5EB0">
        <w:rPr>
          <w:szCs w:val="20"/>
        </w:rPr>
        <w:t xml:space="preserve">analytical </w:t>
      </w:r>
      <w:r w:rsidR="00D90393" w:rsidRPr="000F5EB0">
        <w:rPr>
          <w:szCs w:val="20"/>
        </w:rPr>
        <w:t>sensitivity and specificity</w:t>
      </w:r>
    </w:p>
    <w:p w14:paraId="03761D80" w14:textId="2350B98F" w:rsidR="001B29A1" w:rsidRPr="000F5EB0" w:rsidRDefault="00F95D2E" w:rsidP="001B29A1">
      <w:pPr>
        <w:pBdr>
          <w:top w:val="single" w:sz="4" w:space="1" w:color="auto"/>
          <w:left w:val="single" w:sz="4" w:space="4" w:color="auto"/>
          <w:bottom w:val="single" w:sz="4" w:space="1" w:color="auto"/>
          <w:right w:val="single" w:sz="4" w:space="4" w:color="auto"/>
        </w:pBdr>
        <w:rPr>
          <w:b/>
          <w:szCs w:val="20"/>
        </w:rPr>
      </w:pPr>
      <w:r w:rsidRPr="000F5EB0">
        <w:rPr>
          <w:szCs w:val="20"/>
        </w:rPr>
        <w:t xml:space="preserve">- Results of concordance studies between </w:t>
      </w:r>
      <w:r w:rsidR="006356FE">
        <w:rPr>
          <w:szCs w:val="20"/>
        </w:rPr>
        <w:t xml:space="preserve">NGS </w:t>
      </w:r>
      <w:r w:rsidRPr="000F5EB0">
        <w:rPr>
          <w:szCs w:val="20"/>
        </w:rPr>
        <w:t>assay</w:t>
      </w:r>
      <w:r w:rsidR="006356FE">
        <w:rPr>
          <w:szCs w:val="20"/>
        </w:rPr>
        <w:t>s</w:t>
      </w:r>
      <w:r w:rsidRPr="000F5EB0">
        <w:rPr>
          <w:szCs w:val="20"/>
        </w:rPr>
        <w:t xml:space="preserve"> </w:t>
      </w:r>
      <w:r w:rsidR="006D01C1" w:rsidRPr="000F5EB0">
        <w:rPr>
          <w:szCs w:val="20"/>
        </w:rPr>
        <w:t xml:space="preserve">and </w:t>
      </w:r>
      <w:r w:rsidR="007C46B2" w:rsidRPr="000F5EB0">
        <w:rPr>
          <w:szCs w:val="20"/>
        </w:rPr>
        <w:t xml:space="preserve">comparator biomarker assays </w:t>
      </w:r>
      <w:r w:rsidR="004C02FD" w:rsidRPr="000F5EB0">
        <w:rPr>
          <w:szCs w:val="20"/>
        </w:rPr>
        <w:t>(EGFR gene mutation test</w:t>
      </w:r>
      <w:r w:rsidR="008319FB" w:rsidRPr="000F5EB0">
        <w:rPr>
          <w:szCs w:val="20"/>
        </w:rPr>
        <w:t>ing</w:t>
      </w:r>
      <w:r w:rsidR="004C02FD" w:rsidRPr="000F5EB0">
        <w:rPr>
          <w:szCs w:val="20"/>
        </w:rPr>
        <w:t xml:space="preserve">; </w:t>
      </w:r>
      <w:r w:rsidR="004D4860" w:rsidRPr="000F5EB0">
        <w:rPr>
          <w:szCs w:val="20"/>
        </w:rPr>
        <w:t xml:space="preserve">ALK </w:t>
      </w:r>
      <w:r w:rsidR="000A2D56">
        <w:rPr>
          <w:szCs w:val="20"/>
        </w:rPr>
        <w:t xml:space="preserve">FISH </w:t>
      </w:r>
      <w:r w:rsidR="004D4860" w:rsidRPr="000F5EB0">
        <w:rPr>
          <w:szCs w:val="20"/>
        </w:rPr>
        <w:t>test</w:t>
      </w:r>
      <w:r w:rsidR="008319FB" w:rsidRPr="000F5EB0">
        <w:rPr>
          <w:szCs w:val="20"/>
        </w:rPr>
        <w:t xml:space="preserve">ing; </w:t>
      </w:r>
      <w:r w:rsidR="000A2D56">
        <w:rPr>
          <w:szCs w:val="20"/>
        </w:rPr>
        <w:t xml:space="preserve">ROS1 </w:t>
      </w:r>
      <w:r w:rsidR="008319FB" w:rsidRPr="000F5EB0">
        <w:rPr>
          <w:szCs w:val="20"/>
        </w:rPr>
        <w:t>FISH testing</w:t>
      </w:r>
      <w:r w:rsidR="00320C3F">
        <w:rPr>
          <w:szCs w:val="20"/>
        </w:rPr>
        <w:t>)</w:t>
      </w:r>
    </w:p>
    <w:p w14:paraId="579BB149" w14:textId="77777777" w:rsidR="0080535C" w:rsidRPr="00584C41" w:rsidRDefault="0080535C" w:rsidP="00584C41">
      <w:r w:rsidRPr="000F5EB0">
        <w:br w:type="page"/>
      </w:r>
    </w:p>
    <w:p w14:paraId="655666DA" w14:textId="7529973B" w:rsidR="00C776B1" w:rsidRPr="000F5EB0" w:rsidRDefault="005C3AE7" w:rsidP="00092580">
      <w:pPr>
        <w:pStyle w:val="Heading1"/>
      </w:pPr>
      <w:r w:rsidRPr="000F5EB0">
        <w:lastRenderedPageBreak/>
        <w:t>PART 7</w:t>
      </w:r>
      <w:r w:rsidR="00F93784" w:rsidRPr="000F5EB0">
        <w:t xml:space="preserve"> – </w:t>
      </w:r>
      <w:r w:rsidR="006C74B1" w:rsidRPr="000F5EB0">
        <w:t xml:space="preserve">INFORMATION ABOUT </w:t>
      </w:r>
      <w:r w:rsidR="0018630F" w:rsidRPr="000F5EB0">
        <w:t xml:space="preserve">ESTIMATED </w:t>
      </w:r>
      <w:r w:rsidR="00974D50" w:rsidRPr="000F5EB0">
        <w:t>UTILISATION</w:t>
      </w:r>
    </w:p>
    <w:p w14:paraId="3EB4B19B" w14:textId="77777777" w:rsidR="006C74B1" w:rsidRPr="000F5EB0" w:rsidRDefault="00BE0FDE" w:rsidP="001B5169">
      <w:pPr>
        <w:pStyle w:val="Heading2"/>
      </w:pPr>
      <w:r w:rsidRPr="000F5EB0">
        <w:t>Estimate</w:t>
      </w:r>
      <w:r w:rsidR="00974D50" w:rsidRPr="000F5EB0">
        <w:t xml:space="preserve"> the prevalence</w:t>
      </w:r>
      <w:r w:rsidR="00B771AD" w:rsidRPr="000F5EB0">
        <w:t xml:space="preserve"> and/or incidence</w:t>
      </w:r>
      <w:r w:rsidR="00974D50" w:rsidRPr="000F5EB0">
        <w:t xml:space="preserve"> of </w:t>
      </w:r>
      <w:r w:rsidR="00AE1188" w:rsidRPr="000F5EB0">
        <w:t>the proposed population:</w:t>
      </w:r>
    </w:p>
    <w:p w14:paraId="2DFAD9C0" w14:textId="788ECE9A" w:rsidR="0053350F" w:rsidRDefault="0053350F" w:rsidP="00225180">
      <w:pPr>
        <w:ind w:left="360"/>
      </w:pPr>
      <w:r>
        <w:t>A</w:t>
      </w:r>
      <w:r w:rsidR="0009542E">
        <w:t xml:space="preserve">s previously outlined, </w:t>
      </w:r>
      <w:r w:rsidRPr="000F5EB0">
        <w:t>there w</w:t>
      </w:r>
      <w:r w:rsidR="00B47174">
        <w:t xml:space="preserve">ill be </w:t>
      </w:r>
      <w:r w:rsidR="0009542E">
        <w:t xml:space="preserve">an estimated </w:t>
      </w:r>
      <w:r>
        <w:t>12,</w:t>
      </w:r>
      <w:r w:rsidR="00143FAE">
        <w:t>990</w:t>
      </w:r>
      <w:r w:rsidRPr="000F5EB0">
        <w:t xml:space="preserve"> new cases of lung cancer in Australia in </w:t>
      </w:r>
      <w:r>
        <w:t>20</w:t>
      </w:r>
      <w:r w:rsidR="00143FAE">
        <w:t>20</w:t>
      </w:r>
      <w:r w:rsidRPr="000F5EB0">
        <w:t xml:space="preserve">. Non-small cell lung cancer is a subtype of lung cancer that accounts for around </w:t>
      </w:r>
      <w:r>
        <w:t>86.6</w:t>
      </w:r>
      <w:r w:rsidRPr="000F5EB0">
        <w:t xml:space="preserve">% of lung cancers worldwide. Based on </w:t>
      </w:r>
      <w:r w:rsidR="00A919B7">
        <w:t>a</w:t>
      </w:r>
      <w:r w:rsidRPr="000F5EB0">
        <w:t xml:space="preserve"> rate of 8</w:t>
      </w:r>
      <w:r>
        <w:t>6.6</w:t>
      </w:r>
      <w:r w:rsidRPr="000F5EB0">
        <w:t xml:space="preserve">% of lung cancers being classified as NSCLC </w:t>
      </w:r>
      <w:r>
        <w:t xml:space="preserve">there </w:t>
      </w:r>
      <w:r w:rsidR="00143FAE">
        <w:t xml:space="preserve">will be </w:t>
      </w:r>
      <w:r w:rsidRPr="000F5EB0">
        <w:t>an estimated</w:t>
      </w:r>
      <w:r>
        <w:t xml:space="preserve"> </w:t>
      </w:r>
      <w:r w:rsidR="001E0D28">
        <w:t>11,249</w:t>
      </w:r>
      <w:r>
        <w:t xml:space="preserve"> incident cases of NSCLC</w:t>
      </w:r>
      <w:r w:rsidRPr="000F5EB0">
        <w:t xml:space="preserve"> in Australia in 20</w:t>
      </w:r>
      <w:r w:rsidR="001E0D28">
        <w:t>20</w:t>
      </w:r>
      <w:r>
        <w:t xml:space="preserve">, of which </w:t>
      </w:r>
      <w:r w:rsidR="004C2242">
        <w:t>8,696</w:t>
      </w:r>
      <w:r>
        <w:t xml:space="preserve"> (77.3%) were Stage III or IV</w:t>
      </w:r>
      <w:r w:rsidR="00675A34">
        <w:t xml:space="preserve"> </w:t>
      </w:r>
      <w:r w:rsidR="00675A34">
        <w:fldChar w:fldCharType="begin"/>
      </w:r>
      <w:r w:rsidR="00B078F9">
        <w:instrText xml:space="preserve"> ADDIN EN.CITE &lt;EndNote&gt;&lt;Cite&gt;&lt;Author&gt;DoH&lt;/Author&gt;&lt;Year&gt;2019&lt;/Year&gt;&lt;RecNum&gt;7934&lt;/RecNum&gt;&lt;DisplayText&gt;(DoH 2019)&lt;/DisplayText&gt;&lt;record&gt;&lt;rec-number&gt;7934&lt;/rec-number&gt;&lt;foreign-keys&gt;&lt;key app="EN" db-id="rxtrxwppgpd2wde2swb5es9g90ffpzr5dx2p" timestamp="1573080362"&gt;7934&lt;/key&gt;&lt;/foreign-keys&gt;&lt;ref-type name="Government Document"&gt;46&lt;/ref-type&gt;&lt;contributors&gt;&lt;authors&gt;&lt;author&gt;DoH,&lt;/author&gt;&lt;/authors&gt;&lt;secondary-authors&gt;&lt;author&gt;Department of Health&lt;/author&gt;&lt;/secondary-authors&gt;&lt;/contributors&gt;&lt;titles&gt;&lt;title&gt;PD-(L)1 checkpoint inhibitor stakeholder meeting&lt;/title&gt;&lt;/titles&gt;&lt;dates&gt;&lt;year&gt;2019&lt;/year&gt;&lt;/dates&gt;&lt;urls&gt;&lt;/urls&gt;&lt;/record&gt;&lt;/Cite&gt;&lt;/EndNote&gt;</w:instrText>
      </w:r>
      <w:r w:rsidR="00675A34">
        <w:fldChar w:fldCharType="separate"/>
      </w:r>
      <w:r w:rsidR="00675A34">
        <w:rPr>
          <w:noProof/>
        </w:rPr>
        <w:t>(DoH 2019)</w:t>
      </w:r>
      <w:r w:rsidR="00675A34">
        <w:fldChar w:fldCharType="end"/>
      </w:r>
      <w:r w:rsidRPr="000F5EB0">
        <w:t>.</w:t>
      </w:r>
    </w:p>
    <w:p w14:paraId="7F5091CF" w14:textId="6CC478E5" w:rsidR="0071725F" w:rsidRPr="000F5EB0" w:rsidRDefault="00313C04" w:rsidP="00225180">
      <w:pPr>
        <w:ind w:left="360"/>
      </w:pPr>
      <w:r>
        <w:t xml:space="preserve">Not all patients with locally advanced or metastatic </w:t>
      </w:r>
      <w:r w:rsidR="00FC14F7">
        <w:t xml:space="preserve">NSCLC </w:t>
      </w:r>
      <w:r>
        <w:t>w</w:t>
      </w:r>
      <w:r w:rsidR="00FC14F7">
        <w:t>ould have a performance status sc</w:t>
      </w:r>
      <w:r w:rsidR="00234E0F">
        <w:t xml:space="preserve">ore consistent with being eligible for treatment through the PBS, and not all patients will opt to commence treatment. </w:t>
      </w:r>
      <w:r w:rsidR="00DE0FBE">
        <w:t xml:space="preserve">Based on assumptions previously accepted by the PBAC and outlined </w:t>
      </w:r>
      <w:r w:rsidR="0070514E">
        <w:t xml:space="preserve">in the background document </w:t>
      </w:r>
      <w:r w:rsidR="002834C5">
        <w:t>to the</w:t>
      </w:r>
      <w:r w:rsidR="0070514E">
        <w:t xml:space="preserve"> PD-(L)1</w:t>
      </w:r>
      <w:r w:rsidR="002834C5">
        <w:t xml:space="preserve"> checkpoint inhibitor stakeholder meeting provided to Roche, </w:t>
      </w:r>
      <w:r w:rsidR="005F537C">
        <w:t xml:space="preserve">63.3% of NSCLC patients have an ECOG performance score of 0 or 1 </w:t>
      </w:r>
      <w:r w:rsidR="00A71B2B">
        <w:t>and are eligible for PBS-listed treatment and 85% of patients opt for treatment. Thus, in 20</w:t>
      </w:r>
      <w:r w:rsidR="00F17F1F">
        <w:t>20</w:t>
      </w:r>
      <w:r w:rsidR="00A71B2B">
        <w:t xml:space="preserve"> </w:t>
      </w:r>
      <w:r w:rsidR="008B7F4F">
        <w:t>it is estimated that there would have been 4,</w:t>
      </w:r>
      <w:r w:rsidR="002472B8">
        <w:t>679</w:t>
      </w:r>
      <w:r w:rsidR="00DC3392">
        <w:t xml:space="preserve"> (8,374*</w:t>
      </w:r>
      <w:r w:rsidR="0052336A">
        <w:t>63</w:t>
      </w:r>
      <w:r w:rsidR="00DC3392">
        <w:t xml:space="preserve">.3%*85%) </w:t>
      </w:r>
      <w:r w:rsidR="0052336A">
        <w:t xml:space="preserve">incident cases of </w:t>
      </w:r>
      <w:r w:rsidR="008B7F4F">
        <w:t xml:space="preserve">NSCLC </w:t>
      </w:r>
      <w:r w:rsidR="00435605">
        <w:t>considered for systemic treatment.</w:t>
      </w:r>
    </w:p>
    <w:p w14:paraId="0A523804" w14:textId="04A472E2" w:rsidR="006872DA" w:rsidRPr="000F5EB0" w:rsidRDefault="00841BE9" w:rsidP="00225180">
      <w:pPr>
        <w:ind w:left="360"/>
      </w:pPr>
      <w:r w:rsidRPr="000F5EB0">
        <w:t xml:space="preserve">An assessment of </w:t>
      </w:r>
      <w:r w:rsidR="00D33F19" w:rsidRPr="000F5EB0">
        <w:t xml:space="preserve">the mortality-to-incidence ratio (MIR) for lung cancer </w:t>
      </w:r>
      <w:r w:rsidR="00C11BB6" w:rsidRPr="000F5EB0">
        <w:t xml:space="preserve">was conducted based on the number of </w:t>
      </w:r>
      <w:r w:rsidR="00EA5450" w:rsidRPr="000F5EB0">
        <w:t>incident</w:t>
      </w:r>
      <w:r w:rsidR="00C11BB6" w:rsidRPr="000F5EB0">
        <w:t xml:space="preserve"> cases and deaths reported for lung cancer in Australia between 20</w:t>
      </w:r>
      <w:r w:rsidR="00A6229A" w:rsidRPr="000F5EB0">
        <w:t>1</w:t>
      </w:r>
      <w:r w:rsidR="0083537B">
        <w:t>5</w:t>
      </w:r>
      <w:r w:rsidR="006872DA" w:rsidRPr="000F5EB0">
        <w:t>-201</w:t>
      </w:r>
      <w:r w:rsidR="0083537B">
        <w:t>7</w:t>
      </w:r>
      <w:r w:rsidR="006872DA" w:rsidRPr="000F5EB0">
        <w:t xml:space="preserve"> using data reported in</w:t>
      </w:r>
      <w:r w:rsidR="0083537B">
        <w:t xml:space="preserve"> </w:t>
      </w:r>
      <w:r w:rsidR="00211260">
        <w:fldChar w:fldCharType="begin"/>
      </w:r>
      <w:r w:rsidR="00B078F9">
        <w:instrText xml:space="preserve"> ADDIN EN.CITE &lt;EndNote&gt;&lt;Cite&gt;&lt;Author&gt;AIHW&lt;/Author&gt;&lt;Year&gt;2019&lt;/Year&gt;&lt;RecNum&gt;7929&lt;/RecNum&gt;&lt;DisplayText&gt;(AIHW 2019)&lt;/DisplayText&gt;&lt;record&gt;&lt;rec-number&gt;7929&lt;/rec-number&gt;&lt;foreign-keys&gt;&lt;key app="EN" db-id="rxtrxwppgpd2wde2swb5es9g90ffpzr5dx2p" timestamp="1572915460"&gt;7929&lt;/key&gt;&lt;/foreign-keys&gt;&lt;ref-type name="Report"&gt;27&lt;/ref-type&gt;&lt;contributors&gt;&lt;authors&gt;&lt;author&gt;AIHW,&lt;/author&gt;&lt;/authors&gt;&lt;/contributors&gt;&lt;titles&gt;&lt;title&gt;Australian Institute of Health Welfare :Cancer data in Australia&lt;/title&gt;&lt;/titles&gt;&lt;dates&gt;&lt;year&gt;2019&lt;/year&gt;&lt;/dates&gt;&lt;pub-location&gt;Canberra&lt;/pub-location&gt;&lt;publisher&gt;AIHW&lt;/publisher&gt;&lt;urls&gt;&lt;related-urls&gt;&lt;url&gt;https://www.aihw.gov.au/reports/cancer/cancer-data-in-australia&lt;/url&gt;&lt;/related-urls&gt;&lt;/urls&gt;&lt;/record&gt;&lt;/Cite&gt;&lt;/EndNote&gt;</w:instrText>
      </w:r>
      <w:r w:rsidR="00211260">
        <w:fldChar w:fldCharType="separate"/>
      </w:r>
      <w:r w:rsidR="00211260">
        <w:rPr>
          <w:noProof/>
        </w:rPr>
        <w:t>(AIHW 2019)</w:t>
      </w:r>
      <w:r w:rsidR="00211260">
        <w:fldChar w:fldCharType="end"/>
      </w:r>
      <w:r w:rsidR="0055211C">
        <w:t>.</w:t>
      </w:r>
    </w:p>
    <w:tbl>
      <w:tblPr>
        <w:tblStyle w:val="TableGrid"/>
        <w:tblW w:w="5000" w:type="pct"/>
        <w:tblLook w:val="04A0" w:firstRow="1" w:lastRow="0" w:firstColumn="1" w:lastColumn="0" w:noHBand="0" w:noVBand="1"/>
        <w:tblCaption w:val="Table"/>
        <w:tblDescription w:val="Table"/>
      </w:tblPr>
      <w:tblGrid>
        <w:gridCol w:w="2807"/>
        <w:gridCol w:w="2127"/>
        <w:gridCol w:w="2125"/>
        <w:gridCol w:w="2123"/>
      </w:tblGrid>
      <w:tr w:rsidR="0083537B" w:rsidRPr="000F5EB0" w14:paraId="41C4552D" w14:textId="77777777" w:rsidTr="00CC4EE7">
        <w:trPr>
          <w:trHeight w:val="285"/>
          <w:tblHeader/>
        </w:trPr>
        <w:tc>
          <w:tcPr>
            <w:tcW w:w="1529" w:type="pct"/>
            <w:noWrap/>
            <w:hideMark/>
          </w:tcPr>
          <w:p w14:paraId="21C86FEA" w14:textId="77777777" w:rsidR="0083537B" w:rsidRPr="000F5EB0" w:rsidRDefault="0083537B" w:rsidP="008D4247">
            <w:r w:rsidRPr="000F5EB0">
              <w:t>Year</w:t>
            </w:r>
          </w:p>
        </w:tc>
        <w:tc>
          <w:tcPr>
            <w:tcW w:w="1158" w:type="pct"/>
            <w:hideMark/>
          </w:tcPr>
          <w:p w14:paraId="0C1199AB" w14:textId="1867A6D4" w:rsidR="0083537B" w:rsidRPr="000F5EB0" w:rsidRDefault="0083537B" w:rsidP="008D4247">
            <w:r>
              <w:t>2015</w:t>
            </w:r>
          </w:p>
        </w:tc>
        <w:tc>
          <w:tcPr>
            <w:tcW w:w="1157" w:type="pct"/>
            <w:hideMark/>
          </w:tcPr>
          <w:p w14:paraId="1A40EDFF" w14:textId="1BE72E61" w:rsidR="0083537B" w:rsidRPr="000F5EB0" w:rsidRDefault="0083537B" w:rsidP="008D4247">
            <w:r>
              <w:t>2016</w:t>
            </w:r>
          </w:p>
        </w:tc>
        <w:tc>
          <w:tcPr>
            <w:tcW w:w="1156" w:type="pct"/>
            <w:hideMark/>
          </w:tcPr>
          <w:p w14:paraId="47F6FDF1" w14:textId="6AA137C8" w:rsidR="0083537B" w:rsidRPr="000F5EB0" w:rsidRDefault="0083537B" w:rsidP="008D4247">
            <w:r>
              <w:t>2017</w:t>
            </w:r>
          </w:p>
        </w:tc>
      </w:tr>
      <w:tr w:rsidR="0083537B" w:rsidRPr="000F5EB0" w14:paraId="7549937F" w14:textId="77777777" w:rsidTr="007809DA">
        <w:trPr>
          <w:trHeight w:val="285"/>
        </w:trPr>
        <w:tc>
          <w:tcPr>
            <w:tcW w:w="1529" w:type="pct"/>
            <w:noWrap/>
            <w:hideMark/>
          </w:tcPr>
          <w:p w14:paraId="240477EA" w14:textId="77777777" w:rsidR="0083537B" w:rsidRPr="000F5EB0" w:rsidRDefault="0083537B" w:rsidP="008D4247">
            <w:r w:rsidRPr="000F5EB0">
              <w:t>Incidence</w:t>
            </w:r>
          </w:p>
        </w:tc>
        <w:tc>
          <w:tcPr>
            <w:tcW w:w="1158" w:type="pct"/>
          </w:tcPr>
          <w:p w14:paraId="4059ADF9" w14:textId="2FB11981" w:rsidR="0083537B" w:rsidRPr="000F5EB0" w:rsidRDefault="003209BE" w:rsidP="008D4247">
            <w:r>
              <w:t>11,788</w:t>
            </w:r>
          </w:p>
        </w:tc>
        <w:tc>
          <w:tcPr>
            <w:tcW w:w="1157" w:type="pct"/>
          </w:tcPr>
          <w:p w14:paraId="4B73FE93" w14:textId="2CB9D7BF" w:rsidR="0083537B" w:rsidRPr="000F5EB0" w:rsidRDefault="00CB3CC7" w:rsidP="008D4247">
            <w:r>
              <w:t>11,929</w:t>
            </w:r>
          </w:p>
        </w:tc>
        <w:tc>
          <w:tcPr>
            <w:tcW w:w="1156" w:type="pct"/>
          </w:tcPr>
          <w:p w14:paraId="3BFA346E" w14:textId="72B5A58A" w:rsidR="0083537B" w:rsidRPr="000F5EB0" w:rsidRDefault="00CB3CC7" w:rsidP="008D4247">
            <w:r>
              <w:t>12,209</w:t>
            </w:r>
          </w:p>
        </w:tc>
      </w:tr>
      <w:tr w:rsidR="0083537B" w:rsidRPr="000F5EB0" w14:paraId="014B356E" w14:textId="77777777" w:rsidTr="007809DA">
        <w:trPr>
          <w:trHeight w:val="285"/>
        </w:trPr>
        <w:tc>
          <w:tcPr>
            <w:tcW w:w="1529" w:type="pct"/>
            <w:noWrap/>
            <w:hideMark/>
          </w:tcPr>
          <w:p w14:paraId="22AC5B43" w14:textId="45680BAD" w:rsidR="0083537B" w:rsidRPr="000F5EB0" w:rsidRDefault="0083537B" w:rsidP="008D4247">
            <w:r w:rsidRPr="000F5EB0">
              <w:t>Mortality</w:t>
            </w:r>
          </w:p>
        </w:tc>
        <w:tc>
          <w:tcPr>
            <w:tcW w:w="1158" w:type="pct"/>
          </w:tcPr>
          <w:p w14:paraId="0B7227E8" w14:textId="305A24CD" w:rsidR="0083537B" w:rsidRPr="000F5EB0" w:rsidRDefault="003209BE" w:rsidP="008D4247">
            <w:r>
              <w:t>8,416</w:t>
            </w:r>
          </w:p>
        </w:tc>
        <w:tc>
          <w:tcPr>
            <w:tcW w:w="1157" w:type="pct"/>
          </w:tcPr>
          <w:p w14:paraId="3571AA53" w14:textId="215D0DF4" w:rsidR="0083537B" w:rsidRPr="000F5EB0" w:rsidRDefault="00CB3CC7" w:rsidP="008D4247">
            <w:r>
              <w:t>8,410</w:t>
            </w:r>
          </w:p>
        </w:tc>
        <w:tc>
          <w:tcPr>
            <w:tcW w:w="1156" w:type="pct"/>
          </w:tcPr>
          <w:p w14:paraId="64A01116" w14:textId="6B5FAA1B" w:rsidR="0083537B" w:rsidRPr="000F5EB0" w:rsidRDefault="00CB3CC7" w:rsidP="008D4247">
            <w:r>
              <w:t>8,717</w:t>
            </w:r>
          </w:p>
        </w:tc>
      </w:tr>
      <w:tr w:rsidR="0083537B" w:rsidRPr="000F5EB0" w14:paraId="49873428" w14:textId="77777777" w:rsidTr="007809DA">
        <w:trPr>
          <w:trHeight w:val="285"/>
        </w:trPr>
        <w:tc>
          <w:tcPr>
            <w:tcW w:w="1529" w:type="pct"/>
            <w:noWrap/>
            <w:hideMark/>
          </w:tcPr>
          <w:p w14:paraId="3D4D6007" w14:textId="77777777" w:rsidR="0083537B" w:rsidRPr="000F5EB0" w:rsidRDefault="0083537B" w:rsidP="008D4247">
            <w:r w:rsidRPr="000F5EB0">
              <w:t>MIR</w:t>
            </w:r>
          </w:p>
        </w:tc>
        <w:tc>
          <w:tcPr>
            <w:tcW w:w="1158" w:type="pct"/>
            <w:noWrap/>
          </w:tcPr>
          <w:p w14:paraId="7CF5B1AE" w14:textId="78242797" w:rsidR="0083537B" w:rsidRPr="000F5EB0" w:rsidRDefault="00546088" w:rsidP="008D4247">
            <w:r>
              <w:t>0.71</w:t>
            </w:r>
          </w:p>
        </w:tc>
        <w:tc>
          <w:tcPr>
            <w:tcW w:w="1157" w:type="pct"/>
            <w:noWrap/>
          </w:tcPr>
          <w:p w14:paraId="78AE6CEC" w14:textId="2668B2E4" w:rsidR="0083537B" w:rsidRPr="000F5EB0" w:rsidRDefault="00546088" w:rsidP="008D4247">
            <w:r>
              <w:t>0.71</w:t>
            </w:r>
          </w:p>
        </w:tc>
        <w:tc>
          <w:tcPr>
            <w:tcW w:w="1156" w:type="pct"/>
            <w:noWrap/>
          </w:tcPr>
          <w:p w14:paraId="56959EBB" w14:textId="31540671" w:rsidR="0083537B" w:rsidRPr="000F5EB0" w:rsidRDefault="007809DA" w:rsidP="008D4247">
            <w:r>
              <w:t>0.71</w:t>
            </w:r>
          </w:p>
        </w:tc>
      </w:tr>
    </w:tbl>
    <w:p w14:paraId="7AB9DE55" w14:textId="668707E0" w:rsidR="008A6654" w:rsidRPr="000F5EB0" w:rsidRDefault="00663C97" w:rsidP="00225180">
      <w:pPr>
        <w:ind w:left="360"/>
      </w:pPr>
      <w:r w:rsidRPr="000F5EB0">
        <w:t xml:space="preserve">The MIR for lung cancer reported in Australia </w:t>
      </w:r>
      <w:r w:rsidR="00117464" w:rsidRPr="000F5EB0">
        <w:t xml:space="preserve">between </w:t>
      </w:r>
      <w:r w:rsidR="00C87F54" w:rsidRPr="000F5EB0">
        <w:t>201</w:t>
      </w:r>
      <w:r w:rsidR="007809DA">
        <w:t>5</w:t>
      </w:r>
      <w:r w:rsidR="00C87F54" w:rsidRPr="000F5EB0">
        <w:t>-201</w:t>
      </w:r>
      <w:r w:rsidR="007809DA">
        <w:t>7</w:t>
      </w:r>
      <w:r w:rsidR="00C87F54" w:rsidRPr="000F5EB0">
        <w:t xml:space="preserve"> </w:t>
      </w:r>
      <w:r w:rsidR="0097747F" w:rsidRPr="000F5EB0">
        <w:t>(</w:t>
      </w:r>
      <w:r w:rsidR="007809DA">
        <w:t>0.71</w:t>
      </w:r>
      <w:r w:rsidR="00F330CF" w:rsidRPr="000F5EB0">
        <w:t xml:space="preserve">) </w:t>
      </w:r>
      <w:r w:rsidRPr="000F5EB0">
        <w:t>is</w:t>
      </w:r>
      <w:r w:rsidR="00C87F54" w:rsidRPr="000F5EB0">
        <w:t xml:space="preserve"> </w:t>
      </w:r>
      <w:r w:rsidR="00607081" w:rsidRPr="000F5EB0">
        <w:t xml:space="preserve">relatively close to 1, indicative of </w:t>
      </w:r>
      <w:r w:rsidR="002D4B2E" w:rsidRPr="000F5EB0">
        <w:t xml:space="preserve">lung cancer </w:t>
      </w:r>
      <w:r w:rsidR="00607081" w:rsidRPr="000F5EB0">
        <w:t>patients having a short</w:t>
      </w:r>
      <w:r w:rsidR="002D4B2E" w:rsidRPr="000F5EB0">
        <w:t xml:space="preserve"> average survival. </w:t>
      </w:r>
      <w:r w:rsidR="00F330CF" w:rsidRPr="000F5EB0">
        <w:t xml:space="preserve">Based on the </w:t>
      </w:r>
      <w:r w:rsidR="00E84095" w:rsidRPr="000F5EB0">
        <w:t xml:space="preserve">assessment of MIR, and the very low 5-year survival rate for patients with </w:t>
      </w:r>
      <w:r w:rsidR="00610897" w:rsidRPr="000F5EB0">
        <w:t xml:space="preserve">locally </w:t>
      </w:r>
      <w:r w:rsidR="00BF4CAB" w:rsidRPr="000F5EB0">
        <w:t xml:space="preserve">advanced or </w:t>
      </w:r>
      <w:r w:rsidR="00610897" w:rsidRPr="000F5EB0">
        <w:t>metastatic disease</w:t>
      </w:r>
      <w:r w:rsidR="002D4B2E" w:rsidRPr="000F5EB0">
        <w:t xml:space="preserve">, it is reasonable to </w:t>
      </w:r>
      <w:r w:rsidR="00360AF0" w:rsidRPr="000F5EB0">
        <w:t xml:space="preserve">conclude that there is not a large pool of prevalent patients with </w:t>
      </w:r>
      <w:r w:rsidR="004E1A8C">
        <w:t xml:space="preserve">NSCLC </w:t>
      </w:r>
      <w:r w:rsidR="00610897" w:rsidRPr="000F5EB0">
        <w:t xml:space="preserve">who would be </w:t>
      </w:r>
      <w:r w:rsidR="004D6FF5" w:rsidRPr="000F5EB0">
        <w:t xml:space="preserve">considered for </w:t>
      </w:r>
      <w:r w:rsidR="00B3401B">
        <w:t>CGP</w:t>
      </w:r>
      <w:r w:rsidR="004D6FF5" w:rsidRPr="000F5EB0">
        <w:t xml:space="preserve"> using </w:t>
      </w:r>
      <w:r w:rsidR="00B53564">
        <w:t>a NGS assay</w:t>
      </w:r>
      <w:r w:rsidR="00003289" w:rsidRPr="000F5EB0">
        <w:t>.</w:t>
      </w:r>
    </w:p>
    <w:p w14:paraId="03196756" w14:textId="77777777" w:rsidR="00382407" w:rsidRPr="000F5EB0" w:rsidRDefault="00382407" w:rsidP="00530204">
      <w:pPr>
        <w:pStyle w:val="Heading2"/>
      </w:pPr>
      <w:r w:rsidRPr="000F5EB0">
        <w:t>Estimate the number of times the proposed medical service</w:t>
      </w:r>
      <w:r w:rsidR="005A58BA" w:rsidRPr="000F5EB0">
        <w:t>(s)</w:t>
      </w:r>
      <w:r w:rsidRPr="000F5EB0">
        <w:t xml:space="preserve"> would be </w:t>
      </w:r>
      <w:r w:rsidR="00AE1188" w:rsidRPr="000F5EB0">
        <w:t>delivered to a patient per year:</w:t>
      </w:r>
    </w:p>
    <w:p w14:paraId="173162C5" w14:textId="2CA5DCC1" w:rsidR="0000198D" w:rsidRDefault="0000198D" w:rsidP="00225180">
      <w:pPr>
        <w:spacing w:before="100" w:beforeAutospacing="1" w:after="100" w:afterAutospacing="1"/>
        <w:ind w:left="360"/>
        <w:rPr>
          <w:szCs w:val="20"/>
        </w:rPr>
      </w:pPr>
      <w:r w:rsidRPr="000F5EB0">
        <w:rPr>
          <w:szCs w:val="20"/>
        </w:rPr>
        <w:t xml:space="preserve">The assessment of </w:t>
      </w:r>
      <w:r w:rsidR="00044BAB" w:rsidRPr="000F5EB0">
        <w:rPr>
          <w:szCs w:val="20"/>
        </w:rPr>
        <w:t xml:space="preserve">molecular biomarkers in </w:t>
      </w:r>
      <w:r w:rsidR="002B1C67">
        <w:rPr>
          <w:szCs w:val="20"/>
        </w:rPr>
        <w:t xml:space="preserve">NSCLC </w:t>
      </w:r>
      <w:r w:rsidR="00044BAB" w:rsidRPr="000F5EB0">
        <w:rPr>
          <w:szCs w:val="20"/>
        </w:rPr>
        <w:t xml:space="preserve">patients is most applicable at the time of </w:t>
      </w:r>
      <w:r w:rsidR="001C16A8" w:rsidRPr="000F5EB0">
        <w:rPr>
          <w:szCs w:val="20"/>
        </w:rPr>
        <w:t>initiating</w:t>
      </w:r>
      <w:r w:rsidR="00FB25B1" w:rsidRPr="000F5EB0">
        <w:rPr>
          <w:szCs w:val="20"/>
        </w:rPr>
        <w:t xml:space="preserve"> systemic treatment. </w:t>
      </w:r>
      <w:r w:rsidR="00771C21" w:rsidRPr="000F5EB0">
        <w:rPr>
          <w:szCs w:val="20"/>
        </w:rPr>
        <w:t>C</w:t>
      </w:r>
      <w:r w:rsidR="008F57AA" w:rsidRPr="000F5EB0">
        <w:rPr>
          <w:szCs w:val="20"/>
        </w:rPr>
        <w:t xml:space="preserve">linical management guidelines recommend that patients found to harbour a genomic </w:t>
      </w:r>
      <w:r w:rsidR="00D330B5" w:rsidRPr="000F5EB0">
        <w:rPr>
          <w:szCs w:val="20"/>
        </w:rPr>
        <w:t xml:space="preserve">alteration be managed with a corresponding </w:t>
      </w:r>
      <w:r w:rsidR="00305F0C" w:rsidRPr="000F5EB0">
        <w:rPr>
          <w:szCs w:val="20"/>
        </w:rPr>
        <w:t>targeted treatment as a first-line treatment</w:t>
      </w:r>
      <w:r w:rsidR="0091499B">
        <w:rPr>
          <w:szCs w:val="20"/>
        </w:rPr>
        <w:t xml:space="preserve"> </w:t>
      </w:r>
      <w:r w:rsidR="0091499B">
        <w:rPr>
          <w:szCs w:val="20"/>
        </w:rPr>
        <w:fldChar w:fldCharType="begin">
          <w:fldData xml:space="preserve">PEVuZE5vdGU+PENpdGU+PEF1dGhvcj5OQ0NOPC9BdXRob3I+PFllYXI+MjAxOTwvWWVhcj48UmVj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</w:fldData>
        </w:fldChar>
      </w:r>
      <w:r w:rsidR="00B078F9">
        <w:rPr>
          <w:szCs w:val="20"/>
        </w:rPr>
        <w:instrText xml:space="preserve"> ADDIN EN.CITE </w:instrText>
      </w:r>
      <w:r w:rsidR="00B078F9">
        <w:rPr>
          <w:szCs w:val="20"/>
        </w:rPr>
        <w:fldChar w:fldCharType="begin">
          <w:fldData xml:space="preserve">PEVuZE5vdGU+PENpdGU+PEF1dGhvcj5OQ0NOPC9BdXRob3I+PFllYXI+MjAxOTwvWWVhcj48UmVj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</w:fldData>
        </w:fldChar>
      </w:r>
      <w:r w:rsidR="00B078F9">
        <w:rPr>
          <w:szCs w:val="20"/>
        </w:rPr>
        <w:instrText xml:space="preserve"> ADDIN EN.CITE.DATA </w:instrText>
      </w:r>
      <w:r w:rsidR="00B078F9">
        <w:rPr>
          <w:szCs w:val="20"/>
        </w:rPr>
      </w:r>
      <w:r w:rsidR="00B078F9">
        <w:rPr>
          <w:szCs w:val="20"/>
        </w:rPr>
        <w:fldChar w:fldCharType="end"/>
      </w:r>
      <w:r w:rsidR="0091499B">
        <w:rPr>
          <w:szCs w:val="20"/>
        </w:rPr>
      </w:r>
      <w:r w:rsidR="0091499B">
        <w:rPr>
          <w:szCs w:val="20"/>
        </w:rPr>
        <w:fldChar w:fldCharType="separate"/>
      </w:r>
      <w:r w:rsidR="00B078F9">
        <w:rPr>
          <w:noProof/>
          <w:szCs w:val="20"/>
        </w:rPr>
        <w:t>(Planchard et al. 2018, NCCN 2019)</w:t>
      </w:r>
      <w:r w:rsidR="0091499B">
        <w:rPr>
          <w:szCs w:val="20"/>
        </w:rPr>
        <w:fldChar w:fldCharType="end"/>
      </w:r>
      <w:r w:rsidR="002C17BD" w:rsidRPr="000F5EB0">
        <w:rPr>
          <w:szCs w:val="20"/>
        </w:rPr>
        <w:t>. Therefore</w:t>
      </w:r>
      <w:r w:rsidR="00154C21" w:rsidRPr="000F5EB0">
        <w:rPr>
          <w:szCs w:val="20"/>
        </w:rPr>
        <w:t xml:space="preserve">, it is </w:t>
      </w:r>
      <w:r w:rsidR="006235CE" w:rsidRPr="000F5EB0">
        <w:rPr>
          <w:szCs w:val="20"/>
        </w:rPr>
        <w:t xml:space="preserve">reasonable </w:t>
      </w:r>
      <w:r w:rsidR="002C17BD" w:rsidRPr="000F5EB0">
        <w:rPr>
          <w:szCs w:val="20"/>
        </w:rPr>
        <w:t xml:space="preserve">to conclude </w:t>
      </w:r>
      <w:r w:rsidR="00154C21" w:rsidRPr="000F5EB0">
        <w:rPr>
          <w:szCs w:val="20"/>
        </w:rPr>
        <w:t xml:space="preserve">that </w:t>
      </w:r>
      <w:r w:rsidR="006163E8">
        <w:rPr>
          <w:szCs w:val="20"/>
        </w:rPr>
        <w:t xml:space="preserve">the majority of </w:t>
      </w:r>
      <w:r w:rsidR="00154C21" w:rsidRPr="000F5EB0">
        <w:rPr>
          <w:szCs w:val="20"/>
        </w:rPr>
        <w:t xml:space="preserve">patients would undergo CGP using </w:t>
      </w:r>
      <w:r w:rsidR="00016E5A">
        <w:rPr>
          <w:szCs w:val="20"/>
        </w:rPr>
        <w:t xml:space="preserve">a NGS </w:t>
      </w:r>
      <w:r w:rsidR="00154C21" w:rsidRPr="000F5EB0">
        <w:rPr>
          <w:szCs w:val="20"/>
        </w:rPr>
        <w:t xml:space="preserve">assay </w:t>
      </w:r>
      <w:r w:rsidR="009C1F0F" w:rsidRPr="000F5EB0">
        <w:rPr>
          <w:szCs w:val="20"/>
        </w:rPr>
        <w:t xml:space="preserve">once throughout their management for locally advanced/metastatic </w:t>
      </w:r>
      <w:r w:rsidR="00CE2519">
        <w:rPr>
          <w:szCs w:val="20"/>
        </w:rPr>
        <w:t xml:space="preserve">(Stage IIIB/IV) </w:t>
      </w:r>
      <w:r w:rsidR="009C1F0F" w:rsidRPr="000F5EB0">
        <w:rPr>
          <w:szCs w:val="20"/>
        </w:rPr>
        <w:t>disease.</w:t>
      </w:r>
    </w:p>
    <w:p w14:paraId="3D42411B" w14:textId="48A40F48" w:rsidR="00F765A8" w:rsidRPr="000F5EB0" w:rsidRDefault="00104332" w:rsidP="00225180">
      <w:pPr>
        <w:spacing w:before="100" w:beforeAutospacing="1" w:after="100" w:afterAutospacing="1"/>
        <w:ind w:left="360"/>
        <w:rPr>
          <w:szCs w:val="20"/>
        </w:rPr>
      </w:pPr>
      <w:r>
        <w:rPr>
          <w:szCs w:val="20"/>
        </w:rPr>
        <w:t>The Applicant</w:t>
      </w:r>
      <w:r w:rsidR="00E17C69">
        <w:rPr>
          <w:szCs w:val="20"/>
        </w:rPr>
        <w:t xml:space="preserve"> acknowledges the presence of the T790M mutation </w:t>
      </w:r>
      <w:r w:rsidR="009B348E">
        <w:rPr>
          <w:szCs w:val="20"/>
        </w:rPr>
        <w:t xml:space="preserve">must be determined in order to </w:t>
      </w:r>
      <w:r w:rsidR="00E17C69">
        <w:rPr>
          <w:szCs w:val="20"/>
        </w:rPr>
        <w:t>determine eligibility to access osimertinib</w:t>
      </w:r>
      <w:r w:rsidR="002550E6">
        <w:rPr>
          <w:szCs w:val="20"/>
        </w:rPr>
        <w:t xml:space="preserve"> </w:t>
      </w:r>
      <w:r w:rsidR="00E17C69">
        <w:rPr>
          <w:szCs w:val="20"/>
        </w:rPr>
        <w:t>as a second-line therapy in patients with NSCLC</w:t>
      </w:r>
      <w:r w:rsidR="009B348E">
        <w:rPr>
          <w:szCs w:val="20"/>
        </w:rPr>
        <w:t xml:space="preserve"> through the PBS</w:t>
      </w:r>
      <w:r w:rsidR="00E17C69">
        <w:rPr>
          <w:szCs w:val="20"/>
        </w:rPr>
        <w:t xml:space="preserve">. In this </w:t>
      </w:r>
      <w:r w:rsidR="006C56B6">
        <w:rPr>
          <w:szCs w:val="20"/>
        </w:rPr>
        <w:t>context,</w:t>
      </w:r>
      <w:r w:rsidR="00E17C69">
        <w:rPr>
          <w:szCs w:val="20"/>
        </w:rPr>
        <w:t xml:space="preserve"> a repeat assessment of EGFR gene mutation status would be conducted on tumour tissue collected upon disease progression with first-line EGFR TKI treatment </w:t>
      </w:r>
      <w:r w:rsidR="00E17C69" w:rsidRPr="000F5EB0">
        <w:t>(gefitinib, erlotinib, afatinib)</w:t>
      </w:r>
      <w:r w:rsidR="00E17C69">
        <w:t xml:space="preserve">. </w:t>
      </w:r>
      <w:r w:rsidR="00082FD2">
        <w:t>Th</w:t>
      </w:r>
      <w:r w:rsidR="00795415">
        <w:t xml:space="preserve">e repeat </w:t>
      </w:r>
      <w:r w:rsidR="00E17C69">
        <w:t>EGFR testing</w:t>
      </w:r>
      <w:r w:rsidR="00D21FF5">
        <w:t xml:space="preserve"> </w:t>
      </w:r>
      <w:r w:rsidR="00DA7B61">
        <w:t xml:space="preserve">to </w:t>
      </w:r>
      <w:r w:rsidR="009B057C">
        <w:t>assess</w:t>
      </w:r>
      <w:r w:rsidR="00D21FF5">
        <w:t xml:space="preserve"> the presence of the </w:t>
      </w:r>
      <w:r w:rsidR="00E17C69">
        <w:t xml:space="preserve">T790M mutation </w:t>
      </w:r>
      <w:r w:rsidR="00CC1A80">
        <w:t xml:space="preserve">is facilitated through </w:t>
      </w:r>
      <w:r w:rsidR="00CB65F6">
        <w:t>MBS item 73351</w:t>
      </w:r>
      <w:r w:rsidR="00E206AA">
        <w:t xml:space="preserve"> and would not necessitate </w:t>
      </w:r>
      <w:r w:rsidR="00941F05">
        <w:t xml:space="preserve">repeat </w:t>
      </w:r>
      <w:r w:rsidR="00B3401B">
        <w:t>CGP</w:t>
      </w:r>
      <w:r w:rsidR="00E17C69">
        <w:t>.</w:t>
      </w:r>
    </w:p>
    <w:p w14:paraId="388C2BB0" w14:textId="77777777" w:rsidR="00225180" w:rsidRDefault="00225180">
      <w:pPr>
        <w:spacing w:before="0" w:after="200" w:line="276" w:lineRule="auto"/>
        <w:rPr>
          <w:b/>
          <w:szCs w:val="20"/>
        </w:rPr>
      </w:pPr>
      <w:r>
        <w:br w:type="page"/>
      </w:r>
    </w:p>
    <w:p w14:paraId="46E03699" w14:textId="341C30E2" w:rsidR="00382407" w:rsidRPr="000F5EB0" w:rsidRDefault="00382407" w:rsidP="00530204">
      <w:pPr>
        <w:pStyle w:val="Heading2"/>
      </w:pPr>
      <w:r w:rsidRPr="000F5EB0">
        <w:lastRenderedPageBreak/>
        <w:t>How many years would the proposed medical service</w:t>
      </w:r>
      <w:r w:rsidR="005A58BA" w:rsidRPr="000F5EB0">
        <w:t>(s)</w:t>
      </w:r>
      <w:r w:rsidRPr="000F5EB0">
        <w:t xml:space="preserve"> be required for the patient?</w:t>
      </w:r>
    </w:p>
    <w:p w14:paraId="6B73C144" w14:textId="2DB3B5B8" w:rsidR="00FB4FA4" w:rsidRDefault="0028451A" w:rsidP="00225180">
      <w:pPr>
        <w:spacing w:before="100" w:beforeAutospacing="1" w:after="100" w:afterAutospacing="1"/>
        <w:ind w:left="360"/>
        <w:rPr>
          <w:szCs w:val="20"/>
        </w:rPr>
      </w:pPr>
      <w:r>
        <w:rPr>
          <w:szCs w:val="20"/>
        </w:rPr>
        <w:t xml:space="preserve">The </w:t>
      </w:r>
      <w:r w:rsidR="00226714">
        <w:rPr>
          <w:szCs w:val="20"/>
        </w:rPr>
        <w:t>identif</w:t>
      </w:r>
      <w:r w:rsidR="00042763">
        <w:rPr>
          <w:szCs w:val="20"/>
        </w:rPr>
        <w:t xml:space="preserve">ication of </w:t>
      </w:r>
      <w:r w:rsidR="004A45CD">
        <w:rPr>
          <w:szCs w:val="20"/>
        </w:rPr>
        <w:t xml:space="preserve">NSCLC </w:t>
      </w:r>
      <w:r w:rsidR="00226714">
        <w:rPr>
          <w:szCs w:val="20"/>
        </w:rPr>
        <w:t xml:space="preserve">patients </w:t>
      </w:r>
      <w:r w:rsidR="009C06A6">
        <w:rPr>
          <w:szCs w:val="20"/>
        </w:rPr>
        <w:t xml:space="preserve">with locally </w:t>
      </w:r>
      <w:r w:rsidR="00E549C9">
        <w:rPr>
          <w:szCs w:val="20"/>
        </w:rPr>
        <w:t>advanced</w:t>
      </w:r>
      <w:r w:rsidR="009C06A6">
        <w:rPr>
          <w:szCs w:val="20"/>
        </w:rPr>
        <w:t xml:space="preserve"> or metastatic disease (Stage IIIB/IV) </w:t>
      </w:r>
      <w:r w:rsidR="00393FFC">
        <w:rPr>
          <w:szCs w:val="20"/>
        </w:rPr>
        <w:t xml:space="preserve">suitable </w:t>
      </w:r>
      <w:r w:rsidR="00226714">
        <w:rPr>
          <w:szCs w:val="20"/>
        </w:rPr>
        <w:t>for treatment with a tar</w:t>
      </w:r>
      <w:r w:rsidR="00546173">
        <w:rPr>
          <w:szCs w:val="20"/>
        </w:rPr>
        <w:t xml:space="preserve">geted </w:t>
      </w:r>
      <w:r w:rsidR="00226714">
        <w:rPr>
          <w:szCs w:val="20"/>
        </w:rPr>
        <w:t xml:space="preserve">therapy </w:t>
      </w:r>
      <w:r w:rsidR="00BF1BDD">
        <w:rPr>
          <w:szCs w:val="20"/>
        </w:rPr>
        <w:t xml:space="preserve">as first-line treatment </w:t>
      </w:r>
      <w:r w:rsidR="00A07A4E">
        <w:rPr>
          <w:szCs w:val="20"/>
        </w:rPr>
        <w:t xml:space="preserve">is required </w:t>
      </w:r>
      <w:r w:rsidR="00EE5A37">
        <w:rPr>
          <w:szCs w:val="20"/>
        </w:rPr>
        <w:t xml:space="preserve">prior to a </w:t>
      </w:r>
      <w:r w:rsidR="00176760" w:rsidRPr="000F5EB0">
        <w:rPr>
          <w:szCs w:val="20"/>
        </w:rPr>
        <w:t xml:space="preserve">patient </w:t>
      </w:r>
      <w:r w:rsidR="00BE47CB" w:rsidRPr="000F5EB0">
        <w:rPr>
          <w:szCs w:val="20"/>
        </w:rPr>
        <w:t xml:space="preserve">commencing </w:t>
      </w:r>
      <w:r w:rsidR="00176760" w:rsidRPr="000F5EB0">
        <w:rPr>
          <w:szCs w:val="20"/>
        </w:rPr>
        <w:t>treatment</w:t>
      </w:r>
      <w:r w:rsidR="00FB4FA4" w:rsidRPr="000F5EB0">
        <w:rPr>
          <w:szCs w:val="20"/>
        </w:rPr>
        <w:t>.</w:t>
      </w:r>
      <w:r w:rsidR="00683A44">
        <w:rPr>
          <w:szCs w:val="20"/>
        </w:rPr>
        <w:t xml:space="preserve"> As such, </w:t>
      </w:r>
      <w:r w:rsidR="00D9302D">
        <w:rPr>
          <w:szCs w:val="20"/>
        </w:rPr>
        <w:t xml:space="preserve">the use of </w:t>
      </w:r>
      <w:r w:rsidR="00B3401B">
        <w:rPr>
          <w:szCs w:val="20"/>
        </w:rPr>
        <w:t>CGP</w:t>
      </w:r>
      <w:r w:rsidR="00683A44">
        <w:rPr>
          <w:szCs w:val="20"/>
        </w:rPr>
        <w:t xml:space="preserve"> using a NGS based assay </w:t>
      </w:r>
      <w:r w:rsidR="00585E36">
        <w:rPr>
          <w:szCs w:val="20"/>
        </w:rPr>
        <w:t xml:space="preserve">would </w:t>
      </w:r>
      <w:r w:rsidR="00163FFD">
        <w:rPr>
          <w:szCs w:val="20"/>
        </w:rPr>
        <w:t xml:space="preserve">be </w:t>
      </w:r>
      <w:r w:rsidR="009D7ED0">
        <w:rPr>
          <w:szCs w:val="20"/>
        </w:rPr>
        <w:t>for less than one year</w:t>
      </w:r>
      <w:r w:rsidR="000D3628">
        <w:rPr>
          <w:szCs w:val="20"/>
        </w:rPr>
        <w:t>.</w:t>
      </w:r>
    </w:p>
    <w:p w14:paraId="361F5C95" w14:textId="10137AC4" w:rsidR="000D3628" w:rsidRDefault="0034666D" w:rsidP="00225180">
      <w:pPr>
        <w:spacing w:before="0" w:after="0"/>
        <w:ind w:left="360"/>
      </w:pPr>
      <w:r>
        <w:t xml:space="preserve">As outlined above, </w:t>
      </w:r>
      <w:r w:rsidR="00D52CCB">
        <w:t xml:space="preserve">monitoring </w:t>
      </w:r>
      <w:r w:rsidR="00906E86">
        <w:t xml:space="preserve">of treatment response by </w:t>
      </w:r>
      <w:r w:rsidR="00B3401B">
        <w:t>CGP</w:t>
      </w:r>
      <w:r w:rsidR="005D1B53">
        <w:t xml:space="preserve"> using a </w:t>
      </w:r>
      <w:r>
        <w:t xml:space="preserve">NGS assay </w:t>
      </w:r>
      <w:r w:rsidR="004B22A5">
        <w:t xml:space="preserve">may </w:t>
      </w:r>
      <w:r w:rsidR="008A33D4">
        <w:t xml:space="preserve">be </w:t>
      </w:r>
      <w:r>
        <w:t>recommended as part of standard clinical management</w:t>
      </w:r>
      <w:r w:rsidR="00BB73C0">
        <w:t xml:space="preserve"> in the future</w:t>
      </w:r>
      <w:r w:rsidR="004B22A5">
        <w:t>. I</w:t>
      </w:r>
      <w:r w:rsidR="006853AF">
        <w:t xml:space="preserve">f this was the case then </w:t>
      </w:r>
      <w:r w:rsidR="00BB73C0">
        <w:t xml:space="preserve">it is likely that </w:t>
      </w:r>
      <w:r w:rsidR="00CD0F97">
        <w:t>testing would be performed over a timeframe beyond one year. However, th</w:t>
      </w:r>
      <w:r w:rsidR="006A7B63">
        <w:t xml:space="preserve">e role of </w:t>
      </w:r>
      <w:r w:rsidR="00B3401B">
        <w:t>CGP</w:t>
      </w:r>
      <w:r w:rsidR="00404389">
        <w:t xml:space="preserve"> using a NGS assay </w:t>
      </w:r>
      <w:r w:rsidR="00935C44">
        <w:t>is</w:t>
      </w:r>
      <w:r w:rsidR="000F0355">
        <w:t xml:space="preserve"> </w:t>
      </w:r>
      <w:r w:rsidR="006B7A60">
        <w:t>an area of ongoing research and is</w:t>
      </w:r>
      <w:r w:rsidR="00935C44">
        <w:t xml:space="preserve"> outside </w:t>
      </w:r>
      <w:r w:rsidR="00482BAB">
        <w:t xml:space="preserve">the scope </w:t>
      </w:r>
      <w:r w:rsidR="00CB614F">
        <w:t xml:space="preserve">of the assessment sought </w:t>
      </w:r>
      <w:r w:rsidR="00CC5614">
        <w:t>in this</w:t>
      </w:r>
      <w:r w:rsidR="003B1846">
        <w:t xml:space="preserve"> MSAC Application</w:t>
      </w:r>
      <w:r w:rsidR="00CC5614">
        <w:t xml:space="preserve"> Form</w:t>
      </w:r>
      <w:r w:rsidR="003B1846">
        <w:t>.</w:t>
      </w:r>
    </w:p>
    <w:p w14:paraId="733D7F81" w14:textId="77777777" w:rsidR="000F0355" w:rsidRPr="000F5EB0" w:rsidRDefault="000F0355" w:rsidP="000F0355">
      <w:pPr>
        <w:spacing w:before="0" w:after="0"/>
        <w:rPr>
          <w:szCs w:val="20"/>
        </w:rPr>
      </w:pPr>
    </w:p>
    <w:p w14:paraId="3F1E31F8" w14:textId="77777777" w:rsidR="002A6753" w:rsidRPr="000F5EB0" w:rsidRDefault="000E47E7" w:rsidP="00530204">
      <w:pPr>
        <w:pStyle w:val="Heading2"/>
        <w:rPr>
          <w:b w:val="0"/>
        </w:rPr>
      </w:pPr>
      <w:r w:rsidRPr="000F5EB0">
        <w:t xml:space="preserve">Estimate </w:t>
      </w:r>
      <w:r w:rsidR="002A6753" w:rsidRPr="000F5EB0">
        <w:t xml:space="preserve">the projected number of patients who will utilise the proposed </w:t>
      </w:r>
      <w:r w:rsidRPr="000F5EB0">
        <w:t xml:space="preserve">medical </w:t>
      </w:r>
      <w:r w:rsidR="002A6753" w:rsidRPr="000F5EB0">
        <w:t>ser</w:t>
      </w:r>
      <w:r w:rsidR="00AE1188" w:rsidRPr="000F5EB0">
        <w:t>vice(s) for the first full year:</w:t>
      </w:r>
    </w:p>
    <w:p w14:paraId="046FDC67" w14:textId="41F630AA" w:rsidR="00AE1188" w:rsidRPr="000F5EB0" w:rsidRDefault="00D80389" w:rsidP="00225180">
      <w:pPr>
        <w:ind w:left="360"/>
      </w:pPr>
      <w:r w:rsidRPr="000F5EB0">
        <w:t>E</w:t>
      </w:r>
      <w:r w:rsidR="001E3C7D" w:rsidRPr="000F5EB0">
        <w:t xml:space="preserve">pidermal growth factor receptor </w:t>
      </w:r>
      <w:r w:rsidRPr="000F5EB0">
        <w:t xml:space="preserve">testing </w:t>
      </w:r>
      <w:r w:rsidR="007819D0" w:rsidRPr="000F5EB0">
        <w:t xml:space="preserve">is the initial molecular biomarker test used in the testing sequence </w:t>
      </w:r>
      <w:r w:rsidR="008F35A0" w:rsidRPr="000F5EB0">
        <w:t>of MBS-listed tests used in NSCLC</w:t>
      </w:r>
      <w:r w:rsidR="00093B8E" w:rsidRPr="000F5EB0">
        <w:t xml:space="preserve"> patients</w:t>
      </w:r>
      <w:r w:rsidR="00DA4967" w:rsidRPr="000F5EB0">
        <w:t xml:space="preserve">. </w:t>
      </w:r>
      <w:r w:rsidR="00822B47">
        <w:t>T</w:t>
      </w:r>
      <w:r w:rsidR="005C700D" w:rsidRPr="000F5EB0">
        <w:t>herefore</w:t>
      </w:r>
      <w:r w:rsidR="00822B47">
        <w:t>,</w:t>
      </w:r>
      <w:r w:rsidR="005C700D" w:rsidRPr="000F5EB0">
        <w:t xml:space="preserve"> the number of EGFR tests</w:t>
      </w:r>
      <w:r w:rsidR="00124DE1">
        <w:t xml:space="preserve"> (MBS item 73337)</w:t>
      </w:r>
      <w:r w:rsidR="005C700D" w:rsidRPr="000F5EB0">
        <w:t xml:space="preserve"> </w:t>
      </w:r>
      <w:r w:rsidR="00537B05" w:rsidRPr="000F5EB0">
        <w:t xml:space="preserve">processed through the MBS for the </w:t>
      </w:r>
      <w:r w:rsidR="00363DEA">
        <w:t>201</w:t>
      </w:r>
      <w:r w:rsidR="00124DE1">
        <w:t>9</w:t>
      </w:r>
      <w:r w:rsidR="00537B05" w:rsidRPr="000F5EB0">
        <w:t xml:space="preserve"> </w:t>
      </w:r>
      <w:r w:rsidR="00832A8B" w:rsidRPr="000F5EB0">
        <w:t xml:space="preserve">calendar year of </w:t>
      </w:r>
      <w:r w:rsidR="00124DE1">
        <w:t>4,603</w:t>
      </w:r>
      <w:r w:rsidR="00832A8B" w:rsidRPr="000F5EB0">
        <w:t xml:space="preserve"> </w:t>
      </w:r>
      <w:r w:rsidR="002F66DE" w:rsidRPr="000F5EB0">
        <w:t xml:space="preserve">represents a reasonable </w:t>
      </w:r>
      <w:r w:rsidR="00BB20AB">
        <w:rPr>
          <w:u w:val="single"/>
        </w:rPr>
        <w:t>maximum</w:t>
      </w:r>
      <w:r w:rsidR="00BB20AB" w:rsidRPr="00BB20AB">
        <w:rPr>
          <w:u w:val="single"/>
        </w:rPr>
        <w:t xml:space="preserve"> </w:t>
      </w:r>
      <w:r w:rsidR="002F66DE" w:rsidRPr="00BB20AB">
        <w:rPr>
          <w:u w:val="single"/>
        </w:rPr>
        <w:t>estimate</w:t>
      </w:r>
      <w:r w:rsidR="002F66DE" w:rsidRPr="000F5EB0">
        <w:t xml:space="preserve"> </w:t>
      </w:r>
      <w:r w:rsidR="00BB20AB">
        <w:t>of</w:t>
      </w:r>
      <w:r w:rsidR="002F66DE" w:rsidRPr="000F5EB0">
        <w:t xml:space="preserve"> the number of patients who may utilise </w:t>
      </w:r>
      <w:r w:rsidR="00B3401B">
        <w:t>CGP</w:t>
      </w:r>
      <w:r w:rsidR="002F66DE" w:rsidRPr="000F5EB0">
        <w:t xml:space="preserve"> with </w:t>
      </w:r>
      <w:r w:rsidR="00124DE1">
        <w:t xml:space="preserve">a NGS assay </w:t>
      </w:r>
      <w:r w:rsidR="002F66DE" w:rsidRPr="000F5EB0">
        <w:t>in</w:t>
      </w:r>
      <w:r w:rsidR="00D0498E" w:rsidRPr="000F5EB0">
        <w:t xml:space="preserve"> the first full year.</w:t>
      </w:r>
    </w:p>
    <w:p w14:paraId="5266FEB5" w14:textId="00FA5456" w:rsidR="00974D50" w:rsidRPr="000F5EB0" w:rsidRDefault="005A58BA" w:rsidP="00530204">
      <w:pPr>
        <w:pStyle w:val="Heading2"/>
      </w:pPr>
      <w:r w:rsidRPr="000F5EB0">
        <w:t>Estimate the anticipated upt</w:t>
      </w:r>
      <w:r w:rsidR="000E47E7" w:rsidRPr="000F5EB0">
        <w:t>a</w:t>
      </w:r>
      <w:r w:rsidR="001B171D" w:rsidRPr="000F5EB0">
        <w:t>k</w:t>
      </w:r>
      <w:r w:rsidR="000E47E7" w:rsidRPr="000F5EB0">
        <w:t>e of the proposed medical service over the next three years</w:t>
      </w:r>
      <w:r w:rsidR="001B171D" w:rsidRPr="000F5EB0">
        <w:t xml:space="preserve"> factoring in any constraints in the health system in meeting the needs of the proposed population (suc</w:t>
      </w:r>
      <w:r w:rsidRPr="000F5EB0">
        <w:t>h as supply and demand factors)</w:t>
      </w:r>
      <w:r w:rsidR="001B171D" w:rsidRPr="000F5EB0">
        <w:t xml:space="preserve"> as well as </w:t>
      </w:r>
      <w:r w:rsidR="009C03FB" w:rsidRPr="000F5EB0">
        <w:t>provide commentary on</w:t>
      </w:r>
      <w:r w:rsidR="001B171D" w:rsidRPr="000F5EB0">
        <w:t xml:space="preserve"> risk of ‘leakage’ to populations not targeted by the service</w:t>
      </w:r>
      <w:r w:rsidR="00AE1188" w:rsidRPr="000F5EB0">
        <w:t>:</w:t>
      </w:r>
    </w:p>
    <w:p w14:paraId="1E822792" w14:textId="35014FB7" w:rsidR="0023787E" w:rsidRPr="000F5EB0" w:rsidRDefault="004A1720" w:rsidP="00225180">
      <w:pPr>
        <w:ind w:left="360"/>
      </w:pPr>
      <w:r>
        <w:t>The number of NS</w:t>
      </w:r>
      <w:r w:rsidR="00985F73">
        <w:t xml:space="preserve">CLC patients opting for treatment outlined in the </w:t>
      </w:r>
      <w:r w:rsidR="001510DF">
        <w:t>background document to the PD-(L)1 checkpoint inhibitor stakeholder meeting</w:t>
      </w:r>
      <w:r w:rsidR="004A3B57">
        <w:t xml:space="preserve"> from 20</w:t>
      </w:r>
      <w:r w:rsidR="006020E7">
        <w:t>19</w:t>
      </w:r>
      <w:r w:rsidR="004A3B57">
        <w:t>-202</w:t>
      </w:r>
      <w:r w:rsidR="006020E7">
        <w:t>3</w:t>
      </w:r>
      <w:r w:rsidR="004A3B57">
        <w:t xml:space="preserve"> </w:t>
      </w:r>
      <w:r w:rsidR="00CC1270">
        <w:t>and the number of EGFR tests funded through the MBS in 201</w:t>
      </w:r>
      <w:r w:rsidR="006020E7">
        <w:t>9</w:t>
      </w:r>
      <w:r w:rsidR="00CC1270">
        <w:t xml:space="preserve"> were used to </w:t>
      </w:r>
      <w:r w:rsidR="008A4F45" w:rsidRPr="000F5EB0">
        <w:t xml:space="preserve">estimate the </w:t>
      </w:r>
      <w:r w:rsidR="00C965FC" w:rsidRPr="00C965FC">
        <w:rPr>
          <w:u w:val="single"/>
        </w:rPr>
        <w:t xml:space="preserve">maximum </w:t>
      </w:r>
      <w:r w:rsidR="00BA39E8" w:rsidRPr="00C965FC">
        <w:rPr>
          <w:u w:val="single"/>
        </w:rPr>
        <w:t>uptake</w:t>
      </w:r>
      <w:r w:rsidR="00BA39E8">
        <w:t xml:space="preserve"> of CGP using </w:t>
      </w:r>
      <w:r w:rsidR="00E528F0">
        <w:t xml:space="preserve">a NGS assay </w:t>
      </w:r>
      <w:r w:rsidR="00822483">
        <w:t xml:space="preserve">over the next 3 years (see </w:t>
      </w:r>
      <w:r w:rsidR="00AC461E" w:rsidRPr="000F5EB0">
        <w:t>below</w:t>
      </w:r>
      <w:r w:rsidR="00822483">
        <w:t>)</w:t>
      </w:r>
      <w:r w:rsidR="00AC461E" w:rsidRPr="000F5EB0">
        <w:t>.</w:t>
      </w:r>
    </w:p>
    <w:tbl>
      <w:tblPr>
        <w:tblStyle w:val="TableGrid"/>
        <w:tblW w:w="5000" w:type="pct"/>
        <w:tblLook w:val="04A0" w:firstRow="1" w:lastRow="0" w:firstColumn="1" w:lastColumn="0" w:noHBand="0" w:noVBand="1"/>
        <w:tblCaption w:val="Table"/>
        <w:tblDescription w:val="Table"/>
      </w:tblPr>
      <w:tblGrid>
        <w:gridCol w:w="5272"/>
        <w:gridCol w:w="869"/>
        <w:gridCol w:w="869"/>
        <w:gridCol w:w="725"/>
        <w:gridCol w:w="725"/>
        <w:gridCol w:w="722"/>
      </w:tblGrid>
      <w:tr w:rsidR="004D3C27" w:rsidRPr="000F5EB0" w14:paraId="3E770F4F" w14:textId="4BFD0F32" w:rsidTr="00CC4EE7">
        <w:trPr>
          <w:trHeight w:val="285"/>
          <w:tblHeader/>
        </w:trPr>
        <w:tc>
          <w:tcPr>
            <w:tcW w:w="2871" w:type="pct"/>
            <w:noWrap/>
            <w:hideMark/>
          </w:tcPr>
          <w:p w14:paraId="227640FD" w14:textId="77777777" w:rsidR="004D3C27" w:rsidRPr="000F5EB0" w:rsidRDefault="004D3C27" w:rsidP="004D3C27">
            <w:r w:rsidRPr="000F5EB0">
              <w:t>Year</w:t>
            </w:r>
          </w:p>
        </w:tc>
        <w:tc>
          <w:tcPr>
            <w:tcW w:w="473" w:type="pct"/>
          </w:tcPr>
          <w:p w14:paraId="1C550B98" w14:textId="7E6DE5A8" w:rsidR="004D3C27" w:rsidRPr="000F5EB0" w:rsidRDefault="004D3C27" w:rsidP="004D3C27">
            <w:r>
              <w:t>2019</w:t>
            </w:r>
          </w:p>
        </w:tc>
        <w:tc>
          <w:tcPr>
            <w:tcW w:w="473" w:type="pct"/>
          </w:tcPr>
          <w:p w14:paraId="05AA9858" w14:textId="32394DEC" w:rsidR="004D3C27" w:rsidRPr="000F5EB0" w:rsidRDefault="004D3C27" w:rsidP="004D3C27">
            <w:r w:rsidRPr="000F5EB0">
              <w:t>2020</w:t>
            </w:r>
          </w:p>
        </w:tc>
        <w:tc>
          <w:tcPr>
            <w:tcW w:w="395" w:type="pct"/>
          </w:tcPr>
          <w:p w14:paraId="7CA31E70" w14:textId="5B6F17D9" w:rsidR="004D3C27" w:rsidRPr="000F5EB0" w:rsidRDefault="004D3C27" w:rsidP="004D3C27">
            <w:r w:rsidRPr="000F5EB0">
              <w:t>2021</w:t>
            </w:r>
          </w:p>
        </w:tc>
        <w:tc>
          <w:tcPr>
            <w:tcW w:w="395" w:type="pct"/>
          </w:tcPr>
          <w:p w14:paraId="18D3B0EA" w14:textId="4FF2B3C0" w:rsidR="004D3C27" w:rsidRPr="000F5EB0" w:rsidRDefault="004D3C27" w:rsidP="004D3C27">
            <w:r>
              <w:t>2022</w:t>
            </w:r>
          </w:p>
        </w:tc>
        <w:tc>
          <w:tcPr>
            <w:tcW w:w="393" w:type="pct"/>
          </w:tcPr>
          <w:p w14:paraId="463CCFF3" w14:textId="2CE6B760" w:rsidR="004D3C27" w:rsidRPr="000F5EB0" w:rsidRDefault="004D3C27" w:rsidP="004D3C27">
            <w:r>
              <w:t>2023</w:t>
            </w:r>
          </w:p>
        </w:tc>
      </w:tr>
      <w:tr w:rsidR="004D3C27" w:rsidRPr="000F5EB0" w14:paraId="6CEE123E" w14:textId="6B75A800" w:rsidTr="004D3C27">
        <w:trPr>
          <w:trHeight w:val="285"/>
        </w:trPr>
        <w:tc>
          <w:tcPr>
            <w:tcW w:w="2871" w:type="pct"/>
            <w:noWrap/>
            <w:hideMark/>
          </w:tcPr>
          <w:p w14:paraId="78932A34" w14:textId="09A9806F" w:rsidR="004D3C27" w:rsidRPr="000F5EB0" w:rsidRDefault="004D3C27" w:rsidP="004D3C27">
            <w:r>
              <w:t xml:space="preserve">NSCLC patients eligible for PBS-listed treatment </w:t>
            </w:r>
          </w:p>
        </w:tc>
        <w:tc>
          <w:tcPr>
            <w:tcW w:w="473" w:type="pct"/>
          </w:tcPr>
          <w:p w14:paraId="2F092692" w14:textId="2C5A60B9" w:rsidR="004D3C27" w:rsidRPr="000F5EB0" w:rsidRDefault="00564699" w:rsidP="004D3C27">
            <w:r>
              <w:t>4,592</w:t>
            </w:r>
          </w:p>
        </w:tc>
        <w:tc>
          <w:tcPr>
            <w:tcW w:w="473" w:type="pct"/>
          </w:tcPr>
          <w:p w14:paraId="0D197F37" w14:textId="2A15A38F" w:rsidR="004D3C27" w:rsidRPr="000F5EB0" w:rsidRDefault="004D3C27" w:rsidP="004D3C27">
            <w:r>
              <w:t>4,679</w:t>
            </w:r>
          </w:p>
        </w:tc>
        <w:tc>
          <w:tcPr>
            <w:tcW w:w="395" w:type="pct"/>
          </w:tcPr>
          <w:p w14:paraId="26322218" w14:textId="1B307BF2" w:rsidR="004D3C27" w:rsidRPr="000F5EB0" w:rsidRDefault="004D3C27" w:rsidP="004D3C27">
            <w:r>
              <w:t>4,765</w:t>
            </w:r>
          </w:p>
        </w:tc>
        <w:tc>
          <w:tcPr>
            <w:tcW w:w="395" w:type="pct"/>
          </w:tcPr>
          <w:p w14:paraId="6C52C6A3" w14:textId="2E0FA1F8" w:rsidR="004D3C27" w:rsidRPr="000F5EB0" w:rsidRDefault="004D3C27" w:rsidP="004D3C27">
            <w:r>
              <w:t>4,852</w:t>
            </w:r>
          </w:p>
        </w:tc>
        <w:tc>
          <w:tcPr>
            <w:tcW w:w="393" w:type="pct"/>
          </w:tcPr>
          <w:p w14:paraId="1BBAF7DF" w14:textId="28C583A2" w:rsidR="004D3C27" w:rsidRDefault="004D3C27" w:rsidP="004D3C27">
            <w:r>
              <w:t>4,938</w:t>
            </w:r>
          </w:p>
        </w:tc>
      </w:tr>
      <w:tr w:rsidR="004D3C27" w:rsidRPr="000F5EB0" w14:paraId="0966D560" w14:textId="5163224D" w:rsidTr="004D3C27">
        <w:trPr>
          <w:trHeight w:val="285"/>
        </w:trPr>
        <w:tc>
          <w:tcPr>
            <w:tcW w:w="2871" w:type="pct"/>
            <w:noWrap/>
            <w:hideMark/>
          </w:tcPr>
          <w:p w14:paraId="043ECC30" w14:textId="19377E70" w:rsidR="004D3C27" w:rsidRPr="000F5EB0" w:rsidRDefault="004D3C27" w:rsidP="004D3C27">
            <w:r w:rsidRPr="000F5EB0">
              <w:t># EGFR Test Processed through MBS</w:t>
            </w:r>
          </w:p>
        </w:tc>
        <w:tc>
          <w:tcPr>
            <w:tcW w:w="473" w:type="pct"/>
            <w:noWrap/>
          </w:tcPr>
          <w:p w14:paraId="4BA49D3F" w14:textId="43C363C2" w:rsidR="004D3C27" w:rsidRPr="000F5EB0" w:rsidRDefault="00564699" w:rsidP="004D3C27">
            <w:r>
              <w:t>4,603</w:t>
            </w:r>
          </w:p>
        </w:tc>
        <w:tc>
          <w:tcPr>
            <w:tcW w:w="473" w:type="pct"/>
            <w:noWrap/>
          </w:tcPr>
          <w:p w14:paraId="05316603" w14:textId="3C579DD7" w:rsidR="004D3C27" w:rsidRPr="000F5EB0" w:rsidRDefault="004D3C27" w:rsidP="004D3C27">
            <w:r w:rsidRPr="000F5EB0">
              <w:t>-</w:t>
            </w:r>
          </w:p>
        </w:tc>
        <w:tc>
          <w:tcPr>
            <w:tcW w:w="395" w:type="pct"/>
            <w:noWrap/>
          </w:tcPr>
          <w:p w14:paraId="532338B0" w14:textId="084F1F98" w:rsidR="004D3C27" w:rsidRPr="000F5EB0" w:rsidRDefault="004D3C27" w:rsidP="004D3C27">
            <w:r w:rsidRPr="000F5EB0">
              <w:t>-</w:t>
            </w:r>
          </w:p>
        </w:tc>
        <w:tc>
          <w:tcPr>
            <w:tcW w:w="395" w:type="pct"/>
            <w:noWrap/>
          </w:tcPr>
          <w:p w14:paraId="0942893D" w14:textId="364E3141" w:rsidR="004D3C27" w:rsidRPr="000F5EB0" w:rsidRDefault="004D3C27" w:rsidP="004D3C27"/>
        </w:tc>
        <w:tc>
          <w:tcPr>
            <w:tcW w:w="393" w:type="pct"/>
          </w:tcPr>
          <w:p w14:paraId="6327D6FC" w14:textId="77777777" w:rsidR="004D3C27" w:rsidRPr="000F5EB0" w:rsidRDefault="004D3C27" w:rsidP="004D3C27"/>
        </w:tc>
      </w:tr>
      <w:tr w:rsidR="004D3C27" w:rsidRPr="000F5EB0" w14:paraId="5258F61F" w14:textId="58D7B4CA" w:rsidTr="004D3C27">
        <w:trPr>
          <w:trHeight w:val="285"/>
        </w:trPr>
        <w:tc>
          <w:tcPr>
            <w:tcW w:w="2871" w:type="pct"/>
            <w:noWrap/>
            <w:hideMark/>
          </w:tcPr>
          <w:p w14:paraId="49147B19" w14:textId="77777777" w:rsidR="004D3C27" w:rsidRPr="000F5EB0" w:rsidRDefault="004D3C27" w:rsidP="004D3C27">
            <w:r w:rsidRPr="000F5EB0">
              <w:t>% of incident patient tested</w:t>
            </w:r>
          </w:p>
        </w:tc>
        <w:tc>
          <w:tcPr>
            <w:tcW w:w="473" w:type="pct"/>
            <w:noWrap/>
          </w:tcPr>
          <w:p w14:paraId="2AEA6313" w14:textId="1B595725" w:rsidR="004D3C27" w:rsidRPr="000F5EB0" w:rsidRDefault="00753D6A" w:rsidP="004D3C27">
            <w:r>
              <w:t>100%</w:t>
            </w:r>
          </w:p>
        </w:tc>
        <w:tc>
          <w:tcPr>
            <w:tcW w:w="473" w:type="pct"/>
            <w:noWrap/>
          </w:tcPr>
          <w:p w14:paraId="7CE78A7E" w14:textId="5C2B3C95" w:rsidR="004D3C27" w:rsidRPr="000F5EB0" w:rsidRDefault="00753D6A" w:rsidP="004D3C27">
            <w:r>
              <w:t>100%</w:t>
            </w:r>
          </w:p>
        </w:tc>
        <w:tc>
          <w:tcPr>
            <w:tcW w:w="395" w:type="pct"/>
            <w:noWrap/>
          </w:tcPr>
          <w:p w14:paraId="59B9059F" w14:textId="408032B7" w:rsidR="004D3C27" w:rsidRPr="000F5EB0" w:rsidRDefault="00753D6A" w:rsidP="004D3C27">
            <w:r>
              <w:t>100%</w:t>
            </w:r>
          </w:p>
        </w:tc>
        <w:tc>
          <w:tcPr>
            <w:tcW w:w="395" w:type="pct"/>
            <w:noWrap/>
          </w:tcPr>
          <w:p w14:paraId="2A199CB9" w14:textId="0C64CECF" w:rsidR="004D3C27" w:rsidRPr="000F5EB0" w:rsidRDefault="00753D6A" w:rsidP="004D3C27">
            <w:r>
              <w:t>100%</w:t>
            </w:r>
          </w:p>
        </w:tc>
        <w:tc>
          <w:tcPr>
            <w:tcW w:w="393" w:type="pct"/>
          </w:tcPr>
          <w:p w14:paraId="663FA17E" w14:textId="125E9EF0" w:rsidR="004D3C27" w:rsidRPr="000F5EB0" w:rsidRDefault="00753D6A" w:rsidP="004D3C27">
            <w:r>
              <w:t>100%</w:t>
            </w:r>
          </w:p>
        </w:tc>
      </w:tr>
      <w:tr w:rsidR="00A116F2" w:rsidRPr="000F5EB0" w14:paraId="7CC1DF8A" w14:textId="77777777" w:rsidTr="004D3C27">
        <w:trPr>
          <w:trHeight w:val="285"/>
        </w:trPr>
        <w:tc>
          <w:tcPr>
            <w:tcW w:w="2871" w:type="pct"/>
            <w:noWrap/>
          </w:tcPr>
          <w:p w14:paraId="6CFCD0CE" w14:textId="6F5EC6B4" w:rsidR="00A116F2" w:rsidRPr="000F5EB0" w:rsidRDefault="00A116F2" w:rsidP="00A116F2">
            <w:r>
              <w:t xml:space="preserve">Maximum </w:t>
            </w:r>
            <w:r w:rsidRPr="000F5EB0">
              <w:t xml:space="preserve">uptake of </w:t>
            </w:r>
            <w:r>
              <w:t>CGP using a NGS assay</w:t>
            </w:r>
          </w:p>
        </w:tc>
        <w:tc>
          <w:tcPr>
            <w:tcW w:w="473" w:type="pct"/>
            <w:noWrap/>
          </w:tcPr>
          <w:p w14:paraId="39E364B3" w14:textId="7D688591" w:rsidR="00A116F2" w:rsidRDefault="00D8003E" w:rsidP="00A116F2">
            <w:r>
              <w:t>4,603</w:t>
            </w:r>
          </w:p>
        </w:tc>
        <w:tc>
          <w:tcPr>
            <w:tcW w:w="473" w:type="pct"/>
            <w:noWrap/>
          </w:tcPr>
          <w:p w14:paraId="639AF63A" w14:textId="5DE16980" w:rsidR="00A116F2" w:rsidRDefault="00A116F2" w:rsidP="00A116F2">
            <w:r>
              <w:t>4,</w:t>
            </w:r>
            <w:r w:rsidR="00D8003E">
              <w:t>679</w:t>
            </w:r>
          </w:p>
        </w:tc>
        <w:tc>
          <w:tcPr>
            <w:tcW w:w="395" w:type="pct"/>
            <w:noWrap/>
          </w:tcPr>
          <w:p w14:paraId="4AE4E8AF" w14:textId="2EFBD210" w:rsidR="00A116F2" w:rsidRDefault="00A116F2" w:rsidP="00A116F2">
            <w:r>
              <w:t>4,765</w:t>
            </w:r>
          </w:p>
        </w:tc>
        <w:tc>
          <w:tcPr>
            <w:tcW w:w="395" w:type="pct"/>
            <w:noWrap/>
          </w:tcPr>
          <w:p w14:paraId="4ABF64B4" w14:textId="0DB680BD" w:rsidR="00A116F2" w:rsidRDefault="00A116F2" w:rsidP="00A116F2">
            <w:r>
              <w:t>4,852</w:t>
            </w:r>
          </w:p>
        </w:tc>
        <w:tc>
          <w:tcPr>
            <w:tcW w:w="393" w:type="pct"/>
          </w:tcPr>
          <w:p w14:paraId="2B873325" w14:textId="2D758CBB" w:rsidR="00A116F2" w:rsidRDefault="00A116F2" w:rsidP="00A116F2">
            <w:r>
              <w:t>4,938</w:t>
            </w:r>
          </w:p>
        </w:tc>
      </w:tr>
    </w:tbl>
    <w:p w14:paraId="5EDD8FD0" w14:textId="13000D6A" w:rsidR="00BF4970" w:rsidRPr="00BF4970" w:rsidRDefault="001F3D55" w:rsidP="00225180">
      <w:pPr>
        <w:ind w:left="426"/>
      </w:pPr>
      <w:r w:rsidRPr="00BF4970">
        <w:t xml:space="preserve">The MBS item descriptor proposed for </w:t>
      </w:r>
      <w:r w:rsidR="00104CE7" w:rsidRPr="00BF4970">
        <w:t xml:space="preserve">CGP using </w:t>
      </w:r>
      <w:r w:rsidR="00E528F0" w:rsidRPr="00BF4970">
        <w:t>a NGS assay</w:t>
      </w:r>
      <w:r w:rsidR="00104CE7" w:rsidRPr="00BF4970">
        <w:t xml:space="preserve"> includ</w:t>
      </w:r>
      <w:r w:rsidR="008C64B8" w:rsidRPr="00BF4970">
        <w:t xml:space="preserve">es several criteria </w:t>
      </w:r>
      <w:r w:rsidR="00B8213D" w:rsidRPr="00BF4970">
        <w:t xml:space="preserve">to address the potential for ‘leakage’ in the use of testing beyond the patient population </w:t>
      </w:r>
      <w:r w:rsidR="000802ED" w:rsidRPr="00BF4970">
        <w:t>proposed in this application</w:t>
      </w:r>
      <w:r w:rsidR="006C56B6" w:rsidRPr="00BF4970">
        <w:t>. M</w:t>
      </w:r>
      <w:r w:rsidR="00EC62D4" w:rsidRPr="00BF4970">
        <w:t xml:space="preserve">ost notably </w:t>
      </w:r>
      <w:r w:rsidR="00535415" w:rsidRPr="00BF4970">
        <w:t xml:space="preserve">it is proposed that </w:t>
      </w:r>
      <w:r w:rsidR="00B3401B">
        <w:t>CGP</w:t>
      </w:r>
      <w:r w:rsidR="00535415" w:rsidRPr="00BF4970">
        <w:t xml:space="preserve"> </w:t>
      </w:r>
      <w:r w:rsidR="009871BC" w:rsidRPr="00BF4970">
        <w:t xml:space="preserve">funded through the MBS would be </w:t>
      </w:r>
      <w:r w:rsidR="007C030D" w:rsidRPr="00BF4970">
        <w:t>restricted</w:t>
      </w:r>
      <w:r w:rsidR="003362BE" w:rsidRPr="00BF4970">
        <w:t xml:space="preserve"> to </w:t>
      </w:r>
      <w:r w:rsidR="00D86690" w:rsidRPr="00BF4970">
        <w:t xml:space="preserve">patients with lung cancer being considered for treatment with </w:t>
      </w:r>
      <w:r w:rsidR="003362BE" w:rsidRPr="00BF4970">
        <w:t xml:space="preserve">a </w:t>
      </w:r>
      <w:r w:rsidR="00D86690" w:rsidRPr="00BF4970">
        <w:t>systematic therapy</w:t>
      </w:r>
      <w:r w:rsidR="00BC0654" w:rsidRPr="00BF4970">
        <w:t xml:space="preserve"> th</w:t>
      </w:r>
      <w:r w:rsidR="003362BE" w:rsidRPr="00BF4970">
        <w:t xml:space="preserve">at is </w:t>
      </w:r>
      <w:r w:rsidR="005053D1" w:rsidRPr="00BF4970">
        <w:t xml:space="preserve">available through the </w:t>
      </w:r>
      <w:r w:rsidR="00BC0654" w:rsidRPr="00BF4970">
        <w:t>PBS</w:t>
      </w:r>
      <w:r w:rsidR="00286B49" w:rsidRPr="00BF4970">
        <w:t xml:space="preserve">. This </w:t>
      </w:r>
      <w:r w:rsidR="000570FE" w:rsidRPr="00BF4970">
        <w:t xml:space="preserve">ensures that the use of CGP using a NGS assay </w:t>
      </w:r>
      <w:r w:rsidR="000D1503" w:rsidRPr="00BF4970">
        <w:t xml:space="preserve">would be consistent with the use of </w:t>
      </w:r>
      <w:r w:rsidR="005A334E" w:rsidRPr="00BF4970">
        <w:t>molecular biomarker tests currently listed on the MBS and used to identify NSCLC patients eligible for treatment with a targeted therapy</w:t>
      </w:r>
      <w:r w:rsidR="00BF4970" w:rsidRPr="00BF4970">
        <w:t>.</w:t>
      </w:r>
    </w:p>
    <w:p w14:paraId="292FF74B" w14:textId="32ED90ED" w:rsidR="003433D1" w:rsidRPr="00BF4970" w:rsidRDefault="003433D1" w:rsidP="00BF4970">
      <w:r w:rsidRPr="00BF4970">
        <w:br w:type="page"/>
      </w:r>
    </w:p>
    <w:p w14:paraId="302EC247" w14:textId="77777777" w:rsidR="00951933" w:rsidRPr="000F5EB0" w:rsidRDefault="001B5169" w:rsidP="00AE1188">
      <w:pPr>
        <w:pStyle w:val="Heading1"/>
      </w:pPr>
      <w:r w:rsidRPr="000F5EB0">
        <w:lastRenderedPageBreak/>
        <w:t>PART 8</w:t>
      </w:r>
      <w:r w:rsidR="00F93784" w:rsidRPr="000F5EB0">
        <w:t xml:space="preserve"> – </w:t>
      </w:r>
      <w:r w:rsidR="005A58BA" w:rsidRPr="000F5EB0">
        <w:t>COST</w:t>
      </w:r>
      <w:r w:rsidR="00951933" w:rsidRPr="000F5EB0">
        <w:t xml:space="preserve"> INFORMATION</w:t>
      </w:r>
    </w:p>
    <w:p w14:paraId="0CDFE2F5" w14:textId="77777777" w:rsidR="006A649A" w:rsidRPr="000F5EB0" w:rsidRDefault="006A649A" w:rsidP="001B5169">
      <w:pPr>
        <w:pStyle w:val="Heading2"/>
      </w:pPr>
      <w:r w:rsidRPr="000F5EB0">
        <w:t>Indicate the likely</w:t>
      </w:r>
      <w:r w:rsidR="005A58BA" w:rsidRPr="000F5EB0">
        <w:t xml:space="preserve"> </w:t>
      </w:r>
      <w:r w:rsidRPr="000F5EB0">
        <w:t xml:space="preserve">cost of </w:t>
      </w:r>
      <w:r w:rsidR="005A58BA" w:rsidRPr="000F5EB0">
        <w:t xml:space="preserve">providing the </w:t>
      </w:r>
      <w:r w:rsidRPr="000F5EB0">
        <w:t>proposed medical service.</w:t>
      </w:r>
      <w:r w:rsidR="005A5D30" w:rsidRPr="000F5EB0">
        <w:t xml:space="preserve"> Where possible</w:t>
      </w:r>
      <w:r w:rsidR="00802553" w:rsidRPr="000F5EB0">
        <w:t>,</w:t>
      </w:r>
      <w:r w:rsidR="005A5D30" w:rsidRPr="000F5EB0">
        <w:t xml:space="preserve"> please pro</w:t>
      </w:r>
      <w:r w:rsidR="00AE1188" w:rsidRPr="000F5EB0">
        <w:t>vide overall cost and breakdown:</w:t>
      </w:r>
    </w:p>
    <w:p w14:paraId="04127739" w14:textId="638F4A6A" w:rsidR="00951933" w:rsidRPr="000F5EB0" w:rsidRDefault="00E462BE" w:rsidP="00225180">
      <w:pPr>
        <w:ind w:left="360"/>
      </w:pPr>
      <w:r>
        <w:t>The Applicant</w:t>
      </w:r>
      <w:r w:rsidR="005C5F32" w:rsidRPr="000F5EB0">
        <w:t xml:space="preserve"> </w:t>
      </w:r>
      <w:r w:rsidR="00A535DB" w:rsidRPr="000F5EB0">
        <w:t xml:space="preserve">is aware of its </w:t>
      </w:r>
      <w:r w:rsidR="00DF3A96" w:rsidRPr="000F5EB0">
        <w:t xml:space="preserve">requirement </w:t>
      </w:r>
      <w:r w:rsidR="00A535DB" w:rsidRPr="000F5EB0">
        <w:t xml:space="preserve">to provide a cost </w:t>
      </w:r>
      <w:r w:rsidR="00075594" w:rsidRPr="000F5EB0">
        <w:t>for</w:t>
      </w:r>
      <w:r w:rsidR="002E4EC7">
        <w:t xml:space="preserve"> CGP using </w:t>
      </w:r>
      <w:r w:rsidR="003108CC">
        <w:t>a NGS assay</w:t>
      </w:r>
      <w:r w:rsidR="00075594" w:rsidRPr="000F5EB0">
        <w:t>, and associated assessment of budget impact</w:t>
      </w:r>
      <w:r w:rsidR="00DF3A96" w:rsidRPr="000F5EB0">
        <w:t xml:space="preserve">, and </w:t>
      </w:r>
      <w:r w:rsidR="00DE69AE">
        <w:t>commits</w:t>
      </w:r>
      <w:r w:rsidR="00DF3A96" w:rsidRPr="000F5EB0">
        <w:t xml:space="preserve"> to doing so</w:t>
      </w:r>
      <w:r w:rsidR="00801A47" w:rsidRPr="000F5EB0">
        <w:t xml:space="preserve"> as part of the preparation of</w:t>
      </w:r>
      <w:r w:rsidR="00BE68A2">
        <w:t xml:space="preserve"> the Applicant Developed Assessment Report </w:t>
      </w:r>
      <w:r w:rsidR="00410C97" w:rsidRPr="000F5EB0">
        <w:t>for consideration by MSAC</w:t>
      </w:r>
      <w:r w:rsidR="002D765D" w:rsidRPr="000F5EB0">
        <w:t>.</w:t>
      </w:r>
    </w:p>
    <w:p w14:paraId="53746B3F" w14:textId="77777777" w:rsidR="00951933" w:rsidRPr="000F5EB0" w:rsidRDefault="00951933" w:rsidP="00530204">
      <w:pPr>
        <w:pStyle w:val="Heading2"/>
      </w:pPr>
      <w:r w:rsidRPr="000F5EB0">
        <w:t>Specify how long the proposed medical ser</w:t>
      </w:r>
      <w:r w:rsidR="00AE1188" w:rsidRPr="000F5EB0">
        <w:t>vice typically takes to perform:</w:t>
      </w:r>
    </w:p>
    <w:p w14:paraId="344329CD" w14:textId="2E073B9A" w:rsidR="00951933" w:rsidRPr="000F5EB0" w:rsidRDefault="002D765D" w:rsidP="00225180">
      <w:pPr>
        <w:ind w:left="360"/>
      </w:pPr>
      <w:r w:rsidRPr="000F5EB0">
        <w:t xml:space="preserve">The </w:t>
      </w:r>
      <w:r w:rsidR="00423355">
        <w:t xml:space="preserve">optimal </w:t>
      </w:r>
      <w:r w:rsidRPr="000F5EB0">
        <w:t>turnaro</w:t>
      </w:r>
      <w:r w:rsidR="00307EEC" w:rsidRPr="000F5EB0">
        <w:t xml:space="preserve">und time between the receipt of a patient </w:t>
      </w:r>
      <w:r w:rsidR="00462265" w:rsidRPr="000F5EB0">
        <w:t>tumour tissue specimen</w:t>
      </w:r>
      <w:r w:rsidR="00307EEC" w:rsidRPr="000F5EB0">
        <w:t xml:space="preserve"> a</w:t>
      </w:r>
      <w:r w:rsidR="0069379A" w:rsidRPr="000F5EB0">
        <w:t>t the</w:t>
      </w:r>
      <w:r w:rsidR="001B1381">
        <w:t xml:space="preserve"> pathology laboratory </w:t>
      </w:r>
      <w:r w:rsidR="0069379A" w:rsidRPr="000F5EB0">
        <w:t xml:space="preserve">and </w:t>
      </w:r>
      <w:r w:rsidR="001B1381">
        <w:t xml:space="preserve">availability of results </w:t>
      </w:r>
      <w:r w:rsidR="0070407F" w:rsidRPr="000F5EB0">
        <w:t xml:space="preserve">is </w:t>
      </w:r>
      <w:r w:rsidR="001B1381">
        <w:t>5 days</w:t>
      </w:r>
      <w:r w:rsidR="000423B0">
        <w:t>, how</w:t>
      </w:r>
      <w:r w:rsidR="00100FBA">
        <w:t xml:space="preserve">ever </w:t>
      </w:r>
      <w:r w:rsidR="00C134EE">
        <w:t xml:space="preserve">typical turnaround times </w:t>
      </w:r>
      <w:r w:rsidR="008B705D">
        <w:t xml:space="preserve">are believed to be </w:t>
      </w:r>
      <w:r w:rsidR="00100FBA">
        <w:t>10-12 days.</w:t>
      </w:r>
    </w:p>
    <w:p w14:paraId="0FA7761E" w14:textId="25B64D35" w:rsidR="00707D4D" w:rsidRPr="000F5EB0" w:rsidRDefault="0054192F" w:rsidP="00530204">
      <w:pPr>
        <w:pStyle w:val="Heading2"/>
      </w:pPr>
      <w:r w:rsidRPr="000F5EB0">
        <w:t>If public funding is sought through the MBS, please draft a proposed MBS item descriptor to define the population and medical service usage characteristics that would define eligibility for MBS funding.</w:t>
      </w:r>
    </w:p>
    <w:p w14:paraId="5DBCA3F2" w14:textId="77777777" w:rsidR="00C10209" w:rsidRPr="000F5EB0" w:rsidRDefault="00C10209" w:rsidP="00C10209"/>
    <w:tbl>
      <w:tblPr>
        <w:tblStyle w:val="TableGrid"/>
        <w:tblW w:w="0" w:type="auto"/>
        <w:tblLook w:val="04A0" w:firstRow="1" w:lastRow="0" w:firstColumn="1" w:lastColumn="0" w:noHBand="0" w:noVBand="1"/>
        <w:tblCaption w:val="Table"/>
        <w:tblDescription w:val="Table"/>
      </w:tblPr>
      <w:tblGrid>
        <w:gridCol w:w="9182"/>
      </w:tblGrid>
      <w:tr w:rsidR="00326048" w:rsidRPr="000F5EB0" w14:paraId="159EE003" w14:textId="5C2E13DB" w:rsidTr="00CC4EE7">
        <w:trPr>
          <w:tblHeader/>
        </w:trPr>
        <w:tc>
          <w:tcPr>
            <w:tcW w:w="0" w:type="auto"/>
            <w:tcBorders>
              <w:bottom w:val="single" w:sz="4" w:space="0" w:color="auto"/>
            </w:tcBorders>
          </w:tcPr>
          <w:p w14:paraId="00766754" w14:textId="39F7CD3E" w:rsidR="00326048" w:rsidRPr="000F5EB0" w:rsidRDefault="00326048" w:rsidP="004A0BF4">
            <w:pPr>
              <w:pStyle w:val="Heading2"/>
              <w:numPr>
                <w:ilvl w:val="0"/>
                <w:numId w:val="0"/>
              </w:numPr>
              <w:outlineLvl w:val="1"/>
            </w:pPr>
            <w:r w:rsidRPr="000F5EB0">
              <w:t>Category 6 – Pathology Services</w:t>
            </w:r>
          </w:p>
        </w:tc>
      </w:tr>
      <w:tr w:rsidR="00326048" w:rsidRPr="000F5EB0" w14:paraId="12E677D7" w14:textId="7C9A29AF" w:rsidTr="00B53905">
        <w:tc>
          <w:tcPr>
            <w:tcW w:w="0" w:type="auto"/>
            <w:tcBorders>
              <w:bottom w:val="nil"/>
            </w:tcBorders>
          </w:tcPr>
          <w:p w14:paraId="4A40C19E" w14:textId="60081AD4" w:rsidR="00326048" w:rsidRPr="000F5EB0" w:rsidRDefault="00326048" w:rsidP="00105A7E">
            <w:r w:rsidRPr="000F5EB0">
              <w:t xml:space="preserve">Comprehensive genomic profiling using </w:t>
            </w:r>
            <w:r w:rsidR="00082091">
              <w:t xml:space="preserve">a next generation sequencing </w:t>
            </w:r>
            <w:r w:rsidR="00723963" w:rsidRPr="000F5EB0">
              <w:t xml:space="preserve">assay </w:t>
            </w:r>
            <w:r w:rsidRPr="000F5EB0">
              <w:t xml:space="preserve">performed on tumour tissue from a patient diagnosed </w:t>
            </w:r>
            <w:r w:rsidR="00007E8B">
              <w:t>lung</w:t>
            </w:r>
            <w:r w:rsidR="00780270">
              <w:t xml:space="preserve"> cancer</w:t>
            </w:r>
            <w:r w:rsidR="00007E8B">
              <w:t xml:space="preserve">, </w:t>
            </w:r>
            <w:r w:rsidRPr="000F5EB0">
              <w:t>requested by, or on behalf of, a specialist o</w:t>
            </w:r>
            <w:r w:rsidR="002344F2">
              <w:t>r</w:t>
            </w:r>
            <w:r w:rsidRPr="000F5EB0">
              <w:t xml:space="preserve"> consulting physician, to determine if the eligibility requirements to access targeted treatment under the Pharmaceutical Benefits Scheme (PBS) are fulfilled.</w:t>
            </w:r>
          </w:p>
          <w:p w14:paraId="072E9DF7" w14:textId="7690461C" w:rsidR="00326048" w:rsidRPr="000F5EB0" w:rsidRDefault="00326048" w:rsidP="001A3F06">
            <w:r w:rsidRPr="000F5EB0">
              <w:t xml:space="preserve">Indications, biomarkers and therapies eligible to access comprehensive genomic profiling using </w:t>
            </w:r>
            <w:r w:rsidR="00082091">
              <w:t>a next generation sequencing</w:t>
            </w:r>
            <w:r w:rsidRPr="000F5EB0">
              <w:t xml:space="preserve"> </w:t>
            </w:r>
            <w:r w:rsidR="0061347A" w:rsidRPr="000F5EB0">
              <w:t xml:space="preserve">assay </w:t>
            </w:r>
            <w:r w:rsidRPr="000F5EB0">
              <w:t>under the Medicare Benefit Schedule (MBS) are:</w:t>
            </w:r>
          </w:p>
        </w:tc>
      </w:tr>
      <w:tr w:rsidR="00326048" w:rsidRPr="000F5EB0" w14:paraId="22ED7E63" w14:textId="0FFA1EDB" w:rsidTr="00B53905">
        <w:tc>
          <w:tcPr>
            <w:tcW w:w="0" w:type="auto"/>
            <w:tcBorders>
              <w:top w:val="nil"/>
              <w:bottom w:val="nil"/>
            </w:tcBorders>
          </w:tcPr>
          <w:tbl>
            <w:tblPr>
              <w:tblStyle w:val="TableGrid"/>
              <w:tblW w:w="0" w:type="auto"/>
              <w:tblLook w:val="04A0" w:firstRow="1" w:lastRow="0" w:firstColumn="1" w:lastColumn="0" w:noHBand="0" w:noVBand="1"/>
              <w:tblCaption w:val="Table"/>
              <w:tblDescription w:val="Table"/>
            </w:tblPr>
            <w:tblGrid>
              <w:gridCol w:w="4448"/>
              <w:gridCol w:w="2921"/>
              <w:gridCol w:w="1587"/>
            </w:tblGrid>
            <w:tr w:rsidR="00326048" w:rsidRPr="000F5EB0" w14:paraId="57526713" w14:textId="77777777" w:rsidTr="00CC4EE7">
              <w:trPr>
                <w:tblHeader/>
              </w:trPr>
              <w:tc>
                <w:tcPr>
                  <w:tcW w:w="0" w:type="auto"/>
                </w:tcPr>
                <w:p w14:paraId="3759D3F3" w14:textId="34D1D253" w:rsidR="00326048" w:rsidRPr="000F5EB0" w:rsidRDefault="00326048" w:rsidP="00592AE0">
                  <w:pPr>
                    <w:rPr>
                      <w:b/>
                    </w:rPr>
                  </w:pPr>
                  <w:r w:rsidRPr="000F5EB0">
                    <w:rPr>
                      <w:b/>
                    </w:rPr>
                    <w:t>Indication</w:t>
                  </w:r>
                </w:p>
              </w:tc>
              <w:tc>
                <w:tcPr>
                  <w:tcW w:w="0" w:type="auto"/>
                </w:tcPr>
                <w:p w14:paraId="0C24DC49" w14:textId="707E8A66" w:rsidR="00326048" w:rsidRPr="000F5EB0" w:rsidRDefault="00326048" w:rsidP="00592AE0">
                  <w:pPr>
                    <w:rPr>
                      <w:b/>
                    </w:rPr>
                  </w:pPr>
                  <w:r w:rsidRPr="000F5EB0">
                    <w:rPr>
                      <w:b/>
                    </w:rPr>
                    <w:t>Biomarker</w:t>
                  </w:r>
                </w:p>
              </w:tc>
              <w:tc>
                <w:tcPr>
                  <w:tcW w:w="1587" w:type="dxa"/>
                </w:tcPr>
                <w:p w14:paraId="7D23892C" w14:textId="0D92D196" w:rsidR="00326048" w:rsidRPr="000F5EB0" w:rsidRDefault="00AD7ABC" w:rsidP="00592AE0">
                  <w:pPr>
                    <w:rPr>
                      <w:b/>
                    </w:rPr>
                  </w:pPr>
                  <w:r w:rsidRPr="000F5EB0">
                    <w:rPr>
                      <w:b/>
                    </w:rPr>
                    <w:t>Treatment</w:t>
                  </w:r>
                </w:p>
              </w:tc>
            </w:tr>
            <w:tr w:rsidR="00326048" w:rsidRPr="000F5EB0" w14:paraId="3A4C0FCC" w14:textId="77777777" w:rsidTr="006A5256">
              <w:tc>
                <w:tcPr>
                  <w:tcW w:w="0" w:type="auto"/>
                </w:tcPr>
                <w:p w14:paraId="59C65372" w14:textId="77777777" w:rsidR="00326048" w:rsidRPr="000F5EB0" w:rsidRDefault="00326048" w:rsidP="00592AE0">
                  <w:r w:rsidRPr="000F5EB0">
                    <w:t>Stage IIIB (locally advanced) or Stage IV (metastatic) non-small cell lung cancer.</w:t>
                  </w:r>
                </w:p>
                <w:p w14:paraId="0F493B1E" w14:textId="4017779D" w:rsidR="00326048" w:rsidRPr="000F5EB0" w:rsidRDefault="00326048" w:rsidP="00592AE0">
                  <w:r w:rsidRPr="000F5EB0">
                    <w:t>Patient must have non-squamous type non-small cell lung cancer (NSCLC) or not otherwise specified.</w:t>
                  </w:r>
                </w:p>
              </w:tc>
              <w:tc>
                <w:tcPr>
                  <w:tcW w:w="0" w:type="auto"/>
                </w:tcPr>
                <w:p w14:paraId="076DA101" w14:textId="5F54AB88" w:rsidR="00326048" w:rsidRPr="000F5EB0" w:rsidRDefault="00326048" w:rsidP="00592AE0">
                  <w:r w:rsidRPr="000F5EB0">
                    <w:t>Epidermal growth factor receptor (EGFR) gene</w:t>
                  </w:r>
                </w:p>
              </w:tc>
              <w:tc>
                <w:tcPr>
                  <w:tcW w:w="1587" w:type="dxa"/>
                </w:tcPr>
                <w:p w14:paraId="13C65232" w14:textId="5435F646" w:rsidR="00326048" w:rsidRPr="000F5EB0" w:rsidRDefault="00326048" w:rsidP="00592AE0">
                  <w:r w:rsidRPr="000F5EB0">
                    <w:t xml:space="preserve">erlotinib; gefitinib; </w:t>
                  </w:r>
                  <w:r w:rsidR="00B7483D">
                    <w:t>a</w:t>
                  </w:r>
                  <w:r w:rsidRPr="000F5EB0">
                    <w:t>fatinib</w:t>
                  </w:r>
                </w:p>
              </w:tc>
            </w:tr>
            <w:tr w:rsidR="00326048" w:rsidRPr="000F5EB0" w14:paraId="681E09D9" w14:textId="77777777" w:rsidTr="006A5256">
              <w:tc>
                <w:tcPr>
                  <w:tcW w:w="0" w:type="auto"/>
                </w:tcPr>
                <w:p w14:paraId="7788C15A" w14:textId="5211005C" w:rsidR="00326048" w:rsidRPr="000F5EB0" w:rsidRDefault="00326048" w:rsidP="00592AE0">
                  <w:r w:rsidRPr="000F5EB0">
                    <w:t>Stage IIIB (locally advanced) or Stage IV (metastatic) non-small cell lung cancer.</w:t>
                  </w:r>
                </w:p>
                <w:p w14:paraId="1306D177" w14:textId="546E84B1" w:rsidR="00326048" w:rsidRPr="000F5EB0" w:rsidRDefault="00326048" w:rsidP="00592AE0">
                  <w:r w:rsidRPr="000F5EB0">
                    <w:t>Patient must have non-squamous type non-small cell lung cancer (NSCLC) or not otherwise specified.</w:t>
                  </w:r>
                </w:p>
              </w:tc>
              <w:tc>
                <w:tcPr>
                  <w:tcW w:w="0" w:type="auto"/>
                </w:tcPr>
                <w:p w14:paraId="079E793B" w14:textId="0BC36A61" w:rsidR="00326048" w:rsidRPr="000F5EB0" w:rsidRDefault="00CA0A2E" w:rsidP="00592AE0">
                  <w:r w:rsidRPr="000F5EB0">
                    <w:t>Anaplastic lymphoma kin</w:t>
                  </w:r>
                  <w:r w:rsidR="00875A11" w:rsidRPr="000F5EB0">
                    <w:t>as</w:t>
                  </w:r>
                  <w:r w:rsidRPr="000F5EB0">
                    <w:t>e</w:t>
                  </w:r>
                  <w:r w:rsidR="00875A11" w:rsidRPr="000F5EB0">
                    <w:t xml:space="preserve"> (</w:t>
                  </w:r>
                  <w:r w:rsidR="00326048" w:rsidRPr="000F5EB0">
                    <w:t>ALK</w:t>
                  </w:r>
                  <w:r w:rsidR="00875A11" w:rsidRPr="000F5EB0">
                    <w:t>)</w:t>
                  </w:r>
                  <w:r w:rsidR="00326048" w:rsidRPr="000F5EB0">
                    <w:t xml:space="preserve"> gene rearrangement</w:t>
                  </w:r>
                </w:p>
              </w:tc>
              <w:tc>
                <w:tcPr>
                  <w:tcW w:w="1587" w:type="dxa"/>
                </w:tcPr>
                <w:p w14:paraId="659D8C58" w14:textId="65AAE35C" w:rsidR="00326048" w:rsidRPr="000F5EB0" w:rsidRDefault="00C10209" w:rsidP="00592AE0">
                  <w:r w:rsidRPr="000F5EB0">
                    <w:t>c</w:t>
                  </w:r>
                  <w:r w:rsidR="00326048" w:rsidRPr="000F5EB0">
                    <w:t xml:space="preserve">rizotinib; ceritinib; alectinib; </w:t>
                  </w:r>
                </w:p>
              </w:tc>
            </w:tr>
            <w:tr w:rsidR="009C24F0" w:rsidRPr="000F5EB0" w14:paraId="34599F60" w14:textId="77777777" w:rsidTr="006A5256">
              <w:tc>
                <w:tcPr>
                  <w:tcW w:w="0" w:type="auto"/>
                </w:tcPr>
                <w:p w14:paraId="684C65B5" w14:textId="77777777" w:rsidR="009711F0" w:rsidRPr="000F5EB0" w:rsidRDefault="009711F0" w:rsidP="009711F0">
                  <w:r w:rsidRPr="000F5EB0">
                    <w:t>Stage IIIB (locally advanced) or Stage IV (metastatic) non-small cell lung cancer.</w:t>
                  </w:r>
                </w:p>
                <w:p w14:paraId="6CECA6D3" w14:textId="55E6C318" w:rsidR="009C24F0" w:rsidRPr="000F5EB0" w:rsidRDefault="009711F0" w:rsidP="009711F0">
                  <w:r w:rsidRPr="000F5EB0">
                    <w:t>Patient must have non-squamous type non-small cell lung cancer (NSCLC) or not otherwise specified.</w:t>
                  </w:r>
                </w:p>
              </w:tc>
              <w:tc>
                <w:tcPr>
                  <w:tcW w:w="0" w:type="auto"/>
                </w:tcPr>
                <w:p w14:paraId="4DC8DF5E" w14:textId="2536BFAF" w:rsidR="009C24F0" w:rsidRPr="000F5EB0" w:rsidRDefault="009711F0" w:rsidP="00592AE0">
                  <w:r>
                    <w:t>c-ROS proto</w:t>
                  </w:r>
                  <w:r w:rsidR="00B03FF3">
                    <w:t>-oncogene 1 (ROS1) gene rearrangement</w:t>
                  </w:r>
                </w:p>
              </w:tc>
              <w:tc>
                <w:tcPr>
                  <w:tcW w:w="1587" w:type="dxa"/>
                </w:tcPr>
                <w:p w14:paraId="2E2DF696" w14:textId="692C7210" w:rsidR="009C24F0" w:rsidRPr="000F5EB0" w:rsidRDefault="00B03FF3" w:rsidP="00592AE0">
                  <w:r>
                    <w:t>crizotinib</w:t>
                  </w:r>
                </w:p>
              </w:tc>
            </w:tr>
          </w:tbl>
          <w:p w14:paraId="20B22E11" w14:textId="77777777" w:rsidR="00326048" w:rsidRPr="000F5EB0" w:rsidRDefault="00326048" w:rsidP="004A0BF4">
            <w:pPr>
              <w:pStyle w:val="Heading2"/>
              <w:numPr>
                <w:ilvl w:val="0"/>
                <w:numId w:val="0"/>
              </w:numPr>
              <w:outlineLvl w:val="1"/>
            </w:pPr>
          </w:p>
        </w:tc>
      </w:tr>
      <w:tr w:rsidR="00326048" w:rsidRPr="000F5EB0" w14:paraId="4AC5663D" w14:textId="3D4BDEE3" w:rsidTr="00B53905">
        <w:tc>
          <w:tcPr>
            <w:tcW w:w="0" w:type="auto"/>
            <w:tcBorders>
              <w:top w:val="nil"/>
              <w:bottom w:val="nil"/>
            </w:tcBorders>
          </w:tcPr>
          <w:p w14:paraId="7026CE67" w14:textId="3E5E17E7" w:rsidR="00DA3EC7" w:rsidRPr="000F5EB0" w:rsidRDefault="00DA3EC7" w:rsidP="007A265F"/>
        </w:tc>
      </w:tr>
      <w:tr w:rsidR="00326048" w:rsidRPr="000F5EB0" w14:paraId="6E7D274B" w14:textId="74935561" w:rsidTr="00B53905">
        <w:tc>
          <w:tcPr>
            <w:tcW w:w="0" w:type="auto"/>
            <w:tcBorders>
              <w:top w:val="nil"/>
            </w:tcBorders>
          </w:tcPr>
          <w:p w14:paraId="11F01F69" w14:textId="3B8284C6" w:rsidR="00326048" w:rsidRPr="000F5EB0" w:rsidRDefault="007A265F" w:rsidP="00CC4EE7">
            <w:r w:rsidRPr="000F5EB0">
              <w:t xml:space="preserve">Fee: </w:t>
            </w:r>
            <w:r w:rsidR="00CC4EE7">
              <w:t>To be confirmed</w:t>
            </w:r>
          </w:p>
        </w:tc>
      </w:tr>
    </w:tbl>
    <w:p w14:paraId="500863DF" w14:textId="45EE1781" w:rsidR="00AD70DD" w:rsidRPr="000F5EB0" w:rsidRDefault="006C1687" w:rsidP="00AD70DD">
      <w:pPr>
        <w:spacing w:before="100" w:beforeAutospacing="1" w:after="100" w:afterAutospacing="1"/>
        <w:rPr>
          <w:szCs w:val="20"/>
        </w:rPr>
      </w:pPr>
      <w:r w:rsidRPr="000F5EB0">
        <w:rPr>
          <w:szCs w:val="20"/>
        </w:rPr>
        <w:t>I</w:t>
      </w:r>
      <w:r w:rsidR="00AD70DD" w:rsidRPr="000F5EB0">
        <w:rPr>
          <w:szCs w:val="20"/>
        </w:rPr>
        <w:t xml:space="preserve">t is </w:t>
      </w:r>
      <w:r w:rsidR="004759E5" w:rsidRPr="000F5EB0">
        <w:rPr>
          <w:szCs w:val="20"/>
        </w:rPr>
        <w:t>envis</w:t>
      </w:r>
      <w:r w:rsidR="004759E5">
        <w:rPr>
          <w:szCs w:val="20"/>
        </w:rPr>
        <w:t>aged</w:t>
      </w:r>
      <w:r w:rsidR="004759E5" w:rsidRPr="000F5EB0">
        <w:rPr>
          <w:szCs w:val="20"/>
        </w:rPr>
        <w:t xml:space="preserve"> </w:t>
      </w:r>
      <w:r w:rsidR="00AD70DD" w:rsidRPr="000F5EB0">
        <w:rPr>
          <w:szCs w:val="20"/>
        </w:rPr>
        <w:t>that the</w:t>
      </w:r>
      <w:r w:rsidR="00837887" w:rsidRPr="000F5EB0">
        <w:rPr>
          <w:szCs w:val="20"/>
        </w:rPr>
        <w:t xml:space="preserve"> </w:t>
      </w:r>
      <w:r w:rsidR="00DE69AE" w:rsidRPr="000F5EB0">
        <w:rPr>
          <w:szCs w:val="20"/>
        </w:rPr>
        <w:t>sponsor</w:t>
      </w:r>
      <w:r w:rsidR="00DE69AE">
        <w:rPr>
          <w:szCs w:val="20"/>
        </w:rPr>
        <w:t>s</w:t>
      </w:r>
      <w:r w:rsidR="00DE69AE" w:rsidRPr="000F5EB0">
        <w:rPr>
          <w:szCs w:val="20"/>
        </w:rPr>
        <w:t xml:space="preserve"> of targeted therapies under clinical development can update the MBS item descriptor proposed above</w:t>
      </w:r>
      <w:r w:rsidR="00A1681B">
        <w:rPr>
          <w:szCs w:val="20"/>
        </w:rPr>
        <w:t xml:space="preserve"> </w:t>
      </w:r>
      <w:r w:rsidR="00DE69AE" w:rsidRPr="000F5EB0">
        <w:rPr>
          <w:szCs w:val="20"/>
        </w:rPr>
        <w:t>to reflect the introduction of additional indications, biomarkers or treatments through the streamlined co-dependent technology reimbursement pathway</w:t>
      </w:r>
      <w:r w:rsidR="00DE69AE">
        <w:rPr>
          <w:szCs w:val="20"/>
        </w:rPr>
        <w:t xml:space="preserve"> by</w:t>
      </w:r>
      <w:r w:rsidR="00AD70DD" w:rsidRPr="000F5EB0">
        <w:rPr>
          <w:szCs w:val="20"/>
        </w:rPr>
        <w:t>:</w:t>
      </w:r>
    </w:p>
    <w:p w14:paraId="6CEC45F7" w14:textId="77777777" w:rsidR="00AD70DD" w:rsidRPr="000F5EB0" w:rsidRDefault="00AD70DD" w:rsidP="00FD4715">
      <w:pPr>
        <w:pStyle w:val="ListParagraph"/>
        <w:numPr>
          <w:ilvl w:val="0"/>
          <w:numId w:val="18"/>
        </w:numPr>
        <w:spacing w:before="100" w:beforeAutospacing="1" w:after="100" w:afterAutospacing="1" w:line="276" w:lineRule="auto"/>
        <w:rPr>
          <w:szCs w:val="20"/>
        </w:rPr>
      </w:pPr>
      <w:r w:rsidRPr="000F5EB0">
        <w:rPr>
          <w:szCs w:val="20"/>
        </w:rPr>
        <w:lastRenderedPageBreak/>
        <w:t>Lodging a major submission to the PBAC presenting evidence of the efficacy, safety, and cost-effectiveness of the targeted lung cancer therapy, and</w:t>
      </w:r>
    </w:p>
    <w:p w14:paraId="3F44FA69" w14:textId="4B46E355" w:rsidR="00AD70DD" w:rsidRPr="000F5EB0" w:rsidRDefault="00AD70DD" w:rsidP="00FD4715">
      <w:pPr>
        <w:pStyle w:val="ListParagraph"/>
        <w:numPr>
          <w:ilvl w:val="0"/>
          <w:numId w:val="18"/>
        </w:numPr>
        <w:spacing w:before="100" w:beforeAutospacing="1" w:after="100" w:afterAutospacing="1" w:line="276" w:lineRule="auto"/>
        <w:rPr>
          <w:szCs w:val="20"/>
        </w:rPr>
      </w:pPr>
      <w:r w:rsidRPr="000F5EB0">
        <w:rPr>
          <w:szCs w:val="20"/>
        </w:rPr>
        <w:t>Lodging a submission to MSAC requesting an amendment to the MBS item for</w:t>
      </w:r>
      <w:r w:rsidR="00AE5697">
        <w:rPr>
          <w:szCs w:val="20"/>
        </w:rPr>
        <w:t xml:space="preserve"> CGP</w:t>
      </w:r>
      <w:r w:rsidRPr="000F5EB0">
        <w:rPr>
          <w:szCs w:val="20"/>
        </w:rPr>
        <w:t xml:space="preserve"> </w:t>
      </w:r>
      <w:r w:rsidR="009954D6" w:rsidRPr="000F5EB0">
        <w:rPr>
          <w:szCs w:val="20"/>
        </w:rPr>
        <w:t xml:space="preserve">of </w:t>
      </w:r>
      <w:r w:rsidRPr="000F5EB0">
        <w:rPr>
          <w:szCs w:val="20"/>
        </w:rPr>
        <w:t xml:space="preserve">lung cancer tumour tissue specimens using </w:t>
      </w:r>
      <w:r w:rsidR="004C3504">
        <w:rPr>
          <w:szCs w:val="20"/>
        </w:rPr>
        <w:t xml:space="preserve">a NGS assay </w:t>
      </w:r>
      <w:r w:rsidRPr="000F5EB0">
        <w:rPr>
          <w:szCs w:val="20"/>
        </w:rPr>
        <w:t xml:space="preserve">to include </w:t>
      </w:r>
      <w:r w:rsidR="00610A09" w:rsidRPr="000F5EB0">
        <w:rPr>
          <w:szCs w:val="20"/>
        </w:rPr>
        <w:t xml:space="preserve">reference to </w:t>
      </w:r>
      <w:r w:rsidRPr="000F5EB0">
        <w:rPr>
          <w:szCs w:val="20"/>
        </w:rPr>
        <w:t xml:space="preserve">any new </w:t>
      </w:r>
      <w:r w:rsidR="00B23F56" w:rsidRPr="000F5EB0">
        <w:rPr>
          <w:szCs w:val="20"/>
        </w:rPr>
        <w:t>indication, biomar</w:t>
      </w:r>
      <w:r w:rsidR="00AD7ABC" w:rsidRPr="000F5EB0">
        <w:rPr>
          <w:szCs w:val="20"/>
        </w:rPr>
        <w:t>ker</w:t>
      </w:r>
      <w:r w:rsidR="00B23F56" w:rsidRPr="000F5EB0">
        <w:rPr>
          <w:szCs w:val="20"/>
        </w:rPr>
        <w:t xml:space="preserve"> or </w:t>
      </w:r>
      <w:r w:rsidRPr="000F5EB0">
        <w:rPr>
          <w:szCs w:val="20"/>
        </w:rPr>
        <w:t>treatment.</w:t>
      </w:r>
    </w:p>
    <w:p w14:paraId="4B48DF5E" w14:textId="59627547" w:rsidR="00401632" w:rsidRDefault="00714770" w:rsidP="00401632">
      <w:pPr>
        <w:spacing w:before="100" w:beforeAutospacing="1" w:after="100" w:afterAutospacing="1" w:line="276" w:lineRule="auto"/>
        <w:rPr>
          <w:szCs w:val="20"/>
        </w:rPr>
      </w:pPr>
      <w:r w:rsidRPr="000F5EB0">
        <w:rPr>
          <w:szCs w:val="20"/>
        </w:rPr>
        <w:t xml:space="preserve">This </w:t>
      </w:r>
      <w:r w:rsidR="004B1EB0" w:rsidRPr="000F5EB0">
        <w:rPr>
          <w:szCs w:val="20"/>
        </w:rPr>
        <w:t>proposal</w:t>
      </w:r>
      <w:r w:rsidRPr="000F5EB0">
        <w:rPr>
          <w:szCs w:val="20"/>
        </w:rPr>
        <w:t xml:space="preserve"> has the potential to substantially reduce the resource</w:t>
      </w:r>
      <w:r w:rsidR="00EE48AD" w:rsidRPr="000F5EB0">
        <w:rPr>
          <w:szCs w:val="20"/>
        </w:rPr>
        <w:t xml:space="preserve"> requirements </w:t>
      </w:r>
      <w:r w:rsidR="00D1757E" w:rsidRPr="000F5EB0">
        <w:rPr>
          <w:szCs w:val="20"/>
        </w:rPr>
        <w:t>associated with the</w:t>
      </w:r>
      <w:r w:rsidR="002D19D6" w:rsidRPr="000F5EB0">
        <w:rPr>
          <w:szCs w:val="20"/>
        </w:rPr>
        <w:t xml:space="preserve"> MSAC </w:t>
      </w:r>
      <w:r w:rsidR="00D1757E" w:rsidRPr="000F5EB0">
        <w:rPr>
          <w:szCs w:val="20"/>
        </w:rPr>
        <w:t>assessment of future biomarkers</w:t>
      </w:r>
      <w:r w:rsidR="00EE48AD" w:rsidRPr="000F5EB0">
        <w:rPr>
          <w:szCs w:val="20"/>
        </w:rPr>
        <w:t xml:space="preserve"> </w:t>
      </w:r>
      <w:r w:rsidR="002D19D6" w:rsidRPr="000F5EB0">
        <w:rPr>
          <w:szCs w:val="20"/>
        </w:rPr>
        <w:t>used in lung cancers</w:t>
      </w:r>
      <w:r w:rsidR="00695896" w:rsidRPr="000F5EB0">
        <w:rPr>
          <w:szCs w:val="20"/>
        </w:rPr>
        <w:t xml:space="preserve">. </w:t>
      </w:r>
      <w:r w:rsidR="00DE69AE">
        <w:rPr>
          <w:szCs w:val="20"/>
        </w:rPr>
        <w:t>Further, there is</w:t>
      </w:r>
      <w:r w:rsidR="00695896" w:rsidRPr="000F5EB0">
        <w:rPr>
          <w:szCs w:val="20"/>
        </w:rPr>
        <w:t xml:space="preserve"> potential to </w:t>
      </w:r>
      <w:r w:rsidR="002D19D6" w:rsidRPr="000F5EB0">
        <w:rPr>
          <w:szCs w:val="20"/>
        </w:rPr>
        <w:t xml:space="preserve">reduce the time to listing for new </w:t>
      </w:r>
      <w:r w:rsidR="00966E06" w:rsidRPr="000F5EB0">
        <w:rPr>
          <w:szCs w:val="20"/>
        </w:rPr>
        <w:t xml:space="preserve">lung cancer treatments on the PBS </w:t>
      </w:r>
      <w:r w:rsidR="002944ED" w:rsidRPr="000F5EB0">
        <w:rPr>
          <w:szCs w:val="20"/>
        </w:rPr>
        <w:t xml:space="preserve">and </w:t>
      </w:r>
      <w:r w:rsidR="00DE69AE">
        <w:rPr>
          <w:szCs w:val="20"/>
        </w:rPr>
        <w:t xml:space="preserve">that </w:t>
      </w:r>
      <w:r w:rsidR="002944ED" w:rsidRPr="000F5EB0">
        <w:rPr>
          <w:szCs w:val="20"/>
        </w:rPr>
        <w:t xml:space="preserve">will </w:t>
      </w:r>
      <w:r w:rsidR="00966E06" w:rsidRPr="000F5EB0">
        <w:rPr>
          <w:szCs w:val="20"/>
        </w:rPr>
        <w:t>benefit</w:t>
      </w:r>
      <w:r w:rsidR="002944ED" w:rsidRPr="000F5EB0">
        <w:rPr>
          <w:szCs w:val="20"/>
        </w:rPr>
        <w:t xml:space="preserve"> </w:t>
      </w:r>
      <w:r w:rsidR="00966E06" w:rsidRPr="000F5EB0">
        <w:rPr>
          <w:szCs w:val="20"/>
        </w:rPr>
        <w:t>patients</w:t>
      </w:r>
      <w:r w:rsidR="00606158" w:rsidRPr="000F5EB0">
        <w:rPr>
          <w:szCs w:val="20"/>
        </w:rPr>
        <w:t>, the Department of Health</w:t>
      </w:r>
      <w:r w:rsidR="002944ED" w:rsidRPr="000F5EB0">
        <w:rPr>
          <w:szCs w:val="20"/>
        </w:rPr>
        <w:t xml:space="preserve"> and sponsors of </w:t>
      </w:r>
      <w:r w:rsidR="00401632" w:rsidRPr="000F5EB0">
        <w:rPr>
          <w:szCs w:val="20"/>
        </w:rPr>
        <w:t xml:space="preserve">targeted </w:t>
      </w:r>
      <w:r w:rsidR="002944ED" w:rsidRPr="000F5EB0">
        <w:rPr>
          <w:szCs w:val="20"/>
        </w:rPr>
        <w:t xml:space="preserve">treatments </w:t>
      </w:r>
      <w:r w:rsidR="00401632" w:rsidRPr="000F5EB0">
        <w:rPr>
          <w:szCs w:val="20"/>
        </w:rPr>
        <w:t xml:space="preserve">for lung cancer </w:t>
      </w:r>
      <w:r w:rsidR="002944ED" w:rsidRPr="000F5EB0">
        <w:rPr>
          <w:szCs w:val="20"/>
        </w:rPr>
        <w:t>alike</w:t>
      </w:r>
      <w:r w:rsidR="00606158" w:rsidRPr="000F5EB0">
        <w:rPr>
          <w:szCs w:val="20"/>
        </w:rPr>
        <w:t>.</w:t>
      </w:r>
    </w:p>
    <w:p w14:paraId="3220864F" w14:textId="6402F687" w:rsidR="00160F04" w:rsidRDefault="00160F04" w:rsidP="00225180">
      <w:pPr>
        <w:spacing w:before="100" w:beforeAutospacing="1" w:after="100" w:afterAutospacing="1" w:line="276" w:lineRule="auto"/>
      </w:pPr>
      <w:r>
        <w:br w:type="page"/>
      </w:r>
    </w:p>
    <w:p w14:paraId="06757CDD" w14:textId="2CB29FD6" w:rsidR="006B1749" w:rsidRDefault="006B1749" w:rsidP="006B1749">
      <w:pPr>
        <w:pStyle w:val="Heading1"/>
      </w:pPr>
      <w:r>
        <w:lastRenderedPageBreak/>
        <w:t>Attachment</w:t>
      </w:r>
      <w:r w:rsidR="00B677A7">
        <w:t>s</w:t>
      </w:r>
    </w:p>
    <w:p w14:paraId="45C18D1F" w14:textId="7237B77B" w:rsidR="006578D1" w:rsidRDefault="00B677A7" w:rsidP="00B677A7">
      <w:r>
        <w:t xml:space="preserve">A flowchart representing the </w:t>
      </w:r>
      <w:r w:rsidR="0068626C" w:rsidRPr="00947351">
        <w:t xml:space="preserve">current </w:t>
      </w:r>
      <w:r>
        <w:t xml:space="preserve">sequencing of molecular biomarker testing to determine </w:t>
      </w:r>
      <w:r w:rsidR="00CE5048">
        <w:t xml:space="preserve">NSCLC </w:t>
      </w:r>
      <w:r>
        <w:t xml:space="preserve">patient eligibility to access </w:t>
      </w:r>
      <w:r w:rsidR="00DF36EF">
        <w:t xml:space="preserve">targeted lung cancer treatments on the PBS </w:t>
      </w:r>
      <w:r w:rsidR="0068626C">
        <w:t>is provided below</w:t>
      </w:r>
      <w:r w:rsidR="00B35027">
        <w:t xml:space="preserve"> (effective March 2020)</w:t>
      </w:r>
      <w:r w:rsidR="0068626C">
        <w:t>.</w:t>
      </w:r>
    </w:p>
    <w:p w14:paraId="5BAA9C86" w14:textId="707B5039" w:rsidR="00B677A7" w:rsidRDefault="00B418E9" w:rsidP="00B677A7">
      <w:r>
        <w:rPr>
          <w:noProof/>
          <w:lang w:eastAsia="en-AU"/>
        </w:rPr>
        <w:drawing>
          <wp:inline distT="0" distB="0" distL="0" distR="0" wp14:anchorId="5C2E1DE2" wp14:editId="02A3BD2D">
            <wp:extent cx="5676828" cy="7524000"/>
            <wp:effectExtent l="0" t="0" r="635" b="1270"/>
            <wp:docPr id="4" name="Picture 4"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76828" cy="7524000"/>
                    </a:xfrm>
                    <a:prstGeom prst="rect">
                      <a:avLst/>
                    </a:prstGeom>
                    <a:noFill/>
                    <a:ln>
                      <a:noFill/>
                    </a:ln>
                  </pic:spPr>
                </pic:pic>
              </a:graphicData>
            </a:graphic>
          </wp:inline>
        </w:drawing>
      </w:r>
    </w:p>
    <w:p w14:paraId="52113E9F" w14:textId="1595E476" w:rsidR="0068626C" w:rsidRPr="00B677A7" w:rsidRDefault="0068626C" w:rsidP="00B677A7"/>
    <w:p w14:paraId="26A82956" w14:textId="77777777" w:rsidR="00713FBF" w:rsidRDefault="00713FBF">
      <w:pPr>
        <w:spacing w:before="0" w:after="200" w:line="276" w:lineRule="auto"/>
        <w:sectPr w:rsidR="00713FBF" w:rsidSect="00810F30">
          <w:footerReference w:type="default" r:id="rId31"/>
          <w:pgSz w:w="11906" w:h="16838"/>
          <w:pgMar w:top="1440" w:right="1274" w:bottom="1440" w:left="1440" w:header="708" w:footer="708" w:gutter="0"/>
          <w:cols w:space="708"/>
          <w:docGrid w:linePitch="360"/>
        </w:sectPr>
      </w:pPr>
    </w:p>
    <w:p w14:paraId="327D0B2D" w14:textId="7AC583ED" w:rsidR="00C223E5" w:rsidRDefault="00C223E5" w:rsidP="00C223E5">
      <w:r>
        <w:lastRenderedPageBreak/>
        <w:t xml:space="preserve">A flowchart representing the </w:t>
      </w:r>
      <w:r w:rsidR="00B43392">
        <w:t xml:space="preserve">use of CGP using </w:t>
      </w:r>
      <w:r w:rsidR="00984917">
        <w:t xml:space="preserve">a NGS </w:t>
      </w:r>
      <w:r w:rsidR="00B43392">
        <w:t xml:space="preserve">assay to perform </w:t>
      </w:r>
      <w:r>
        <w:t xml:space="preserve">molecular biomarker testing to determine </w:t>
      </w:r>
      <w:r w:rsidR="006578D1">
        <w:t xml:space="preserve">NSCLC </w:t>
      </w:r>
      <w:r>
        <w:t>patient eligibility to access targeted lung cancer treatments on the PBS is provided below.</w:t>
      </w:r>
    </w:p>
    <w:p w14:paraId="77A42DBB" w14:textId="77777777" w:rsidR="006578D1" w:rsidRDefault="006578D1" w:rsidP="00C223E5"/>
    <w:p w14:paraId="654501D6" w14:textId="4810E507" w:rsidR="006B1749" w:rsidRPr="00C223E5" w:rsidRDefault="00DA3D90" w:rsidP="00C223E5">
      <w:r>
        <w:rPr>
          <w:noProof/>
          <w:lang w:eastAsia="en-AU"/>
        </w:rPr>
        <w:drawing>
          <wp:inline distT="0" distB="0" distL="0" distR="0" wp14:anchorId="6D8AA3F4" wp14:editId="63165105">
            <wp:extent cx="8863330" cy="4180205"/>
            <wp:effectExtent l="0" t="0" r="0" b="0"/>
            <wp:docPr id="3" name="Picture 3"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63330" cy="4180205"/>
                    </a:xfrm>
                    <a:prstGeom prst="rect">
                      <a:avLst/>
                    </a:prstGeom>
                    <a:noFill/>
                    <a:ln>
                      <a:noFill/>
                    </a:ln>
                  </pic:spPr>
                </pic:pic>
              </a:graphicData>
            </a:graphic>
          </wp:inline>
        </w:drawing>
      </w:r>
    </w:p>
    <w:p w14:paraId="4D026345" w14:textId="77777777" w:rsidR="006B1749" w:rsidRPr="00F76785" w:rsidRDefault="006B1749" w:rsidP="00F76785"/>
    <w:p w14:paraId="1EA96F33" w14:textId="77777777" w:rsidR="00713FBF" w:rsidRDefault="00713FBF">
      <w:pPr>
        <w:spacing w:before="0" w:after="200" w:line="276" w:lineRule="auto"/>
        <w:rPr>
          <w:bCs/>
          <w:color w:val="4F81BD" w:themeColor="accent1"/>
          <w:sz w:val="40"/>
          <w:szCs w:val="32"/>
        </w:rPr>
        <w:sectPr w:rsidR="00713FBF" w:rsidSect="00713FBF">
          <w:footerReference w:type="default" r:id="rId33"/>
          <w:pgSz w:w="16838" w:h="11906" w:orient="landscape"/>
          <w:pgMar w:top="1440" w:right="1440" w:bottom="1440" w:left="1440" w:header="708" w:footer="708" w:gutter="0"/>
          <w:cols w:space="708"/>
          <w:docGrid w:linePitch="360"/>
        </w:sectPr>
      </w:pPr>
    </w:p>
    <w:p w14:paraId="3EADEDD1" w14:textId="399FBEF0" w:rsidR="007D3902" w:rsidRDefault="00160F04" w:rsidP="00160F04">
      <w:pPr>
        <w:pStyle w:val="Heading1"/>
      </w:pPr>
      <w:r>
        <w:lastRenderedPageBreak/>
        <w:t>References</w:t>
      </w:r>
    </w:p>
    <w:p w14:paraId="745CCEFD" w14:textId="0A26ED97" w:rsidR="00EF395E" w:rsidRPr="00EF395E" w:rsidRDefault="007D3902" w:rsidP="00225180">
      <w:pPr>
        <w:pStyle w:val="EndNoteBibliography"/>
        <w:spacing w:after="200"/>
      </w:pPr>
      <w:r>
        <w:rPr>
          <w:szCs w:val="20"/>
        </w:rPr>
        <w:fldChar w:fldCharType="begin"/>
      </w:r>
      <w:r>
        <w:rPr>
          <w:szCs w:val="20"/>
        </w:rPr>
        <w:instrText xml:space="preserve"> ADDIN EN.REFLIST </w:instrText>
      </w:r>
      <w:r>
        <w:rPr>
          <w:szCs w:val="20"/>
        </w:rPr>
        <w:fldChar w:fldCharType="separate"/>
      </w:r>
      <w:r w:rsidR="00EF395E" w:rsidRPr="00EF395E">
        <w:t>AIHW (2019). Australian Institute of Health Welfare :Cancer data in Australia.</w:t>
      </w:r>
      <w:r w:rsidR="00225180">
        <w:t xml:space="preserve"> AIHW Canberra.</w:t>
      </w:r>
    </w:p>
    <w:p w14:paraId="53C57616" w14:textId="66B8D3E7" w:rsidR="00EF395E" w:rsidRPr="00EF395E" w:rsidRDefault="00EF395E" w:rsidP="00225180">
      <w:pPr>
        <w:pStyle w:val="EndNoteBibliography"/>
        <w:spacing w:after="200"/>
      </w:pPr>
      <w:r w:rsidRPr="00EF395E">
        <w:t xml:space="preserve">Ali, SM, Hensing, T, et al. (2016). "Comprehensive genomic profiling identifies a subset of crizotinib-responsive ALK-rearranged non-small cell lung cancer not detected by fluorescence in situ hybridization." </w:t>
      </w:r>
      <w:r w:rsidRPr="00EF395E">
        <w:rPr>
          <w:u w:val="single"/>
        </w:rPr>
        <w:t>The oncologist</w:t>
      </w:r>
      <w:r w:rsidRPr="00EF395E">
        <w:t xml:space="preserve"> </w:t>
      </w:r>
      <w:r w:rsidRPr="00EF395E">
        <w:rPr>
          <w:b/>
        </w:rPr>
        <w:t>21</w:t>
      </w:r>
      <w:r w:rsidRPr="00EF395E">
        <w:t>(6): 762-770.</w:t>
      </w:r>
    </w:p>
    <w:p w14:paraId="7A293A1D" w14:textId="33FAEB68" w:rsidR="00EF395E" w:rsidRPr="00EF395E" w:rsidRDefault="00EF395E" w:rsidP="00225180">
      <w:pPr>
        <w:pStyle w:val="EndNoteBibliography"/>
        <w:spacing w:after="200"/>
      </w:pPr>
      <w:r w:rsidRPr="00EF395E">
        <w:t>DoH (2019). PD-(L)1 checkpoint inhibitor sta</w:t>
      </w:r>
      <w:r w:rsidR="00225180">
        <w:t>keholder meeting. D. o. Health.</w:t>
      </w:r>
    </w:p>
    <w:p w14:paraId="10189857" w14:textId="6125AE01" w:rsidR="00EF395E" w:rsidRPr="00EF395E" w:rsidRDefault="00EF395E" w:rsidP="00225180">
      <w:pPr>
        <w:pStyle w:val="EndNoteBibliography"/>
        <w:spacing w:after="200"/>
      </w:pPr>
      <w:r w:rsidRPr="00EF395E">
        <w:t xml:space="preserve">Drilon, A, Laetsch, TW, et al. (2018). "Efficacy of larotrectinib in TRK fusion–positive cancers in adults and children." </w:t>
      </w:r>
      <w:r w:rsidRPr="00EF395E">
        <w:rPr>
          <w:u w:val="single"/>
        </w:rPr>
        <w:t>New England Journal of Medicine</w:t>
      </w:r>
      <w:r w:rsidRPr="00EF395E">
        <w:t xml:space="preserve"> </w:t>
      </w:r>
      <w:r w:rsidRPr="00EF395E">
        <w:rPr>
          <w:b/>
        </w:rPr>
        <w:t>378</w:t>
      </w:r>
      <w:r w:rsidRPr="00EF395E">
        <w:t>(8): 731-739.</w:t>
      </w:r>
    </w:p>
    <w:p w14:paraId="21761531" w14:textId="44EE4C56" w:rsidR="00EF395E" w:rsidRPr="00EF395E" w:rsidRDefault="00EF395E" w:rsidP="00225180">
      <w:pPr>
        <w:pStyle w:val="EndNoteBibliography"/>
        <w:spacing w:after="200"/>
      </w:pPr>
      <w:r w:rsidRPr="00EF395E">
        <w:t xml:space="preserve">Drilon, A, Wang, L, et al. (2015). "Broad, hybrid capture-based next-generation sequencing identifies actionable genomic alterations in" driver-negative" lung adenocarcinomas." </w:t>
      </w:r>
      <w:r w:rsidRPr="00EF395E">
        <w:rPr>
          <w:u w:val="single"/>
        </w:rPr>
        <w:t>Clinical cancer research</w:t>
      </w:r>
      <w:r w:rsidR="00225180">
        <w:t>: clincanres. 2683.2014.</w:t>
      </w:r>
    </w:p>
    <w:p w14:paraId="202D78BB" w14:textId="192DE813" w:rsidR="00EF395E" w:rsidRPr="00EF395E" w:rsidRDefault="00EF395E" w:rsidP="00225180">
      <w:pPr>
        <w:pStyle w:val="EndNoteBibliography"/>
        <w:spacing w:after="200"/>
      </w:pPr>
      <w:r w:rsidRPr="00EF395E">
        <w:t xml:space="preserve">Frampton, GM, Fichtenholtz, A, et al. (2013). "Development and validation of a clinical cancer genomic profiling test based on massively parallel DNA sequencing." </w:t>
      </w:r>
      <w:r w:rsidRPr="00EF395E">
        <w:rPr>
          <w:u w:val="single"/>
        </w:rPr>
        <w:t>Nature biotechnology</w:t>
      </w:r>
      <w:r w:rsidRPr="00EF395E">
        <w:t xml:space="preserve"> </w:t>
      </w:r>
      <w:r w:rsidRPr="00EF395E">
        <w:rPr>
          <w:b/>
        </w:rPr>
        <w:t>31</w:t>
      </w:r>
      <w:r w:rsidR="00225180">
        <w:t>(11): 1023.</w:t>
      </w:r>
    </w:p>
    <w:p w14:paraId="2518F574" w14:textId="6947D6CC" w:rsidR="00EF395E" w:rsidRPr="00EF395E" w:rsidRDefault="00EF395E" w:rsidP="00225180">
      <w:pPr>
        <w:pStyle w:val="EndNoteBibliography"/>
        <w:spacing w:after="200"/>
      </w:pPr>
      <w:r w:rsidRPr="00EF395E">
        <w:t xml:space="preserve">Gao, J, Wu, H, et al. (2016). "Comparison of Next-Generation Sequencing, Quantitative PCR, and Sanger Sequencing for Mutation Profiling of EGFR, KRAS, PIK3CA and BRAF in Clinical Lung Tumors." </w:t>
      </w:r>
      <w:r w:rsidRPr="00EF395E">
        <w:rPr>
          <w:u w:val="single"/>
        </w:rPr>
        <w:t>Clinical laboratory</w:t>
      </w:r>
      <w:r w:rsidRPr="00EF395E">
        <w:t xml:space="preserve"> </w:t>
      </w:r>
      <w:r w:rsidRPr="00EF395E">
        <w:rPr>
          <w:b/>
        </w:rPr>
        <w:t>62</w:t>
      </w:r>
      <w:r w:rsidR="00225180">
        <w:t>(4): 689-696.</w:t>
      </w:r>
    </w:p>
    <w:p w14:paraId="138668E2" w14:textId="694BB93D" w:rsidR="00EF395E" w:rsidRPr="00EF395E" w:rsidRDefault="00EF395E" w:rsidP="00225180">
      <w:pPr>
        <w:pStyle w:val="EndNoteBibliography"/>
        <w:spacing w:after="200"/>
      </w:pPr>
      <w:r w:rsidRPr="00EF395E">
        <w:t xml:space="preserve">Lin, C, Shi, X, et al. (2019). "Comparison of ALK detection by FISH, IHC and NGS to predict benefit from crizotinib in advanced non-small-cell lung cancer." </w:t>
      </w:r>
      <w:r w:rsidRPr="00EF395E">
        <w:rPr>
          <w:u w:val="single"/>
        </w:rPr>
        <w:t>Lung Cancer</w:t>
      </w:r>
      <w:r w:rsidRPr="00EF395E">
        <w:t xml:space="preserve"> </w:t>
      </w:r>
      <w:r w:rsidRPr="00EF395E">
        <w:rPr>
          <w:b/>
        </w:rPr>
        <w:t>131</w:t>
      </w:r>
      <w:r w:rsidR="00225180">
        <w:t>: 62-68.</w:t>
      </w:r>
    </w:p>
    <w:p w14:paraId="74EE1572" w14:textId="37F9DC26" w:rsidR="00EF395E" w:rsidRPr="00EF395E" w:rsidRDefault="00EF395E" w:rsidP="00225180">
      <w:pPr>
        <w:pStyle w:val="EndNoteBibliography"/>
        <w:spacing w:after="200"/>
      </w:pPr>
      <w:r w:rsidRPr="00EF395E">
        <w:t xml:space="preserve">Lindquist, KE, Karlsson, A, et al. (2017). "Clinical framework for next generation sequencing based analysis of treatment predictive mutations and multiplexed gene fusion detection in non-small cell lung cancer." </w:t>
      </w:r>
      <w:r w:rsidRPr="00EF395E">
        <w:rPr>
          <w:u w:val="single"/>
        </w:rPr>
        <w:t>Oncotarget</w:t>
      </w:r>
      <w:r w:rsidRPr="00EF395E">
        <w:t xml:space="preserve"> </w:t>
      </w:r>
      <w:r w:rsidRPr="00EF395E">
        <w:rPr>
          <w:b/>
        </w:rPr>
        <w:t>8</w:t>
      </w:r>
      <w:r w:rsidR="00225180">
        <w:t>(21): 34796.</w:t>
      </w:r>
    </w:p>
    <w:p w14:paraId="3BA77491" w14:textId="5C3463A6" w:rsidR="00EF395E" w:rsidRPr="00EF395E" w:rsidRDefault="00EF395E" w:rsidP="00225180">
      <w:pPr>
        <w:pStyle w:val="EndNoteBibliography"/>
        <w:spacing w:after="200"/>
      </w:pPr>
      <w:r w:rsidRPr="00EF395E">
        <w:t>NCCN (2019). NCCN Clinical Practice Guidelines in Oncology (NCCN Guidelines), Non-Small Ce</w:t>
      </w:r>
      <w:r w:rsidR="00225180">
        <w:t>ll Lung Caner (Version 7.2019).</w:t>
      </w:r>
    </w:p>
    <w:p w14:paraId="53F1C258" w14:textId="6C4C983A" w:rsidR="00EF395E" w:rsidRPr="00EF395E" w:rsidRDefault="00EF395E" w:rsidP="00225180">
      <w:pPr>
        <w:pStyle w:val="EndNoteBibliography"/>
        <w:spacing w:after="200"/>
      </w:pPr>
      <w:r w:rsidRPr="00EF395E">
        <w:t>NPACC (2017). Requirements for human medical genome testing utilising massively parallel sequencing technologies, Fi</w:t>
      </w:r>
      <w:r w:rsidR="00225180">
        <w:t>rst Edition 2017. D. o. Health.</w:t>
      </w:r>
    </w:p>
    <w:p w14:paraId="65F6BEF6" w14:textId="13F3010D" w:rsidR="00EF395E" w:rsidRPr="00EF395E" w:rsidRDefault="00EF395E" w:rsidP="00225180">
      <w:pPr>
        <w:pStyle w:val="EndNoteBibliography"/>
        <w:spacing w:after="200"/>
      </w:pPr>
      <w:r w:rsidRPr="00EF395E">
        <w:t xml:space="preserve">Planchard, D, Popat, S, et al. (2018). "Metastatic non-small cell lung cancer: ESMO Clinical Practice Guidelines for diagnosis, treatment and follow-up†." </w:t>
      </w:r>
      <w:r w:rsidRPr="00EF395E">
        <w:rPr>
          <w:u w:val="single"/>
        </w:rPr>
        <w:t>Annals of Oncology</w:t>
      </w:r>
      <w:r w:rsidRPr="00EF395E">
        <w:t xml:space="preserve"> </w:t>
      </w:r>
      <w:r w:rsidRPr="00EF395E">
        <w:rPr>
          <w:b/>
        </w:rPr>
        <w:t>29</w:t>
      </w:r>
      <w:r w:rsidRPr="00EF395E">
        <w:t xml:space="preserve">(Supplement_4): </w:t>
      </w:r>
      <w:r w:rsidR="00225180">
        <w:t>iv192-iv237.</w:t>
      </w:r>
    </w:p>
    <w:p w14:paraId="5F42D12D" w14:textId="10CA82FE" w:rsidR="00EF395E" w:rsidRPr="00EF395E" w:rsidRDefault="00EF395E" w:rsidP="00225180">
      <w:pPr>
        <w:pStyle w:val="EndNoteBibliography"/>
        <w:spacing w:after="200"/>
      </w:pPr>
      <w:r w:rsidRPr="00EF395E">
        <w:t xml:space="preserve">Planchard, D, Smit, EF, et al. (2017). "Dabrafenib plus trametinib in patients with previously untreated BRAFV600E-mutant metastatic non-small-cell lung cancer: an open-label, phase 2 trial." </w:t>
      </w:r>
      <w:r w:rsidRPr="00EF395E">
        <w:rPr>
          <w:u w:val="single"/>
        </w:rPr>
        <w:t>The Lancet Oncology</w:t>
      </w:r>
      <w:r w:rsidRPr="00EF395E">
        <w:t xml:space="preserve"> </w:t>
      </w:r>
      <w:r w:rsidRPr="00EF395E">
        <w:rPr>
          <w:b/>
        </w:rPr>
        <w:t>18</w:t>
      </w:r>
      <w:r w:rsidR="00225180">
        <w:t>(10): 1307-1316.</w:t>
      </w:r>
    </w:p>
    <w:p w14:paraId="02071259" w14:textId="024C0EE7" w:rsidR="00EF395E" w:rsidRPr="00EF395E" w:rsidRDefault="00EF395E" w:rsidP="00225180">
      <w:pPr>
        <w:pStyle w:val="EndNoteBibliography"/>
        <w:spacing w:after="200"/>
      </w:pPr>
      <w:r w:rsidRPr="00EF395E">
        <w:t xml:space="preserve">Schrock, AB, Frampton, GM, et al. (2016). "Comprehensive genomic profiling identifies frequent drug-sensitive EGFR exon 19 deletions in NSCLC not identified by prior molecular testing." </w:t>
      </w:r>
      <w:r w:rsidRPr="00EF395E">
        <w:rPr>
          <w:u w:val="single"/>
        </w:rPr>
        <w:t>Clinical Cancer Research</w:t>
      </w:r>
      <w:r w:rsidRPr="00EF395E">
        <w:t xml:space="preserve"> </w:t>
      </w:r>
      <w:r w:rsidRPr="00EF395E">
        <w:rPr>
          <w:b/>
        </w:rPr>
        <w:t>22</w:t>
      </w:r>
      <w:r w:rsidR="00225180">
        <w:t>(13): 3281-3285.</w:t>
      </w:r>
    </w:p>
    <w:p w14:paraId="3425D6FA" w14:textId="3576DF21" w:rsidR="00EF395E" w:rsidRPr="00EF395E" w:rsidRDefault="00EF395E" w:rsidP="00225180">
      <w:pPr>
        <w:pStyle w:val="EndNoteBibliography"/>
        <w:spacing w:after="200"/>
      </w:pPr>
      <w:r w:rsidRPr="00EF395E">
        <w:t xml:space="preserve">Soria, J-C, Ohe, Y, et al. (2018). "Osimertinib in untreated EGFR-mutated advanced non–small-cell lung cancer." </w:t>
      </w:r>
      <w:r w:rsidRPr="00EF395E">
        <w:rPr>
          <w:u w:val="single"/>
        </w:rPr>
        <w:t>New England journal of medicine</w:t>
      </w:r>
      <w:r w:rsidRPr="00EF395E">
        <w:t xml:space="preserve"> </w:t>
      </w:r>
      <w:r w:rsidRPr="00EF395E">
        <w:rPr>
          <w:b/>
        </w:rPr>
        <w:t>378</w:t>
      </w:r>
      <w:r w:rsidR="00225180">
        <w:t>(2): 113-125.</w:t>
      </w:r>
    </w:p>
    <w:p w14:paraId="5B4FCF54" w14:textId="01F18889" w:rsidR="00451840" w:rsidRDefault="007D3902" w:rsidP="00225180">
      <w:pPr>
        <w:pStyle w:val="EndNoteBibliography"/>
        <w:spacing w:after="200"/>
        <w:rPr>
          <w:szCs w:val="20"/>
        </w:rPr>
      </w:pPr>
      <w:r>
        <w:rPr>
          <w:szCs w:val="20"/>
        </w:rPr>
        <w:fldChar w:fldCharType="end"/>
      </w:r>
    </w:p>
    <w:sectPr w:rsidR="00451840" w:rsidSect="00DD308E">
      <w:footerReference w:type="default" r:id="rId3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35142" w16cid:durableId="221327E0"/>
  <w16cid:commentId w16cid:paraId="05BD04C0" w16cid:durableId="22132968"/>
  <w16cid:commentId w16cid:paraId="08788670" w16cid:durableId="221327E2"/>
  <w16cid:commentId w16cid:paraId="05829DED" w16cid:durableId="221327E5"/>
  <w16cid:commentId w16cid:paraId="31CD921A" w16cid:durableId="22132E98"/>
  <w16cid:commentId w16cid:paraId="2C00C73E" w16cid:durableId="221327EC"/>
  <w16cid:commentId w16cid:paraId="7E4B5476" w16cid:durableId="22132F0D"/>
  <w16cid:commentId w16cid:paraId="0B3A1C52" w16cid:durableId="221327EE"/>
  <w16cid:commentId w16cid:paraId="34DFC3C8" w16cid:durableId="221330D7"/>
  <w16cid:commentId w16cid:paraId="334959F4" w16cid:durableId="221327FF"/>
  <w16cid:commentId w16cid:paraId="3F1102B1" w16cid:durableId="22132801"/>
  <w16cid:commentId w16cid:paraId="25AD663E" w16cid:durableId="221332A3"/>
  <w16cid:commentId w16cid:paraId="78FCC4D0" w16cid:durableId="22132802"/>
  <w16cid:commentId w16cid:paraId="3484CD9C" w16cid:durableId="22133312"/>
  <w16cid:commentId w16cid:paraId="4E179EE8" w16cid:durableId="22132809"/>
  <w16cid:commentId w16cid:paraId="4417EAE7" w16cid:durableId="22133430"/>
  <w16cid:commentId w16cid:paraId="0CDD6E0A" w16cid:durableId="22133811"/>
  <w16cid:commentId w16cid:paraId="2DF92A6C" w16cid:durableId="2213280E"/>
  <w16cid:commentId w16cid:paraId="66865B49" w16cid:durableId="221339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8B8A6" w14:textId="77777777" w:rsidR="00810F30" w:rsidRDefault="00810F30" w:rsidP="00CF2DFA">
      <w:pPr>
        <w:spacing w:after="0"/>
      </w:pPr>
      <w:r>
        <w:separator/>
      </w:r>
    </w:p>
  </w:endnote>
  <w:endnote w:type="continuationSeparator" w:id="0">
    <w:p w14:paraId="7A29B81C" w14:textId="77777777" w:rsidR="00810F30" w:rsidRDefault="00810F30"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635C98F" w14:textId="3BF4D281" w:rsidR="00810F30" w:rsidRDefault="00810F30">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07C47" w:rsidRPr="00607C47">
          <w:rPr>
            <w:b/>
            <w:bCs/>
            <w:noProof/>
            <w:sz w:val="18"/>
            <w:szCs w:val="18"/>
          </w:rPr>
          <w:t>7</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882721B" w14:textId="77777777" w:rsidR="00810F30" w:rsidRPr="003F7CB9" w:rsidRDefault="00810F30"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275645"/>
      <w:docPartObj>
        <w:docPartGallery w:val="Page Numbers (Bottom of Page)"/>
        <w:docPartUnique/>
      </w:docPartObj>
    </w:sdtPr>
    <w:sdtEndPr>
      <w:rPr>
        <w:color w:val="808080" w:themeColor="background1" w:themeShade="80"/>
        <w:spacing w:val="60"/>
      </w:rPr>
    </w:sdtEndPr>
    <w:sdtContent>
      <w:p w14:paraId="0CF1B71D" w14:textId="730B8BD8" w:rsidR="00810F30" w:rsidRDefault="00810F30" w:rsidP="00225180">
        <w:pPr>
          <w:pStyle w:val="FooterLandscape"/>
          <w:pBdr>
            <w:top w:val="single" w:sz="4" w:space="0" w:color="D9D9D9" w:themeColor="background1" w:themeShade="D9"/>
          </w:pBdr>
          <w:rPr>
            <w:color w:val="808080" w:themeColor="background1" w:themeShade="80"/>
            <w:spacing w:val="60"/>
          </w:rPr>
        </w:pPr>
        <w:r w:rsidRPr="00CF2DFA">
          <w:fldChar w:fldCharType="begin"/>
        </w:r>
        <w:r w:rsidRPr="00CF2DFA">
          <w:instrText xml:space="preserve"> PAGE   \* MERGEFORMAT </w:instrText>
        </w:r>
        <w:r w:rsidRPr="00CF2DFA">
          <w:fldChar w:fldCharType="separate"/>
        </w:r>
        <w:r w:rsidR="00607C47" w:rsidRPr="00607C47">
          <w:rPr>
            <w:b/>
            <w:bCs/>
            <w:noProof/>
          </w:rPr>
          <w:t>14</w:t>
        </w:r>
        <w:r w:rsidRPr="00CF2DFA">
          <w:rPr>
            <w:b/>
            <w:bCs/>
            <w:noProof/>
          </w:rPr>
          <w:fldChar w:fldCharType="end"/>
        </w:r>
        <w:r w:rsidRPr="00CF2DFA">
          <w:rPr>
            <w:b/>
            <w:bCs/>
          </w:rPr>
          <w:t xml:space="preserve"> | </w:t>
        </w:r>
        <w:r w:rsidRPr="00CF2DFA">
          <w:rPr>
            <w:color w:val="808080" w:themeColor="background1" w:themeShade="80"/>
            <w:spacing w:val="60"/>
          </w:rPr>
          <w:t>Page</w:t>
        </w:r>
        <w:r>
          <w:rPr>
            <w:color w:val="808080" w:themeColor="background1" w:themeShade="80"/>
            <w:spacing w:val="60"/>
          </w:rPr>
          <w:tab/>
          <w:t>Application Form</w:t>
        </w:r>
      </w:p>
      <w:p w14:paraId="300A9147" w14:textId="77777777" w:rsidR="00810F30" w:rsidRPr="003F7CB9" w:rsidRDefault="00810F30" w:rsidP="00225180">
        <w:pPr>
          <w:pStyle w:val="FooterLandscape"/>
          <w:pBdr>
            <w:top w:val="single" w:sz="4" w:space="0" w:color="D9D9D9" w:themeColor="background1" w:themeShade="D9"/>
          </w:pBdr>
          <w:rPr>
            <w:b/>
            <w:bCs/>
          </w:rPr>
        </w:pPr>
        <w:r>
          <w:rPr>
            <w:color w:val="808080" w:themeColor="background1" w:themeShade="80"/>
            <w:spacing w:val="60"/>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34218788"/>
      <w:docPartObj>
        <w:docPartGallery w:val="Page Numbers (Bottom of Page)"/>
        <w:docPartUnique/>
      </w:docPartObj>
    </w:sdtPr>
    <w:sdtEndPr>
      <w:rPr>
        <w:color w:val="808080" w:themeColor="background1" w:themeShade="80"/>
        <w:spacing w:val="60"/>
      </w:rPr>
    </w:sdtEndPr>
    <w:sdtContent>
      <w:p w14:paraId="1FE01B25" w14:textId="37D6F9C1" w:rsidR="00810F30" w:rsidRDefault="00810F30">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07C47" w:rsidRPr="00607C47">
          <w:rPr>
            <w:b/>
            <w:bCs/>
            <w:noProof/>
            <w:sz w:val="18"/>
            <w:szCs w:val="18"/>
          </w:rPr>
          <w:t>15</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737E28AA" w14:textId="77777777" w:rsidR="00810F30" w:rsidRPr="003F7CB9" w:rsidRDefault="00810F30"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43462"/>
      <w:docPartObj>
        <w:docPartGallery w:val="Page Numbers (Bottom of Page)"/>
        <w:docPartUnique/>
      </w:docPartObj>
    </w:sdtPr>
    <w:sdtEndPr>
      <w:rPr>
        <w:color w:val="808080" w:themeColor="background1" w:themeShade="80"/>
        <w:spacing w:val="60"/>
      </w:rPr>
    </w:sdtEndPr>
    <w:sdtContent>
      <w:p w14:paraId="358C37AA" w14:textId="7F350B96" w:rsidR="00810F30" w:rsidRDefault="00810F30" w:rsidP="001A4574">
        <w:pPr>
          <w:pStyle w:val="FooterLandscape"/>
          <w:rPr>
            <w:color w:val="808080" w:themeColor="background1" w:themeShade="80"/>
            <w:spacing w:val="60"/>
          </w:rPr>
        </w:pPr>
        <w:r w:rsidRPr="00CF2DFA">
          <w:fldChar w:fldCharType="begin"/>
        </w:r>
        <w:r w:rsidRPr="00CF2DFA">
          <w:instrText xml:space="preserve"> PAGE   \* MERGEFORMAT </w:instrText>
        </w:r>
        <w:r w:rsidRPr="00CF2DFA">
          <w:fldChar w:fldCharType="separate"/>
        </w:r>
        <w:r w:rsidR="00607C47" w:rsidRPr="00607C47">
          <w:rPr>
            <w:b/>
            <w:bCs/>
            <w:noProof/>
          </w:rPr>
          <w:t>16</w:t>
        </w:r>
        <w:r w:rsidRPr="00CF2DFA">
          <w:rPr>
            <w:b/>
            <w:bCs/>
            <w:noProof/>
          </w:rPr>
          <w:fldChar w:fldCharType="end"/>
        </w:r>
        <w:r w:rsidRPr="00CF2DFA">
          <w:rPr>
            <w:b/>
            <w:bCs/>
          </w:rPr>
          <w:t xml:space="preserve"> | </w:t>
        </w:r>
        <w:r w:rsidRPr="00CF2DFA">
          <w:rPr>
            <w:color w:val="808080" w:themeColor="background1" w:themeShade="80"/>
            <w:spacing w:val="60"/>
          </w:rPr>
          <w:t>Page</w:t>
        </w:r>
        <w:r>
          <w:rPr>
            <w:color w:val="808080" w:themeColor="background1" w:themeShade="80"/>
            <w:spacing w:val="60"/>
          </w:rPr>
          <w:tab/>
          <w:t>Application Form</w:t>
        </w:r>
      </w:p>
      <w:p w14:paraId="5F404AA0" w14:textId="77777777" w:rsidR="00810F30" w:rsidRPr="003F7CB9" w:rsidRDefault="00810F30" w:rsidP="001A4574">
        <w:pPr>
          <w:pStyle w:val="FooterLandscape"/>
          <w:rPr>
            <w:b/>
            <w:bCs/>
          </w:rPr>
        </w:pPr>
        <w:r>
          <w:rPr>
            <w:color w:val="808080" w:themeColor="background1" w:themeShade="80"/>
            <w:spacing w:val="60"/>
          </w:rPr>
          <w:tab/>
          <w:t>New and Amended Requests for Public Funding</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62241195"/>
      <w:docPartObj>
        <w:docPartGallery w:val="Page Numbers (Bottom of Page)"/>
        <w:docPartUnique/>
      </w:docPartObj>
    </w:sdtPr>
    <w:sdtEndPr>
      <w:rPr>
        <w:color w:val="808080" w:themeColor="background1" w:themeShade="80"/>
        <w:spacing w:val="60"/>
      </w:rPr>
    </w:sdtEndPr>
    <w:sdtContent>
      <w:p w14:paraId="48288B4A" w14:textId="3DB107CB" w:rsidR="00810F30" w:rsidRDefault="00810F30">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07C47" w:rsidRPr="00607C47">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56747BB6" w14:textId="77777777" w:rsidR="00810F30" w:rsidRPr="003F7CB9" w:rsidRDefault="00810F30"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862504"/>
      <w:docPartObj>
        <w:docPartGallery w:val="Page Numbers (Bottom of Page)"/>
        <w:docPartUnique/>
      </w:docPartObj>
    </w:sdtPr>
    <w:sdtEndPr>
      <w:rPr>
        <w:color w:val="808080" w:themeColor="background1" w:themeShade="80"/>
        <w:spacing w:val="60"/>
      </w:rPr>
    </w:sdtEndPr>
    <w:sdtContent>
      <w:p w14:paraId="7411A40F" w14:textId="3130D4D8" w:rsidR="00810F30" w:rsidRDefault="00810F30" w:rsidP="001A4574">
        <w:pPr>
          <w:pStyle w:val="FooterLandscape"/>
          <w:rPr>
            <w:color w:val="808080" w:themeColor="background1" w:themeShade="80"/>
            <w:spacing w:val="60"/>
          </w:rPr>
        </w:pPr>
        <w:r w:rsidRPr="00CF2DFA">
          <w:fldChar w:fldCharType="begin"/>
        </w:r>
        <w:r w:rsidRPr="00CF2DFA">
          <w:instrText xml:space="preserve"> PAGE   \* MERGEFORMAT </w:instrText>
        </w:r>
        <w:r w:rsidRPr="00CF2DFA">
          <w:fldChar w:fldCharType="separate"/>
        </w:r>
        <w:r w:rsidR="00607C47" w:rsidRPr="00607C47">
          <w:rPr>
            <w:b/>
            <w:bCs/>
            <w:noProof/>
          </w:rPr>
          <w:t>31</w:t>
        </w:r>
        <w:r w:rsidRPr="00CF2DFA">
          <w:rPr>
            <w:b/>
            <w:bCs/>
            <w:noProof/>
          </w:rPr>
          <w:fldChar w:fldCharType="end"/>
        </w:r>
        <w:r w:rsidRPr="00CF2DFA">
          <w:rPr>
            <w:b/>
            <w:bCs/>
          </w:rPr>
          <w:t xml:space="preserve"> | </w:t>
        </w:r>
        <w:r w:rsidRPr="00CF2DFA">
          <w:rPr>
            <w:color w:val="808080" w:themeColor="background1" w:themeShade="80"/>
            <w:spacing w:val="60"/>
          </w:rPr>
          <w:t>Page</w:t>
        </w:r>
        <w:r>
          <w:rPr>
            <w:color w:val="808080" w:themeColor="background1" w:themeShade="80"/>
            <w:spacing w:val="60"/>
          </w:rPr>
          <w:tab/>
          <w:t>Application Form</w:t>
        </w:r>
      </w:p>
      <w:p w14:paraId="63CFD48C" w14:textId="77777777" w:rsidR="00810F30" w:rsidRPr="003F7CB9" w:rsidRDefault="00810F30" w:rsidP="001A4574">
        <w:pPr>
          <w:pStyle w:val="FooterLandscape"/>
          <w:rPr>
            <w:b/>
            <w:bCs/>
          </w:rPr>
        </w:pPr>
        <w:r>
          <w:rPr>
            <w:color w:val="808080" w:themeColor="background1" w:themeShade="80"/>
            <w:spacing w:val="60"/>
          </w:rPr>
          <w:tab/>
          <w:t>New and Amended Requests for Public Funding</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07374916"/>
      <w:docPartObj>
        <w:docPartGallery w:val="Page Numbers (Bottom of Page)"/>
        <w:docPartUnique/>
      </w:docPartObj>
    </w:sdtPr>
    <w:sdtEndPr>
      <w:rPr>
        <w:color w:val="808080" w:themeColor="background1" w:themeShade="80"/>
        <w:spacing w:val="60"/>
      </w:rPr>
    </w:sdtEndPr>
    <w:sdtContent>
      <w:p w14:paraId="3B119A65" w14:textId="061E31FE" w:rsidR="00810F30" w:rsidRDefault="00810F30">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07C47" w:rsidRPr="00607C47">
          <w:rPr>
            <w:b/>
            <w:bCs/>
            <w:noProof/>
            <w:sz w:val="18"/>
            <w:szCs w:val="18"/>
          </w:rPr>
          <w:t>32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D5CD7C1" w14:textId="77777777" w:rsidR="00810F30" w:rsidRPr="003F7CB9" w:rsidRDefault="00810F30"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D3911" w14:textId="77777777" w:rsidR="00810F30" w:rsidRDefault="00810F30" w:rsidP="00CF2DFA">
      <w:pPr>
        <w:spacing w:after="0"/>
      </w:pPr>
      <w:r>
        <w:separator/>
      </w:r>
    </w:p>
  </w:footnote>
  <w:footnote w:type="continuationSeparator" w:id="0">
    <w:p w14:paraId="1EF3034B" w14:textId="77777777" w:rsidR="00810F30" w:rsidRDefault="00810F30" w:rsidP="00CF2DFA">
      <w:pPr>
        <w:spacing w:after="0"/>
      </w:pPr>
      <w:r>
        <w:continuationSeparator/>
      </w:r>
    </w:p>
  </w:footnote>
  <w:footnote w:id="1">
    <w:p w14:paraId="42F6FF57" w14:textId="141820FF" w:rsidR="00810F30" w:rsidRDefault="00810F30">
      <w:pPr>
        <w:pStyle w:val="FootnoteText"/>
      </w:pPr>
      <w:r>
        <w:rPr>
          <w:rStyle w:val="FootnoteReference"/>
        </w:rPr>
        <w:footnoteRef/>
      </w:r>
      <w:r>
        <w:t xml:space="preserve"> </w:t>
      </w:r>
      <w:r w:rsidRPr="00A30B59">
        <w:t>https://www.foundationmedicine.com/blog/partnerships-are-paving-the-way-for-improved-patient-options</w:t>
      </w:r>
    </w:p>
  </w:footnote>
  <w:footnote w:id="2">
    <w:p w14:paraId="2A1E89E7" w14:textId="77208AFB" w:rsidR="00810F30" w:rsidRDefault="00810F30">
      <w:pPr>
        <w:pStyle w:val="FootnoteText"/>
      </w:pPr>
      <w:r>
        <w:rPr>
          <w:rStyle w:val="FootnoteReference"/>
        </w:rPr>
        <w:footnoteRef/>
      </w:r>
      <w:r>
        <w:t xml:space="preserve"> </w:t>
      </w:r>
      <w:r w:rsidRPr="00F57A9C">
        <w:t>https://www.roche.com/media/releases/med-cor-2020-01-13.htm</w:t>
      </w:r>
    </w:p>
  </w:footnote>
  <w:footnote w:id="3">
    <w:p w14:paraId="35771104" w14:textId="77777777" w:rsidR="00810F30" w:rsidRDefault="00810F30" w:rsidP="004E584D">
      <w:pPr>
        <w:pStyle w:val="FootnoteText"/>
      </w:pPr>
      <w:r>
        <w:rPr>
          <w:rStyle w:val="FootnoteReference"/>
        </w:rPr>
        <w:footnoteRef/>
      </w:r>
      <w:r>
        <w:t xml:space="preserve"> </w:t>
      </w:r>
      <w:r w:rsidRPr="009E02BC">
        <w:t>https://www.cancer.org/cancer/non-small-cell-lung-cancer/detection-diagnosis-staging/survival-rates.html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2BD"/>
    <w:multiLevelType w:val="hybridMultilevel"/>
    <w:tmpl w:val="AB7A0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679BB"/>
    <w:multiLevelType w:val="hybridMultilevel"/>
    <w:tmpl w:val="B3DC84B2"/>
    <w:lvl w:ilvl="0" w:tplc="56C8A1F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0D011304"/>
    <w:multiLevelType w:val="hybridMultilevel"/>
    <w:tmpl w:val="881C3320"/>
    <w:lvl w:ilvl="0" w:tplc="1868BC5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526C03"/>
    <w:multiLevelType w:val="hybridMultilevel"/>
    <w:tmpl w:val="F1422E6C"/>
    <w:lvl w:ilvl="0" w:tplc="0C090001">
      <w:start w:val="1"/>
      <w:numFmt w:val="bullet"/>
      <w:lvlText w:val=""/>
      <w:lvlJc w:val="left"/>
      <w:pPr>
        <w:ind w:left="1046" w:hanging="360"/>
      </w:pPr>
      <w:rPr>
        <w:rFonts w:ascii="Symbol" w:hAnsi="Symbol" w:hint="default"/>
      </w:rPr>
    </w:lvl>
    <w:lvl w:ilvl="1" w:tplc="0C090003" w:tentative="1">
      <w:start w:val="1"/>
      <w:numFmt w:val="bullet"/>
      <w:lvlText w:val="o"/>
      <w:lvlJc w:val="left"/>
      <w:pPr>
        <w:ind w:left="1766" w:hanging="360"/>
      </w:pPr>
      <w:rPr>
        <w:rFonts w:ascii="Courier New" w:hAnsi="Courier New" w:cs="Courier New" w:hint="default"/>
      </w:rPr>
    </w:lvl>
    <w:lvl w:ilvl="2" w:tplc="0C090005" w:tentative="1">
      <w:start w:val="1"/>
      <w:numFmt w:val="bullet"/>
      <w:lvlText w:val=""/>
      <w:lvlJc w:val="left"/>
      <w:pPr>
        <w:ind w:left="2486" w:hanging="360"/>
      </w:pPr>
      <w:rPr>
        <w:rFonts w:ascii="Wingdings" w:hAnsi="Wingdings" w:hint="default"/>
      </w:rPr>
    </w:lvl>
    <w:lvl w:ilvl="3" w:tplc="0C090001" w:tentative="1">
      <w:start w:val="1"/>
      <w:numFmt w:val="bullet"/>
      <w:lvlText w:val=""/>
      <w:lvlJc w:val="left"/>
      <w:pPr>
        <w:ind w:left="3206" w:hanging="360"/>
      </w:pPr>
      <w:rPr>
        <w:rFonts w:ascii="Symbol" w:hAnsi="Symbol" w:hint="default"/>
      </w:rPr>
    </w:lvl>
    <w:lvl w:ilvl="4" w:tplc="0C090003" w:tentative="1">
      <w:start w:val="1"/>
      <w:numFmt w:val="bullet"/>
      <w:lvlText w:val="o"/>
      <w:lvlJc w:val="left"/>
      <w:pPr>
        <w:ind w:left="3926" w:hanging="360"/>
      </w:pPr>
      <w:rPr>
        <w:rFonts w:ascii="Courier New" w:hAnsi="Courier New" w:cs="Courier New" w:hint="default"/>
      </w:rPr>
    </w:lvl>
    <w:lvl w:ilvl="5" w:tplc="0C090005" w:tentative="1">
      <w:start w:val="1"/>
      <w:numFmt w:val="bullet"/>
      <w:lvlText w:val=""/>
      <w:lvlJc w:val="left"/>
      <w:pPr>
        <w:ind w:left="4646" w:hanging="360"/>
      </w:pPr>
      <w:rPr>
        <w:rFonts w:ascii="Wingdings" w:hAnsi="Wingdings" w:hint="default"/>
      </w:rPr>
    </w:lvl>
    <w:lvl w:ilvl="6" w:tplc="0C090001" w:tentative="1">
      <w:start w:val="1"/>
      <w:numFmt w:val="bullet"/>
      <w:lvlText w:val=""/>
      <w:lvlJc w:val="left"/>
      <w:pPr>
        <w:ind w:left="5366" w:hanging="360"/>
      </w:pPr>
      <w:rPr>
        <w:rFonts w:ascii="Symbol" w:hAnsi="Symbol" w:hint="default"/>
      </w:rPr>
    </w:lvl>
    <w:lvl w:ilvl="7" w:tplc="0C090003" w:tentative="1">
      <w:start w:val="1"/>
      <w:numFmt w:val="bullet"/>
      <w:lvlText w:val="o"/>
      <w:lvlJc w:val="left"/>
      <w:pPr>
        <w:ind w:left="6086" w:hanging="360"/>
      </w:pPr>
      <w:rPr>
        <w:rFonts w:ascii="Courier New" w:hAnsi="Courier New" w:cs="Courier New" w:hint="default"/>
      </w:rPr>
    </w:lvl>
    <w:lvl w:ilvl="8" w:tplc="0C090005" w:tentative="1">
      <w:start w:val="1"/>
      <w:numFmt w:val="bullet"/>
      <w:lvlText w:val=""/>
      <w:lvlJc w:val="left"/>
      <w:pPr>
        <w:ind w:left="6806" w:hanging="360"/>
      </w:pPr>
      <w:rPr>
        <w:rFonts w:ascii="Wingdings" w:hAnsi="Wingdings" w:hint="default"/>
      </w:rPr>
    </w:lvl>
  </w:abstractNum>
  <w:abstractNum w:abstractNumId="10" w15:restartNumberingAfterBreak="0">
    <w:nsid w:val="386540D3"/>
    <w:multiLevelType w:val="hybridMultilevel"/>
    <w:tmpl w:val="641A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693DB2"/>
    <w:multiLevelType w:val="hybridMultilevel"/>
    <w:tmpl w:val="12407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8D240E"/>
    <w:multiLevelType w:val="hybridMultilevel"/>
    <w:tmpl w:val="DBDC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4652038"/>
    <w:multiLevelType w:val="hybridMultilevel"/>
    <w:tmpl w:val="6A860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47DC097D"/>
    <w:multiLevelType w:val="hybridMultilevel"/>
    <w:tmpl w:val="7B4A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0F6FAE"/>
    <w:multiLevelType w:val="multilevel"/>
    <w:tmpl w:val="D5FA7F4A"/>
    <w:lvl w:ilvl="0">
      <w:start w:val="1"/>
      <w:numFmt w:val="decimal"/>
      <w:pStyle w:val="Heading2"/>
      <w:lvlText w:val="%1."/>
      <w:lvlJc w:val="left"/>
      <w:pPr>
        <w:ind w:left="2203"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F93DF6"/>
    <w:multiLevelType w:val="hybridMultilevel"/>
    <w:tmpl w:val="7862A46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7"/>
  </w:num>
  <w:num w:numId="2">
    <w:abstractNumId w:val="23"/>
  </w:num>
  <w:num w:numId="3">
    <w:abstractNumId w:val="2"/>
  </w:num>
  <w:num w:numId="4">
    <w:abstractNumId w:val="21"/>
  </w:num>
  <w:num w:numId="5">
    <w:abstractNumId w:val="6"/>
  </w:num>
  <w:num w:numId="6">
    <w:abstractNumId w:val="18"/>
  </w:num>
  <w:num w:numId="7">
    <w:abstractNumId w:val="13"/>
  </w:num>
  <w:num w:numId="8">
    <w:abstractNumId w:val="22"/>
  </w:num>
  <w:num w:numId="9">
    <w:abstractNumId w:val="5"/>
  </w:num>
  <w:num w:numId="10">
    <w:abstractNumId w:val="20"/>
  </w:num>
  <w:num w:numId="11">
    <w:abstractNumId w:val="8"/>
  </w:num>
  <w:num w:numId="12">
    <w:abstractNumId w:val="19"/>
  </w:num>
  <w:num w:numId="13">
    <w:abstractNumId w:val="7"/>
  </w:num>
  <w:num w:numId="14">
    <w:abstractNumId w:val="15"/>
  </w:num>
  <w:num w:numId="15">
    <w:abstractNumId w:val="1"/>
  </w:num>
  <w:num w:numId="16">
    <w:abstractNumId w:val="4"/>
  </w:num>
  <w:num w:numId="17">
    <w:abstractNumId w:val="3"/>
  </w:num>
  <w:num w:numId="18">
    <w:abstractNumId w:val="11"/>
  </w:num>
  <w:num w:numId="19">
    <w:abstractNumId w:val="16"/>
  </w:num>
  <w:num w:numId="20">
    <w:abstractNumId w:val="10"/>
  </w:num>
  <w:num w:numId="21">
    <w:abstractNumId w:val="12"/>
  </w:num>
  <w:num w:numId="22">
    <w:abstractNumId w:val="0"/>
  </w:num>
  <w:num w:numId="23">
    <w:abstractNumId w:val="9"/>
  </w:num>
  <w:num w:numId="24">
    <w:abstractNumId w:val="24"/>
  </w:num>
  <w:num w:numId="2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6"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 TG Edit&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trxwppgpd2wde2swb5es9g90ffpzr5dx2p&quot;&gt;HTAccess EndNote Library-Saved&lt;record-ids&gt;&lt;item&gt;4016&lt;/item&gt;&lt;item&gt;4017&lt;/item&gt;&lt;item&gt;4018&lt;/item&gt;&lt;item&gt;4020&lt;/item&gt;&lt;item&gt;4021&lt;/item&gt;&lt;item&gt;4022&lt;/item&gt;&lt;item&gt;4310&lt;/item&gt;&lt;item&gt;7929&lt;/item&gt;&lt;item&gt;7930&lt;/item&gt;&lt;item&gt;7933&lt;/item&gt;&lt;item&gt;7934&lt;/item&gt;&lt;item&gt;8819&lt;/item&gt;&lt;item&gt;8820&lt;/item&gt;&lt;/record-ids&gt;&lt;/item&gt;&lt;/Libraries&gt;"/>
  </w:docVars>
  <w:rsids>
    <w:rsidRoot w:val="00BF6AC5"/>
    <w:rsid w:val="00000C58"/>
    <w:rsid w:val="00001354"/>
    <w:rsid w:val="0000198D"/>
    <w:rsid w:val="00001B9A"/>
    <w:rsid w:val="0000266C"/>
    <w:rsid w:val="00003289"/>
    <w:rsid w:val="00003BAC"/>
    <w:rsid w:val="0000428A"/>
    <w:rsid w:val="000045B9"/>
    <w:rsid w:val="00004EF3"/>
    <w:rsid w:val="000050E5"/>
    <w:rsid w:val="00006855"/>
    <w:rsid w:val="000068BE"/>
    <w:rsid w:val="000070FF"/>
    <w:rsid w:val="0000767C"/>
    <w:rsid w:val="00007778"/>
    <w:rsid w:val="00007B9B"/>
    <w:rsid w:val="00007E8B"/>
    <w:rsid w:val="00010365"/>
    <w:rsid w:val="000110DC"/>
    <w:rsid w:val="00012181"/>
    <w:rsid w:val="00012781"/>
    <w:rsid w:val="00012808"/>
    <w:rsid w:val="0001289D"/>
    <w:rsid w:val="00012F01"/>
    <w:rsid w:val="00013575"/>
    <w:rsid w:val="00013F3F"/>
    <w:rsid w:val="0001403C"/>
    <w:rsid w:val="00014554"/>
    <w:rsid w:val="000149CF"/>
    <w:rsid w:val="000151A8"/>
    <w:rsid w:val="000158AA"/>
    <w:rsid w:val="000159B9"/>
    <w:rsid w:val="000167A9"/>
    <w:rsid w:val="00016B6E"/>
    <w:rsid w:val="00016E5A"/>
    <w:rsid w:val="000170C0"/>
    <w:rsid w:val="00017EBF"/>
    <w:rsid w:val="00020060"/>
    <w:rsid w:val="00020170"/>
    <w:rsid w:val="0002088E"/>
    <w:rsid w:val="000216DF"/>
    <w:rsid w:val="0002224E"/>
    <w:rsid w:val="000224EB"/>
    <w:rsid w:val="00022E59"/>
    <w:rsid w:val="000236E8"/>
    <w:rsid w:val="00023E21"/>
    <w:rsid w:val="00024BA3"/>
    <w:rsid w:val="00024D0F"/>
    <w:rsid w:val="00025409"/>
    <w:rsid w:val="0002581A"/>
    <w:rsid w:val="00025ABC"/>
    <w:rsid w:val="00025B02"/>
    <w:rsid w:val="000263F5"/>
    <w:rsid w:val="00026412"/>
    <w:rsid w:val="00027251"/>
    <w:rsid w:val="00027DED"/>
    <w:rsid w:val="00030CEF"/>
    <w:rsid w:val="00031F6F"/>
    <w:rsid w:val="00032A8C"/>
    <w:rsid w:val="000330D3"/>
    <w:rsid w:val="00033ACE"/>
    <w:rsid w:val="00033FBE"/>
    <w:rsid w:val="00034D6E"/>
    <w:rsid w:val="0003566A"/>
    <w:rsid w:val="00035EB0"/>
    <w:rsid w:val="000361A7"/>
    <w:rsid w:val="00036245"/>
    <w:rsid w:val="000363CA"/>
    <w:rsid w:val="000371CC"/>
    <w:rsid w:val="000400EF"/>
    <w:rsid w:val="00040458"/>
    <w:rsid w:val="00040535"/>
    <w:rsid w:val="00040F12"/>
    <w:rsid w:val="00041037"/>
    <w:rsid w:val="0004114F"/>
    <w:rsid w:val="00041276"/>
    <w:rsid w:val="000423B0"/>
    <w:rsid w:val="00042763"/>
    <w:rsid w:val="00042C7E"/>
    <w:rsid w:val="00043BA7"/>
    <w:rsid w:val="00044BAB"/>
    <w:rsid w:val="0004531A"/>
    <w:rsid w:val="0005016E"/>
    <w:rsid w:val="0005089D"/>
    <w:rsid w:val="00050B36"/>
    <w:rsid w:val="00050E4E"/>
    <w:rsid w:val="00051004"/>
    <w:rsid w:val="00051F8B"/>
    <w:rsid w:val="000525BC"/>
    <w:rsid w:val="00052E34"/>
    <w:rsid w:val="00053AA9"/>
    <w:rsid w:val="00053CB5"/>
    <w:rsid w:val="00053E08"/>
    <w:rsid w:val="00054327"/>
    <w:rsid w:val="00054577"/>
    <w:rsid w:val="000545C7"/>
    <w:rsid w:val="00054DDA"/>
    <w:rsid w:val="000566FE"/>
    <w:rsid w:val="00056F88"/>
    <w:rsid w:val="000570FE"/>
    <w:rsid w:val="000610CC"/>
    <w:rsid w:val="0006181E"/>
    <w:rsid w:val="00062F03"/>
    <w:rsid w:val="0006400E"/>
    <w:rsid w:val="000642EF"/>
    <w:rsid w:val="00065557"/>
    <w:rsid w:val="000659D4"/>
    <w:rsid w:val="000660E9"/>
    <w:rsid w:val="00066111"/>
    <w:rsid w:val="00066D51"/>
    <w:rsid w:val="00067A82"/>
    <w:rsid w:val="0007045A"/>
    <w:rsid w:val="00072221"/>
    <w:rsid w:val="000725E4"/>
    <w:rsid w:val="00073222"/>
    <w:rsid w:val="00073AC3"/>
    <w:rsid w:val="00073EC2"/>
    <w:rsid w:val="00074683"/>
    <w:rsid w:val="000754E4"/>
    <w:rsid w:val="00075594"/>
    <w:rsid w:val="00075798"/>
    <w:rsid w:val="0007591D"/>
    <w:rsid w:val="00075FEE"/>
    <w:rsid w:val="000770BA"/>
    <w:rsid w:val="00077A42"/>
    <w:rsid w:val="000802ED"/>
    <w:rsid w:val="00081943"/>
    <w:rsid w:val="00082091"/>
    <w:rsid w:val="000826C1"/>
    <w:rsid w:val="00082717"/>
    <w:rsid w:val="000827AD"/>
    <w:rsid w:val="00082FD2"/>
    <w:rsid w:val="00083145"/>
    <w:rsid w:val="00083393"/>
    <w:rsid w:val="0008376F"/>
    <w:rsid w:val="00083C46"/>
    <w:rsid w:val="00083CE4"/>
    <w:rsid w:val="00085722"/>
    <w:rsid w:val="0008737F"/>
    <w:rsid w:val="00087D01"/>
    <w:rsid w:val="00091343"/>
    <w:rsid w:val="0009155D"/>
    <w:rsid w:val="00091826"/>
    <w:rsid w:val="00092429"/>
    <w:rsid w:val="00092580"/>
    <w:rsid w:val="00092836"/>
    <w:rsid w:val="00093B8E"/>
    <w:rsid w:val="00093F1F"/>
    <w:rsid w:val="00094018"/>
    <w:rsid w:val="000940F8"/>
    <w:rsid w:val="00094E28"/>
    <w:rsid w:val="00094F8A"/>
    <w:rsid w:val="00095027"/>
    <w:rsid w:val="0009542E"/>
    <w:rsid w:val="000955E7"/>
    <w:rsid w:val="000962AF"/>
    <w:rsid w:val="00096852"/>
    <w:rsid w:val="000973E2"/>
    <w:rsid w:val="000973F9"/>
    <w:rsid w:val="000A0AA4"/>
    <w:rsid w:val="000A0E8A"/>
    <w:rsid w:val="000A110D"/>
    <w:rsid w:val="000A2286"/>
    <w:rsid w:val="000A2D56"/>
    <w:rsid w:val="000A404E"/>
    <w:rsid w:val="000A40AF"/>
    <w:rsid w:val="000A435C"/>
    <w:rsid w:val="000A478F"/>
    <w:rsid w:val="000A5537"/>
    <w:rsid w:val="000A55C6"/>
    <w:rsid w:val="000A5611"/>
    <w:rsid w:val="000A5B32"/>
    <w:rsid w:val="000A646D"/>
    <w:rsid w:val="000A73B9"/>
    <w:rsid w:val="000B2F0E"/>
    <w:rsid w:val="000B3CD0"/>
    <w:rsid w:val="000B44A6"/>
    <w:rsid w:val="000B5026"/>
    <w:rsid w:val="000B5417"/>
    <w:rsid w:val="000B59DF"/>
    <w:rsid w:val="000B6724"/>
    <w:rsid w:val="000B6921"/>
    <w:rsid w:val="000B6CB4"/>
    <w:rsid w:val="000B7A54"/>
    <w:rsid w:val="000C1385"/>
    <w:rsid w:val="000C19C3"/>
    <w:rsid w:val="000C1B95"/>
    <w:rsid w:val="000C2517"/>
    <w:rsid w:val="000C29BF"/>
    <w:rsid w:val="000C2A29"/>
    <w:rsid w:val="000C2DF6"/>
    <w:rsid w:val="000C3C20"/>
    <w:rsid w:val="000C47C3"/>
    <w:rsid w:val="000C6160"/>
    <w:rsid w:val="000C6F05"/>
    <w:rsid w:val="000C703D"/>
    <w:rsid w:val="000C7422"/>
    <w:rsid w:val="000D066E"/>
    <w:rsid w:val="000D0831"/>
    <w:rsid w:val="000D1503"/>
    <w:rsid w:val="000D24E0"/>
    <w:rsid w:val="000D2BF4"/>
    <w:rsid w:val="000D2EB9"/>
    <w:rsid w:val="000D3008"/>
    <w:rsid w:val="000D3628"/>
    <w:rsid w:val="000D3F99"/>
    <w:rsid w:val="000D4071"/>
    <w:rsid w:val="000D4139"/>
    <w:rsid w:val="000D44A7"/>
    <w:rsid w:val="000D5C79"/>
    <w:rsid w:val="000D6F7F"/>
    <w:rsid w:val="000D7CD9"/>
    <w:rsid w:val="000E013B"/>
    <w:rsid w:val="000E0458"/>
    <w:rsid w:val="000E0C84"/>
    <w:rsid w:val="000E0D7F"/>
    <w:rsid w:val="000E1262"/>
    <w:rsid w:val="000E13E9"/>
    <w:rsid w:val="000E3091"/>
    <w:rsid w:val="000E3B0C"/>
    <w:rsid w:val="000E3BA7"/>
    <w:rsid w:val="000E442F"/>
    <w:rsid w:val="000E47E7"/>
    <w:rsid w:val="000E5439"/>
    <w:rsid w:val="000E6E3B"/>
    <w:rsid w:val="000E75B8"/>
    <w:rsid w:val="000E7749"/>
    <w:rsid w:val="000F0355"/>
    <w:rsid w:val="000F18A1"/>
    <w:rsid w:val="000F1B86"/>
    <w:rsid w:val="000F222B"/>
    <w:rsid w:val="000F257F"/>
    <w:rsid w:val="000F264A"/>
    <w:rsid w:val="000F26F2"/>
    <w:rsid w:val="000F305F"/>
    <w:rsid w:val="000F3558"/>
    <w:rsid w:val="000F3712"/>
    <w:rsid w:val="000F3AB7"/>
    <w:rsid w:val="000F4B59"/>
    <w:rsid w:val="000F54FE"/>
    <w:rsid w:val="000F57AE"/>
    <w:rsid w:val="000F5BD4"/>
    <w:rsid w:val="000F5EB0"/>
    <w:rsid w:val="000F6AA2"/>
    <w:rsid w:val="000F6BED"/>
    <w:rsid w:val="000F6E48"/>
    <w:rsid w:val="000F71FD"/>
    <w:rsid w:val="000F7871"/>
    <w:rsid w:val="001005BE"/>
    <w:rsid w:val="00100A1B"/>
    <w:rsid w:val="00100FBA"/>
    <w:rsid w:val="00101C02"/>
    <w:rsid w:val="00102016"/>
    <w:rsid w:val="0010267A"/>
    <w:rsid w:val="00102686"/>
    <w:rsid w:val="00103692"/>
    <w:rsid w:val="00104332"/>
    <w:rsid w:val="00104CE7"/>
    <w:rsid w:val="00105A7E"/>
    <w:rsid w:val="001073B9"/>
    <w:rsid w:val="001076F4"/>
    <w:rsid w:val="00107890"/>
    <w:rsid w:val="001079F8"/>
    <w:rsid w:val="00107E6A"/>
    <w:rsid w:val="0011036E"/>
    <w:rsid w:val="00111904"/>
    <w:rsid w:val="001120D0"/>
    <w:rsid w:val="001123D2"/>
    <w:rsid w:val="001130B0"/>
    <w:rsid w:val="0011369B"/>
    <w:rsid w:val="00113B93"/>
    <w:rsid w:val="001142FA"/>
    <w:rsid w:val="00114523"/>
    <w:rsid w:val="00114B22"/>
    <w:rsid w:val="00114F4A"/>
    <w:rsid w:val="001167FF"/>
    <w:rsid w:val="00116929"/>
    <w:rsid w:val="0011742E"/>
    <w:rsid w:val="00117464"/>
    <w:rsid w:val="00120172"/>
    <w:rsid w:val="001206AB"/>
    <w:rsid w:val="00120F8A"/>
    <w:rsid w:val="001214C8"/>
    <w:rsid w:val="00122018"/>
    <w:rsid w:val="00122089"/>
    <w:rsid w:val="0012239F"/>
    <w:rsid w:val="00123D10"/>
    <w:rsid w:val="00124DE1"/>
    <w:rsid w:val="001253D7"/>
    <w:rsid w:val="00126B33"/>
    <w:rsid w:val="00126E9E"/>
    <w:rsid w:val="00126EF8"/>
    <w:rsid w:val="00127524"/>
    <w:rsid w:val="001275C6"/>
    <w:rsid w:val="00131325"/>
    <w:rsid w:val="0013160D"/>
    <w:rsid w:val="00131CBC"/>
    <w:rsid w:val="00131F29"/>
    <w:rsid w:val="00132489"/>
    <w:rsid w:val="00132507"/>
    <w:rsid w:val="001327D8"/>
    <w:rsid w:val="00132E2E"/>
    <w:rsid w:val="001330A5"/>
    <w:rsid w:val="00133404"/>
    <w:rsid w:val="00133649"/>
    <w:rsid w:val="00133E0E"/>
    <w:rsid w:val="0013432D"/>
    <w:rsid w:val="00135800"/>
    <w:rsid w:val="0014031C"/>
    <w:rsid w:val="0014063F"/>
    <w:rsid w:val="00141AFE"/>
    <w:rsid w:val="00141D12"/>
    <w:rsid w:val="00141E43"/>
    <w:rsid w:val="00142CF5"/>
    <w:rsid w:val="001434B0"/>
    <w:rsid w:val="00143FAE"/>
    <w:rsid w:val="00144F19"/>
    <w:rsid w:val="001465B5"/>
    <w:rsid w:val="00146644"/>
    <w:rsid w:val="0014746B"/>
    <w:rsid w:val="001478C4"/>
    <w:rsid w:val="00147F6C"/>
    <w:rsid w:val="001510DF"/>
    <w:rsid w:val="001533B4"/>
    <w:rsid w:val="00153779"/>
    <w:rsid w:val="001544D2"/>
    <w:rsid w:val="00154B00"/>
    <w:rsid w:val="00154C21"/>
    <w:rsid w:val="00155FC2"/>
    <w:rsid w:val="001561E5"/>
    <w:rsid w:val="001574EF"/>
    <w:rsid w:val="0015769F"/>
    <w:rsid w:val="00157F0D"/>
    <w:rsid w:val="001602F6"/>
    <w:rsid w:val="001603C8"/>
    <w:rsid w:val="00160F04"/>
    <w:rsid w:val="00160F4C"/>
    <w:rsid w:val="00161AB9"/>
    <w:rsid w:val="00161EF8"/>
    <w:rsid w:val="00163273"/>
    <w:rsid w:val="001638E8"/>
    <w:rsid w:val="00163A6B"/>
    <w:rsid w:val="00163FFD"/>
    <w:rsid w:val="00164041"/>
    <w:rsid w:val="001640BA"/>
    <w:rsid w:val="001644E9"/>
    <w:rsid w:val="001646C6"/>
    <w:rsid w:val="00164E14"/>
    <w:rsid w:val="00165BFA"/>
    <w:rsid w:val="00165DF2"/>
    <w:rsid w:val="001701DD"/>
    <w:rsid w:val="00170A18"/>
    <w:rsid w:val="00171466"/>
    <w:rsid w:val="00171ED4"/>
    <w:rsid w:val="00175E74"/>
    <w:rsid w:val="00176760"/>
    <w:rsid w:val="00177A90"/>
    <w:rsid w:val="001805BA"/>
    <w:rsid w:val="00180CF8"/>
    <w:rsid w:val="00180F27"/>
    <w:rsid w:val="0018151F"/>
    <w:rsid w:val="001820F5"/>
    <w:rsid w:val="00182AE6"/>
    <w:rsid w:val="00182CC3"/>
    <w:rsid w:val="001839C8"/>
    <w:rsid w:val="001845D9"/>
    <w:rsid w:val="00185F6D"/>
    <w:rsid w:val="0018630F"/>
    <w:rsid w:val="00187563"/>
    <w:rsid w:val="00187ACD"/>
    <w:rsid w:val="001903C8"/>
    <w:rsid w:val="001904AD"/>
    <w:rsid w:val="00190621"/>
    <w:rsid w:val="001906CD"/>
    <w:rsid w:val="00190F98"/>
    <w:rsid w:val="001918D3"/>
    <w:rsid w:val="0019191A"/>
    <w:rsid w:val="00191B99"/>
    <w:rsid w:val="00191C54"/>
    <w:rsid w:val="00191FC6"/>
    <w:rsid w:val="00192180"/>
    <w:rsid w:val="00192576"/>
    <w:rsid w:val="00192BED"/>
    <w:rsid w:val="001933E5"/>
    <w:rsid w:val="0019467B"/>
    <w:rsid w:val="001946C4"/>
    <w:rsid w:val="00195A3C"/>
    <w:rsid w:val="00195B3E"/>
    <w:rsid w:val="0019694B"/>
    <w:rsid w:val="001975BE"/>
    <w:rsid w:val="00197757"/>
    <w:rsid w:val="00197D29"/>
    <w:rsid w:val="001A02E3"/>
    <w:rsid w:val="001A04B3"/>
    <w:rsid w:val="001A0959"/>
    <w:rsid w:val="001A1516"/>
    <w:rsid w:val="001A1ADF"/>
    <w:rsid w:val="001A2080"/>
    <w:rsid w:val="001A2177"/>
    <w:rsid w:val="001A2ED7"/>
    <w:rsid w:val="001A3450"/>
    <w:rsid w:val="001A365C"/>
    <w:rsid w:val="001A3F06"/>
    <w:rsid w:val="001A4574"/>
    <w:rsid w:val="001A51B1"/>
    <w:rsid w:val="001A5888"/>
    <w:rsid w:val="001A589E"/>
    <w:rsid w:val="001A61DD"/>
    <w:rsid w:val="001A7262"/>
    <w:rsid w:val="001B06E7"/>
    <w:rsid w:val="001B1381"/>
    <w:rsid w:val="001B171D"/>
    <w:rsid w:val="001B18B1"/>
    <w:rsid w:val="001B204E"/>
    <w:rsid w:val="001B25DE"/>
    <w:rsid w:val="001B26C1"/>
    <w:rsid w:val="001B29A1"/>
    <w:rsid w:val="001B2B5A"/>
    <w:rsid w:val="001B32B9"/>
    <w:rsid w:val="001B3C57"/>
    <w:rsid w:val="001B5169"/>
    <w:rsid w:val="001B5928"/>
    <w:rsid w:val="001B6164"/>
    <w:rsid w:val="001B6299"/>
    <w:rsid w:val="001B6D93"/>
    <w:rsid w:val="001C000B"/>
    <w:rsid w:val="001C16A8"/>
    <w:rsid w:val="001C2E54"/>
    <w:rsid w:val="001C36D8"/>
    <w:rsid w:val="001C53B5"/>
    <w:rsid w:val="001C5413"/>
    <w:rsid w:val="001C5951"/>
    <w:rsid w:val="001C5BD8"/>
    <w:rsid w:val="001C5FEA"/>
    <w:rsid w:val="001C6C34"/>
    <w:rsid w:val="001D022F"/>
    <w:rsid w:val="001D0311"/>
    <w:rsid w:val="001D0C6C"/>
    <w:rsid w:val="001D1009"/>
    <w:rsid w:val="001D2324"/>
    <w:rsid w:val="001D325E"/>
    <w:rsid w:val="001D3F55"/>
    <w:rsid w:val="001D4130"/>
    <w:rsid w:val="001D41D0"/>
    <w:rsid w:val="001D53AA"/>
    <w:rsid w:val="001D5415"/>
    <w:rsid w:val="001D5490"/>
    <w:rsid w:val="001D596B"/>
    <w:rsid w:val="001D6DE9"/>
    <w:rsid w:val="001D73C1"/>
    <w:rsid w:val="001D75DE"/>
    <w:rsid w:val="001D77CE"/>
    <w:rsid w:val="001D77ED"/>
    <w:rsid w:val="001D7CA2"/>
    <w:rsid w:val="001D7D6E"/>
    <w:rsid w:val="001E0954"/>
    <w:rsid w:val="001E0D28"/>
    <w:rsid w:val="001E1180"/>
    <w:rsid w:val="001E1A29"/>
    <w:rsid w:val="001E1DC2"/>
    <w:rsid w:val="001E2225"/>
    <w:rsid w:val="001E2232"/>
    <w:rsid w:val="001E23EA"/>
    <w:rsid w:val="001E34DF"/>
    <w:rsid w:val="001E3C7D"/>
    <w:rsid w:val="001E5758"/>
    <w:rsid w:val="001E5D36"/>
    <w:rsid w:val="001E6919"/>
    <w:rsid w:val="001E6958"/>
    <w:rsid w:val="001E6C49"/>
    <w:rsid w:val="001E6E79"/>
    <w:rsid w:val="001E72EC"/>
    <w:rsid w:val="001F02C6"/>
    <w:rsid w:val="001F0AB5"/>
    <w:rsid w:val="001F197F"/>
    <w:rsid w:val="001F2338"/>
    <w:rsid w:val="001F254F"/>
    <w:rsid w:val="001F3437"/>
    <w:rsid w:val="001F3B86"/>
    <w:rsid w:val="001F3D55"/>
    <w:rsid w:val="001F3E94"/>
    <w:rsid w:val="001F44CB"/>
    <w:rsid w:val="001F4581"/>
    <w:rsid w:val="001F5002"/>
    <w:rsid w:val="001F5281"/>
    <w:rsid w:val="001F67D0"/>
    <w:rsid w:val="001F7678"/>
    <w:rsid w:val="002005CD"/>
    <w:rsid w:val="00200B06"/>
    <w:rsid w:val="002013D5"/>
    <w:rsid w:val="00201924"/>
    <w:rsid w:val="00202473"/>
    <w:rsid w:val="00204FFD"/>
    <w:rsid w:val="002053F2"/>
    <w:rsid w:val="002069A6"/>
    <w:rsid w:val="00206D63"/>
    <w:rsid w:val="00207A32"/>
    <w:rsid w:val="00207D18"/>
    <w:rsid w:val="00210F3C"/>
    <w:rsid w:val="00211144"/>
    <w:rsid w:val="00211260"/>
    <w:rsid w:val="00211815"/>
    <w:rsid w:val="0021185D"/>
    <w:rsid w:val="002128EF"/>
    <w:rsid w:val="00212AB3"/>
    <w:rsid w:val="00213089"/>
    <w:rsid w:val="0021347B"/>
    <w:rsid w:val="00213778"/>
    <w:rsid w:val="00214172"/>
    <w:rsid w:val="002148CB"/>
    <w:rsid w:val="00215B35"/>
    <w:rsid w:val="00216040"/>
    <w:rsid w:val="00216A4C"/>
    <w:rsid w:val="00216B16"/>
    <w:rsid w:val="00217755"/>
    <w:rsid w:val="002179C0"/>
    <w:rsid w:val="00222755"/>
    <w:rsid w:val="00222A18"/>
    <w:rsid w:val="00223588"/>
    <w:rsid w:val="00223C7E"/>
    <w:rsid w:val="00223D07"/>
    <w:rsid w:val="00223E87"/>
    <w:rsid w:val="00223F74"/>
    <w:rsid w:val="002243BC"/>
    <w:rsid w:val="00224F07"/>
    <w:rsid w:val="00225180"/>
    <w:rsid w:val="00225CCF"/>
    <w:rsid w:val="00225EC0"/>
    <w:rsid w:val="002263D0"/>
    <w:rsid w:val="00226714"/>
    <w:rsid w:val="00226777"/>
    <w:rsid w:val="0022705D"/>
    <w:rsid w:val="00227B1B"/>
    <w:rsid w:val="002328EE"/>
    <w:rsid w:val="002330D3"/>
    <w:rsid w:val="00233252"/>
    <w:rsid w:val="00233597"/>
    <w:rsid w:val="00233C0D"/>
    <w:rsid w:val="00234464"/>
    <w:rsid w:val="002344F2"/>
    <w:rsid w:val="00234E0F"/>
    <w:rsid w:val="00235BD1"/>
    <w:rsid w:val="0023787E"/>
    <w:rsid w:val="00237F84"/>
    <w:rsid w:val="00241BE2"/>
    <w:rsid w:val="0024239F"/>
    <w:rsid w:val="00242B0E"/>
    <w:rsid w:val="002438D7"/>
    <w:rsid w:val="00244E0A"/>
    <w:rsid w:val="00246803"/>
    <w:rsid w:val="00247107"/>
    <w:rsid w:val="002472B8"/>
    <w:rsid w:val="00247DF0"/>
    <w:rsid w:val="00250AF7"/>
    <w:rsid w:val="00250E7A"/>
    <w:rsid w:val="00251320"/>
    <w:rsid w:val="00251EA1"/>
    <w:rsid w:val="002524FA"/>
    <w:rsid w:val="00252577"/>
    <w:rsid w:val="00254388"/>
    <w:rsid w:val="00254813"/>
    <w:rsid w:val="00254BA4"/>
    <w:rsid w:val="002550E6"/>
    <w:rsid w:val="00256559"/>
    <w:rsid w:val="0025742B"/>
    <w:rsid w:val="00257C43"/>
    <w:rsid w:val="00257FF2"/>
    <w:rsid w:val="002606B5"/>
    <w:rsid w:val="00260783"/>
    <w:rsid w:val="0026098F"/>
    <w:rsid w:val="00260EA4"/>
    <w:rsid w:val="00261A01"/>
    <w:rsid w:val="0026376A"/>
    <w:rsid w:val="00263B47"/>
    <w:rsid w:val="00263BB2"/>
    <w:rsid w:val="002641C7"/>
    <w:rsid w:val="0026472B"/>
    <w:rsid w:val="002651C6"/>
    <w:rsid w:val="0026527E"/>
    <w:rsid w:val="00265342"/>
    <w:rsid w:val="00265822"/>
    <w:rsid w:val="00267311"/>
    <w:rsid w:val="00270248"/>
    <w:rsid w:val="0027105F"/>
    <w:rsid w:val="002711FB"/>
    <w:rsid w:val="002718F6"/>
    <w:rsid w:val="002736C2"/>
    <w:rsid w:val="002738DD"/>
    <w:rsid w:val="0027425C"/>
    <w:rsid w:val="00274528"/>
    <w:rsid w:val="002746CD"/>
    <w:rsid w:val="00276D8C"/>
    <w:rsid w:val="00277C12"/>
    <w:rsid w:val="00280149"/>
    <w:rsid w:val="00280175"/>
    <w:rsid w:val="00281E8A"/>
    <w:rsid w:val="0028256E"/>
    <w:rsid w:val="00282C12"/>
    <w:rsid w:val="00282F25"/>
    <w:rsid w:val="00283318"/>
    <w:rsid w:val="002834C5"/>
    <w:rsid w:val="00283C9D"/>
    <w:rsid w:val="0028451A"/>
    <w:rsid w:val="00284917"/>
    <w:rsid w:val="00285525"/>
    <w:rsid w:val="00285C9D"/>
    <w:rsid w:val="00286719"/>
    <w:rsid w:val="00286B49"/>
    <w:rsid w:val="00286DA7"/>
    <w:rsid w:val="0028739F"/>
    <w:rsid w:val="00287685"/>
    <w:rsid w:val="00290160"/>
    <w:rsid w:val="002918F9"/>
    <w:rsid w:val="00292C31"/>
    <w:rsid w:val="0029344C"/>
    <w:rsid w:val="00293D53"/>
    <w:rsid w:val="002944ED"/>
    <w:rsid w:val="00294CD8"/>
    <w:rsid w:val="00295504"/>
    <w:rsid w:val="00295CE5"/>
    <w:rsid w:val="00295E94"/>
    <w:rsid w:val="002965EA"/>
    <w:rsid w:val="00297211"/>
    <w:rsid w:val="002A0CC3"/>
    <w:rsid w:val="002A22BE"/>
    <w:rsid w:val="002A270B"/>
    <w:rsid w:val="002A3B24"/>
    <w:rsid w:val="002A3E9F"/>
    <w:rsid w:val="002A415B"/>
    <w:rsid w:val="002A50FD"/>
    <w:rsid w:val="002A53A5"/>
    <w:rsid w:val="002A53B7"/>
    <w:rsid w:val="002A625D"/>
    <w:rsid w:val="002A65A6"/>
    <w:rsid w:val="002A6753"/>
    <w:rsid w:val="002A690B"/>
    <w:rsid w:val="002B0A32"/>
    <w:rsid w:val="002B0BCE"/>
    <w:rsid w:val="002B0E48"/>
    <w:rsid w:val="002B0F69"/>
    <w:rsid w:val="002B1C67"/>
    <w:rsid w:val="002B28D7"/>
    <w:rsid w:val="002B36AD"/>
    <w:rsid w:val="002B3765"/>
    <w:rsid w:val="002B38E4"/>
    <w:rsid w:val="002B3BB3"/>
    <w:rsid w:val="002B3BB4"/>
    <w:rsid w:val="002B4833"/>
    <w:rsid w:val="002B531C"/>
    <w:rsid w:val="002B60B0"/>
    <w:rsid w:val="002B6391"/>
    <w:rsid w:val="002B6C0E"/>
    <w:rsid w:val="002B7EB6"/>
    <w:rsid w:val="002B7FE0"/>
    <w:rsid w:val="002C0B61"/>
    <w:rsid w:val="002C0FB1"/>
    <w:rsid w:val="002C120E"/>
    <w:rsid w:val="002C15E6"/>
    <w:rsid w:val="002C17BD"/>
    <w:rsid w:val="002C1DAC"/>
    <w:rsid w:val="002C247D"/>
    <w:rsid w:val="002C2CA2"/>
    <w:rsid w:val="002C3345"/>
    <w:rsid w:val="002C402C"/>
    <w:rsid w:val="002C48DC"/>
    <w:rsid w:val="002C5AC6"/>
    <w:rsid w:val="002C7146"/>
    <w:rsid w:val="002C71E2"/>
    <w:rsid w:val="002C77D5"/>
    <w:rsid w:val="002D0D26"/>
    <w:rsid w:val="002D0F6E"/>
    <w:rsid w:val="002D19D6"/>
    <w:rsid w:val="002D2AAA"/>
    <w:rsid w:val="002D2C46"/>
    <w:rsid w:val="002D32BB"/>
    <w:rsid w:val="002D409A"/>
    <w:rsid w:val="002D41E7"/>
    <w:rsid w:val="002D4B2E"/>
    <w:rsid w:val="002D50FA"/>
    <w:rsid w:val="002D519B"/>
    <w:rsid w:val="002D619E"/>
    <w:rsid w:val="002D693C"/>
    <w:rsid w:val="002D765D"/>
    <w:rsid w:val="002D7688"/>
    <w:rsid w:val="002E046A"/>
    <w:rsid w:val="002E1834"/>
    <w:rsid w:val="002E2691"/>
    <w:rsid w:val="002E2D60"/>
    <w:rsid w:val="002E2F15"/>
    <w:rsid w:val="002E32C5"/>
    <w:rsid w:val="002E3883"/>
    <w:rsid w:val="002E3939"/>
    <w:rsid w:val="002E4EC7"/>
    <w:rsid w:val="002E5086"/>
    <w:rsid w:val="002E5C81"/>
    <w:rsid w:val="002E5E34"/>
    <w:rsid w:val="002E5F79"/>
    <w:rsid w:val="002E6B11"/>
    <w:rsid w:val="002E6E84"/>
    <w:rsid w:val="002F07B5"/>
    <w:rsid w:val="002F25A0"/>
    <w:rsid w:val="002F30E7"/>
    <w:rsid w:val="002F314E"/>
    <w:rsid w:val="002F4BA7"/>
    <w:rsid w:val="002F54C0"/>
    <w:rsid w:val="002F5891"/>
    <w:rsid w:val="002F66DE"/>
    <w:rsid w:val="002F6724"/>
    <w:rsid w:val="002F699B"/>
    <w:rsid w:val="002F71B3"/>
    <w:rsid w:val="002F71BB"/>
    <w:rsid w:val="002F72C9"/>
    <w:rsid w:val="00300649"/>
    <w:rsid w:val="003007E4"/>
    <w:rsid w:val="00300EEB"/>
    <w:rsid w:val="003013A9"/>
    <w:rsid w:val="003020B5"/>
    <w:rsid w:val="003027BB"/>
    <w:rsid w:val="00304BFD"/>
    <w:rsid w:val="0030543E"/>
    <w:rsid w:val="00305A42"/>
    <w:rsid w:val="00305DC4"/>
    <w:rsid w:val="00305F0C"/>
    <w:rsid w:val="00305F8E"/>
    <w:rsid w:val="003073EA"/>
    <w:rsid w:val="00307AFB"/>
    <w:rsid w:val="00307EEC"/>
    <w:rsid w:val="003108CC"/>
    <w:rsid w:val="00310A10"/>
    <w:rsid w:val="00311AB2"/>
    <w:rsid w:val="00312324"/>
    <w:rsid w:val="00312514"/>
    <w:rsid w:val="00312F68"/>
    <w:rsid w:val="00313C04"/>
    <w:rsid w:val="003140A5"/>
    <w:rsid w:val="00314200"/>
    <w:rsid w:val="00314D47"/>
    <w:rsid w:val="00314DB7"/>
    <w:rsid w:val="00314DD4"/>
    <w:rsid w:val="00315022"/>
    <w:rsid w:val="00315805"/>
    <w:rsid w:val="00315D40"/>
    <w:rsid w:val="00316A65"/>
    <w:rsid w:val="00316E0E"/>
    <w:rsid w:val="003178C5"/>
    <w:rsid w:val="0032019C"/>
    <w:rsid w:val="00320360"/>
    <w:rsid w:val="0032068F"/>
    <w:rsid w:val="00320890"/>
    <w:rsid w:val="003209BE"/>
    <w:rsid w:val="00320C3F"/>
    <w:rsid w:val="00321082"/>
    <w:rsid w:val="0032119F"/>
    <w:rsid w:val="0032199C"/>
    <w:rsid w:val="0032393F"/>
    <w:rsid w:val="00323978"/>
    <w:rsid w:val="00326048"/>
    <w:rsid w:val="003261A8"/>
    <w:rsid w:val="00327CDE"/>
    <w:rsid w:val="00327D25"/>
    <w:rsid w:val="00330AD0"/>
    <w:rsid w:val="00330B58"/>
    <w:rsid w:val="00331734"/>
    <w:rsid w:val="003319A7"/>
    <w:rsid w:val="00331F55"/>
    <w:rsid w:val="00333041"/>
    <w:rsid w:val="00333BED"/>
    <w:rsid w:val="00334FE3"/>
    <w:rsid w:val="003362BE"/>
    <w:rsid w:val="0033786B"/>
    <w:rsid w:val="00340609"/>
    <w:rsid w:val="00340BCD"/>
    <w:rsid w:val="003418EB"/>
    <w:rsid w:val="00341A97"/>
    <w:rsid w:val="003421AE"/>
    <w:rsid w:val="003433D1"/>
    <w:rsid w:val="003434A3"/>
    <w:rsid w:val="003444C9"/>
    <w:rsid w:val="00344B24"/>
    <w:rsid w:val="00345012"/>
    <w:rsid w:val="00345062"/>
    <w:rsid w:val="003456B9"/>
    <w:rsid w:val="00345CA0"/>
    <w:rsid w:val="003462CB"/>
    <w:rsid w:val="0034658B"/>
    <w:rsid w:val="0034666D"/>
    <w:rsid w:val="00346FF4"/>
    <w:rsid w:val="003472C9"/>
    <w:rsid w:val="003476FE"/>
    <w:rsid w:val="00347B5A"/>
    <w:rsid w:val="0035067D"/>
    <w:rsid w:val="003506EB"/>
    <w:rsid w:val="003506EF"/>
    <w:rsid w:val="00350ABB"/>
    <w:rsid w:val="00352464"/>
    <w:rsid w:val="00352F2A"/>
    <w:rsid w:val="00353A16"/>
    <w:rsid w:val="003544DA"/>
    <w:rsid w:val="00355F50"/>
    <w:rsid w:val="00355F9F"/>
    <w:rsid w:val="00356A62"/>
    <w:rsid w:val="00356CFC"/>
    <w:rsid w:val="003576E1"/>
    <w:rsid w:val="0035776D"/>
    <w:rsid w:val="0035799B"/>
    <w:rsid w:val="00360048"/>
    <w:rsid w:val="00360AF0"/>
    <w:rsid w:val="00360D8C"/>
    <w:rsid w:val="00361141"/>
    <w:rsid w:val="00361783"/>
    <w:rsid w:val="00363697"/>
    <w:rsid w:val="00363931"/>
    <w:rsid w:val="00363DEA"/>
    <w:rsid w:val="003644E0"/>
    <w:rsid w:val="00364D55"/>
    <w:rsid w:val="00364FD9"/>
    <w:rsid w:val="003669AD"/>
    <w:rsid w:val="00366B81"/>
    <w:rsid w:val="00367799"/>
    <w:rsid w:val="00367C1B"/>
    <w:rsid w:val="0037062C"/>
    <w:rsid w:val="003706BD"/>
    <w:rsid w:val="003709F6"/>
    <w:rsid w:val="003715C5"/>
    <w:rsid w:val="00372024"/>
    <w:rsid w:val="003720F4"/>
    <w:rsid w:val="0037219B"/>
    <w:rsid w:val="0037367D"/>
    <w:rsid w:val="003736C6"/>
    <w:rsid w:val="00373D13"/>
    <w:rsid w:val="00373F4B"/>
    <w:rsid w:val="003740AA"/>
    <w:rsid w:val="00374DB2"/>
    <w:rsid w:val="00375F46"/>
    <w:rsid w:val="00376B38"/>
    <w:rsid w:val="00376B61"/>
    <w:rsid w:val="00377277"/>
    <w:rsid w:val="00377604"/>
    <w:rsid w:val="003805FC"/>
    <w:rsid w:val="00382407"/>
    <w:rsid w:val="00382B43"/>
    <w:rsid w:val="00383BA6"/>
    <w:rsid w:val="003844CF"/>
    <w:rsid w:val="0038459F"/>
    <w:rsid w:val="00384BE5"/>
    <w:rsid w:val="00386007"/>
    <w:rsid w:val="00386A64"/>
    <w:rsid w:val="00386FA1"/>
    <w:rsid w:val="00390142"/>
    <w:rsid w:val="0039085B"/>
    <w:rsid w:val="00391725"/>
    <w:rsid w:val="00391E42"/>
    <w:rsid w:val="00391F44"/>
    <w:rsid w:val="00391F4B"/>
    <w:rsid w:val="0039261E"/>
    <w:rsid w:val="00392F00"/>
    <w:rsid w:val="00392F43"/>
    <w:rsid w:val="00393A84"/>
    <w:rsid w:val="00393FFC"/>
    <w:rsid w:val="003940F5"/>
    <w:rsid w:val="00394105"/>
    <w:rsid w:val="0039488F"/>
    <w:rsid w:val="00394EBB"/>
    <w:rsid w:val="003959A5"/>
    <w:rsid w:val="00395C58"/>
    <w:rsid w:val="00395D9B"/>
    <w:rsid w:val="00397377"/>
    <w:rsid w:val="00397E72"/>
    <w:rsid w:val="003A0255"/>
    <w:rsid w:val="003A0881"/>
    <w:rsid w:val="003A106C"/>
    <w:rsid w:val="003A1670"/>
    <w:rsid w:val="003A22DE"/>
    <w:rsid w:val="003A2860"/>
    <w:rsid w:val="003A29B6"/>
    <w:rsid w:val="003A29E8"/>
    <w:rsid w:val="003A3ADA"/>
    <w:rsid w:val="003A3C35"/>
    <w:rsid w:val="003A5687"/>
    <w:rsid w:val="003A7165"/>
    <w:rsid w:val="003A775A"/>
    <w:rsid w:val="003A7D30"/>
    <w:rsid w:val="003B0182"/>
    <w:rsid w:val="003B0184"/>
    <w:rsid w:val="003B1258"/>
    <w:rsid w:val="003B1846"/>
    <w:rsid w:val="003B2313"/>
    <w:rsid w:val="003B2E4E"/>
    <w:rsid w:val="003B33B2"/>
    <w:rsid w:val="003B357B"/>
    <w:rsid w:val="003B3B0D"/>
    <w:rsid w:val="003B3C5C"/>
    <w:rsid w:val="003B45F9"/>
    <w:rsid w:val="003B4864"/>
    <w:rsid w:val="003B4A32"/>
    <w:rsid w:val="003B5186"/>
    <w:rsid w:val="003B5415"/>
    <w:rsid w:val="003B54D3"/>
    <w:rsid w:val="003B5BBD"/>
    <w:rsid w:val="003B5DCE"/>
    <w:rsid w:val="003B6A49"/>
    <w:rsid w:val="003B728D"/>
    <w:rsid w:val="003B7DBC"/>
    <w:rsid w:val="003C0A85"/>
    <w:rsid w:val="003C338C"/>
    <w:rsid w:val="003C3618"/>
    <w:rsid w:val="003C3AF8"/>
    <w:rsid w:val="003C4491"/>
    <w:rsid w:val="003C47CA"/>
    <w:rsid w:val="003C5094"/>
    <w:rsid w:val="003C53AF"/>
    <w:rsid w:val="003C5EE1"/>
    <w:rsid w:val="003C6EDF"/>
    <w:rsid w:val="003C74DF"/>
    <w:rsid w:val="003C75AB"/>
    <w:rsid w:val="003C7801"/>
    <w:rsid w:val="003D1B67"/>
    <w:rsid w:val="003D3503"/>
    <w:rsid w:val="003D3DEE"/>
    <w:rsid w:val="003D414E"/>
    <w:rsid w:val="003D47B6"/>
    <w:rsid w:val="003D4FCC"/>
    <w:rsid w:val="003D54B3"/>
    <w:rsid w:val="003D57B7"/>
    <w:rsid w:val="003D5AB5"/>
    <w:rsid w:val="003D62B9"/>
    <w:rsid w:val="003D6DE1"/>
    <w:rsid w:val="003D78BD"/>
    <w:rsid w:val="003D795C"/>
    <w:rsid w:val="003D7B12"/>
    <w:rsid w:val="003E02AD"/>
    <w:rsid w:val="003E05C4"/>
    <w:rsid w:val="003E05E1"/>
    <w:rsid w:val="003E0B1A"/>
    <w:rsid w:val="003E0BF1"/>
    <w:rsid w:val="003E13B0"/>
    <w:rsid w:val="003E1413"/>
    <w:rsid w:val="003E1555"/>
    <w:rsid w:val="003E2CA2"/>
    <w:rsid w:val="003E30FB"/>
    <w:rsid w:val="003E35F8"/>
    <w:rsid w:val="003E3863"/>
    <w:rsid w:val="003E38D8"/>
    <w:rsid w:val="003E505D"/>
    <w:rsid w:val="003E5E7D"/>
    <w:rsid w:val="003E6640"/>
    <w:rsid w:val="003E72E9"/>
    <w:rsid w:val="003F012F"/>
    <w:rsid w:val="003F2360"/>
    <w:rsid w:val="003F2711"/>
    <w:rsid w:val="003F2C83"/>
    <w:rsid w:val="003F369F"/>
    <w:rsid w:val="003F3C8B"/>
    <w:rsid w:val="003F3D3F"/>
    <w:rsid w:val="003F3F78"/>
    <w:rsid w:val="003F5225"/>
    <w:rsid w:val="003F569A"/>
    <w:rsid w:val="003F65E2"/>
    <w:rsid w:val="003F6C70"/>
    <w:rsid w:val="003F6FCF"/>
    <w:rsid w:val="003F7468"/>
    <w:rsid w:val="003F7CB9"/>
    <w:rsid w:val="003F7D0C"/>
    <w:rsid w:val="00400CF2"/>
    <w:rsid w:val="00400DE0"/>
    <w:rsid w:val="00401632"/>
    <w:rsid w:val="004029D4"/>
    <w:rsid w:val="0040302C"/>
    <w:rsid w:val="0040306A"/>
    <w:rsid w:val="00403333"/>
    <w:rsid w:val="00403534"/>
    <w:rsid w:val="00403B3E"/>
    <w:rsid w:val="00403F96"/>
    <w:rsid w:val="00403FF4"/>
    <w:rsid w:val="00404389"/>
    <w:rsid w:val="0040527E"/>
    <w:rsid w:val="00405393"/>
    <w:rsid w:val="00405782"/>
    <w:rsid w:val="00405AC0"/>
    <w:rsid w:val="0040601C"/>
    <w:rsid w:val="0040640E"/>
    <w:rsid w:val="00406444"/>
    <w:rsid w:val="00406652"/>
    <w:rsid w:val="00406992"/>
    <w:rsid w:val="004071F1"/>
    <w:rsid w:val="0041042F"/>
    <w:rsid w:val="00410C97"/>
    <w:rsid w:val="00410D3C"/>
    <w:rsid w:val="00410FF8"/>
    <w:rsid w:val="00411735"/>
    <w:rsid w:val="00413086"/>
    <w:rsid w:val="0041445B"/>
    <w:rsid w:val="00414D04"/>
    <w:rsid w:val="00415289"/>
    <w:rsid w:val="004154A2"/>
    <w:rsid w:val="00415B64"/>
    <w:rsid w:val="00415C74"/>
    <w:rsid w:val="00416F4A"/>
    <w:rsid w:val="00417134"/>
    <w:rsid w:val="00420BBD"/>
    <w:rsid w:val="0042171A"/>
    <w:rsid w:val="00421AF3"/>
    <w:rsid w:val="00422013"/>
    <w:rsid w:val="0042266A"/>
    <w:rsid w:val="00423355"/>
    <w:rsid w:val="00424A5D"/>
    <w:rsid w:val="00424CED"/>
    <w:rsid w:val="00425465"/>
    <w:rsid w:val="00425A35"/>
    <w:rsid w:val="00426162"/>
    <w:rsid w:val="004262F7"/>
    <w:rsid w:val="004265C7"/>
    <w:rsid w:val="00426A57"/>
    <w:rsid w:val="00426BCF"/>
    <w:rsid w:val="00427DB4"/>
    <w:rsid w:val="00430447"/>
    <w:rsid w:val="0043056E"/>
    <w:rsid w:val="00432EEE"/>
    <w:rsid w:val="004332F0"/>
    <w:rsid w:val="00433B86"/>
    <w:rsid w:val="00433D21"/>
    <w:rsid w:val="00434AEB"/>
    <w:rsid w:val="00434DEC"/>
    <w:rsid w:val="0043517A"/>
    <w:rsid w:val="00435605"/>
    <w:rsid w:val="00436074"/>
    <w:rsid w:val="0043654D"/>
    <w:rsid w:val="00436BE5"/>
    <w:rsid w:val="00436FDB"/>
    <w:rsid w:val="004378B3"/>
    <w:rsid w:val="0044063E"/>
    <w:rsid w:val="004416A5"/>
    <w:rsid w:val="0044297B"/>
    <w:rsid w:val="0044397D"/>
    <w:rsid w:val="0044670A"/>
    <w:rsid w:val="00446A30"/>
    <w:rsid w:val="004473AA"/>
    <w:rsid w:val="00450401"/>
    <w:rsid w:val="004508D6"/>
    <w:rsid w:val="00450FE3"/>
    <w:rsid w:val="00451412"/>
    <w:rsid w:val="0045150A"/>
    <w:rsid w:val="0045166A"/>
    <w:rsid w:val="0045166B"/>
    <w:rsid w:val="00451840"/>
    <w:rsid w:val="004519A9"/>
    <w:rsid w:val="00451BEA"/>
    <w:rsid w:val="00452B02"/>
    <w:rsid w:val="00453E38"/>
    <w:rsid w:val="00454816"/>
    <w:rsid w:val="0045554E"/>
    <w:rsid w:val="00455D6B"/>
    <w:rsid w:val="00455DB6"/>
    <w:rsid w:val="00456552"/>
    <w:rsid w:val="00457332"/>
    <w:rsid w:val="00457D9C"/>
    <w:rsid w:val="0046055A"/>
    <w:rsid w:val="004605AB"/>
    <w:rsid w:val="00460C9A"/>
    <w:rsid w:val="00460E2E"/>
    <w:rsid w:val="0046107A"/>
    <w:rsid w:val="0046118E"/>
    <w:rsid w:val="0046130D"/>
    <w:rsid w:val="00462265"/>
    <w:rsid w:val="00462822"/>
    <w:rsid w:val="00463287"/>
    <w:rsid w:val="00464429"/>
    <w:rsid w:val="00464804"/>
    <w:rsid w:val="00464924"/>
    <w:rsid w:val="00465452"/>
    <w:rsid w:val="00465FE0"/>
    <w:rsid w:val="004663B4"/>
    <w:rsid w:val="004668B2"/>
    <w:rsid w:val="004678AA"/>
    <w:rsid w:val="004702D6"/>
    <w:rsid w:val="004702EF"/>
    <w:rsid w:val="004709F4"/>
    <w:rsid w:val="00470E3E"/>
    <w:rsid w:val="0047205D"/>
    <w:rsid w:val="00472A26"/>
    <w:rsid w:val="0047359D"/>
    <w:rsid w:val="00473A47"/>
    <w:rsid w:val="0047581D"/>
    <w:rsid w:val="004759E5"/>
    <w:rsid w:val="00476C1D"/>
    <w:rsid w:val="004771E7"/>
    <w:rsid w:val="004800F1"/>
    <w:rsid w:val="00480289"/>
    <w:rsid w:val="00481279"/>
    <w:rsid w:val="00481A4B"/>
    <w:rsid w:val="004826BD"/>
    <w:rsid w:val="0048281E"/>
    <w:rsid w:val="00482B2D"/>
    <w:rsid w:val="00482BAB"/>
    <w:rsid w:val="00483368"/>
    <w:rsid w:val="0048357E"/>
    <w:rsid w:val="00484D44"/>
    <w:rsid w:val="00484D93"/>
    <w:rsid w:val="00485739"/>
    <w:rsid w:val="0048598F"/>
    <w:rsid w:val="00485CE5"/>
    <w:rsid w:val="0048685F"/>
    <w:rsid w:val="00486C50"/>
    <w:rsid w:val="00487AC2"/>
    <w:rsid w:val="00487B7C"/>
    <w:rsid w:val="00490741"/>
    <w:rsid w:val="00491A00"/>
    <w:rsid w:val="00491FB2"/>
    <w:rsid w:val="004925C2"/>
    <w:rsid w:val="00492F99"/>
    <w:rsid w:val="00493B8F"/>
    <w:rsid w:val="00493DF7"/>
    <w:rsid w:val="00494011"/>
    <w:rsid w:val="00495E5B"/>
    <w:rsid w:val="0049641D"/>
    <w:rsid w:val="00497725"/>
    <w:rsid w:val="00497C49"/>
    <w:rsid w:val="004A0BF4"/>
    <w:rsid w:val="004A10A8"/>
    <w:rsid w:val="004A1720"/>
    <w:rsid w:val="004A1F63"/>
    <w:rsid w:val="004A2008"/>
    <w:rsid w:val="004A263B"/>
    <w:rsid w:val="004A2D02"/>
    <w:rsid w:val="004A30BD"/>
    <w:rsid w:val="004A3A7B"/>
    <w:rsid w:val="004A3B57"/>
    <w:rsid w:val="004A3C67"/>
    <w:rsid w:val="004A45CD"/>
    <w:rsid w:val="004A4B45"/>
    <w:rsid w:val="004A4D11"/>
    <w:rsid w:val="004A4D42"/>
    <w:rsid w:val="004A4EA4"/>
    <w:rsid w:val="004A50D8"/>
    <w:rsid w:val="004A6EF9"/>
    <w:rsid w:val="004A6FBA"/>
    <w:rsid w:val="004A732E"/>
    <w:rsid w:val="004A77AD"/>
    <w:rsid w:val="004A7ED0"/>
    <w:rsid w:val="004B03E2"/>
    <w:rsid w:val="004B0AE0"/>
    <w:rsid w:val="004B0B64"/>
    <w:rsid w:val="004B17BB"/>
    <w:rsid w:val="004B1EB0"/>
    <w:rsid w:val="004B207B"/>
    <w:rsid w:val="004B22A5"/>
    <w:rsid w:val="004B2EB8"/>
    <w:rsid w:val="004B36AE"/>
    <w:rsid w:val="004B44D8"/>
    <w:rsid w:val="004B68AE"/>
    <w:rsid w:val="004B76B9"/>
    <w:rsid w:val="004B7E52"/>
    <w:rsid w:val="004C02FD"/>
    <w:rsid w:val="004C2242"/>
    <w:rsid w:val="004C3504"/>
    <w:rsid w:val="004C35B0"/>
    <w:rsid w:val="004C3C1E"/>
    <w:rsid w:val="004C49EF"/>
    <w:rsid w:val="004C4A19"/>
    <w:rsid w:val="004C5570"/>
    <w:rsid w:val="004C5760"/>
    <w:rsid w:val="004C5985"/>
    <w:rsid w:val="004C5CC4"/>
    <w:rsid w:val="004C6036"/>
    <w:rsid w:val="004C6658"/>
    <w:rsid w:val="004C739D"/>
    <w:rsid w:val="004D00C9"/>
    <w:rsid w:val="004D2823"/>
    <w:rsid w:val="004D315B"/>
    <w:rsid w:val="004D3C27"/>
    <w:rsid w:val="004D41EF"/>
    <w:rsid w:val="004D4860"/>
    <w:rsid w:val="004D5157"/>
    <w:rsid w:val="004D5A80"/>
    <w:rsid w:val="004D6FF5"/>
    <w:rsid w:val="004D765D"/>
    <w:rsid w:val="004E0140"/>
    <w:rsid w:val="004E16F5"/>
    <w:rsid w:val="004E1A8C"/>
    <w:rsid w:val="004E22A8"/>
    <w:rsid w:val="004E3CC7"/>
    <w:rsid w:val="004E40BA"/>
    <w:rsid w:val="004E4638"/>
    <w:rsid w:val="004E4727"/>
    <w:rsid w:val="004E584D"/>
    <w:rsid w:val="004E59CA"/>
    <w:rsid w:val="004E5B69"/>
    <w:rsid w:val="004E6AE1"/>
    <w:rsid w:val="004E6C61"/>
    <w:rsid w:val="004E70C9"/>
    <w:rsid w:val="004F1E24"/>
    <w:rsid w:val="004F2A87"/>
    <w:rsid w:val="004F37CA"/>
    <w:rsid w:val="004F4B5D"/>
    <w:rsid w:val="004F5B00"/>
    <w:rsid w:val="004F5B6B"/>
    <w:rsid w:val="004F68C7"/>
    <w:rsid w:val="004F6941"/>
    <w:rsid w:val="004F6C61"/>
    <w:rsid w:val="004F7F31"/>
    <w:rsid w:val="00500C42"/>
    <w:rsid w:val="00500D3C"/>
    <w:rsid w:val="0050178C"/>
    <w:rsid w:val="005020D5"/>
    <w:rsid w:val="00502658"/>
    <w:rsid w:val="00502C7C"/>
    <w:rsid w:val="00502F45"/>
    <w:rsid w:val="00503493"/>
    <w:rsid w:val="00503795"/>
    <w:rsid w:val="0050464D"/>
    <w:rsid w:val="00504BB1"/>
    <w:rsid w:val="005053D1"/>
    <w:rsid w:val="00506C98"/>
    <w:rsid w:val="0050737D"/>
    <w:rsid w:val="005079E7"/>
    <w:rsid w:val="00507A41"/>
    <w:rsid w:val="00507C56"/>
    <w:rsid w:val="00510CE3"/>
    <w:rsid w:val="00511493"/>
    <w:rsid w:val="00511B1E"/>
    <w:rsid w:val="00512620"/>
    <w:rsid w:val="00512A92"/>
    <w:rsid w:val="00513317"/>
    <w:rsid w:val="0051447E"/>
    <w:rsid w:val="005151AC"/>
    <w:rsid w:val="0051612E"/>
    <w:rsid w:val="00516F82"/>
    <w:rsid w:val="005171CA"/>
    <w:rsid w:val="00517CDB"/>
    <w:rsid w:val="00522802"/>
    <w:rsid w:val="00522BBB"/>
    <w:rsid w:val="0052336A"/>
    <w:rsid w:val="0052344E"/>
    <w:rsid w:val="00523DAB"/>
    <w:rsid w:val="00524473"/>
    <w:rsid w:val="005246FA"/>
    <w:rsid w:val="0052596B"/>
    <w:rsid w:val="00525ABC"/>
    <w:rsid w:val="00525D74"/>
    <w:rsid w:val="00526478"/>
    <w:rsid w:val="00527273"/>
    <w:rsid w:val="005273C1"/>
    <w:rsid w:val="00527783"/>
    <w:rsid w:val="005277EE"/>
    <w:rsid w:val="00530204"/>
    <w:rsid w:val="005304F0"/>
    <w:rsid w:val="00533007"/>
    <w:rsid w:val="0053319F"/>
    <w:rsid w:val="0053350F"/>
    <w:rsid w:val="00533C86"/>
    <w:rsid w:val="00534C5F"/>
    <w:rsid w:val="00535415"/>
    <w:rsid w:val="00535A6D"/>
    <w:rsid w:val="00536058"/>
    <w:rsid w:val="005360D2"/>
    <w:rsid w:val="0053648A"/>
    <w:rsid w:val="00536750"/>
    <w:rsid w:val="00536890"/>
    <w:rsid w:val="00536A65"/>
    <w:rsid w:val="0053730C"/>
    <w:rsid w:val="00537B05"/>
    <w:rsid w:val="00537BDE"/>
    <w:rsid w:val="00540257"/>
    <w:rsid w:val="0054134A"/>
    <w:rsid w:val="0054158A"/>
    <w:rsid w:val="0054179F"/>
    <w:rsid w:val="0054192F"/>
    <w:rsid w:val="00544974"/>
    <w:rsid w:val="00544EB3"/>
    <w:rsid w:val="00544EDA"/>
    <w:rsid w:val="00545804"/>
    <w:rsid w:val="0054594B"/>
    <w:rsid w:val="00545D78"/>
    <w:rsid w:val="00546088"/>
    <w:rsid w:val="00546173"/>
    <w:rsid w:val="00546820"/>
    <w:rsid w:val="0054749B"/>
    <w:rsid w:val="00547716"/>
    <w:rsid w:val="00547A57"/>
    <w:rsid w:val="00547FD3"/>
    <w:rsid w:val="00550093"/>
    <w:rsid w:val="00550406"/>
    <w:rsid w:val="005505BC"/>
    <w:rsid w:val="00551CC6"/>
    <w:rsid w:val="0055211C"/>
    <w:rsid w:val="0055229B"/>
    <w:rsid w:val="005541B3"/>
    <w:rsid w:val="00554EEE"/>
    <w:rsid w:val="00555D1A"/>
    <w:rsid w:val="0055630E"/>
    <w:rsid w:val="00556CE1"/>
    <w:rsid w:val="0055719D"/>
    <w:rsid w:val="00557675"/>
    <w:rsid w:val="00557B68"/>
    <w:rsid w:val="00560541"/>
    <w:rsid w:val="00561278"/>
    <w:rsid w:val="00561445"/>
    <w:rsid w:val="00561EE7"/>
    <w:rsid w:val="00561F8E"/>
    <w:rsid w:val="0056228E"/>
    <w:rsid w:val="00562817"/>
    <w:rsid w:val="00562C3D"/>
    <w:rsid w:val="0056334D"/>
    <w:rsid w:val="005633E4"/>
    <w:rsid w:val="005635AA"/>
    <w:rsid w:val="005640FC"/>
    <w:rsid w:val="00564699"/>
    <w:rsid w:val="00564ABA"/>
    <w:rsid w:val="005658E3"/>
    <w:rsid w:val="00565F1F"/>
    <w:rsid w:val="0056610D"/>
    <w:rsid w:val="005672D0"/>
    <w:rsid w:val="0056740D"/>
    <w:rsid w:val="0056783D"/>
    <w:rsid w:val="00567A3F"/>
    <w:rsid w:val="005708A8"/>
    <w:rsid w:val="005718E3"/>
    <w:rsid w:val="00571CEB"/>
    <w:rsid w:val="00572CEB"/>
    <w:rsid w:val="00573063"/>
    <w:rsid w:val="00573929"/>
    <w:rsid w:val="00573BC8"/>
    <w:rsid w:val="0057553D"/>
    <w:rsid w:val="005757A7"/>
    <w:rsid w:val="00576F18"/>
    <w:rsid w:val="0057747F"/>
    <w:rsid w:val="00577C25"/>
    <w:rsid w:val="005803B4"/>
    <w:rsid w:val="00581693"/>
    <w:rsid w:val="005817AC"/>
    <w:rsid w:val="0058264A"/>
    <w:rsid w:val="005834C9"/>
    <w:rsid w:val="0058364F"/>
    <w:rsid w:val="0058370A"/>
    <w:rsid w:val="00584B9F"/>
    <w:rsid w:val="00584C41"/>
    <w:rsid w:val="00584E56"/>
    <w:rsid w:val="00585E36"/>
    <w:rsid w:val="0058613C"/>
    <w:rsid w:val="00586283"/>
    <w:rsid w:val="005863F7"/>
    <w:rsid w:val="00587787"/>
    <w:rsid w:val="00587F20"/>
    <w:rsid w:val="00590766"/>
    <w:rsid w:val="0059176F"/>
    <w:rsid w:val="00591A7F"/>
    <w:rsid w:val="0059241A"/>
    <w:rsid w:val="00592441"/>
    <w:rsid w:val="00592936"/>
    <w:rsid w:val="00592AE0"/>
    <w:rsid w:val="0059362D"/>
    <w:rsid w:val="00593A0E"/>
    <w:rsid w:val="00593DEC"/>
    <w:rsid w:val="005940AC"/>
    <w:rsid w:val="0059431A"/>
    <w:rsid w:val="00594E95"/>
    <w:rsid w:val="00594EED"/>
    <w:rsid w:val="00595035"/>
    <w:rsid w:val="005954EB"/>
    <w:rsid w:val="00596B46"/>
    <w:rsid w:val="00596DE7"/>
    <w:rsid w:val="005A01AB"/>
    <w:rsid w:val="005A0D94"/>
    <w:rsid w:val="005A0EA0"/>
    <w:rsid w:val="005A1E8E"/>
    <w:rsid w:val="005A334E"/>
    <w:rsid w:val="005A34D6"/>
    <w:rsid w:val="005A536E"/>
    <w:rsid w:val="005A55F6"/>
    <w:rsid w:val="005A58BA"/>
    <w:rsid w:val="005A5D30"/>
    <w:rsid w:val="005A6124"/>
    <w:rsid w:val="005A6410"/>
    <w:rsid w:val="005A6AB9"/>
    <w:rsid w:val="005A7AB3"/>
    <w:rsid w:val="005B06DF"/>
    <w:rsid w:val="005B14CC"/>
    <w:rsid w:val="005B15A8"/>
    <w:rsid w:val="005B183D"/>
    <w:rsid w:val="005B2DDB"/>
    <w:rsid w:val="005B3C62"/>
    <w:rsid w:val="005B4B20"/>
    <w:rsid w:val="005B4CA7"/>
    <w:rsid w:val="005B675D"/>
    <w:rsid w:val="005B6BDD"/>
    <w:rsid w:val="005B7162"/>
    <w:rsid w:val="005B7426"/>
    <w:rsid w:val="005B7691"/>
    <w:rsid w:val="005C04EC"/>
    <w:rsid w:val="005C0C4B"/>
    <w:rsid w:val="005C1CC8"/>
    <w:rsid w:val="005C257A"/>
    <w:rsid w:val="005C2888"/>
    <w:rsid w:val="005C2D4D"/>
    <w:rsid w:val="005C2F06"/>
    <w:rsid w:val="005C333E"/>
    <w:rsid w:val="005C3456"/>
    <w:rsid w:val="005C3AE7"/>
    <w:rsid w:val="005C47BF"/>
    <w:rsid w:val="005C4CC7"/>
    <w:rsid w:val="005C5F32"/>
    <w:rsid w:val="005C6398"/>
    <w:rsid w:val="005C700D"/>
    <w:rsid w:val="005C70CE"/>
    <w:rsid w:val="005C7610"/>
    <w:rsid w:val="005C7686"/>
    <w:rsid w:val="005C7736"/>
    <w:rsid w:val="005C7B0F"/>
    <w:rsid w:val="005C7E39"/>
    <w:rsid w:val="005C7F29"/>
    <w:rsid w:val="005D0677"/>
    <w:rsid w:val="005D168A"/>
    <w:rsid w:val="005D17B6"/>
    <w:rsid w:val="005D1B53"/>
    <w:rsid w:val="005D2B91"/>
    <w:rsid w:val="005D4A82"/>
    <w:rsid w:val="005D5043"/>
    <w:rsid w:val="005D629F"/>
    <w:rsid w:val="005D6912"/>
    <w:rsid w:val="005E0948"/>
    <w:rsid w:val="005E1D86"/>
    <w:rsid w:val="005E1E6B"/>
    <w:rsid w:val="005E294C"/>
    <w:rsid w:val="005E2CE3"/>
    <w:rsid w:val="005E35AA"/>
    <w:rsid w:val="005E39B7"/>
    <w:rsid w:val="005E3B20"/>
    <w:rsid w:val="005E4A1B"/>
    <w:rsid w:val="005E541C"/>
    <w:rsid w:val="005E54FA"/>
    <w:rsid w:val="005E7604"/>
    <w:rsid w:val="005E760B"/>
    <w:rsid w:val="005E7AB2"/>
    <w:rsid w:val="005E7C9F"/>
    <w:rsid w:val="005F1000"/>
    <w:rsid w:val="005F105C"/>
    <w:rsid w:val="005F1167"/>
    <w:rsid w:val="005F1BAA"/>
    <w:rsid w:val="005F1DED"/>
    <w:rsid w:val="005F2739"/>
    <w:rsid w:val="005F284A"/>
    <w:rsid w:val="005F2D91"/>
    <w:rsid w:val="005F348A"/>
    <w:rsid w:val="005F3F07"/>
    <w:rsid w:val="005F45F7"/>
    <w:rsid w:val="005F4969"/>
    <w:rsid w:val="005F4C97"/>
    <w:rsid w:val="005F537C"/>
    <w:rsid w:val="005F5437"/>
    <w:rsid w:val="005F6161"/>
    <w:rsid w:val="005F7C48"/>
    <w:rsid w:val="006000B2"/>
    <w:rsid w:val="006003F2"/>
    <w:rsid w:val="006020E7"/>
    <w:rsid w:val="00602A0F"/>
    <w:rsid w:val="006039F9"/>
    <w:rsid w:val="00603D04"/>
    <w:rsid w:val="00605841"/>
    <w:rsid w:val="00606158"/>
    <w:rsid w:val="00606857"/>
    <w:rsid w:val="00606CDC"/>
    <w:rsid w:val="00607081"/>
    <w:rsid w:val="00607C47"/>
    <w:rsid w:val="006107BC"/>
    <w:rsid w:val="00610897"/>
    <w:rsid w:val="00610A09"/>
    <w:rsid w:val="00611E24"/>
    <w:rsid w:val="0061347A"/>
    <w:rsid w:val="006140B4"/>
    <w:rsid w:val="0061464F"/>
    <w:rsid w:val="00614905"/>
    <w:rsid w:val="006153AC"/>
    <w:rsid w:val="00615F42"/>
    <w:rsid w:val="006163E8"/>
    <w:rsid w:val="006169E9"/>
    <w:rsid w:val="00617772"/>
    <w:rsid w:val="00617E96"/>
    <w:rsid w:val="00620292"/>
    <w:rsid w:val="006209AB"/>
    <w:rsid w:val="00621217"/>
    <w:rsid w:val="00621578"/>
    <w:rsid w:val="0062179F"/>
    <w:rsid w:val="00622E8A"/>
    <w:rsid w:val="00623457"/>
    <w:rsid w:val="006235CE"/>
    <w:rsid w:val="006237D1"/>
    <w:rsid w:val="00623C50"/>
    <w:rsid w:val="006248A2"/>
    <w:rsid w:val="006258C2"/>
    <w:rsid w:val="00625AD3"/>
    <w:rsid w:val="00626365"/>
    <w:rsid w:val="0062692D"/>
    <w:rsid w:val="006303CD"/>
    <w:rsid w:val="006304F6"/>
    <w:rsid w:val="006309C4"/>
    <w:rsid w:val="00630E22"/>
    <w:rsid w:val="00631469"/>
    <w:rsid w:val="00631DE6"/>
    <w:rsid w:val="006325D5"/>
    <w:rsid w:val="00632690"/>
    <w:rsid w:val="00633411"/>
    <w:rsid w:val="0063380F"/>
    <w:rsid w:val="00633E6F"/>
    <w:rsid w:val="00634BB2"/>
    <w:rsid w:val="006356FE"/>
    <w:rsid w:val="0063598E"/>
    <w:rsid w:val="006365F7"/>
    <w:rsid w:val="00636CC2"/>
    <w:rsid w:val="006377B8"/>
    <w:rsid w:val="00640218"/>
    <w:rsid w:val="006403E7"/>
    <w:rsid w:val="00640E95"/>
    <w:rsid w:val="0064168C"/>
    <w:rsid w:val="006419C4"/>
    <w:rsid w:val="0064256F"/>
    <w:rsid w:val="006425A0"/>
    <w:rsid w:val="00642633"/>
    <w:rsid w:val="00642F0A"/>
    <w:rsid w:val="00642F73"/>
    <w:rsid w:val="00643D47"/>
    <w:rsid w:val="00644325"/>
    <w:rsid w:val="00644F2D"/>
    <w:rsid w:val="00646A85"/>
    <w:rsid w:val="006472C1"/>
    <w:rsid w:val="006472F1"/>
    <w:rsid w:val="00647B4C"/>
    <w:rsid w:val="0065067A"/>
    <w:rsid w:val="006516FF"/>
    <w:rsid w:val="00651C3C"/>
    <w:rsid w:val="00651F1F"/>
    <w:rsid w:val="00652F5E"/>
    <w:rsid w:val="0065313F"/>
    <w:rsid w:val="0065324E"/>
    <w:rsid w:val="00653552"/>
    <w:rsid w:val="00653604"/>
    <w:rsid w:val="00653B02"/>
    <w:rsid w:val="00653F22"/>
    <w:rsid w:val="00654334"/>
    <w:rsid w:val="0065437B"/>
    <w:rsid w:val="00656876"/>
    <w:rsid w:val="00656A9F"/>
    <w:rsid w:val="00656EED"/>
    <w:rsid w:val="006577B7"/>
    <w:rsid w:val="006578D1"/>
    <w:rsid w:val="00657B46"/>
    <w:rsid w:val="00660F98"/>
    <w:rsid w:val="00661848"/>
    <w:rsid w:val="006632E2"/>
    <w:rsid w:val="00663746"/>
    <w:rsid w:val="00663AD9"/>
    <w:rsid w:val="00663BB2"/>
    <w:rsid w:val="00663C97"/>
    <w:rsid w:val="006642F3"/>
    <w:rsid w:val="0066497B"/>
    <w:rsid w:val="00666222"/>
    <w:rsid w:val="006667E7"/>
    <w:rsid w:val="0066717E"/>
    <w:rsid w:val="00667EC5"/>
    <w:rsid w:val="00667F12"/>
    <w:rsid w:val="00670DF7"/>
    <w:rsid w:val="00671535"/>
    <w:rsid w:val="006716DF"/>
    <w:rsid w:val="00671B74"/>
    <w:rsid w:val="00671F16"/>
    <w:rsid w:val="00672767"/>
    <w:rsid w:val="006727AD"/>
    <w:rsid w:val="00673408"/>
    <w:rsid w:val="00674B46"/>
    <w:rsid w:val="00675A34"/>
    <w:rsid w:val="006764EC"/>
    <w:rsid w:val="00676CC5"/>
    <w:rsid w:val="0067733B"/>
    <w:rsid w:val="00677698"/>
    <w:rsid w:val="00677DD8"/>
    <w:rsid w:val="0068019C"/>
    <w:rsid w:val="0068034A"/>
    <w:rsid w:val="00680D23"/>
    <w:rsid w:val="00681011"/>
    <w:rsid w:val="00681625"/>
    <w:rsid w:val="00681AD1"/>
    <w:rsid w:val="006823FF"/>
    <w:rsid w:val="00682680"/>
    <w:rsid w:val="006827BC"/>
    <w:rsid w:val="006827FF"/>
    <w:rsid w:val="006835FE"/>
    <w:rsid w:val="006837EC"/>
    <w:rsid w:val="006839F8"/>
    <w:rsid w:val="00683A44"/>
    <w:rsid w:val="00684C68"/>
    <w:rsid w:val="006853AF"/>
    <w:rsid w:val="0068626C"/>
    <w:rsid w:val="0068686C"/>
    <w:rsid w:val="006868D2"/>
    <w:rsid w:val="0068696D"/>
    <w:rsid w:val="00686A64"/>
    <w:rsid w:val="00686BD7"/>
    <w:rsid w:val="006872DA"/>
    <w:rsid w:val="0068753A"/>
    <w:rsid w:val="00687F77"/>
    <w:rsid w:val="00690FF6"/>
    <w:rsid w:val="0069129D"/>
    <w:rsid w:val="00692E9E"/>
    <w:rsid w:val="0069379A"/>
    <w:rsid w:val="00693BFD"/>
    <w:rsid w:val="006940B9"/>
    <w:rsid w:val="00694A56"/>
    <w:rsid w:val="00694C2B"/>
    <w:rsid w:val="00694C69"/>
    <w:rsid w:val="00694DF6"/>
    <w:rsid w:val="00695065"/>
    <w:rsid w:val="006950F9"/>
    <w:rsid w:val="00695896"/>
    <w:rsid w:val="00696B76"/>
    <w:rsid w:val="0069708E"/>
    <w:rsid w:val="006976AF"/>
    <w:rsid w:val="00697798"/>
    <w:rsid w:val="00697C18"/>
    <w:rsid w:val="006A01AA"/>
    <w:rsid w:val="006A0337"/>
    <w:rsid w:val="006A1038"/>
    <w:rsid w:val="006A1933"/>
    <w:rsid w:val="006A2A3B"/>
    <w:rsid w:val="006A5256"/>
    <w:rsid w:val="006A551D"/>
    <w:rsid w:val="006A5B5B"/>
    <w:rsid w:val="006A5F79"/>
    <w:rsid w:val="006A6110"/>
    <w:rsid w:val="006A649A"/>
    <w:rsid w:val="006A6514"/>
    <w:rsid w:val="006A7B57"/>
    <w:rsid w:val="006A7B63"/>
    <w:rsid w:val="006B011E"/>
    <w:rsid w:val="006B07EF"/>
    <w:rsid w:val="006B0962"/>
    <w:rsid w:val="006B0C6A"/>
    <w:rsid w:val="006B0F9C"/>
    <w:rsid w:val="006B11F1"/>
    <w:rsid w:val="006B1749"/>
    <w:rsid w:val="006B186C"/>
    <w:rsid w:val="006B1B49"/>
    <w:rsid w:val="006B2250"/>
    <w:rsid w:val="006B2762"/>
    <w:rsid w:val="006B39C7"/>
    <w:rsid w:val="006B416F"/>
    <w:rsid w:val="006B446B"/>
    <w:rsid w:val="006B4C43"/>
    <w:rsid w:val="006B6390"/>
    <w:rsid w:val="006B732E"/>
    <w:rsid w:val="006B7A60"/>
    <w:rsid w:val="006B7ADF"/>
    <w:rsid w:val="006C0356"/>
    <w:rsid w:val="006C0843"/>
    <w:rsid w:val="006C1687"/>
    <w:rsid w:val="006C168D"/>
    <w:rsid w:val="006C2026"/>
    <w:rsid w:val="006C2460"/>
    <w:rsid w:val="006C298C"/>
    <w:rsid w:val="006C2A11"/>
    <w:rsid w:val="006C2A5B"/>
    <w:rsid w:val="006C2DDD"/>
    <w:rsid w:val="006C2F7A"/>
    <w:rsid w:val="006C3224"/>
    <w:rsid w:val="006C364E"/>
    <w:rsid w:val="006C3B91"/>
    <w:rsid w:val="006C56B6"/>
    <w:rsid w:val="006C6AAC"/>
    <w:rsid w:val="006C6E27"/>
    <w:rsid w:val="006C711E"/>
    <w:rsid w:val="006C74B1"/>
    <w:rsid w:val="006C7788"/>
    <w:rsid w:val="006C7A30"/>
    <w:rsid w:val="006D01C1"/>
    <w:rsid w:val="006D1E77"/>
    <w:rsid w:val="006D202B"/>
    <w:rsid w:val="006D4675"/>
    <w:rsid w:val="006D5373"/>
    <w:rsid w:val="006D5464"/>
    <w:rsid w:val="006D5B41"/>
    <w:rsid w:val="006D619F"/>
    <w:rsid w:val="006D674F"/>
    <w:rsid w:val="006D731E"/>
    <w:rsid w:val="006E055F"/>
    <w:rsid w:val="006E072E"/>
    <w:rsid w:val="006E0886"/>
    <w:rsid w:val="006E0EB5"/>
    <w:rsid w:val="006E2332"/>
    <w:rsid w:val="006E240F"/>
    <w:rsid w:val="006E3167"/>
    <w:rsid w:val="006E46A4"/>
    <w:rsid w:val="006E578D"/>
    <w:rsid w:val="006E57AA"/>
    <w:rsid w:val="006E5C4E"/>
    <w:rsid w:val="006E7452"/>
    <w:rsid w:val="006E7A76"/>
    <w:rsid w:val="006E7FFB"/>
    <w:rsid w:val="006F0CAC"/>
    <w:rsid w:val="006F0F10"/>
    <w:rsid w:val="006F0F7A"/>
    <w:rsid w:val="006F1023"/>
    <w:rsid w:val="006F1563"/>
    <w:rsid w:val="006F1CB7"/>
    <w:rsid w:val="006F20CF"/>
    <w:rsid w:val="006F22EA"/>
    <w:rsid w:val="006F2EB0"/>
    <w:rsid w:val="006F38ED"/>
    <w:rsid w:val="006F3EA5"/>
    <w:rsid w:val="006F48F1"/>
    <w:rsid w:val="006F4C14"/>
    <w:rsid w:val="006F5DEF"/>
    <w:rsid w:val="006F738A"/>
    <w:rsid w:val="006F7AB3"/>
    <w:rsid w:val="007000E1"/>
    <w:rsid w:val="00700887"/>
    <w:rsid w:val="0070094E"/>
    <w:rsid w:val="00700FBD"/>
    <w:rsid w:val="007011B6"/>
    <w:rsid w:val="0070197A"/>
    <w:rsid w:val="007022DD"/>
    <w:rsid w:val="0070315C"/>
    <w:rsid w:val="0070407F"/>
    <w:rsid w:val="0070514E"/>
    <w:rsid w:val="0070517A"/>
    <w:rsid w:val="00706523"/>
    <w:rsid w:val="00707A4D"/>
    <w:rsid w:val="00707D4D"/>
    <w:rsid w:val="007101E3"/>
    <w:rsid w:val="00710649"/>
    <w:rsid w:val="00710AD4"/>
    <w:rsid w:val="00711DCB"/>
    <w:rsid w:val="00712A6D"/>
    <w:rsid w:val="00712E1C"/>
    <w:rsid w:val="0071333F"/>
    <w:rsid w:val="00713474"/>
    <w:rsid w:val="00713FBF"/>
    <w:rsid w:val="00714770"/>
    <w:rsid w:val="00715200"/>
    <w:rsid w:val="0071559B"/>
    <w:rsid w:val="0071584D"/>
    <w:rsid w:val="007161A9"/>
    <w:rsid w:val="00716EDB"/>
    <w:rsid w:val="0071725F"/>
    <w:rsid w:val="00717685"/>
    <w:rsid w:val="00721A0A"/>
    <w:rsid w:val="00721B2C"/>
    <w:rsid w:val="00723503"/>
    <w:rsid w:val="00723560"/>
    <w:rsid w:val="00723963"/>
    <w:rsid w:val="00724CF7"/>
    <w:rsid w:val="0072524A"/>
    <w:rsid w:val="00726BC8"/>
    <w:rsid w:val="007272A9"/>
    <w:rsid w:val="007274A4"/>
    <w:rsid w:val="007274A8"/>
    <w:rsid w:val="007274CB"/>
    <w:rsid w:val="007276D4"/>
    <w:rsid w:val="00727EA7"/>
    <w:rsid w:val="00730C04"/>
    <w:rsid w:val="00731136"/>
    <w:rsid w:val="007328A4"/>
    <w:rsid w:val="00732A94"/>
    <w:rsid w:val="00733C81"/>
    <w:rsid w:val="00734656"/>
    <w:rsid w:val="00734685"/>
    <w:rsid w:val="007348D3"/>
    <w:rsid w:val="0073597B"/>
    <w:rsid w:val="00736057"/>
    <w:rsid w:val="00736AC2"/>
    <w:rsid w:val="007378F6"/>
    <w:rsid w:val="00737F3F"/>
    <w:rsid w:val="0074100C"/>
    <w:rsid w:val="00742191"/>
    <w:rsid w:val="0074249E"/>
    <w:rsid w:val="0074268C"/>
    <w:rsid w:val="007428AD"/>
    <w:rsid w:val="0074419E"/>
    <w:rsid w:val="0074545D"/>
    <w:rsid w:val="007455E4"/>
    <w:rsid w:val="00745997"/>
    <w:rsid w:val="007459EA"/>
    <w:rsid w:val="00746041"/>
    <w:rsid w:val="00746D07"/>
    <w:rsid w:val="007500A0"/>
    <w:rsid w:val="00751F1C"/>
    <w:rsid w:val="007522E3"/>
    <w:rsid w:val="0075271C"/>
    <w:rsid w:val="00752972"/>
    <w:rsid w:val="00753269"/>
    <w:rsid w:val="0075335B"/>
    <w:rsid w:val="00753C44"/>
    <w:rsid w:val="00753D6A"/>
    <w:rsid w:val="00754383"/>
    <w:rsid w:val="00754531"/>
    <w:rsid w:val="00755DB6"/>
    <w:rsid w:val="007564D1"/>
    <w:rsid w:val="00756567"/>
    <w:rsid w:val="00756B79"/>
    <w:rsid w:val="00756C6A"/>
    <w:rsid w:val="00757151"/>
    <w:rsid w:val="00757232"/>
    <w:rsid w:val="007573F8"/>
    <w:rsid w:val="00757B0A"/>
    <w:rsid w:val="00757B28"/>
    <w:rsid w:val="00760679"/>
    <w:rsid w:val="0076164C"/>
    <w:rsid w:val="00761D34"/>
    <w:rsid w:val="0076231F"/>
    <w:rsid w:val="00762747"/>
    <w:rsid w:val="00763628"/>
    <w:rsid w:val="00763BF3"/>
    <w:rsid w:val="00765447"/>
    <w:rsid w:val="007658F8"/>
    <w:rsid w:val="00765A1F"/>
    <w:rsid w:val="00767E99"/>
    <w:rsid w:val="007715F2"/>
    <w:rsid w:val="00771C21"/>
    <w:rsid w:val="00772D7D"/>
    <w:rsid w:val="00772E62"/>
    <w:rsid w:val="007736A6"/>
    <w:rsid w:val="007747DF"/>
    <w:rsid w:val="00774C5A"/>
    <w:rsid w:val="00775870"/>
    <w:rsid w:val="0077789B"/>
    <w:rsid w:val="00780270"/>
    <w:rsid w:val="007809DA"/>
    <w:rsid w:val="00780D29"/>
    <w:rsid w:val="007818A4"/>
    <w:rsid w:val="007819D0"/>
    <w:rsid w:val="00782127"/>
    <w:rsid w:val="0078384E"/>
    <w:rsid w:val="00783EBC"/>
    <w:rsid w:val="00784004"/>
    <w:rsid w:val="007848D0"/>
    <w:rsid w:val="0078525A"/>
    <w:rsid w:val="0078567F"/>
    <w:rsid w:val="00785C14"/>
    <w:rsid w:val="00786461"/>
    <w:rsid w:val="00787F4B"/>
    <w:rsid w:val="007906B2"/>
    <w:rsid w:val="00790964"/>
    <w:rsid w:val="00791C8D"/>
    <w:rsid w:val="00792050"/>
    <w:rsid w:val="0079241C"/>
    <w:rsid w:val="00792F8F"/>
    <w:rsid w:val="00794181"/>
    <w:rsid w:val="00794DCF"/>
    <w:rsid w:val="007950AF"/>
    <w:rsid w:val="00795415"/>
    <w:rsid w:val="007960DC"/>
    <w:rsid w:val="007975FB"/>
    <w:rsid w:val="007A0111"/>
    <w:rsid w:val="007A0151"/>
    <w:rsid w:val="007A089F"/>
    <w:rsid w:val="007A19CE"/>
    <w:rsid w:val="007A265F"/>
    <w:rsid w:val="007A28D0"/>
    <w:rsid w:val="007A2A07"/>
    <w:rsid w:val="007A36C4"/>
    <w:rsid w:val="007A3DC0"/>
    <w:rsid w:val="007A401B"/>
    <w:rsid w:val="007A51A6"/>
    <w:rsid w:val="007A5989"/>
    <w:rsid w:val="007A5D59"/>
    <w:rsid w:val="007A6FA7"/>
    <w:rsid w:val="007A7C42"/>
    <w:rsid w:val="007A7F6F"/>
    <w:rsid w:val="007B02AE"/>
    <w:rsid w:val="007B071F"/>
    <w:rsid w:val="007B07AD"/>
    <w:rsid w:val="007B0D88"/>
    <w:rsid w:val="007B127E"/>
    <w:rsid w:val="007B1458"/>
    <w:rsid w:val="007B306B"/>
    <w:rsid w:val="007B4C76"/>
    <w:rsid w:val="007B51D7"/>
    <w:rsid w:val="007B6483"/>
    <w:rsid w:val="007B733C"/>
    <w:rsid w:val="007C021E"/>
    <w:rsid w:val="007C030D"/>
    <w:rsid w:val="007C1CBB"/>
    <w:rsid w:val="007C2260"/>
    <w:rsid w:val="007C2FE2"/>
    <w:rsid w:val="007C34A7"/>
    <w:rsid w:val="007C3C72"/>
    <w:rsid w:val="007C46B2"/>
    <w:rsid w:val="007C4CE4"/>
    <w:rsid w:val="007C54B6"/>
    <w:rsid w:val="007C57B1"/>
    <w:rsid w:val="007C59DC"/>
    <w:rsid w:val="007C657A"/>
    <w:rsid w:val="007C6CF0"/>
    <w:rsid w:val="007C7897"/>
    <w:rsid w:val="007D083E"/>
    <w:rsid w:val="007D0DF4"/>
    <w:rsid w:val="007D1E52"/>
    <w:rsid w:val="007D2358"/>
    <w:rsid w:val="007D2D4C"/>
    <w:rsid w:val="007D30DB"/>
    <w:rsid w:val="007D3902"/>
    <w:rsid w:val="007D3A66"/>
    <w:rsid w:val="007D413F"/>
    <w:rsid w:val="007D579F"/>
    <w:rsid w:val="007D6968"/>
    <w:rsid w:val="007D714C"/>
    <w:rsid w:val="007D7F87"/>
    <w:rsid w:val="007E1E23"/>
    <w:rsid w:val="007E24CC"/>
    <w:rsid w:val="007E35AF"/>
    <w:rsid w:val="007E390A"/>
    <w:rsid w:val="007E39E4"/>
    <w:rsid w:val="007E3EBB"/>
    <w:rsid w:val="007E5434"/>
    <w:rsid w:val="007E5F00"/>
    <w:rsid w:val="007E6C6B"/>
    <w:rsid w:val="007E6FB3"/>
    <w:rsid w:val="007F00CE"/>
    <w:rsid w:val="007F08A5"/>
    <w:rsid w:val="007F20AA"/>
    <w:rsid w:val="007F21B4"/>
    <w:rsid w:val="007F2428"/>
    <w:rsid w:val="007F3EF1"/>
    <w:rsid w:val="007F40B2"/>
    <w:rsid w:val="007F4236"/>
    <w:rsid w:val="007F5096"/>
    <w:rsid w:val="007F548C"/>
    <w:rsid w:val="007F6C84"/>
    <w:rsid w:val="007F6F24"/>
    <w:rsid w:val="007F71CF"/>
    <w:rsid w:val="007F7386"/>
    <w:rsid w:val="0080067C"/>
    <w:rsid w:val="0080077E"/>
    <w:rsid w:val="00800D1C"/>
    <w:rsid w:val="008013A4"/>
    <w:rsid w:val="00801A47"/>
    <w:rsid w:val="0080209A"/>
    <w:rsid w:val="00802553"/>
    <w:rsid w:val="00802659"/>
    <w:rsid w:val="00802A92"/>
    <w:rsid w:val="008036C6"/>
    <w:rsid w:val="008039EA"/>
    <w:rsid w:val="00803EAB"/>
    <w:rsid w:val="008046B5"/>
    <w:rsid w:val="00804C0A"/>
    <w:rsid w:val="0080535C"/>
    <w:rsid w:val="00805FEF"/>
    <w:rsid w:val="00806CEF"/>
    <w:rsid w:val="008107F6"/>
    <w:rsid w:val="00810F30"/>
    <w:rsid w:val="00810FB2"/>
    <w:rsid w:val="008114AD"/>
    <w:rsid w:val="00811A80"/>
    <w:rsid w:val="00811DE2"/>
    <w:rsid w:val="008127C0"/>
    <w:rsid w:val="00812EDD"/>
    <w:rsid w:val="0081367F"/>
    <w:rsid w:val="008139C5"/>
    <w:rsid w:val="008155EF"/>
    <w:rsid w:val="0081650F"/>
    <w:rsid w:val="00820277"/>
    <w:rsid w:val="00820C84"/>
    <w:rsid w:val="008210BF"/>
    <w:rsid w:val="008219B7"/>
    <w:rsid w:val="00821C2C"/>
    <w:rsid w:val="00822483"/>
    <w:rsid w:val="0082267E"/>
    <w:rsid w:val="00822B47"/>
    <w:rsid w:val="008240F2"/>
    <w:rsid w:val="00824432"/>
    <w:rsid w:val="0082443F"/>
    <w:rsid w:val="00824ACC"/>
    <w:rsid w:val="00824AE3"/>
    <w:rsid w:val="00825773"/>
    <w:rsid w:val="00825B62"/>
    <w:rsid w:val="00826FB3"/>
    <w:rsid w:val="00830C47"/>
    <w:rsid w:val="0083140D"/>
    <w:rsid w:val="008319FB"/>
    <w:rsid w:val="008320C5"/>
    <w:rsid w:val="00832A8B"/>
    <w:rsid w:val="00832B31"/>
    <w:rsid w:val="0083362F"/>
    <w:rsid w:val="00834567"/>
    <w:rsid w:val="00834643"/>
    <w:rsid w:val="0083477A"/>
    <w:rsid w:val="00834E03"/>
    <w:rsid w:val="0083537B"/>
    <w:rsid w:val="0083538E"/>
    <w:rsid w:val="008356D8"/>
    <w:rsid w:val="0083663E"/>
    <w:rsid w:val="00836692"/>
    <w:rsid w:val="0083672F"/>
    <w:rsid w:val="00837887"/>
    <w:rsid w:val="008403E0"/>
    <w:rsid w:val="00841BE9"/>
    <w:rsid w:val="00841F6F"/>
    <w:rsid w:val="00842A5D"/>
    <w:rsid w:val="00842D25"/>
    <w:rsid w:val="008435A7"/>
    <w:rsid w:val="00844656"/>
    <w:rsid w:val="008450F2"/>
    <w:rsid w:val="00845AFD"/>
    <w:rsid w:val="0084657B"/>
    <w:rsid w:val="0085014A"/>
    <w:rsid w:val="00850FC2"/>
    <w:rsid w:val="008511D2"/>
    <w:rsid w:val="0085185A"/>
    <w:rsid w:val="00853C55"/>
    <w:rsid w:val="00855944"/>
    <w:rsid w:val="0085780B"/>
    <w:rsid w:val="00861BB1"/>
    <w:rsid w:val="00861F58"/>
    <w:rsid w:val="00861FE6"/>
    <w:rsid w:val="0086267C"/>
    <w:rsid w:val="00862E48"/>
    <w:rsid w:val="00862E71"/>
    <w:rsid w:val="00863043"/>
    <w:rsid w:val="0086328B"/>
    <w:rsid w:val="00863CB3"/>
    <w:rsid w:val="00864A18"/>
    <w:rsid w:val="008670B0"/>
    <w:rsid w:val="0086729F"/>
    <w:rsid w:val="00867E40"/>
    <w:rsid w:val="0087027A"/>
    <w:rsid w:val="008705B5"/>
    <w:rsid w:val="00870833"/>
    <w:rsid w:val="00870944"/>
    <w:rsid w:val="008719C6"/>
    <w:rsid w:val="00871B4D"/>
    <w:rsid w:val="00872A31"/>
    <w:rsid w:val="00872F18"/>
    <w:rsid w:val="0087342E"/>
    <w:rsid w:val="00873F5D"/>
    <w:rsid w:val="00874571"/>
    <w:rsid w:val="008749B0"/>
    <w:rsid w:val="00874DF0"/>
    <w:rsid w:val="008754BC"/>
    <w:rsid w:val="00875A11"/>
    <w:rsid w:val="00876821"/>
    <w:rsid w:val="008773F8"/>
    <w:rsid w:val="008816D4"/>
    <w:rsid w:val="00881820"/>
    <w:rsid w:val="00881F93"/>
    <w:rsid w:val="008820AD"/>
    <w:rsid w:val="00882366"/>
    <w:rsid w:val="008823DF"/>
    <w:rsid w:val="00882660"/>
    <w:rsid w:val="00882859"/>
    <w:rsid w:val="00882891"/>
    <w:rsid w:val="00882CB5"/>
    <w:rsid w:val="00882E43"/>
    <w:rsid w:val="00883641"/>
    <w:rsid w:val="00884151"/>
    <w:rsid w:val="00884747"/>
    <w:rsid w:val="00884E69"/>
    <w:rsid w:val="00885F1C"/>
    <w:rsid w:val="00890082"/>
    <w:rsid w:val="008907F5"/>
    <w:rsid w:val="00891F1D"/>
    <w:rsid w:val="00891F8C"/>
    <w:rsid w:val="0089205E"/>
    <w:rsid w:val="00892C24"/>
    <w:rsid w:val="0089405A"/>
    <w:rsid w:val="0089583A"/>
    <w:rsid w:val="00896187"/>
    <w:rsid w:val="008961D9"/>
    <w:rsid w:val="008962DF"/>
    <w:rsid w:val="008969CE"/>
    <w:rsid w:val="00897574"/>
    <w:rsid w:val="008978BC"/>
    <w:rsid w:val="00897B10"/>
    <w:rsid w:val="00897EBD"/>
    <w:rsid w:val="008A02D8"/>
    <w:rsid w:val="008A1493"/>
    <w:rsid w:val="008A14B8"/>
    <w:rsid w:val="008A21A2"/>
    <w:rsid w:val="008A2A78"/>
    <w:rsid w:val="008A2B9A"/>
    <w:rsid w:val="008A33D4"/>
    <w:rsid w:val="008A357E"/>
    <w:rsid w:val="008A4702"/>
    <w:rsid w:val="008A478E"/>
    <w:rsid w:val="008A4814"/>
    <w:rsid w:val="008A48D2"/>
    <w:rsid w:val="008A4F45"/>
    <w:rsid w:val="008A5A2E"/>
    <w:rsid w:val="008A630D"/>
    <w:rsid w:val="008A6654"/>
    <w:rsid w:val="008B04D7"/>
    <w:rsid w:val="008B0C3F"/>
    <w:rsid w:val="008B0C41"/>
    <w:rsid w:val="008B0E63"/>
    <w:rsid w:val="008B16B5"/>
    <w:rsid w:val="008B19D1"/>
    <w:rsid w:val="008B1B86"/>
    <w:rsid w:val="008B1FBA"/>
    <w:rsid w:val="008B2610"/>
    <w:rsid w:val="008B263E"/>
    <w:rsid w:val="008B31D5"/>
    <w:rsid w:val="008B3B87"/>
    <w:rsid w:val="008B471D"/>
    <w:rsid w:val="008B49E4"/>
    <w:rsid w:val="008B4CF0"/>
    <w:rsid w:val="008B5156"/>
    <w:rsid w:val="008B5EFB"/>
    <w:rsid w:val="008B634A"/>
    <w:rsid w:val="008B6BB5"/>
    <w:rsid w:val="008B705D"/>
    <w:rsid w:val="008B706C"/>
    <w:rsid w:val="008B729C"/>
    <w:rsid w:val="008B7A56"/>
    <w:rsid w:val="008B7D8C"/>
    <w:rsid w:val="008B7F4F"/>
    <w:rsid w:val="008C1594"/>
    <w:rsid w:val="008C2C92"/>
    <w:rsid w:val="008C2F8F"/>
    <w:rsid w:val="008C3144"/>
    <w:rsid w:val="008C41E3"/>
    <w:rsid w:val="008C4A93"/>
    <w:rsid w:val="008C4B8E"/>
    <w:rsid w:val="008C4DF6"/>
    <w:rsid w:val="008C5475"/>
    <w:rsid w:val="008C5A63"/>
    <w:rsid w:val="008C64B8"/>
    <w:rsid w:val="008D0399"/>
    <w:rsid w:val="008D071E"/>
    <w:rsid w:val="008D1B57"/>
    <w:rsid w:val="008D1D86"/>
    <w:rsid w:val="008D2014"/>
    <w:rsid w:val="008D280A"/>
    <w:rsid w:val="008D282C"/>
    <w:rsid w:val="008D3128"/>
    <w:rsid w:val="008D4247"/>
    <w:rsid w:val="008D57C8"/>
    <w:rsid w:val="008D60C2"/>
    <w:rsid w:val="008D6598"/>
    <w:rsid w:val="008D6651"/>
    <w:rsid w:val="008D670F"/>
    <w:rsid w:val="008D6BDE"/>
    <w:rsid w:val="008D7338"/>
    <w:rsid w:val="008E0D87"/>
    <w:rsid w:val="008E0E49"/>
    <w:rsid w:val="008E0FC9"/>
    <w:rsid w:val="008E1FD1"/>
    <w:rsid w:val="008E35FD"/>
    <w:rsid w:val="008E37A3"/>
    <w:rsid w:val="008E384F"/>
    <w:rsid w:val="008E3B98"/>
    <w:rsid w:val="008E4AB6"/>
    <w:rsid w:val="008E6227"/>
    <w:rsid w:val="008E68C2"/>
    <w:rsid w:val="008E785E"/>
    <w:rsid w:val="008E78B9"/>
    <w:rsid w:val="008E7AF2"/>
    <w:rsid w:val="008F0946"/>
    <w:rsid w:val="008F1582"/>
    <w:rsid w:val="008F1C58"/>
    <w:rsid w:val="008F2416"/>
    <w:rsid w:val="008F2CD1"/>
    <w:rsid w:val="008F2ED4"/>
    <w:rsid w:val="008F35A0"/>
    <w:rsid w:val="008F3C33"/>
    <w:rsid w:val="008F4812"/>
    <w:rsid w:val="008F57AA"/>
    <w:rsid w:val="00902589"/>
    <w:rsid w:val="0090543D"/>
    <w:rsid w:val="009056C5"/>
    <w:rsid w:val="00906BC4"/>
    <w:rsid w:val="00906E86"/>
    <w:rsid w:val="00907490"/>
    <w:rsid w:val="00907619"/>
    <w:rsid w:val="00910364"/>
    <w:rsid w:val="00910AD0"/>
    <w:rsid w:val="00911120"/>
    <w:rsid w:val="00911953"/>
    <w:rsid w:val="00911C6D"/>
    <w:rsid w:val="0091214A"/>
    <w:rsid w:val="009123D5"/>
    <w:rsid w:val="0091264D"/>
    <w:rsid w:val="00912B38"/>
    <w:rsid w:val="00913293"/>
    <w:rsid w:val="00913432"/>
    <w:rsid w:val="009136FC"/>
    <w:rsid w:val="0091378D"/>
    <w:rsid w:val="00913D5E"/>
    <w:rsid w:val="00913EAA"/>
    <w:rsid w:val="0091499B"/>
    <w:rsid w:val="00914BB9"/>
    <w:rsid w:val="00916F86"/>
    <w:rsid w:val="00916F9F"/>
    <w:rsid w:val="00921730"/>
    <w:rsid w:val="009217DE"/>
    <w:rsid w:val="0092183C"/>
    <w:rsid w:val="00921ADE"/>
    <w:rsid w:val="00922A0E"/>
    <w:rsid w:val="00922A3F"/>
    <w:rsid w:val="0092358F"/>
    <w:rsid w:val="00923A05"/>
    <w:rsid w:val="00923DA3"/>
    <w:rsid w:val="009246AF"/>
    <w:rsid w:val="009262F2"/>
    <w:rsid w:val="00926711"/>
    <w:rsid w:val="009267D3"/>
    <w:rsid w:val="00927EDB"/>
    <w:rsid w:val="00930601"/>
    <w:rsid w:val="00931EDF"/>
    <w:rsid w:val="009320C3"/>
    <w:rsid w:val="0093217C"/>
    <w:rsid w:val="00932E67"/>
    <w:rsid w:val="009331C2"/>
    <w:rsid w:val="00933FF9"/>
    <w:rsid w:val="0093446E"/>
    <w:rsid w:val="0093451F"/>
    <w:rsid w:val="00934780"/>
    <w:rsid w:val="009348D8"/>
    <w:rsid w:val="00935C44"/>
    <w:rsid w:val="00935CF9"/>
    <w:rsid w:val="00935E27"/>
    <w:rsid w:val="00936584"/>
    <w:rsid w:val="00936A58"/>
    <w:rsid w:val="00936FE8"/>
    <w:rsid w:val="00937791"/>
    <w:rsid w:val="00940D67"/>
    <w:rsid w:val="00941003"/>
    <w:rsid w:val="009416C5"/>
    <w:rsid w:val="00941752"/>
    <w:rsid w:val="009418DD"/>
    <w:rsid w:val="00941F05"/>
    <w:rsid w:val="00941F0C"/>
    <w:rsid w:val="00942544"/>
    <w:rsid w:val="00944B55"/>
    <w:rsid w:val="009452D8"/>
    <w:rsid w:val="00946157"/>
    <w:rsid w:val="00946DA6"/>
    <w:rsid w:val="00947351"/>
    <w:rsid w:val="00947B66"/>
    <w:rsid w:val="0095032B"/>
    <w:rsid w:val="00950C89"/>
    <w:rsid w:val="00951933"/>
    <w:rsid w:val="0095274E"/>
    <w:rsid w:val="00954343"/>
    <w:rsid w:val="009551A2"/>
    <w:rsid w:val="00955271"/>
    <w:rsid w:val="00955406"/>
    <w:rsid w:val="00956F71"/>
    <w:rsid w:val="0095765D"/>
    <w:rsid w:val="009579FC"/>
    <w:rsid w:val="00961586"/>
    <w:rsid w:val="00963AE8"/>
    <w:rsid w:val="00963C9C"/>
    <w:rsid w:val="00964253"/>
    <w:rsid w:val="009651C8"/>
    <w:rsid w:val="00965B6B"/>
    <w:rsid w:val="0096670C"/>
    <w:rsid w:val="00966E06"/>
    <w:rsid w:val="0096705B"/>
    <w:rsid w:val="0096796D"/>
    <w:rsid w:val="009711F0"/>
    <w:rsid w:val="009719AF"/>
    <w:rsid w:val="00971D75"/>
    <w:rsid w:val="00971EDB"/>
    <w:rsid w:val="00973F89"/>
    <w:rsid w:val="00974D50"/>
    <w:rsid w:val="009755B6"/>
    <w:rsid w:val="009763E1"/>
    <w:rsid w:val="009764FB"/>
    <w:rsid w:val="00976830"/>
    <w:rsid w:val="0097747F"/>
    <w:rsid w:val="00977B47"/>
    <w:rsid w:val="00977DF9"/>
    <w:rsid w:val="00977EF2"/>
    <w:rsid w:val="00980334"/>
    <w:rsid w:val="00980C4B"/>
    <w:rsid w:val="00981313"/>
    <w:rsid w:val="0098167E"/>
    <w:rsid w:val="00981A7C"/>
    <w:rsid w:val="00984917"/>
    <w:rsid w:val="00984A1A"/>
    <w:rsid w:val="00984BCE"/>
    <w:rsid w:val="00984DD3"/>
    <w:rsid w:val="00984E0C"/>
    <w:rsid w:val="00984FE4"/>
    <w:rsid w:val="00985052"/>
    <w:rsid w:val="0098575E"/>
    <w:rsid w:val="00985CE9"/>
    <w:rsid w:val="00985D18"/>
    <w:rsid w:val="00985F73"/>
    <w:rsid w:val="009871BC"/>
    <w:rsid w:val="00987ABE"/>
    <w:rsid w:val="009901BB"/>
    <w:rsid w:val="0099052E"/>
    <w:rsid w:val="00990C53"/>
    <w:rsid w:val="00990C7C"/>
    <w:rsid w:val="00991736"/>
    <w:rsid w:val="00991EE4"/>
    <w:rsid w:val="009939DC"/>
    <w:rsid w:val="00993B9C"/>
    <w:rsid w:val="009954D6"/>
    <w:rsid w:val="009963A1"/>
    <w:rsid w:val="0099647D"/>
    <w:rsid w:val="00997181"/>
    <w:rsid w:val="00997250"/>
    <w:rsid w:val="009A13B3"/>
    <w:rsid w:val="009A1802"/>
    <w:rsid w:val="009A27C5"/>
    <w:rsid w:val="009A2BB4"/>
    <w:rsid w:val="009A3347"/>
    <w:rsid w:val="009A3798"/>
    <w:rsid w:val="009A3A59"/>
    <w:rsid w:val="009A3E9F"/>
    <w:rsid w:val="009A46CF"/>
    <w:rsid w:val="009A4A1E"/>
    <w:rsid w:val="009A4E76"/>
    <w:rsid w:val="009A4F6F"/>
    <w:rsid w:val="009A5386"/>
    <w:rsid w:val="009A5498"/>
    <w:rsid w:val="009A6536"/>
    <w:rsid w:val="009B057C"/>
    <w:rsid w:val="009B05F4"/>
    <w:rsid w:val="009B07EF"/>
    <w:rsid w:val="009B152F"/>
    <w:rsid w:val="009B1680"/>
    <w:rsid w:val="009B1BDA"/>
    <w:rsid w:val="009B2200"/>
    <w:rsid w:val="009B339A"/>
    <w:rsid w:val="009B348E"/>
    <w:rsid w:val="009B3847"/>
    <w:rsid w:val="009B3B44"/>
    <w:rsid w:val="009B3B80"/>
    <w:rsid w:val="009B412C"/>
    <w:rsid w:val="009B4984"/>
    <w:rsid w:val="009B4A9D"/>
    <w:rsid w:val="009B4E1E"/>
    <w:rsid w:val="009B5686"/>
    <w:rsid w:val="009B65F0"/>
    <w:rsid w:val="009B6BB2"/>
    <w:rsid w:val="009B6BFD"/>
    <w:rsid w:val="009B7695"/>
    <w:rsid w:val="009C03DE"/>
    <w:rsid w:val="009C03FB"/>
    <w:rsid w:val="009C0484"/>
    <w:rsid w:val="009C06A6"/>
    <w:rsid w:val="009C0768"/>
    <w:rsid w:val="009C16ED"/>
    <w:rsid w:val="009C1F0F"/>
    <w:rsid w:val="009C24F0"/>
    <w:rsid w:val="009C2530"/>
    <w:rsid w:val="009C320D"/>
    <w:rsid w:val="009C32CB"/>
    <w:rsid w:val="009C3907"/>
    <w:rsid w:val="009C3A65"/>
    <w:rsid w:val="009C3C9F"/>
    <w:rsid w:val="009C4B4F"/>
    <w:rsid w:val="009C4D84"/>
    <w:rsid w:val="009C6432"/>
    <w:rsid w:val="009C698E"/>
    <w:rsid w:val="009C6AE4"/>
    <w:rsid w:val="009C766C"/>
    <w:rsid w:val="009C7EAA"/>
    <w:rsid w:val="009D0419"/>
    <w:rsid w:val="009D0C21"/>
    <w:rsid w:val="009D0D8E"/>
    <w:rsid w:val="009D0E67"/>
    <w:rsid w:val="009D175B"/>
    <w:rsid w:val="009D297D"/>
    <w:rsid w:val="009D2DB7"/>
    <w:rsid w:val="009D346E"/>
    <w:rsid w:val="009D3C36"/>
    <w:rsid w:val="009D49A2"/>
    <w:rsid w:val="009D4D85"/>
    <w:rsid w:val="009D5145"/>
    <w:rsid w:val="009D515D"/>
    <w:rsid w:val="009D62C5"/>
    <w:rsid w:val="009D6EA9"/>
    <w:rsid w:val="009D7ED0"/>
    <w:rsid w:val="009E04C1"/>
    <w:rsid w:val="009E0CEE"/>
    <w:rsid w:val="009E10D6"/>
    <w:rsid w:val="009E1640"/>
    <w:rsid w:val="009E1E24"/>
    <w:rsid w:val="009E2580"/>
    <w:rsid w:val="009E29F7"/>
    <w:rsid w:val="009E34AD"/>
    <w:rsid w:val="009E39F7"/>
    <w:rsid w:val="009E45F0"/>
    <w:rsid w:val="009E5070"/>
    <w:rsid w:val="009F0C02"/>
    <w:rsid w:val="009F1775"/>
    <w:rsid w:val="009F1BAC"/>
    <w:rsid w:val="009F3E94"/>
    <w:rsid w:val="009F4961"/>
    <w:rsid w:val="009F49BE"/>
    <w:rsid w:val="009F5758"/>
    <w:rsid w:val="009F5ABD"/>
    <w:rsid w:val="009F5F7C"/>
    <w:rsid w:val="009F6053"/>
    <w:rsid w:val="009F6070"/>
    <w:rsid w:val="009F6266"/>
    <w:rsid w:val="009F66EE"/>
    <w:rsid w:val="009F6990"/>
    <w:rsid w:val="009F7A1C"/>
    <w:rsid w:val="00A0283F"/>
    <w:rsid w:val="00A02D6B"/>
    <w:rsid w:val="00A02E67"/>
    <w:rsid w:val="00A02F73"/>
    <w:rsid w:val="00A0349D"/>
    <w:rsid w:val="00A0382D"/>
    <w:rsid w:val="00A048B4"/>
    <w:rsid w:val="00A04BF1"/>
    <w:rsid w:val="00A04F4A"/>
    <w:rsid w:val="00A05626"/>
    <w:rsid w:val="00A071CB"/>
    <w:rsid w:val="00A079A6"/>
    <w:rsid w:val="00A07A4E"/>
    <w:rsid w:val="00A10D21"/>
    <w:rsid w:val="00A116F2"/>
    <w:rsid w:val="00A11C3B"/>
    <w:rsid w:val="00A124BB"/>
    <w:rsid w:val="00A1252F"/>
    <w:rsid w:val="00A12A4B"/>
    <w:rsid w:val="00A13C74"/>
    <w:rsid w:val="00A13E9C"/>
    <w:rsid w:val="00A146F1"/>
    <w:rsid w:val="00A15BF9"/>
    <w:rsid w:val="00A15F7D"/>
    <w:rsid w:val="00A1664B"/>
    <w:rsid w:val="00A1681B"/>
    <w:rsid w:val="00A1762B"/>
    <w:rsid w:val="00A178B3"/>
    <w:rsid w:val="00A17B67"/>
    <w:rsid w:val="00A17E45"/>
    <w:rsid w:val="00A203E7"/>
    <w:rsid w:val="00A2080E"/>
    <w:rsid w:val="00A209B1"/>
    <w:rsid w:val="00A21445"/>
    <w:rsid w:val="00A24AB9"/>
    <w:rsid w:val="00A2628C"/>
    <w:rsid w:val="00A26343"/>
    <w:rsid w:val="00A264D5"/>
    <w:rsid w:val="00A26AA5"/>
    <w:rsid w:val="00A26DE8"/>
    <w:rsid w:val="00A2763F"/>
    <w:rsid w:val="00A30011"/>
    <w:rsid w:val="00A30B59"/>
    <w:rsid w:val="00A30C81"/>
    <w:rsid w:val="00A311AD"/>
    <w:rsid w:val="00A3305A"/>
    <w:rsid w:val="00A3390B"/>
    <w:rsid w:val="00A33C90"/>
    <w:rsid w:val="00A351D2"/>
    <w:rsid w:val="00A408B5"/>
    <w:rsid w:val="00A43182"/>
    <w:rsid w:val="00A448B7"/>
    <w:rsid w:val="00A45B99"/>
    <w:rsid w:val="00A45E40"/>
    <w:rsid w:val="00A46ACD"/>
    <w:rsid w:val="00A46EEC"/>
    <w:rsid w:val="00A47B53"/>
    <w:rsid w:val="00A5218D"/>
    <w:rsid w:val="00A5266E"/>
    <w:rsid w:val="00A529E2"/>
    <w:rsid w:val="00A535D0"/>
    <w:rsid w:val="00A535DB"/>
    <w:rsid w:val="00A536D4"/>
    <w:rsid w:val="00A5382A"/>
    <w:rsid w:val="00A539F8"/>
    <w:rsid w:val="00A53D50"/>
    <w:rsid w:val="00A546E7"/>
    <w:rsid w:val="00A54E64"/>
    <w:rsid w:val="00A56F98"/>
    <w:rsid w:val="00A6029B"/>
    <w:rsid w:val="00A610B7"/>
    <w:rsid w:val="00A6229A"/>
    <w:rsid w:val="00A62CB2"/>
    <w:rsid w:val="00A6491A"/>
    <w:rsid w:val="00A64BF4"/>
    <w:rsid w:val="00A6594E"/>
    <w:rsid w:val="00A65CE9"/>
    <w:rsid w:val="00A66EBE"/>
    <w:rsid w:val="00A66F3F"/>
    <w:rsid w:val="00A70110"/>
    <w:rsid w:val="00A71B2B"/>
    <w:rsid w:val="00A71CD0"/>
    <w:rsid w:val="00A727B6"/>
    <w:rsid w:val="00A729E7"/>
    <w:rsid w:val="00A72B0A"/>
    <w:rsid w:val="00A74D39"/>
    <w:rsid w:val="00A751EE"/>
    <w:rsid w:val="00A75DA9"/>
    <w:rsid w:val="00A76549"/>
    <w:rsid w:val="00A76755"/>
    <w:rsid w:val="00A77243"/>
    <w:rsid w:val="00A80875"/>
    <w:rsid w:val="00A8125D"/>
    <w:rsid w:val="00A81BC7"/>
    <w:rsid w:val="00A81CC6"/>
    <w:rsid w:val="00A83281"/>
    <w:rsid w:val="00A83418"/>
    <w:rsid w:val="00A838FB"/>
    <w:rsid w:val="00A83EC6"/>
    <w:rsid w:val="00A83F27"/>
    <w:rsid w:val="00A85FEF"/>
    <w:rsid w:val="00A86FFD"/>
    <w:rsid w:val="00A8732C"/>
    <w:rsid w:val="00A876B5"/>
    <w:rsid w:val="00A87C31"/>
    <w:rsid w:val="00A9062D"/>
    <w:rsid w:val="00A91972"/>
    <w:rsid w:val="00A919B7"/>
    <w:rsid w:val="00A91EE2"/>
    <w:rsid w:val="00A9256A"/>
    <w:rsid w:val="00A929B3"/>
    <w:rsid w:val="00A92CC3"/>
    <w:rsid w:val="00A93462"/>
    <w:rsid w:val="00A93F58"/>
    <w:rsid w:val="00A94A09"/>
    <w:rsid w:val="00A94F83"/>
    <w:rsid w:val="00A9544D"/>
    <w:rsid w:val="00A96329"/>
    <w:rsid w:val="00A96826"/>
    <w:rsid w:val="00A9695B"/>
    <w:rsid w:val="00A97B50"/>
    <w:rsid w:val="00AA134B"/>
    <w:rsid w:val="00AA24AA"/>
    <w:rsid w:val="00AA2827"/>
    <w:rsid w:val="00AA2CFE"/>
    <w:rsid w:val="00AA49B8"/>
    <w:rsid w:val="00AA5551"/>
    <w:rsid w:val="00AA5FDA"/>
    <w:rsid w:val="00AA6291"/>
    <w:rsid w:val="00AA6E96"/>
    <w:rsid w:val="00AB0B47"/>
    <w:rsid w:val="00AB0D34"/>
    <w:rsid w:val="00AB1938"/>
    <w:rsid w:val="00AB1AEB"/>
    <w:rsid w:val="00AB1E82"/>
    <w:rsid w:val="00AB2E97"/>
    <w:rsid w:val="00AB33AA"/>
    <w:rsid w:val="00AB3AEE"/>
    <w:rsid w:val="00AB3CB9"/>
    <w:rsid w:val="00AB49BB"/>
    <w:rsid w:val="00AB4BC1"/>
    <w:rsid w:val="00AB512D"/>
    <w:rsid w:val="00AB5FE5"/>
    <w:rsid w:val="00AB654C"/>
    <w:rsid w:val="00AB76FC"/>
    <w:rsid w:val="00AB7FE7"/>
    <w:rsid w:val="00AC0111"/>
    <w:rsid w:val="00AC0358"/>
    <w:rsid w:val="00AC0C91"/>
    <w:rsid w:val="00AC0F9A"/>
    <w:rsid w:val="00AC10A2"/>
    <w:rsid w:val="00AC120F"/>
    <w:rsid w:val="00AC1F5F"/>
    <w:rsid w:val="00AC1F6E"/>
    <w:rsid w:val="00AC2039"/>
    <w:rsid w:val="00AC23B1"/>
    <w:rsid w:val="00AC34A4"/>
    <w:rsid w:val="00AC37FF"/>
    <w:rsid w:val="00AC3FFD"/>
    <w:rsid w:val="00AC41B3"/>
    <w:rsid w:val="00AC44E2"/>
    <w:rsid w:val="00AC461E"/>
    <w:rsid w:val="00AC4FF1"/>
    <w:rsid w:val="00AC6117"/>
    <w:rsid w:val="00AC7A5F"/>
    <w:rsid w:val="00AD2B66"/>
    <w:rsid w:val="00AD35E2"/>
    <w:rsid w:val="00AD37D4"/>
    <w:rsid w:val="00AD3FC5"/>
    <w:rsid w:val="00AD54D8"/>
    <w:rsid w:val="00AD6892"/>
    <w:rsid w:val="00AD6CF5"/>
    <w:rsid w:val="00AD70DD"/>
    <w:rsid w:val="00AD78C2"/>
    <w:rsid w:val="00AD7986"/>
    <w:rsid w:val="00AD7ABC"/>
    <w:rsid w:val="00AE008B"/>
    <w:rsid w:val="00AE0D96"/>
    <w:rsid w:val="00AE1188"/>
    <w:rsid w:val="00AE1EA3"/>
    <w:rsid w:val="00AE2F01"/>
    <w:rsid w:val="00AE43D2"/>
    <w:rsid w:val="00AE4EB1"/>
    <w:rsid w:val="00AE5163"/>
    <w:rsid w:val="00AE5697"/>
    <w:rsid w:val="00AE738C"/>
    <w:rsid w:val="00AE792A"/>
    <w:rsid w:val="00AE7CE0"/>
    <w:rsid w:val="00AF019D"/>
    <w:rsid w:val="00AF0569"/>
    <w:rsid w:val="00AF1046"/>
    <w:rsid w:val="00AF176B"/>
    <w:rsid w:val="00AF1E6C"/>
    <w:rsid w:val="00AF1EDE"/>
    <w:rsid w:val="00AF401F"/>
    <w:rsid w:val="00AF4466"/>
    <w:rsid w:val="00AF534E"/>
    <w:rsid w:val="00AF5B47"/>
    <w:rsid w:val="00AF5D1E"/>
    <w:rsid w:val="00AF5F61"/>
    <w:rsid w:val="00AF6B63"/>
    <w:rsid w:val="00AF726F"/>
    <w:rsid w:val="00AF752B"/>
    <w:rsid w:val="00AF76D6"/>
    <w:rsid w:val="00AF7971"/>
    <w:rsid w:val="00AF7D5A"/>
    <w:rsid w:val="00B0090A"/>
    <w:rsid w:val="00B00B1F"/>
    <w:rsid w:val="00B0196F"/>
    <w:rsid w:val="00B0357A"/>
    <w:rsid w:val="00B03A38"/>
    <w:rsid w:val="00B03BFF"/>
    <w:rsid w:val="00B03FF3"/>
    <w:rsid w:val="00B040A9"/>
    <w:rsid w:val="00B049E2"/>
    <w:rsid w:val="00B056DD"/>
    <w:rsid w:val="00B06239"/>
    <w:rsid w:val="00B06E29"/>
    <w:rsid w:val="00B078F9"/>
    <w:rsid w:val="00B07A66"/>
    <w:rsid w:val="00B07D24"/>
    <w:rsid w:val="00B07DA3"/>
    <w:rsid w:val="00B10337"/>
    <w:rsid w:val="00B103DB"/>
    <w:rsid w:val="00B10464"/>
    <w:rsid w:val="00B106DB"/>
    <w:rsid w:val="00B10A88"/>
    <w:rsid w:val="00B116BE"/>
    <w:rsid w:val="00B118EA"/>
    <w:rsid w:val="00B1315B"/>
    <w:rsid w:val="00B168FE"/>
    <w:rsid w:val="00B1711E"/>
    <w:rsid w:val="00B17CBE"/>
    <w:rsid w:val="00B17E26"/>
    <w:rsid w:val="00B209DC"/>
    <w:rsid w:val="00B21104"/>
    <w:rsid w:val="00B2173A"/>
    <w:rsid w:val="00B219B4"/>
    <w:rsid w:val="00B219C4"/>
    <w:rsid w:val="00B221E1"/>
    <w:rsid w:val="00B2230C"/>
    <w:rsid w:val="00B2281B"/>
    <w:rsid w:val="00B231A4"/>
    <w:rsid w:val="00B23BB1"/>
    <w:rsid w:val="00B23F56"/>
    <w:rsid w:val="00B253F5"/>
    <w:rsid w:val="00B254A6"/>
    <w:rsid w:val="00B25B99"/>
    <w:rsid w:val="00B25D20"/>
    <w:rsid w:val="00B263F1"/>
    <w:rsid w:val="00B26D84"/>
    <w:rsid w:val="00B27895"/>
    <w:rsid w:val="00B27A19"/>
    <w:rsid w:val="00B27D53"/>
    <w:rsid w:val="00B30819"/>
    <w:rsid w:val="00B30CBB"/>
    <w:rsid w:val="00B31C99"/>
    <w:rsid w:val="00B3267E"/>
    <w:rsid w:val="00B32A53"/>
    <w:rsid w:val="00B3313A"/>
    <w:rsid w:val="00B3401B"/>
    <w:rsid w:val="00B346EC"/>
    <w:rsid w:val="00B34EE7"/>
    <w:rsid w:val="00B35027"/>
    <w:rsid w:val="00B35F33"/>
    <w:rsid w:val="00B36182"/>
    <w:rsid w:val="00B368B7"/>
    <w:rsid w:val="00B36A65"/>
    <w:rsid w:val="00B3762F"/>
    <w:rsid w:val="00B4077A"/>
    <w:rsid w:val="00B418E9"/>
    <w:rsid w:val="00B419A5"/>
    <w:rsid w:val="00B41F0D"/>
    <w:rsid w:val="00B427EE"/>
    <w:rsid w:val="00B42DE6"/>
    <w:rsid w:val="00B43392"/>
    <w:rsid w:val="00B433AE"/>
    <w:rsid w:val="00B450E5"/>
    <w:rsid w:val="00B46C15"/>
    <w:rsid w:val="00B47174"/>
    <w:rsid w:val="00B473DD"/>
    <w:rsid w:val="00B47AD3"/>
    <w:rsid w:val="00B504B1"/>
    <w:rsid w:val="00B50B51"/>
    <w:rsid w:val="00B51005"/>
    <w:rsid w:val="00B515CB"/>
    <w:rsid w:val="00B522B7"/>
    <w:rsid w:val="00B5305D"/>
    <w:rsid w:val="00B5325E"/>
    <w:rsid w:val="00B534E9"/>
    <w:rsid w:val="00B53564"/>
    <w:rsid w:val="00B53905"/>
    <w:rsid w:val="00B53BA6"/>
    <w:rsid w:val="00B53F51"/>
    <w:rsid w:val="00B5425A"/>
    <w:rsid w:val="00B54CE9"/>
    <w:rsid w:val="00B54E9B"/>
    <w:rsid w:val="00B554EE"/>
    <w:rsid w:val="00B55E46"/>
    <w:rsid w:val="00B55FE5"/>
    <w:rsid w:val="00B56231"/>
    <w:rsid w:val="00B56F3A"/>
    <w:rsid w:val="00B5731D"/>
    <w:rsid w:val="00B57DBA"/>
    <w:rsid w:val="00B607D2"/>
    <w:rsid w:val="00B61DA2"/>
    <w:rsid w:val="00B62C19"/>
    <w:rsid w:val="00B63261"/>
    <w:rsid w:val="00B6378B"/>
    <w:rsid w:val="00B63E3A"/>
    <w:rsid w:val="00B64AE2"/>
    <w:rsid w:val="00B65392"/>
    <w:rsid w:val="00B65462"/>
    <w:rsid w:val="00B66676"/>
    <w:rsid w:val="00B667EF"/>
    <w:rsid w:val="00B66A24"/>
    <w:rsid w:val="00B677A7"/>
    <w:rsid w:val="00B677CE"/>
    <w:rsid w:val="00B7046F"/>
    <w:rsid w:val="00B705F8"/>
    <w:rsid w:val="00B71A17"/>
    <w:rsid w:val="00B71F48"/>
    <w:rsid w:val="00B72014"/>
    <w:rsid w:val="00B723C8"/>
    <w:rsid w:val="00B72A72"/>
    <w:rsid w:val="00B73974"/>
    <w:rsid w:val="00B7404A"/>
    <w:rsid w:val="00B7483D"/>
    <w:rsid w:val="00B74E6E"/>
    <w:rsid w:val="00B74FC6"/>
    <w:rsid w:val="00B751C4"/>
    <w:rsid w:val="00B756F0"/>
    <w:rsid w:val="00B75965"/>
    <w:rsid w:val="00B75EB5"/>
    <w:rsid w:val="00B765C3"/>
    <w:rsid w:val="00B76A8D"/>
    <w:rsid w:val="00B771AD"/>
    <w:rsid w:val="00B7785A"/>
    <w:rsid w:val="00B77BD4"/>
    <w:rsid w:val="00B80D3D"/>
    <w:rsid w:val="00B814CB"/>
    <w:rsid w:val="00B81E16"/>
    <w:rsid w:val="00B820B2"/>
    <w:rsid w:val="00B8213D"/>
    <w:rsid w:val="00B82A18"/>
    <w:rsid w:val="00B82F12"/>
    <w:rsid w:val="00B83145"/>
    <w:rsid w:val="00B83617"/>
    <w:rsid w:val="00B8371F"/>
    <w:rsid w:val="00B83828"/>
    <w:rsid w:val="00B83F55"/>
    <w:rsid w:val="00B8404E"/>
    <w:rsid w:val="00B8443F"/>
    <w:rsid w:val="00B85527"/>
    <w:rsid w:val="00B86FE6"/>
    <w:rsid w:val="00B87298"/>
    <w:rsid w:val="00B8777A"/>
    <w:rsid w:val="00B9173F"/>
    <w:rsid w:val="00B92D6C"/>
    <w:rsid w:val="00B9301E"/>
    <w:rsid w:val="00B9436B"/>
    <w:rsid w:val="00B94DE6"/>
    <w:rsid w:val="00B9523C"/>
    <w:rsid w:val="00B9588A"/>
    <w:rsid w:val="00B95C6D"/>
    <w:rsid w:val="00B968F8"/>
    <w:rsid w:val="00BA022F"/>
    <w:rsid w:val="00BA059F"/>
    <w:rsid w:val="00BA0682"/>
    <w:rsid w:val="00BA0A9D"/>
    <w:rsid w:val="00BA0B47"/>
    <w:rsid w:val="00BA0CF8"/>
    <w:rsid w:val="00BA0EB1"/>
    <w:rsid w:val="00BA187F"/>
    <w:rsid w:val="00BA1ADF"/>
    <w:rsid w:val="00BA1F6C"/>
    <w:rsid w:val="00BA21F0"/>
    <w:rsid w:val="00BA39E8"/>
    <w:rsid w:val="00BA3CF9"/>
    <w:rsid w:val="00BA3F70"/>
    <w:rsid w:val="00BA3F9F"/>
    <w:rsid w:val="00BA4288"/>
    <w:rsid w:val="00BA51FC"/>
    <w:rsid w:val="00BA7DD8"/>
    <w:rsid w:val="00BB003A"/>
    <w:rsid w:val="00BB01AC"/>
    <w:rsid w:val="00BB02E6"/>
    <w:rsid w:val="00BB0EA1"/>
    <w:rsid w:val="00BB2055"/>
    <w:rsid w:val="00BB20AB"/>
    <w:rsid w:val="00BB3358"/>
    <w:rsid w:val="00BB3382"/>
    <w:rsid w:val="00BB3643"/>
    <w:rsid w:val="00BB4B15"/>
    <w:rsid w:val="00BB5DBF"/>
    <w:rsid w:val="00BB5E59"/>
    <w:rsid w:val="00BB73C0"/>
    <w:rsid w:val="00BB758B"/>
    <w:rsid w:val="00BB76D2"/>
    <w:rsid w:val="00BB7B51"/>
    <w:rsid w:val="00BC0146"/>
    <w:rsid w:val="00BC0654"/>
    <w:rsid w:val="00BC2813"/>
    <w:rsid w:val="00BC3DA0"/>
    <w:rsid w:val="00BC3FF9"/>
    <w:rsid w:val="00BC4051"/>
    <w:rsid w:val="00BC424B"/>
    <w:rsid w:val="00BC5CC8"/>
    <w:rsid w:val="00BC6B40"/>
    <w:rsid w:val="00BC7D46"/>
    <w:rsid w:val="00BD020E"/>
    <w:rsid w:val="00BD141F"/>
    <w:rsid w:val="00BD1B44"/>
    <w:rsid w:val="00BD2314"/>
    <w:rsid w:val="00BD2C0F"/>
    <w:rsid w:val="00BD4D4D"/>
    <w:rsid w:val="00BD5C8D"/>
    <w:rsid w:val="00BD5E09"/>
    <w:rsid w:val="00BD6976"/>
    <w:rsid w:val="00BD6AD1"/>
    <w:rsid w:val="00BD6D46"/>
    <w:rsid w:val="00BD6E61"/>
    <w:rsid w:val="00BE0C0C"/>
    <w:rsid w:val="00BE0FDE"/>
    <w:rsid w:val="00BE1B14"/>
    <w:rsid w:val="00BE2881"/>
    <w:rsid w:val="00BE2B9D"/>
    <w:rsid w:val="00BE2FE2"/>
    <w:rsid w:val="00BE324B"/>
    <w:rsid w:val="00BE44CF"/>
    <w:rsid w:val="00BE47CB"/>
    <w:rsid w:val="00BE49A2"/>
    <w:rsid w:val="00BE4EB7"/>
    <w:rsid w:val="00BE5C33"/>
    <w:rsid w:val="00BE5C5D"/>
    <w:rsid w:val="00BE64B8"/>
    <w:rsid w:val="00BE68A2"/>
    <w:rsid w:val="00BE7950"/>
    <w:rsid w:val="00BE7F6F"/>
    <w:rsid w:val="00BF0680"/>
    <w:rsid w:val="00BF0807"/>
    <w:rsid w:val="00BF137E"/>
    <w:rsid w:val="00BF1BDD"/>
    <w:rsid w:val="00BF2FB2"/>
    <w:rsid w:val="00BF34FA"/>
    <w:rsid w:val="00BF37AA"/>
    <w:rsid w:val="00BF3FAB"/>
    <w:rsid w:val="00BF4576"/>
    <w:rsid w:val="00BF4760"/>
    <w:rsid w:val="00BF4914"/>
    <w:rsid w:val="00BF4970"/>
    <w:rsid w:val="00BF4CAB"/>
    <w:rsid w:val="00BF6945"/>
    <w:rsid w:val="00BF6AC5"/>
    <w:rsid w:val="00BF7150"/>
    <w:rsid w:val="00BF7716"/>
    <w:rsid w:val="00C00F5F"/>
    <w:rsid w:val="00C01121"/>
    <w:rsid w:val="00C030A5"/>
    <w:rsid w:val="00C0316F"/>
    <w:rsid w:val="00C04015"/>
    <w:rsid w:val="00C042C2"/>
    <w:rsid w:val="00C04501"/>
    <w:rsid w:val="00C04C47"/>
    <w:rsid w:val="00C054BB"/>
    <w:rsid w:val="00C05A45"/>
    <w:rsid w:val="00C05ECF"/>
    <w:rsid w:val="00C06CD7"/>
    <w:rsid w:val="00C0796F"/>
    <w:rsid w:val="00C07E82"/>
    <w:rsid w:val="00C10209"/>
    <w:rsid w:val="00C11717"/>
    <w:rsid w:val="00C11B34"/>
    <w:rsid w:val="00C11BB6"/>
    <w:rsid w:val="00C122EF"/>
    <w:rsid w:val="00C12817"/>
    <w:rsid w:val="00C12C5C"/>
    <w:rsid w:val="00C12F49"/>
    <w:rsid w:val="00C131BC"/>
    <w:rsid w:val="00C132AE"/>
    <w:rsid w:val="00C13366"/>
    <w:rsid w:val="00C1349F"/>
    <w:rsid w:val="00C134EE"/>
    <w:rsid w:val="00C13BF6"/>
    <w:rsid w:val="00C13DD3"/>
    <w:rsid w:val="00C1418B"/>
    <w:rsid w:val="00C161BD"/>
    <w:rsid w:val="00C171FB"/>
    <w:rsid w:val="00C20033"/>
    <w:rsid w:val="00C20733"/>
    <w:rsid w:val="00C209C2"/>
    <w:rsid w:val="00C21972"/>
    <w:rsid w:val="00C223E5"/>
    <w:rsid w:val="00C2267F"/>
    <w:rsid w:val="00C22AD8"/>
    <w:rsid w:val="00C22CF1"/>
    <w:rsid w:val="00C2361A"/>
    <w:rsid w:val="00C23D0D"/>
    <w:rsid w:val="00C23ED9"/>
    <w:rsid w:val="00C24A71"/>
    <w:rsid w:val="00C2666F"/>
    <w:rsid w:val="00C2793A"/>
    <w:rsid w:val="00C30CA8"/>
    <w:rsid w:val="00C31C0E"/>
    <w:rsid w:val="00C32CF4"/>
    <w:rsid w:val="00C34341"/>
    <w:rsid w:val="00C3557E"/>
    <w:rsid w:val="00C3594B"/>
    <w:rsid w:val="00C35EC4"/>
    <w:rsid w:val="00C3780F"/>
    <w:rsid w:val="00C378AC"/>
    <w:rsid w:val="00C3799B"/>
    <w:rsid w:val="00C37B32"/>
    <w:rsid w:val="00C40627"/>
    <w:rsid w:val="00C40A99"/>
    <w:rsid w:val="00C41E2B"/>
    <w:rsid w:val="00C42D8F"/>
    <w:rsid w:val="00C43102"/>
    <w:rsid w:val="00C454AC"/>
    <w:rsid w:val="00C46791"/>
    <w:rsid w:val="00C4696B"/>
    <w:rsid w:val="00C4774B"/>
    <w:rsid w:val="00C47948"/>
    <w:rsid w:val="00C504E4"/>
    <w:rsid w:val="00C50513"/>
    <w:rsid w:val="00C515B6"/>
    <w:rsid w:val="00C51CBE"/>
    <w:rsid w:val="00C51FBD"/>
    <w:rsid w:val="00C5295A"/>
    <w:rsid w:val="00C52B32"/>
    <w:rsid w:val="00C52E12"/>
    <w:rsid w:val="00C5380A"/>
    <w:rsid w:val="00C54503"/>
    <w:rsid w:val="00C54612"/>
    <w:rsid w:val="00C55379"/>
    <w:rsid w:val="00C55956"/>
    <w:rsid w:val="00C55C10"/>
    <w:rsid w:val="00C57CAF"/>
    <w:rsid w:val="00C57DA4"/>
    <w:rsid w:val="00C57DE1"/>
    <w:rsid w:val="00C60216"/>
    <w:rsid w:val="00C61C23"/>
    <w:rsid w:val="00C62379"/>
    <w:rsid w:val="00C6239C"/>
    <w:rsid w:val="00C62A66"/>
    <w:rsid w:val="00C63055"/>
    <w:rsid w:val="00C633AB"/>
    <w:rsid w:val="00C6395C"/>
    <w:rsid w:val="00C63BE1"/>
    <w:rsid w:val="00C645D3"/>
    <w:rsid w:val="00C64D7A"/>
    <w:rsid w:val="00C64F2E"/>
    <w:rsid w:val="00C64FF1"/>
    <w:rsid w:val="00C65557"/>
    <w:rsid w:val="00C66491"/>
    <w:rsid w:val="00C66497"/>
    <w:rsid w:val="00C66AD8"/>
    <w:rsid w:val="00C67139"/>
    <w:rsid w:val="00C67320"/>
    <w:rsid w:val="00C67499"/>
    <w:rsid w:val="00C67BFA"/>
    <w:rsid w:val="00C700F1"/>
    <w:rsid w:val="00C7043B"/>
    <w:rsid w:val="00C71EBE"/>
    <w:rsid w:val="00C72B4D"/>
    <w:rsid w:val="00C730C3"/>
    <w:rsid w:val="00C736A0"/>
    <w:rsid w:val="00C73799"/>
    <w:rsid w:val="00C7386B"/>
    <w:rsid w:val="00C73985"/>
    <w:rsid w:val="00C73B62"/>
    <w:rsid w:val="00C74193"/>
    <w:rsid w:val="00C74344"/>
    <w:rsid w:val="00C746CF"/>
    <w:rsid w:val="00C74966"/>
    <w:rsid w:val="00C7588F"/>
    <w:rsid w:val="00C75986"/>
    <w:rsid w:val="00C75A24"/>
    <w:rsid w:val="00C75E4D"/>
    <w:rsid w:val="00C76357"/>
    <w:rsid w:val="00C768CF"/>
    <w:rsid w:val="00C76A5A"/>
    <w:rsid w:val="00C76F76"/>
    <w:rsid w:val="00C776B1"/>
    <w:rsid w:val="00C7780D"/>
    <w:rsid w:val="00C815FE"/>
    <w:rsid w:val="00C83BA7"/>
    <w:rsid w:val="00C83FEA"/>
    <w:rsid w:val="00C847AE"/>
    <w:rsid w:val="00C84CD3"/>
    <w:rsid w:val="00C85471"/>
    <w:rsid w:val="00C85ABD"/>
    <w:rsid w:val="00C85F5B"/>
    <w:rsid w:val="00C86255"/>
    <w:rsid w:val="00C86D9C"/>
    <w:rsid w:val="00C86E70"/>
    <w:rsid w:val="00C87354"/>
    <w:rsid w:val="00C87AAF"/>
    <w:rsid w:val="00C87F54"/>
    <w:rsid w:val="00C9040A"/>
    <w:rsid w:val="00C908E7"/>
    <w:rsid w:val="00C90ABB"/>
    <w:rsid w:val="00C916B1"/>
    <w:rsid w:val="00C92058"/>
    <w:rsid w:val="00C9264F"/>
    <w:rsid w:val="00C9265C"/>
    <w:rsid w:val="00C936DF"/>
    <w:rsid w:val="00C94502"/>
    <w:rsid w:val="00C95BDD"/>
    <w:rsid w:val="00C965FC"/>
    <w:rsid w:val="00C96BAE"/>
    <w:rsid w:val="00C9769B"/>
    <w:rsid w:val="00C976CB"/>
    <w:rsid w:val="00C97C2A"/>
    <w:rsid w:val="00C97D17"/>
    <w:rsid w:val="00C97EBE"/>
    <w:rsid w:val="00CA04C6"/>
    <w:rsid w:val="00CA0A2E"/>
    <w:rsid w:val="00CA1A68"/>
    <w:rsid w:val="00CA1F55"/>
    <w:rsid w:val="00CA26DD"/>
    <w:rsid w:val="00CA382F"/>
    <w:rsid w:val="00CA4C9F"/>
    <w:rsid w:val="00CA5547"/>
    <w:rsid w:val="00CA592A"/>
    <w:rsid w:val="00CA5D8C"/>
    <w:rsid w:val="00CA6645"/>
    <w:rsid w:val="00CB06E1"/>
    <w:rsid w:val="00CB0DB9"/>
    <w:rsid w:val="00CB12EC"/>
    <w:rsid w:val="00CB23F2"/>
    <w:rsid w:val="00CB2814"/>
    <w:rsid w:val="00CB2DFC"/>
    <w:rsid w:val="00CB3770"/>
    <w:rsid w:val="00CB3CC7"/>
    <w:rsid w:val="00CB42DB"/>
    <w:rsid w:val="00CB5A6A"/>
    <w:rsid w:val="00CB5BA4"/>
    <w:rsid w:val="00CB614F"/>
    <w:rsid w:val="00CB65F6"/>
    <w:rsid w:val="00CB6A63"/>
    <w:rsid w:val="00CB751B"/>
    <w:rsid w:val="00CC07A1"/>
    <w:rsid w:val="00CC09D7"/>
    <w:rsid w:val="00CC1270"/>
    <w:rsid w:val="00CC12B8"/>
    <w:rsid w:val="00CC1A80"/>
    <w:rsid w:val="00CC1F78"/>
    <w:rsid w:val="00CC3313"/>
    <w:rsid w:val="00CC4EE7"/>
    <w:rsid w:val="00CC50D3"/>
    <w:rsid w:val="00CC5614"/>
    <w:rsid w:val="00CC6312"/>
    <w:rsid w:val="00CC6E8D"/>
    <w:rsid w:val="00CC7E9E"/>
    <w:rsid w:val="00CD0568"/>
    <w:rsid w:val="00CD0F97"/>
    <w:rsid w:val="00CD1453"/>
    <w:rsid w:val="00CD22E3"/>
    <w:rsid w:val="00CD2335"/>
    <w:rsid w:val="00CD2634"/>
    <w:rsid w:val="00CD4D45"/>
    <w:rsid w:val="00CD4E44"/>
    <w:rsid w:val="00CD587D"/>
    <w:rsid w:val="00CD5AE4"/>
    <w:rsid w:val="00CD62DF"/>
    <w:rsid w:val="00CD65D9"/>
    <w:rsid w:val="00CD6C1F"/>
    <w:rsid w:val="00CD7A7D"/>
    <w:rsid w:val="00CD7AD3"/>
    <w:rsid w:val="00CE0743"/>
    <w:rsid w:val="00CE0B7A"/>
    <w:rsid w:val="00CE10FC"/>
    <w:rsid w:val="00CE196E"/>
    <w:rsid w:val="00CE1FEA"/>
    <w:rsid w:val="00CE2519"/>
    <w:rsid w:val="00CE3046"/>
    <w:rsid w:val="00CE40DE"/>
    <w:rsid w:val="00CE5048"/>
    <w:rsid w:val="00CE53D9"/>
    <w:rsid w:val="00CE54FF"/>
    <w:rsid w:val="00CE6186"/>
    <w:rsid w:val="00CE6A90"/>
    <w:rsid w:val="00CE6CEC"/>
    <w:rsid w:val="00CE75A8"/>
    <w:rsid w:val="00CF100D"/>
    <w:rsid w:val="00CF19E1"/>
    <w:rsid w:val="00CF1E74"/>
    <w:rsid w:val="00CF2D8E"/>
    <w:rsid w:val="00CF2DFA"/>
    <w:rsid w:val="00CF392D"/>
    <w:rsid w:val="00CF395A"/>
    <w:rsid w:val="00CF3F91"/>
    <w:rsid w:val="00CF54E8"/>
    <w:rsid w:val="00CF5AD8"/>
    <w:rsid w:val="00CF6845"/>
    <w:rsid w:val="00CF6C3A"/>
    <w:rsid w:val="00CF7FE5"/>
    <w:rsid w:val="00D00122"/>
    <w:rsid w:val="00D004DB"/>
    <w:rsid w:val="00D00C2D"/>
    <w:rsid w:val="00D01373"/>
    <w:rsid w:val="00D0196F"/>
    <w:rsid w:val="00D01D2A"/>
    <w:rsid w:val="00D02D4F"/>
    <w:rsid w:val="00D02E10"/>
    <w:rsid w:val="00D0352E"/>
    <w:rsid w:val="00D03BE8"/>
    <w:rsid w:val="00D03F46"/>
    <w:rsid w:val="00D0417B"/>
    <w:rsid w:val="00D0498E"/>
    <w:rsid w:val="00D05FC9"/>
    <w:rsid w:val="00D06203"/>
    <w:rsid w:val="00D07A18"/>
    <w:rsid w:val="00D10B47"/>
    <w:rsid w:val="00D11EB1"/>
    <w:rsid w:val="00D134CB"/>
    <w:rsid w:val="00D1372C"/>
    <w:rsid w:val="00D16416"/>
    <w:rsid w:val="00D1757E"/>
    <w:rsid w:val="00D17F17"/>
    <w:rsid w:val="00D206C4"/>
    <w:rsid w:val="00D214A0"/>
    <w:rsid w:val="00D21FF5"/>
    <w:rsid w:val="00D2208F"/>
    <w:rsid w:val="00D229C4"/>
    <w:rsid w:val="00D23241"/>
    <w:rsid w:val="00D23597"/>
    <w:rsid w:val="00D235F6"/>
    <w:rsid w:val="00D23B83"/>
    <w:rsid w:val="00D240D2"/>
    <w:rsid w:val="00D24CAE"/>
    <w:rsid w:val="00D2570D"/>
    <w:rsid w:val="00D25C9C"/>
    <w:rsid w:val="00D30352"/>
    <w:rsid w:val="00D30BDC"/>
    <w:rsid w:val="00D30CA9"/>
    <w:rsid w:val="00D31497"/>
    <w:rsid w:val="00D31D51"/>
    <w:rsid w:val="00D31F08"/>
    <w:rsid w:val="00D328A9"/>
    <w:rsid w:val="00D330B5"/>
    <w:rsid w:val="00D33E33"/>
    <w:rsid w:val="00D33F19"/>
    <w:rsid w:val="00D3504C"/>
    <w:rsid w:val="00D358DF"/>
    <w:rsid w:val="00D35A6F"/>
    <w:rsid w:val="00D35EB5"/>
    <w:rsid w:val="00D37887"/>
    <w:rsid w:val="00D408F0"/>
    <w:rsid w:val="00D40A18"/>
    <w:rsid w:val="00D40B7C"/>
    <w:rsid w:val="00D40CE9"/>
    <w:rsid w:val="00D414BF"/>
    <w:rsid w:val="00D42708"/>
    <w:rsid w:val="00D4352C"/>
    <w:rsid w:val="00D435C6"/>
    <w:rsid w:val="00D436C6"/>
    <w:rsid w:val="00D43D63"/>
    <w:rsid w:val="00D4504A"/>
    <w:rsid w:val="00D454F6"/>
    <w:rsid w:val="00D455CD"/>
    <w:rsid w:val="00D455D7"/>
    <w:rsid w:val="00D45C6C"/>
    <w:rsid w:val="00D46206"/>
    <w:rsid w:val="00D470A5"/>
    <w:rsid w:val="00D47997"/>
    <w:rsid w:val="00D50E32"/>
    <w:rsid w:val="00D5130D"/>
    <w:rsid w:val="00D51B02"/>
    <w:rsid w:val="00D52CCB"/>
    <w:rsid w:val="00D53B9A"/>
    <w:rsid w:val="00D54106"/>
    <w:rsid w:val="00D54BB3"/>
    <w:rsid w:val="00D571DA"/>
    <w:rsid w:val="00D57483"/>
    <w:rsid w:val="00D579DD"/>
    <w:rsid w:val="00D57ADA"/>
    <w:rsid w:val="00D57F88"/>
    <w:rsid w:val="00D6012B"/>
    <w:rsid w:val="00D6043A"/>
    <w:rsid w:val="00D60C23"/>
    <w:rsid w:val="00D62031"/>
    <w:rsid w:val="00D6399F"/>
    <w:rsid w:val="00D64B75"/>
    <w:rsid w:val="00D64E71"/>
    <w:rsid w:val="00D65936"/>
    <w:rsid w:val="00D65987"/>
    <w:rsid w:val="00D67122"/>
    <w:rsid w:val="00D6755E"/>
    <w:rsid w:val="00D70510"/>
    <w:rsid w:val="00D7105C"/>
    <w:rsid w:val="00D73646"/>
    <w:rsid w:val="00D741BB"/>
    <w:rsid w:val="00D74958"/>
    <w:rsid w:val="00D74BA7"/>
    <w:rsid w:val="00D74FFB"/>
    <w:rsid w:val="00D75F6D"/>
    <w:rsid w:val="00D765F1"/>
    <w:rsid w:val="00D76F6D"/>
    <w:rsid w:val="00D777B4"/>
    <w:rsid w:val="00D77A90"/>
    <w:rsid w:val="00D77B10"/>
    <w:rsid w:val="00D77E4E"/>
    <w:rsid w:val="00D8003E"/>
    <w:rsid w:val="00D80389"/>
    <w:rsid w:val="00D808B1"/>
    <w:rsid w:val="00D8296B"/>
    <w:rsid w:val="00D8360B"/>
    <w:rsid w:val="00D8449A"/>
    <w:rsid w:val="00D85255"/>
    <w:rsid w:val="00D85676"/>
    <w:rsid w:val="00D85903"/>
    <w:rsid w:val="00D859A9"/>
    <w:rsid w:val="00D86361"/>
    <w:rsid w:val="00D86690"/>
    <w:rsid w:val="00D86B72"/>
    <w:rsid w:val="00D87052"/>
    <w:rsid w:val="00D87104"/>
    <w:rsid w:val="00D871E3"/>
    <w:rsid w:val="00D87337"/>
    <w:rsid w:val="00D90014"/>
    <w:rsid w:val="00D90393"/>
    <w:rsid w:val="00D903FA"/>
    <w:rsid w:val="00D90713"/>
    <w:rsid w:val="00D90B75"/>
    <w:rsid w:val="00D90D78"/>
    <w:rsid w:val="00D919EF"/>
    <w:rsid w:val="00D91B79"/>
    <w:rsid w:val="00D91E7A"/>
    <w:rsid w:val="00D9302D"/>
    <w:rsid w:val="00D9397F"/>
    <w:rsid w:val="00D94465"/>
    <w:rsid w:val="00D94814"/>
    <w:rsid w:val="00D94B51"/>
    <w:rsid w:val="00D94C45"/>
    <w:rsid w:val="00D94FB9"/>
    <w:rsid w:val="00D95F65"/>
    <w:rsid w:val="00D966B1"/>
    <w:rsid w:val="00D96921"/>
    <w:rsid w:val="00D96ADA"/>
    <w:rsid w:val="00D97218"/>
    <w:rsid w:val="00DA044F"/>
    <w:rsid w:val="00DA0C22"/>
    <w:rsid w:val="00DA2383"/>
    <w:rsid w:val="00DA2886"/>
    <w:rsid w:val="00DA3D90"/>
    <w:rsid w:val="00DA3EC7"/>
    <w:rsid w:val="00DA462E"/>
    <w:rsid w:val="00DA463E"/>
    <w:rsid w:val="00DA4967"/>
    <w:rsid w:val="00DA4FC4"/>
    <w:rsid w:val="00DA5E50"/>
    <w:rsid w:val="00DA784C"/>
    <w:rsid w:val="00DA7B61"/>
    <w:rsid w:val="00DA7D0C"/>
    <w:rsid w:val="00DB107B"/>
    <w:rsid w:val="00DB2927"/>
    <w:rsid w:val="00DB2EAA"/>
    <w:rsid w:val="00DB311C"/>
    <w:rsid w:val="00DB3408"/>
    <w:rsid w:val="00DB432D"/>
    <w:rsid w:val="00DB45A9"/>
    <w:rsid w:val="00DB4A51"/>
    <w:rsid w:val="00DB519B"/>
    <w:rsid w:val="00DB5377"/>
    <w:rsid w:val="00DB5917"/>
    <w:rsid w:val="00DB6E46"/>
    <w:rsid w:val="00DB7ECF"/>
    <w:rsid w:val="00DC0220"/>
    <w:rsid w:val="00DC04BA"/>
    <w:rsid w:val="00DC05A9"/>
    <w:rsid w:val="00DC1C18"/>
    <w:rsid w:val="00DC1E59"/>
    <w:rsid w:val="00DC25CB"/>
    <w:rsid w:val="00DC3334"/>
    <w:rsid w:val="00DC3392"/>
    <w:rsid w:val="00DC3DA4"/>
    <w:rsid w:val="00DC3E2C"/>
    <w:rsid w:val="00DC3F37"/>
    <w:rsid w:val="00DC49F2"/>
    <w:rsid w:val="00DC4BFC"/>
    <w:rsid w:val="00DC50B4"/>
    <w:rsid w:val="00DC50FF"/>
    <w:rsid w:val="00DC58C7"/>
    <w:rsid w:val="00DC5D2A"/>
    <w:rsid w:val="00DC6C9D"/>
    <w:rsid w:val="00DC7694"/>
    <w:rsid w:val="00DC78E0"/>
    <w:rsid w:val="00DC7FBE"/>
    <w:rsid w:val="00DD02CD"/>
    <w:rsid w:val="00DD130E"/>
    <w:rsid w:val="00DD15FF"/>
    <w:rsid w:val="00DD1C68"/>
    <w:rsid w:val="00DD28AC"/>
    <w:rsid w:val="00DD29DC"/>
    <w:rsid w:val="00DD2AD2"/>
    <w:rsid w:val="00DD2C48"/>
    <w:rsid w:val="00DD2FAD"/>
    <w:rsid w:val="00DD308E"/>
    <w:rsid w:val="00DD3EF0"/>
    <w:rsid w:val="00DD422B"/>
    <w:rsid w:val="00DD438E"/>
    <w:rsid w:val="00DD4458"/>
    <w:rsid w:val="00DD4520"/>
    <w:rsid w:val="00DD4F19"/>
    <w:rsid w:val="00DD5CC1"/>
    <w:rsid w:val="00DD6B6C"/>
    <w:rsid w:val="00DD6D33"/>
    <w:rsid w:val="00DD6E27"/>
    <w:rsid w:val="00DD70A6"/>
    <w:rsid w:val="00DD717F"/>
    <w:rsid w:val="00DE0B86"/>
    <w:rsid w:val="00DE0FBE"/>
    <w:rsid w:val="00DE168E"/>
    <w:rsid w:val="00DE1F38"/>
    <w:rsid w:val="00DE2B26"/>
    <w:rsid w:val="00DE3254"/>
    <w:rsid w:val="00DE406C"/>
    <w:rsid w:val="00DE5F40"/>
    <w:rsid w:val="00DE6414"/>
    <w:rsid w:val="00DE69AE"/>
    <w:rsid w:val="00DE74EB"/>
    <w:rsid w:val="00DE762B"/>
    <w:rsid w:val="00DF0BF5"/>
    <w:rsid w:val="00DF0C51"/>
    <w:rsid w:val="00DF0D47"/>
    <w:rsid w:val="00DF1466"/>
    <w:rsid w:val="00DF1652"/>
    <w:rsid w:val="00DF2C6D"/>
    <w:rsid w:val="00DF2D86"/>
    <w:rsid w:val="00DF36EF"/>
    <w:rsid w:val="00DF3A96"/>
    <w:rsid w:val="00DF4434"/>
    <w:rsid w:val="00DF498B"/>
    <w:rsid w:val="00DF4A69"/>
    <w:rsid w:val="00DF4C37"/>
    <w:rsid w:val="00DF4C39"/>
    <w:rsid w:val="00DF4ECD"/>
    <w:rsid w:val="00DF5503"/>
    <w:rsid w:val="00DF688D"/>
    <w:rsid w:val="00DF6A07"/>
    <w:rsid w:val="00DF6D37"/>
    <w:rsid w:val="00DF6DDC"/>
    <w:rsid w:val="00DF6F47"/>
    <w:rsid w:val="00E004F9"/>
    <w:rsid w:val="00E010E8"/>
    <w:rsid w:val="00E013F9"/>
    <w:rsid w:val="00E01A48"/>
    <w:rsid w:val="00E02271"/>
    <w:rsid w:val="00E033C1"/>
    <w:rsid w:val="00E04456"/>
    <w:rsid w:val="00E0460E"/>
    <w:rsid w:val="00E048ED"/>
    <w:rsid w:val="00E048EE"/>
    <w:rsid w:val="00E04FB3"/>
    <w:rsid w:val="00E058F2"/>
    <w:rsid w:val="00E05A00"/>
    <w:rsid w:val="00E05D9C"/>
    <w:rsid w:val="00E05E30"/>
    <w:rsid w:val="00E06102"/>
    <w:rsid w:val="00E071B8"/>
    <w:rsid w:val="00E1006C"/>
    <w:rsid w:val="00E10CCA"/>
    <w:rsid w:val="00E11144"/>
    <w:rsid w:val="00E1130C"/>
    <w:rsid w:val="00E118D6"/>
    <w:rsid w:val="00E12D2F"/>
    <w:rsid w:val="00E1438F"/>
    <w:rsid w:val="00E143E4"/>
    <w:rsid w:val="00E14F0F"/>
    <w:rsid w:val="00E1526D"/>
    <w:rsid w:val="00E15668"/>
    <w:rsid w:val="00E164D2"/>
    <w:rsid w:val="00E16A0E"/>
    <w:rsid w:val="00E16C2E"/>
    <w:rsid w:val="00E17C69"/>
    <w:rsid w:val="00E20171"/>
    <w:rsid w:val="00E206AA"/>
    <w:rsid w:val="00E20CB2"/>
    <w:rsid w:val="00E21FE7"/>
    <w:rsid w:val="00E225B7"/>
    <w:rsid w:val="00E235D8"/>
    <w:rsid w:val="00E23700"/>
    <w:rsid w:val="00E23E71"/>
    <w:rsid w:val="00E248DD"/>
    <w:rsid w:val="00E250E6"/>
    <w:rsid w:val="00E25175"/>
    <w:rsid w:val="00E265DC"/>
    <w:rsid w:val="00E26B0C"/>
    <w:rsid w:val="00E27764"/>
    <w:rsid w:val="00E307C6"/>
    <w:rsid w:val="00E30A80"/>
    <w:rsid w:val="00E30F19"/>
    <w:rsid w:val="00E31991"/>
    <w:rsid w:val="00E3202B"/>
    <w:rsid w:val="00E32238"/>
    <w:rsid w:val="00E329A9"/>
    <w:rsid w:val="00E32E64"/>
    <w:rsid w:val="00E3325B"/>
    <w:rsid w:val="00E33912"/>
    <w:rsid w:val="00E33C4A"/>
    <w:rsid w:val="00E35308"/>
    <w:rsid w:val="00E355A0"/>
    <w:rsid w:val="00E357B9"/>
    <w:rsid w:val="00E35FF7"/>
    <w:rsid w:val="00E36008"/>
    <w:rsid w:val="00E36CA5"/>
    <w:rsid w:val="00E4041F"/>
    <w:rsid w:val="00E40ECE"/>
    <w:rsid w:val="00E40F0F"/>
    <w:rsid w:val="00E40FC5"/>
    <w:rsid w:val="00E41948"/>
    <w:rsid w:val="00E428A9"/>
    <w:rsid w:val="00E42AA1"/>
    <w:rsid w:val="00E42AE7"/>
    <w:rsid w:val="00E42C4D"/>
    <w:rsid w:val="00E4321E"/>
    <w:rsid w:val="00E43313"/>
    <w:rsid w:val="00E43766"/>
    <w:rsid w:val="00E4387E"/>
    <w:rsid w:val="00E439B1"/>
    <w:rsid w:val="00E43DFC"/>
    <w:rsid w:val="00E44B80"/>
    <w:rsid w:val="00E44D70"/>
    <w:rsid w:val="00E4625E"/>
    <w:rsid w:val="00E462BE"/>
    <w:rsid w:val="00E4637D"/>
    <w:rsid w:val="00E47233"/>
    <w:rsid w:val="00E47623"/>
    <w:rsid w:val="00E47CAB"/>
    <w:rsid w:val="00E51672"/>
    <w:rsid w:val="00E51DDB"/>
    <w:rsid w:val="00E51F10"/>
    <w:rsid w:val="00E520DD"/>
    <w:rsid w:val="00E528C0"/>
    <w:rsid w:val="00E528F0"/>
    <w:rsid w:val="00E52BB2"/>
    <w:rsid w:val="00E534A5"/>
    <w:rsid w:val="00E536FF"/>
    <w:rsid w:val="00E53B91"/>
    <w:rsid w:val="00E53CF2"/>
    <w:rsid w:val="00E548F1"/>
    <w:rsid w:val="00E549C9"/>
    <w:rsid w:val="00E5528B"/>
    <w:rsid w:val="00E557B5"/>
    <w:rsid w:val="00E55833"/>
    <w:rsid w:val="00E55E5A"/>
    <w:rsid w:val="00E56224"/>
    <w:rsid w:val="00E56633"/>
    <w:rsid w:val="00E56FE9"/>
    <w:rsid w:val="00E60529"/>
    <w:rsid w:val="00E6113D"/>
    <w:rsid w:val="00E620D6"/>
    <w:rsid w:val="00E62E92"/>
    <w:rsid w:val="00E647D3"/>
    <w:rsid w:val="00E64BEE"/>
    <w:rsid w:val="00E64EAC"/>
    <w:rsid w:val="00E65511"/>
    <w:rsid w:val="00E665D4"/>
    <w:rsid w:val="00E66728"/>
    <w:rsid w:val="00E6690E"/>
    <w:rsid w:val="00E66DDC"/>
    <w:rsid w:val="00E67822"/>
    <w:rsid w:val="00E67BB9"/>
    <w:rsid w:val="00E70D86"/>
    <w:rsid w:val="00E70DA0"/>
    <w:rsid w:val="00E711D8"/>
    <w:rsid w:val="00E713AA"/>
    <w:rsid w:val="00E739EB"/>
    <w:rsid w:val="00E742CF"/>
    <w:rsid w:val="00E75014"/>
    <w:rsid w:val="00E7525D"/>
    <w:rsid w:val="00E75746"/>
    <w:rsid w:val="00E7628E"/>
    <w:rsid w:val="00E7639E"/>
    <w:rsid w:val="00E7744E"/>
    <w:rsid w:val="00E77593"/>
    <w:rsid w:val="00E775D1"/>
    <w:rsid w:val="00E80831"/>
    <w:rsid w:val="00E808C7"/>
    <w:rsid w:val="00E80E86"/>
    <w:rsid w:val="00E814D2"/>
    <w:rsid w:val="00E82C91"/>
    <w:rsid w:val="00E82F54"/>
    <w:rsid w:val="00E83276"/>
    <w:rsid w:val="00E84095"/>
    <w:rsid w:val="00E84592"/>
    <w:rsid w:val="00E8649B"/>
    <w:rsid w:val="00E871CD"/>
    <w:rsid w:val="00E90990"/>
    <w:rsid w:val="00E91479"/>
    <w:rsid w:val="00E91670"/>
    <w:rsid w:val="00E92A2A"/>
    <w:rsid w:val="00E942D6"/>
    <w:rsid w:val="00E952D3"/>
    <w:rsid w:val="00E9560F"/>
    <w:rsid w:val="00E95D3D"/>
    <w:rsid w:val="00E961F7"/>
    <w:rsid w:val="00EA007F"/>
    <w:rsid w:val="00EA0E25"/>
    <w:rsid w:val="00EA1234"/>
    <w:rsid w:val="00EA14A9"/>
    <w:rsid w:val="00EA173C"/>
    <w:rsid w:val="00EA1A38"/>
    <w:rsid w:val="00EA1EE1"/>
    <w:rsid w:val="00EA416E"/>
    <w:rsid w:val="00EA5450"/>
    <w:rsid w:val="00EA5849"/>
    <w:rsid w:val="00EA5A42"/>
    <w:rsid w:val="00EA60D3"/>
    <w:rsid w:val="00EA6151"/>
    <w:rsid w:val="00EA63C7"/>
    <w:rsid w:val="00EA7FBA"/>
    <w:rsid w:val="00EB17D6"/>
    <w:rsid w:val="00EB1BC0"/>
    <w:rsid w:val="00EB1FD5"/>
    <w:rsid w:val="00EB2E7B"/>
    <w:rsid w:val="00EB4155"/>
    <w:rsid w:val="00EB4B0A"/>
    <w:rsid w:val="00EB69D1"/>
    <w:rsid w:val="00EB78D3"/>
    <w:rsid w:val="00EC09C8"/>
    <w:rsid w:val="00EC127A"/>
    <w:rsid w:val="00EC143F"/>
    <w:rsid w:val="00EC1AB1"/>
    <w:rsid w:val="00EC1FF9"/>
    <w:rsid w:val="00EC2737"/>
    <w:rsid w:val="00EC2B44"/>
    <w:rsid w:val="00EC4990"/>
    <w:rsid w:val="00EC4A9B"/>
    <w:rsid w:val="00EC4F04"/>
    <w:rsid w:val="00EC5772"/>
    <w:rsid w:val="00EC58DC"/>
    <w:rsid w:val="00EC5C39"/>
    <w:rsid w:val="00EC62D4"/>
    <w:rsid w:val="00EC6C2D"/>
    <w:rsid w:val="00EC7330"/>
    <w:rsid w:val="00EC7644"/>
    <w:rsid w:val="00EC7C3B"/>
    <w:rsid w:val="00ED1698"/>
    <w:rsid w:val="00ED1A1F"/>
    <w:rsid w:val="00ED1CA7"/>
    <w:rsid w:val="00ED211D"/>
    <w:rsid w:val="00ED27B2"/>
    <w:rsid w:val="00ED30F1"/>
    <w:rsid w:val="00ED3DD1"/>
    <w:rsid w:val="00ED40B5"/>
    <w:rsid w:val="00ED4257"/>
    <w:rsid w:val="00ED46EF"/>
    <w:rsid w:val="00ED4C81"/>
    <w:rsid w:val="00ED6138"/>
    <w:rsid w:val="00ED68E2"/>
    <w:rsid w:val="00ED6EDE"/>
    <w:rsid w:val="00ED7053"/>
    <w:rsid w:val="00EE230C"/>
    <w:rsid w:val="00EE2716"/>
    <w:rsid w:val="00EE2785"/>
    <w:rsid w:val="00EE2DEC"/>
    <w:rsid w:val="00EE33B5"/>
    <w:rsid w:val="00EE3939"/>
    <w:rsid w:val="00EE46A7"/>
    <w:rsid w:val="00EE48AD"/>
    <w:rsid w:val="00EE5A37"/>
    <w:rsid w:val="00EE5B5C"/>
    <w:rsid w:val="00EE61F9"/>
    <w:rsid w:val="00EE630C"/>
    <w:rsid w:val="00EE6450"/>
    <w:rsid w:val="00EE646F"/>
    <w:rsid w:val="00EE7182"/>
    <w:rsid w:val="00EE79B3"/>
    <w:rsid w:val="00EF0159"/>
    <w:rsid w:val="00EF0CFF"/>
    <w:rsid w:val="00EF0D21"/>
    <w:rsid w:val="00EF1F8E"/>
    <w:rsid w:val="00EF2D49"/>
    <w:rsid w:val="00EF395E"/>
    <w:rsid w:val="00EF420A"/>
    <w:rsid w:val="00EF470D"/>
    <w:rsid w:val="00EF4B98"/>
    <w:rsid w:val="00EF4DDA"/>
    <w:rsid w:val="00EF4F92"/>
    <w:rsid w:val="00EF5041"/>
    <w:rsid w:val="00EF5A80"/>
    <w:rsid w:val="00EF5F5D"/>
    <w:rsid w:val="00EF76BC"/>
    <w:rsid w:val="00EF7908"/>
    <w:rsid w:val="00EF798D"/>
    <w:rsid w:val="00EF7A41"/>
    <w:rsid w:val="00F004FD"/>
    <w:rsid w:val="00F011A8"/>
    <w:rsid w:val="00F01718"/>
    <w:rsid w:val="00F01C2C"/>
    <w:rsid w:val="00F027F3"/>
    <w:rsid w:val="00F04C41"/>
    <w:rsid w:val="00F06294"/>
    <w:rsid w:val="00F068C1"/>
    <w:rsid w:val="00F06915"/>
    <w:rsid w:val="00F06947"/>
    <w:rsid w:val="00F07316"/>
    <w:rsid w:val="00F07703"/>
    <w:rsid w:val="00F07DA5"/>
    <w:rsid w:val="00F10B10"/>
    <w:rsid w:val="00F10ED8"/>
    <w:rsid w:val="00F12258"/>
    <w:rsid w:val="00F12304"/>
    <w:rsid w:val="00F12655"/>
    <w:rsid w:val="00F13294"/>
    <w:rsid w:val="00F13A08"/>
    <w:rsid w:val="00F13D2B"/>
    <w:rsid w:val="00F13F9C"/>
    <w:rsid w:val="00F1487A"/>
    <w:rsid w:val="00F15667"/>
    <w:rsid w:val="00F158E9"/>
    <w:rsid w:val="00F161D8"/>
    <w:rsid w:val="00F16C0F"/>
    <w:rsid w:val="00F16C15"/>
    <w:rsid w:val="00F171CA"/>
    <w:rsid w:val="00F17F1F"/>
    <w:rsid w:val="00F17F3F"/>
    <w:rsid w:val="00F20905"/>
    <w:rsid w:val="00F21395"/>
    <w:rsid w:val="00F21473"/>
    <w:rsid w:val="00F21D20"/>
    <w:rsid w:val="00F21D4F"/>
    <w:rsid w:val="00F21F19"/>
    <w:rsid w:val="00F222BE"/>
    <w:rsid w:val="00F228D0"/>
    <w:rsid w:val="00F231EA"/>
    <w:rsid w:val="00F24179"/>
    <w:rsid w:val="00F24719"/>
    <w:rsid w:val="00F24B36"/>
    <w:rsid w:val="00F24DE6"/>
    <w:rsid w:val="00F25991"/>
    <w:rsid w:val="00F25E8B"/>
    <w:rsid w:val="00F26AFA"/>
    <w:rsid w:val="00F2761B"/>
    <w:rsid w:val="00F277BF"/>
    <w:rsid w:val="00F27CC0"/>
    <w:rsid w:val="00F27D8B"/>
    <w:rsid w:val="00F301F1"/>
    <w:rsid w:val="00F30B8A"/>
    <w:rsid w:val="00F30C22"/>
    <w:rsid w:val="00F30F4B"/>
    <w:rsid w:val="00F31B50"/>
    <w:rsid w:val="00F31D6A"/>
    <w:rsid w:val="00F31E1D"/>
    <w:rsid w:val="00F32651"/>
    <w:rsid w:val="00F330CF"/>
    <w:rsid w:val="00F33296"/>
    <w:rsid w:val="00F33F1A"/>
    <w:rsid w:val="00F34B0E"/>
    <w:rsid w:val="00F34B8D"/>
    <w:rsid w:val="00F34C40"/>
    <w:rsid w:val="00F35D9F"/>
    <w:rsid w:val="00F36074"/>
    <w:rsid w:val="00F36667"/>
    <w:rsid w:val="00F369E0"/>
    <w:rsid w:val="00F36C6D"/>
    <w:rsid w:val="00F4074A"/>
    <w:rsid w:val="00F40B27"/>
    <w:rsid w:val="00F41246"/>
    <w:rsid w:val="00F419DA"/>
    <w:rsid w:val="00F41CC2"/>
    <w:rsid w:val="00F431BC"/>
    <w:rsid w:val="00F432BC"/>
    <w:rsid w:val="00F438A5"/>
    <w:rsid w:val="00F449B8"/>
    <w:rsid w:val="00F44CE3"/>
    <w:rsid w:val="00F4522F"/>
    <w:rsid w:val="00F45C19"/>
    <w:rsid w:val="00F45E72"/>
    <w:rsid w:val="00F4635D"/>
    <w:rsid w:val="00F46505"/>
    <w:rsid w:val="00F46CA0"/>
    <w:rsid w:val="00F50291"/>
    <w:rsid w:val="00F51046"/>
    <w:rsid w:val="00F51776"/>
    <w:rsid w:val="00F52B12"/>
    <w:rsid w:val="00F52B2E"/>
    <w:rsid w:val="00F53034"/>
    <w:rsid w:val="00F53B5D"/>
    <w:rsid w:val="00F53D66"/>
    <w:rsid w:val="00F53DCD"/>
    <w:rsid w:val="00F547F7"/>
    <w:rsid w:val="00F549A5"/>
    <w:rsid w:val="00F54CCF"/>
    <w:rsid w:val="00F55B04"/>
    <w:rsid w:val="00F55B21"/>
    <w:rsid w:val="00F5738A"/>
    <w:rsid w:val="00F573F5"/>
    <w:rsid w:val="00F57A9C"/>
    <w:rsid w:val="00F57B8B"/>
    <w:rsid w:val="00F60356"/>
    <w:rsid w:val="00F608C7"/>
    <w:rsid w:val="00F60EAC"/>
    <w:rsid w:val="00F61B3C"/>
    <w:rsid w:val="00F61D7A"/>
    <w:rsid w:val="00F636A5"/>
    <w:rsid w:val="00F637B3"/>
    <w:rsid w:val="00F64E44"/>
    <w:rsid w:val="00F66298"/>
    <w:rsid w:val="00F66CF7"/>
    <w:rsid w:val="00F67BB8"/>
    <w:rsid w:val="00F67BCB"/>
    <w:rsid w:val="00F700C3"/>
    <w:rsid w:val="00F704EF"/>
    <w:rsid w:val="00F707E4"/>
    <w:rsid w:val="00F70D03"/>
    <w:rsid w:val="00F7171E"/>
    <w:rsid w:val="00F71809"/>
    <w:rsid w:val="00F71C66"/>
    <w:rsid w:val="00F72529"/>
    <w:rsid w:val="00F72667"/>
    <w:rsid w:val="00F73BE4"/>
    <w:rsid w:val="00F7410C"/>
    <w:rsid w:val="00F744B3"/>
    <w:rsid w:val="00F74990"/>
    <w:rsid w:val="00F74BC9"/>
    <w:rsid w:val="00F74C57"/>
    <w:rsid w:val="00F75574"/>
    <w:rsid w:val="00F762F0"/>
    <w:rsid w:val="00F765A8"/>
    <w:rsid w:val="00F766A5"/>
    <w:rsid w:val="00F76785"/>
    <w:rsid w:val="00F77807"/>
    <w:rsid w:val="00F7781D"/>
    <w:rsid w:val="00F77C57"/>
    <w:rsid w:val="00F80025"/>
    <w:rsid w:val="00F803A9"/>
    <w:rsid w:val="00F80E92"/>
    <w:rsid w:val="00F8110A"/>
    <w:rsid w:val="00F813C7"/>
    <w:rsid w:val="00F81D00"/>
    <w:rsid w:val="00F83566"/>
    <w:rsid w:val="00F83A9D"/>
    <w:rsid w:val="00F842C5"/>
    <w:rsid w:val="00F85C46"/>
    <w:rsid w:val="00F9044C"/>
    <w:rsid w:val="00F906B5"/>
    <w:rsid w:val="00F90EC0"/>
    <w:rsid w:val="00F912DA"/>
    <w:rsid w:val="00F914F4"/>
    <w:rsid w:val="00F92888"/>
    <w:rsid w:val="00F93784"/>
    <w:rsid w:val="00F9484C"/>
    <w:rsid w:val="00F95D2E"/>
    <w:rsid w:val="00F96E17"/>
    <w:rsid w:val="00F971CC"/>
    <w:rsid w:val="00F973FA"/>
    <w:rsid w:val="00F97803"/>
    <w:rsid w:val="00F97F06"/>
    <w:rsid w:val="00FA006A"/>
    <w:rsid w:val="00FA0B3C"/>
    <w:rsid w:val="00FA1CA6"/>
    <w:rsid w:val="00FA25EF"/>
    <w:rsid w:val="00FA2CAA"/>
    <w:rsid w:val="00FA3DA1"/>
    <w:rsid w:val="00FA4ADE"/>
    <w:rsid w:val="00FA4B31"/>
    <w:rsid w:val="00FA4BE2"/>
    <w:rsid w:val="00FA6554"/>
    <w:rsid w:val="00FA68FE"/>
    <w:rsid w:val="00FA6D24"/>
    <w:rsid w:val="00FA7129"/>
    <w:rsid w:val="00FA78A6"/>
    <w:rsid w:val="00FA7EB8"/>
    <w:rsid w:val="00FB053F"/>
    <w:rsid w:val="00FB1BF1"/>
    <w:rsid w:val="00FB25B1"/>
    <w:rsid w:val="00FB2CA8"/>
    <w:rsid w:val="00FB2CBB"/>
    <w:rsid w:val="00FB2D3D"/>
    <w:rsid w:val="00FB3BB5"/>
    <w:rsid w:val="00FB4FA4"/>
    <w:rsid w:val="00FB54EF"/>
    <w:rsid w:val="00FB63F6"/>
    <w:rsid w:val="00FB69FE"/>
    <w:rsid w:val="00FB772D"/>
    <w:rsid w:val="00FB7D78"/>
    <w:rsid w:val="00FC061C"/>
    <w:rsid w:val="00FC0869"/>
    <w:rsid w:val="00FC14F7"/>
    <w:rsid w:val="00FC200B"/>
    <w:rsid w:val="00FC35DB"/>
    <w:rsid w:val="00FC3851"/>
    <w:rsid w:val="00FC3D63"/>
    <w:rsid w:val="00FC44D0"/>
    <w:rsid w:val="00FC4624"/>
    <w:rsid w:val="00FC4988"/>
    <w:rsid w:val="00FC4B77"/>
    <w:rsid w:val="00FC5174"/>
    <w:rsid w:val="00FC5EDE"/>
    <w:rsid w:val="00FC6A0C"/>
    <w:rsid w:val="00FC76E8"/>
    <w:rsid w:val="00FC77AC"/>
    <w:rsid w:val="00FD03E2"/>
    <w:rsid w:val="00FD0853"/>
    <w:rsid w:val="00FD2380"/>
    <w:rsid w:val="00FD3D51"/>
    <w:rsid w:val="00FD4715"/>
    <w:rsid w:val="00FD5369"/>
    <w:rsid w:val="00FD5469"/>
    <w:rsid w:val="00FD6350"/>
    <w:rsid w:val="00FD791A"/>
    <w:rsid w:val="00FD7A36"/>
    <w:rsid w:val="00FE0155"/>
    <w:rsid w:val="00FE0570"/>
    <w:rsid w:val="00FE0A82"/>
    <w:rsid w:val="00FE0CAC"/>
    <w:rsid w:val="00FE16C1"/>
    <w:rsid w:val="00FE176D"/>
    <w:rsid w:val="00FE1961"/>
    <w:rsid w:val="00FE19FF"/>
    <w:rsid w:val="00FE1F85"/>
    <w:rsid w:val="00FE271F"/>
    <w:rsid w:val="00FE2734"/>
    <w:rsid w:val="00FE2B51"/>
    <w:rsid w:val="00FE2CCC"/>
    <w:rsid w:val="00FE321F"/>
    <w:rsid w:val="00FE33A6"/>
    <w:rsid w:val="00FE4E83"/>
    <w:rsid w:val="00FE5452"/>
    <w:rsid w:val="00FE55F1"/>
    <w:rsid w:val="00FE747C"/>
    <w:rsid w:val="00FF03FA"/>
    <w:rsid w:val="00FF07E1"/>
    <w:rsid w:val="00FF1AAF"/>
    <w:rsid w:val="00FF2A79"/>
    <w:rsid w:val="00FF2EBC"/>
    <w:rsid w:val="00FF47C4"/>
    <w:rsid w:val="00FF4964"/>
    <w:rsid w:val="00FF5218"/>
    <w:rsid w:val="00FF59A8"/>
    <w:rsid w:val="00FF66F6"/>
    <w:rsid w:val="00FF6F25"/>
    <w:rsid w:val="00FF7A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09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DC4"/>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FootnoteText">
    <w:name w:val="footnote text"/>
    <w:basedOn w:val="Normal"/>
    <w:link w:val="FootnoteTextChar"/>
    <w:uiPriority w:val="99"/>
    <w:semiHidden/>
    <w:unhideWhenUsed/>
    <w:rsid w:val="004E584D"/>
    <w:pPr>
      <w:spacing w:before="0" w:after="0"/>
    </w:pPr>
    <w:rPr>
      <w:szCs w:val="20"/>
    </w:rPr>
  </w:style>
  <w:style w:type="character" w:customStyle="1" w:styleId="FootnoteTextChar">
    <w:name w:val="Footnote Text Char"/>
    <w:basedOn w:val="DefaultParagraphFont"/>
    <w:link w:val="FootnoteText"/>
    <w:uiPriority w:val="99"/>
    <w:semiHidden/>
    <w:rsid w:val="004E584D"/>
    <w:rPr>
      <w:sz w:val="20"/>
      <w:szCs w:val="20"/>
    </w:rPr>
  </w:style>
  <w:style w:type="character" w:styleId="FootnoteReference">
    <w:name w:val="footnote reference"/>
    <w:basedOn w:val="DefaultParagraphFont"/>
    <w:uiPriority w:val="99"/>
    <w:semiHidden/>
    <w:unhideWhenUsed/>
    <w:rsid w:val="004E584D"/>
    <w:rPr>
      <w:vertAlign w:val="superscript"/>
    </w:rPr>
  </w:style>
  <w:style w:type="paragraph" w:customStyle="1" w:styleId="EndNoteBibliographyTitle">
    <w:name w:val="EndNote Bibliography Title"/>
    <w:basedOn w:val="Normal"/>
    <w:link w:val="EndNoteBibliographyTitleChar"/>
    <w:rsid w:val="007D390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D3902"/>
    <w:rPr>
      <w:rFonts w:ascii="Calibri" w:hAnsi="Calibri" w:cs="Calibri"/>
      <w:noProof/>
      <w:sz w:val="20"/>
      <w:lang w:val="en-US"/>
    </w:rPr>
  </w:style>
  <w:style w:type="paragraph" w:customStyle="1" w:styleId="EndNoteBibliography">
    <w:name w:val="EndNote Bibliography"/>
    <w:basedOn w:val="Normal"/>
    <w:link w:val="EndNoteBibliographyChar"/>
    <w:rsid w:val="007D3902"/>
    <w:rPr>
      <w:rFonts w:ascii="Calibri" w:hAnsi="Calibri" w:cs="Calibri"/>
      <w:noProof/>
      <w:lang w:val="en-US"/>
    </w:rPr>
  </w:style>
  <w:style w:type="character" w:customStyle="1" w:styleId="EndNoteBibliographyChar">
    <w:name w:val="EndNote Bibliography Char"/>
    <w:basedOn w:val="DefaultParagraphFont"/>
    <w:link w:val="EndNoteBibliography"/>
    <w:rsid w:val="007D3902"/>
    <w:rPr>
      <w:rFonts w:ascii="Calibri" w:hAnsi="Calibri" w:cs="Calibri"/>
      <w:noProof/>
      <w:sz w:val="20"/>
      <w:lang w:val="en-US"/>
    </w:rPr>
  </w:style>
  <w:style w:type="paragraph" w:styleId="Caption">
    <w:name w:val="caption"/>
    <w:basedOn w:val="Normal"/>
    <w:next w:val="Normal"/>
    <w:uiPriority w:val="35"/>
    <w:qFormat/>
    <w:rsid w:val="006A5B5B"/>
    <w:pPr>
      <w:keepNext/>
      <w:tabs>
        <w:tab w:val="left" w:pos="1418"/>
      </w:tabs>
      <w:spacing w:before="240" w:after="40"/>
      <w:ind w:left="1418" w:hanging="1418"/>
      <w:jc w:val="both"/>
    </w:pPr>
    <w:rPr>
      <w:rFonts w:ascii="Calibri" w:eastAsiaTheme="minorEastAsia" w:hAnsi="Calibri"/>
      <w:b/>
      <w:bCs/>
      <w:sz w:val="22"/>
      <w:lang w:eastAsia="zh-CN"/>
    </w:rPr>
  </w:style>
  <w:style w:type="character" w:customStyle="1" w:styleId="UnresolvedMention1">
    <w:name w:val="Unresolved Mention1"/>
    <w:basedOn w:val="DefaultParagraphFont"/>
    <w:uiPriority w:val="99"/>
    <w:semiHidden/>
    <w:unhideWhenUsed/>
    <w:rsid w:val="000E442F"/>
    <w:rPr>
      <w:color w:val="605E5C"/>
      <w:shd w:val="clear" w:color="auto" w:fill="E1DFDD"/>
    </w:rPr>
  </w:style>
  <w:style w:type="paragraph" w:styleId="Revision">
    <w:name w:val="Revision"/>
    <w:hidden/>
    <w:uiPriority w:val="99"/>
    <w:semiHidden/>
    <w:rsid w:val="006E2332"/>
    <w:pPr>
      <w:spacing w:after="0" w:line="240" w:lineRule="auto"/>
    </w:pPr>
    <w:rPr>
      <w:sz w:val="20"/>
    </w:rPr>
  </w:style>
  <w:style w:type="character" w:customStyle="1" w:styleId="UnresolvedMention2">
    <w:name w:val="Unresolved Mention2"/>
    <w:basedOn w:val="DefaultParagraphFont"/>
    <w:uiPriority w:val="99"/>
    <w:semiHidden/>
    <w:unhideWhenUsed/>
    <w:rsid w:val="009F1BAC"/>
    <w:rPr>
      <w:color w:val="605E5C"/>
      <w:shd w:val="clear" w:color="auto" w:fill="E1DFDD"/>
    </w:rPr>
  </w:style>
  <w:style w:type="paragraph" w:customStyle="1" w:styleId="FooterLandscape">
    <w:name w:val="Footer_Landscape"/>
    <w:basedOn w:val="Footer"/>
    <w:link w:val="FooterLandscapeChar"/>
    <w:qFormat/>
    <w:rsid w:val="001A4574"/>
    <w:pPr>
      <w:pBdr>
        <w:top w:val="single" w:sz="4" w:space="1" w:color="D9D9D9" w:themeColor="background1" w:themeShade="D9"/>
      </w:pBdr>
      <w:tabs>
        <w:tab w:val="clear" w:pos="4513"/>
        <w:tab w:val="clear" w:pos="9026"/>
        <w:tab w:val="center" w:pos="6804"/>
        <w:tab w:val="right" w:pos="13892"/>
      </w:tabs>
    </w:pPr>
    <w:rPr>
      <w:sz w:val="18"/>
      <w:szCs w:val="18"/>
    </w:rPr>
  </w:style>
  <w:style w:type="character" w:customStyle="1" w:styleId="FooterLandscapeChar">
    <w:name w:val="Footer_Landscape Char"/>
    <w:basedOn w:val="FooterChar"/>
    <w:link w:val="FooterLandscape"/>
    <w:rsid w:val="001A4574"/>
    <w:rPr>
      <w:sz w:val="18"/>
      <w:szCs w:val="18"/>
    </w:rPr>
  </w:style>
  <w:style w:type="character" w:customStyle="1" w:styleId="UnresolvedMention3">
    <w:name w:val="Unresolved Mention3"/>
    <w:basedOn w:val="DefaultParagraphFont"/>
    <w:uiPriority w:val="99"/>
    <w:semiHidden/>
    <w:unhideWhenUsed/>
    <w:rsid w:val="009D62C5"/>
    <w:rPr>
      <w:color w:val="605E5C"/>
      <w:shd w:val="clear" w:color="auto" w:fill="E1DFDD"/>
    </w:rPr>
  </w:style>
  <w:style w:type="paragraph" w:styleId="EndnoteText">
    <w:name w:val="endnote text"/>
    <w:basedOn w:val="Normal"/>
    <w:link w:val="EndnoteTextChar"/>
    <w:uiPriority w:val="99"/>
    <w:semiHidden/>
    <w:unhideWhenUsed/>
    <w:rsid w:val="004519A9"/>
    <w:pPr>
      <w:spacing w:before="0" w:after="0"/>
    </w:pPr>
    <w:rPr>
      <w:szCs w:val="20"/>
    </w:rPr>
  </w:style>
  <w:style w:type="character" w:customStyle="1" w:styleId="EndnoteTextChar">
    <w:name w:val="Endnote Text Char"/>
    <w:basedOn w:val="DefaultParagraphFont"/>
    <w:link w:val="EndnoteText"/>
    <w:uiPriority w:val="99"/>
    <w:semiHidden/>
    <w:rsid w:val="004519A9"/>
    <w:rPr>
      <w:sz w:val="20"/>
      <w:szCs w:val="20"/>
    </w:rPr>
  </w:style>
  <w:style w:type="character" w:styleId="EndnoteReference">
    <w:name w:val="endnote reference"/>
    <w:basedOn w:val="DefaultParagraphFont"/>
    <w:uiPriority w:val="99"/>
    <w:semiHidden/>
    <w:unhideWhenUsed/>
    <w:rsid w:val="004519A9"/>
    <w:rPr>
      <w:vertAlign w:val="superscript"/>
    </w:rPr>
  </w:style>
  <w:style w:type="character" w:customStyle="1" w:styleId="UnresolvedMention4">
    <w:name w:val="Unresolved Mention4"/>
    <w:basedOn w:val="DefaultParagraphFont"/>
    <w:uiPriority w:val="99"/>
    <w:semiHidden/>
    <w:unhideWhenUsed/>
    <w:rsid w:val="00424CED"/>
    <w:rPr>
      <w:color w:val="605E5C"/>
      <w:shd w:val="clear" w:color="auto" w:fill="E1DFDD"/>
    </w:rPr>
  </w:style>
  <w:style w:type="character" w:styleId="FollowedHyperlink">
    <w:name w:val="FollowedHyperlink"/>
    <w:basedOn w:val="DefaultParagraphFont"/>
    <w:uiPriority w:val="99"/>
    <w:semiHidden/>
    <w:unhideWhenUsed/>
    <w:rsid w:val="00673408"/>
    <w:rPr>
      <w:color w:val="800080" w:themeColor="followedHyperlink"/>
      <w:u w:val="single"/>
    </w:rPr>
  </w:style>
  <w:style w:type="paragraph" w:customStyle="1" w:styleId="TitleBlue">
    <w:name w:val="Title Blue"/>
    <w:basedOn w:val="Title"/>
    <w:qFormat/>
    <w:rsid w:val="006E5C4E"/>
    <w:pPr>
      <w:spacing w:before="360"/>
    </w:pPr>
    <w:rPr>
      <w:rFonts w:eastAsia="Times New Roman"/>
      <w:color w:val="548DD4" w:themeColor="text2" w:themeTint="9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612981159">
      <w:bodyDiv w:val="1"/>
      <w:marLeft w:val="0"/>
      <w:marRight w:val="0"/>
      <w:marTop w:val="0"/>
      <w:marBottom w:val="0"/>
      <w:divBdr>
        <w:top w:val="none" w:sz="0" w:space="0" w:color="auto"/>
        <w:left w:val="none" w:sz="0" w:space="0" w:color="auto"/>
        <w:bottom w:val="none" w:sz="0" w:space="0" w:color="auto"/>
        <w:right w:val="none" w:sz="0" w:space="0" w:color="auto"/>
      </w:divBdr>
    </w:div>
    <w:div w:id="652216469">
      <w:bodyDiv w:val="1"/>
      <w:marLeft w:val="0"/>
      <w:marRight w:val="0"/>
      <w:marTop w:val="0"/>
      <w:marBottom w:val="0"/>
      <w:divBdr>
        <w:top w:val="none" w:sz="0" w:space="0" w:color="auto"/>
        <w:left w:val="none" w:sz="0" w:space="0" w:color="auto"/>
        <w:bottom w:val="none" w:sz="0" w:space="0" w:color="auto"/>
        <w:right w:val="none" w:sz="0" w:space="0" w:color="auto"/>
      </w:divBdr>
    </w:div>
    <w:div w:id="706833363">
      <w:bodyDiv w:val="1"/>
      <w:marLeft w:val="0"/>
      <w:marRight w:val="0"/>
      <w:marTop w:val="0"/>
      <w:marBottom w:val="0"/>
      <w:divBdr>
        <w:top w:val="none" w:sz="0" w:space="0" w:color="auto"/>
        <w:left w:val="none" w:sz="0" w:space="0" w:color="auto"/>
        <w:bottom w:val="none" w:sz="0" w:space="0" w:color="auto"/>
        <w:right w:val="none" w:sz="0" w:space="0" w:color="auto"/>
      </w:divBdr>
      <w:divsChild>
        <w:div w:id="1181890865">
          <w:marLeft w:val="0"/>
          <w:marRight w:val="0"/>
          <w:marTop w:val="0"/>
          <w:marBottom w:val="0"/>
          <w:divBdr>
            <w:top w:val="none" w:sz="0" w:space="0" w:color="auto"/>
            <w:left w:val="none" w:sz="0" w:space="0" w:color="auto"/>
            <w:bottom w:val="none" w:sz="0" w:space="0" w:color="auto"/>
            <w:right w:val="none" w:sz="0" w:space="0" w:color="auto"/>
          </w:divBdr>
        </w:div>
      </w:divsChild>
    </w:div>
    <w:div w:id="918976887">
      <w:bodyDiv w:val="1"/>
      <w:marLeft w:val="0"/>
      <w:marRight w:val="0"/>
      <w:marTop w:val="0"/>
      <w:marBottom w:val="0"/>
      <w:divBdr>
        <w:top w:val="none" w:sz="0" w:space="0" w:color="auto"/>
        <w:left w:val="none" w:sz="0" w:space="0" w:color="auto"/>
        <w:bottom w:val="none" w:sz="0" w:space="0" w:color="auto"/>
        <w:right w:val="none" w:sz="0" w:space="0" w:color="auto"/>
      </w:divBdr>
    </w:div>
    <w:div w:id="937444717">
      <w:bodyDiv w:val="1"/>
      <w:marLeft w:val="0"/>
      <w:marRight w:val="0"/>
      <w:marTop w:val="0"/>
      <w:marBottom w:val="0"/>
      <w:divBdr>
        <w:top w:val="none" w:sz="0" w:space="0" w:color="auto"/>
        <w:left w:val="none" w:sz="0" w:space="0" w:color="auto"/>
        <w:bottom w:val="none" w:sz="0" w:space="0" w:color="auto"/>
        <w:right w:val="none" w:sz="0" w:space="0" w:color="auto"/>
      </w:divBdr>
    </w:div>
    <w:div w:id="1418286304">
      <w:bodyDiv w:val="1"/>
      <w:marLeft w:val="0"/>
      <w:marRight w:val="0"/>
      <w:marTop w:val="0"/>
      <w:marBottom w:val="0"/>
      <w:divBdr>
        <w:top w:val="none" w:sz="0" w:space="0" w:color="auto"/>
        <w:left w:val="none" w:sz="0" w:space="0" w:color="auto"/>
        <w:bottom w:val="none" w:sz="0" w:space="0" w:color="auto"/>
        <w:right w:val="none" w:sz="0" w:space="0" w:color="auto"/>
      </w:divBdr>
    </w:div>
    <w:div w:id="1758134315">
      <w:bodyDiv w:val="1"/>
      <w:marLeft w:val="0"/>
      <w:marRight w:val="0"/>
      <w:marTop w:val="0"/>
      <w:marBottom w:val="0"/>
      <w:divBdr>
        <w:top w:val="none" w:sz="0" w:space="0" w:color="auto"/>
        <w:left w:val="none" w:sz="0" w:space="0" w:color="auto"/>
        <w:bottom w:val="none" w:sz="0" w:space="0" w:color="auto"/>
        <w:right w:val="none" w:sz="0" w:space="0" w:color="auto"/>
      </w:divBdr>
    </w:div>
    <w:div w:id="1986009852">
      <w:bodyDiv w:val="1"/>
      <w:marLeft w:val="0"/>
      <w:marRight w:val="0"/>
      <w:marTop w:val="0"/>
      <w:marBottom w:val="0"/>
      <w:divBdr>
        <w:top w:val="none" w:sz="0" w:space="0" w:color="auto"/>
        <w:left w:val="none" w:sz="0" w:space="0" w:color="auto"/>
        <w:bottom w:val="none" w:sz="0" w:space="0" w:color="auto"/>
        <w:right w:val="none" w:sz="0" w:space="0" w:color="auto"/>
      </w:divBdr>
    </w:div>
    <w:div w:id="2026863161">
      <w:bodyDiv w:val="1"/>
      <w:marLeft w:val="0"/>
      <w:marRight w:val="0"/>
      <w:marTop w:val="0"/>
      <w:marBottom w:val="0"/>
      <w:divBdr>
        <w:top w:val="none" w:sz="0" w:space="0" w:color="auto"/>
        <w:left w:val="none" w:sz="0" w:space="0" w:color="auto"/>
        <w:bottom w:val="none" w:sz="0" w:space="0" w:color="auto"/>
        <w:right w:val="none" w:sz="0" w:space="0" w:color="auto"/>
      </w:divBdr>
      <w:divsChild>
        <w:div w:id="132647495">
          <w:marLeft w:val="0"/>
          <w:marRight w:val="0"/>
          <w:marTop w:val="0"/>
          <w:marBottom w:val="0"/>
          <w:divBdr>
            <w:top w:val="none" w:sz="0" w:space="0" w:color="auto"/>
            <w:left w:val="none" w:sz="0" w:space="0" w:color="auto"/>
            <w:bottom w:val="none" w:sz="0" w:space="0" w:color="auto"/>
            <w:right w:val="none" w:sz="0" w:space="0" w:color="auto"/>
          </w:divBdr>
        </w:div>
        <w:div w:id="1546941381">
          <w:marLeft w:val="0"/>
          <w:marRight w:val="0"/>
          <w:marTop w:val="0"/>
          <w:marBottom w:val="0"/>
          <w:divBdr>
            <w:top w:val="none" w:sz="0" w:space="0" w:color="auto"/>
            <w:left w:val="none" w:sz="0" w:space="0" w:color="auto"/>
            <w:bottom w:val="none" w:sz="0" w:space="0" w:color="auto"/>
            <w:right w:val="none" w:sz="0" w:space="0" w:color="auto"/>
          </w:divBdr>
        </w:div>
      </w:divsChild>
    </w:div>
    <w:div w:id="205291953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lin-lab-publications.com/article/2109" TargetMode="External"/><Relationship Id="rId18" Type="http://schemas.openxmlformats.org/officeDocument/2006/relationships/hyperlink" Target="https://www.nejm.org/doi/full/10.1056/nejmoa1713137" TargetMode="External"/><Relationship Id="rId26" Type="http://schemas.openxmlformats.org/officeDocument/2006/relationships/hyperlink" Target="https://altg.com.au/research-overview/clinical-trials-list/" TargetMode="External"/><Relationship Id="rId3" Type="http://schemas.openxmlformats.org/officeDocument/2006/relationships/styles" Target="styles.xml"/><Relationship Id="rId21" Type="http://schemas.openxmlformats.org/officeDocument/2006/relationships/hyperlink" Target="https://www.nccn.org/professionals/default.aspx"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nature.com/articles/nbt.2696" TargetMode="External"/><Relationship Id="rId17" Type="http://schemas.openxmlformats.org/officeDocument/2006/relationships/hyperlink" Target="http://clincancerres.aacrjournals.org/content/22/13/3281" TargetMode="External"/><Relationship Id="rId25" Type="http://schemas.openxmlformats.org/officeDocument/2006/relationships/hyperlink" Target="https://clinicaltrials.gov/ct2/show/NCT02927340?term=NCT02927340&amp;rank=1"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theoncologist.alphamedpress.org/content/21/6/762.short" TargetMode="External"/><Relationship Id="rId20" Type="http://schemas.openxmlformats.org/officeDocument/2006/relationships/hyperlink" Target="https://clinicaltrials.gov/ct2/show/NCT02568267?term=NCT02568267&amp;rank=1" TargetMode="External"/><Relationship Id="rId29" Type="http://schemas.openxmlformats.org/officeDocument/2006/relationships/hyperlink" Target="https://www.pieriandx.com/news-room/cap-distributive-model-of-ngs-te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linicaltrials.gov/ct2/show/NCT01639508?term=NCT01639508&amp;rank=1" TargetMode="External"/><Relationship Id="rId32" Type="http://schemas.openxmlformats.org/officeDocument/2006/relationships/image" Target="media/image4.jpeg"/><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oncotarget.com/index.php?journal=oncotarget&amp;page=article&amp;op=view&amp;path%5b%5d=16276&amp;pubmed-linkout=1" TargetMode="External"/><Relationship Id="rId23" Type="http://schemas.openxmlformats.org/officeDocument/2006/relationships/footer" Target="footer3.xm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hyperlink" Target="https://www.nejm.org/doi/full/10.1056/nejmoa1714448"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clincancerres.aacrjournals.org/content/early/2015/01/07/1078-0432.CCR-14-2683.short"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image" Target="media/image3.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D580-75D6-431D-8534-E3BE2F66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14487</Words>
  <Characters>82582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2020-09-30T01:22:00Z</dcterms:created>
  <dcterms:modified xsi:type="dcterms:W3CDTF">2020-10-02T01:02:00Z</dcterms:modified>
</cp:coreProperties>
</file>