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DFAD" w14:textId="77777777" w:rsidR="00E57DB1" w:rsidRPr="00707064" w:rsidRDefault="00E57DB1" w:rsidP="00E57DB1">
      <w:pPr>
        <w:spacing w:after="240"/>
        <w:jc w:val="center"/>
        <w:rPr>
          <w:b/>
          <w:i/>
          <w:szCs w:val="24"/>
          <w:highlight w:val="yellow"/>
        </w:rPr>
      </w:pPr>
      <w:r>
        <w:rPr>
          <w:rFonts w:ascii="Arial" w:hAnsi="Arial" w:cs="Arial"/>
          <w:b/>
          <w:noProof/>
          <w:color w:val="000080"/>
          <w:sz w:val="28"/>
          <w:szCs w:val="28"/>
        </w:rPr>
        <w:drawing>
          <wp:inline distT="0" distB="0" distL="0" distR="0" wp14:anchorId="68DB28E0" wp14:editId="3ABC001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A49DE70" w14:textId="77777777" w:rsidR="00E57DB1" w:rsidRPr="00F715D1" w:rsidRDefault="00E57DB1" w:rsidP="00E57DB1">
      <w:pPr>
        <w:pStyle w:val="Title"/>
        <w:tabs>
          <w:tab w:val="left" w:pos="1926"/>
          <w:tab w:val="center" w:pos="4513"/>
        </w:tabs>
        <w:jc w:val="left"/>
      </w:pPr>
      <w:r>
        <w:tab/>
      </w:r>
      <w:r>
        <w:tab/>
      </w:r>
      <w:r w:rsidRPr="00F715D1">
        <w:t>Public Summary Document</w:t>
      </w:r>
    </w:p>
    <w:p w14:paraId="7EE772C8" w14:textId="77777777" w:rsidR="00E57DB1" w:rsidRPr="00F715D1" w:rsidRDefault="00E57DB1" w:rsidP="00E57DB1">
      <w:pPr>
        <w:pStyle w:val="Subtitle"/>
      </w:pPr>
      <w:r w:rsidRPr="00F715D1">
        <w:t xml:space="preserve">Application No. </w:t>
      </w:r>
      <w:r>
        <w:t>1192.3</w:t>
      </w:r>
      <w:r w:rsidRPr="00F715D1">
        <w:t xml:space="preserve"> – </w:t>
      </w:r>
      <w:r>
        <w:rPr>
          <w:rFonts w:cs="Helvetica"/>
        </w:rPr>
        <w:t>Reduction of mitral regurgitation through tissue approximation, using transvenous/transeptal techniques (Resubmission)</w:t>
      </w:r>
    </w:p>
    <w:p w14:paraId="102B6BDA" w14:textId="77777777" w:rsidR="00E57DB1" w:rsidRPr="00F715D1" w:rsidRDefault="00E57DB1" w:rsidP="00E57DB1">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t>Abbott Australasia</w:t>
      </w:r>
      <w:r w:rsidR="00C00674">
        <w:rPr>
          <w:rFonts w:ascii="Arial" w:hAnsi="Arial" w:cs="Arial"/>
          <w:b/>
          <w:szCs w:val="24"/>
        </w:rPr>
        <w:t xml:space="preserve"> Pty Ltd</w:t>
      </w:r>
    </w:p>
    <w:p w14:paraId="769766C4" w14:textId="77777777" w:rsidR="000A0764" w:rsidRDefault="00E57DB1" w:rsidP="000A0764">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0A0764">
        <w:rPr>
          <w:rFonts w:ascii="Arial" w:hAnsi="Arial" w:cs="Arial"/>
          <w:b/>
          <w:szCs w:val="24"/>
        </w:rPr>
        <w:t>MSAC out of session, 9 September 2020</w:t>
      </w:r>
    </w:p>
    <w:p w14:paraId="6CD55426" w14:textId="25B9B602" w:rsidR="00E57DB1" w:rsidRPr="00F715D1" w:rsidRDefault="000A0764" w:rsidP="00E57DB1">
      <w:pPr>
        <w:tabs>
          <w:tab w:val="left" w:pos="3686"/>
        </w:tabs>
        <w:spacing w:after="240"/>
        <w:rPr>
          <w:rFonts w:ascii="Arial" w:hAnsi="Arial" w:cs="Arial"/>
          <w:b/>
          <w:szCs w:val="24"/>
        </w:rPr>
      </w:pPr>
      <w:r>
        <w:rPr>
          <w:rFonts w:ascii="Arial" w:hAnsi="Arial" w:cs="Arial"/>
          <w:b/>
          <w:szCs w:val="24"/>
        </w:rPr>
        <w:tab/>
      </w:r>
      <w:r w:rsidR="00E57DB1" w:rsidRPr="00F715D1">
        <w:rPr>
          <w:rFonts w:ascii="Arial" w:hAnsi="Arial" w:cs="Arial"/>
          <w:b/>
          <w:szCs w:val="24"/>
        </w:rPr>
        <w:t xml:space="preserve">MSAC </w:t>
      </w:r>
      <w:r w:rsidR="00E57DB1">
        <w:rPr>
          <w:rFonts w:ascii="Arial" w:hAnsi="Arial" w:cs="Arial"/>
          <w:b/>
          <w:szCs w:val="24"/>
        </w:rPr>
        <w:t>78</w:t>
      </w:r>
      <w:r w:rsidR="00E57DB1" w:rsidRPr="00F715D1">
        <w:rPr>
          <w:rFonts w:ascii="Arial" w:hAnsi="Arial" w:cs="Arial"/>
          <w:b/>
          <w:szCs w:val="24"/>
          <w:vertAlign w:val="superscript"/>
        </w:rPr>
        <w:t>th</w:t>
      </w:r>
      <w:r w:rsidR="00E57DB1" w:rsidRPr="00F715D1">
        <w:rPr>
          <w:rFonts w:ascii="Arial" w:hAnsi="Arial" w:cs="Arial"/>
          <w:b/>
          <w:szCs w:val="24"/>
        </w:rPr>
        <w:t xml:space="preserve"> Meeting, </w:t>
      </w:r>
      <w:r w:rsidR="00E57DB1">
        <w:rPr>
          <w:rFonts w:ascii="Arial" w:hAnsi="Arial" w:cs="Arial"/>
          <w:b/>
          <w:szCs w:val="24"/>
        </w:rPr>
        <w:t>3 April 2020</w:t>
      </w:r>
    </w:p>
    <w:p w14:paraId="4F0A1A5C" w14:textId="77777777" w:rsidR="00E57DB1" w:rsidRPr="00B03EAB" w:rsidRDefault="00E57DB1" w:rsidP="00E57DB1">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51A20C45" w14:textId="77777777" w:rsidR="00E57DB1" w:rsidRPr="00F715D1" w:rsidRDefault="00E57DB1" w:rsidP="00E57DB1">
      <w:pPr>
        <w:pStyle w:val="Heading1"/>
      </w:pPr>
      <w:r w:rsidRPr="00F715D1">
        <w:t xml:space="preserve">Purpose of application </w:t>
      </w:r>
    </w:p>
    <w:p w14:paraId="4A73F3F8" w14:textId="77777777" w:rsidR="00DB5988" w:rsidRPr="006F2477" w:rsidRDefault="00DB5988" w:rsidP="00DB5988">
      <w:pPr>
        <w:rPr>
          <w:b/>
          <w:i/>
        </w:rPr>
      </w:pPr>
      <w:r w:rsidRPr="006F2477">
        <w:rPr>
          <w:b/>
          <w:i/>
        </w:rPr>
        <w:t>September 2020 MSAC Consideration</w:t>
      </w:r>
    </w:p>
    <w:p w14:paraId="4607BB71" w14:textId="2214B06E" w:rsidR="00DB5988" w:rsidRPr="006F2477" w:rsidRDefault="00DB5988" w:rsidP="00DB5988">
      <w:r w:rsidRPr="006F2477">
        <w:t>The MSAC was asked to consider a revised pricing proposal for the reduction of mitral regurgitation through tissue approximation, using transvenous/transeptal techniques.</w:t>
      </w:r>
    </w:p>
    <w:p w14:paraId="31AEC9E0" w14:textId="77777777" w:rsidR="00DB5988" w:rsidRPr="00116942" w:rsidRDefault="00DB5988" w:rsidP="006F2477">
      <w:pPr>
        <w:spacing w:before="240"/>
        <w:rPr>
          <w:b/>
          <w:i/>
        </w:rPr>
      </w:pPr>
      <w:r w:rsidRPr="00116942">
        <w:rPr>
          <w:b/>
          <w:i/>
        </w:rPr>
        <w:t>April 2020 MSAC Consideration</w:t>
      </w:r>
    </w:p>
    <w:p w14:paraId="50BD8C88" w14:textId="77777777" w:rsidR="00E47DC5" w:rsidRDefault="00E47DC5" w:rsidP="00E47DC5">
      <w:r>
        <w:t xml:space="preserve">A resubmission </w:t>
      </w:r>
      <w:r w:rsidR="004844E7">
        <w:t xml:space="preserve">seeking Medicare Benefits Schedule (MBS) listing </w:t>
      </w:r>
      <w:r>
        <w:t>for reduction of m</w:t>
      </w:r>
      <w:r w:rsidRPr="00596CCE">
        <w:t xml:space="preserve">itral </w:t>
      </w:r>
      <w:r>
        <w:t>regurgitation through tissue a</w:t>
      </w:r>
      <w:r w:rsidR="00C00674">
        <w:t>pproximation, using transvenous</w:t>
      </w:r>
      <w:r>
        <w:t>/t</w:t>
      </w:r>
      <w:r w:rsidRPr="00596CCE">
        <w:t xml:space="preserve">ranseptal </w:t>
      </w:r>
      <w:r>
        <w:t>t</w:t>
      </w:r>
      <w:r w:rsidRPr="00596CCE">
        <w:t xml:space="preserve">echniques </w:t>
      </w:r>
      <w:r>
        <w:t>was received from Abbott Australasia Pty Ltd by the Department of Health.</w:t>
      </w:r>
    </w:p>
    <w:p w14:paraId="4AF11711" w14:textId="77777777" w:rsidR="00DB5988" w:rsidRPr="006F2477" w:rsidRDefault="00DB5988" w:rsidP="00DB5988">
      <w:pPr>
        <w:pStyle w:val="Heading1"/>
      </w:pPr>
      <w:r w:rsidRPr="006F2477">
        <w:t>MSAC’s advice to the Minister – September 2020</w:t>
      </w:r>
    </w:p>
    <w:p w14:paraId="360CD3C4" w14:textId="4A4923C1" w:rsidR="00DB5988" w:rsidRPr="00297F04" w:rsidRDefault="00DB5988" w:rsidP="00DB5988">
      <w:pPr>
        <w:rPr>
          <w:szCs w:val="24"/>
        </w:rPr>
      </w:pPr>
      <w:r w:rsidRPr="006F2477">
        <w:rPr>
          <w:szCs w:val="24"/>
        </w:rPr>
        <w:t xml:space="preserve">The applicant, having considered MSAC’s advice from its April 2020 meeting, proposed an alternative basis for determining the combined cost of the procedure and the MitraClip device. Specifically, the applicant proposed an 8-year time horizon be used in estimating a cost-effective cost, rather than the 7-year horizon proposed by MSAC, and that a slightly higher Incremental Cost Effectiveness Ratio (ICER) per Quality Adjusted Life Year (QALY) </w:t>
      </w:r>
      <w:r w:rsidRPr="00297F04">
        <w:rPr>
          <w:szCs w:val="24"/>
        </w:rPr>
        <w:t xml:space="preserve">be accepted for the population with Functional Mitral Valve (FMR) disease. These adjustments resulted in a combined cost of </w:t>
      </w:r>
      <w:r w:rsidRPr="00297F04">
        <w:rPr>
          <w:b/>
          <w:szCs w:val="24"/>
        </w:rPr>
        <w:t>$</w:t>
      </w:r>
      <w:r w:rsidR="00350A54" w:rsidRPr="00297F04">
        <w:rPr>
          <w:b/>
          <w:szCs w:val="24"/>
        </w:rPr>
        <w:t>redacted</w:t>
      </w:r>
      <w:r w:rsidR="00350A54" w:rsidRPr="00297F04">
        <w:rPr>
          <w:szCs w:val="24"/>
        </w:rPr>
        <w:t xml:space="preserve"> </w:t>
      </w:r>
      <w:r w:rsidRPr="00297F04">
        <w:rPr>
          <w:szCs w:val="24"/>
        </w:rPr>
        <w:t xml:space="preserve">($1455 for the procedure and </w:t>
      </w:r>
      <w:r w:rsidR="00350A54" w:rsidRPr="00297F04">
        <w:rPr>
          <w:b/>
          <w:szCs w:val="24"/>
        </w:rPr>
        <w:t>$redacted</w:t>
      </w:r>
      <w:r w:rsidR="00350A54" w:rsidRPr="00297F04">
        <w:rPr>
          <w:szCs w:val="24"/>
        </w:rPr>
        <w:t xml:space="preserve"> </w:t>
      </w:r>
      <w:r w:rsidRPr="00297F04">
        <w:rPr>
          <w:szCs w:val="24"/>
        </w:rPr>
        <w:t xml:space="preserve">for the MitraClip device), a </w:t>
      </w:r>
      <w:r w:rsidR="00350A54" w:rsidRPr="00297F04">
        <w:rPr>
          <w:b/>
          <w:szCs w:val="24"/>
        </w:rPr>
        <w:t>$redacted</w:t>
      </w:r>
      <w:r w:rsidR="00350A54" w:rsidRPr="00297F04">
        <w:rPr>
          <w:szCs w:val="24"/>
        </w:rPr>
        <w:t xml:space="preserve"> </w:t>
      </w:r>
      <w:r w:rsidRPr="00297F04">
        <w:rPr>
          <w:szCs w:val="24"/>
        </w:rPr>
        <w:t>increase over that recommended by MSAC.</w:t>
      </w:r>
    </w:p>
    <w:p w14:paraId="2524D2DB" w14:textId="4676D0A4" w:rsidR="00DB5988" w:rsidRPr="00297F04" w:rsidRDefault="00DB5988" w:rsidP="006F2477">
      <w:pPr>
        <w:pStyle w:val="xmsonormal"/>
        <w:spacing w:before="240"/>
      </w:pPr>
      <w:r w:rsidRPr="00297F04">
        <w:t>MSAC recalled the applicant initially proposed a 10-year time horizon for use in the economic analyses for this combination of procedure and device, and MSAC had considered that was too long, but that 5-years (as</w:t>
      </w:r>
      <w:r w:rsidR="006F2477" w:rsidRPr="00297F04">
        <w:t xml:space="preserve"> used for TAVI) was too short. </w:t>
      </w:r>
      <w:r w:rsidRPr="00297F04">
        <w:t xml:space="preserve">MSAC agreed that an </w:t>
      </w:r>
      <w:r w:rsidR="006F2477" w:rsidRPr="00297F04">
        <w:br/>
      </w:r>
      <w:r w:rsidRPr="00297F04">
        <w:t xml:space="preserve">8-year time horizon was reasonable. MSAC also noted the modest increase in the ICER/QALY for the FMR population from approximately </w:t>
      </w:r>
      <w:r w:rsidR="00350A54" w:rsidRPr="00297F04">
        <w:rPr>
          <w:b/>
        </w:rPr>
        <w:t>$redacted</w:t>
      </w:r>
      <w:r w:rsidR="00350A54" w:rsidRPr="00297F04">
        <w:t xml:space="preserve"> </w:t>
      </w:r>
      <w:r w:rsidRPr="00297F04">
        <w:t xml:space="preserve">to approximately </w:t>
      </w:r>
      <w:r w:rsidR="00350A54" w:rsidRPr="00297F04">
        <w:rPr>
          <w:b/>
        </w:rPr>
        <w:t>$redacted</w:t>
      </w:r>
      <w:r w:rsidRPr="00297F04">
        <w:t>.</w:t>
      </w:r>
    </w:p>
    <w:p w14:paraId="49DF93BC" w14:textId="3EE0F112" w:rsidR="00DB5988" w:rsidRPr="00297F04" w:rsidRDefault="00DB5988" w:rsidP="006F2477">
      <w:pPr>
        <w:pStyle w:val="xmsonormal"/>
        <w:spacing w:before="240"/>
        <w:rPr>
          <w:rFonts w:ascii="Calibri" w:hAnsi="Calibri" w:cs="Calibri"/>
          <w:sz w:val="22"/>
          <w:szCs w:val="22"/>
        </w:rPr>
      </w:pPr>
      <w:r w:rsidRPr="00297F04">
        <w:lastRenderedPageBreak/>
        <w:t xml:space="preserve">Overall, MSAC considered the proposed combined cost of </w:t>
      </w:r>
      <w:r w:rsidR="00757CF8" w:rsidRPr="00297F04">
        <w:rPr>
          <w:b/>
        </w:rPr>
        <w:t>$redacted</w:t>
      </w:r>
      <w:r w:rsidR="00757CF8" w:rsidRPr="00297F04">
        <w:t xml:space="preserve"> </w:t>
      </w:r>
      <w:r w:rsidRPr="00297F04">
        <w:t>to represent value for money and supported the public funding of TMVr at this cost.</w:t>
      </w:r>
    </w:p>
    <w:p w14:paraId="213373A8" w14:textId="77777777" w:rsidR="00DB5988" w:rsidRPr="00297F04" w:rsidRDefault="00DB5988" w:rsidP="00DB5988">
      <w:pPr>
        <w:pStyle w:val="Heading1"/>
      </w:pPr>
      <w:r w:rsidRPr="00297F04">
        <w:t>MSAC’s advice to the Minister – April 2020</w:t>
      </w:r>
    </w:p>
    <w:p w14:paraId="2D676594" w14:textId="7C44D028" w:rsidR="00C00674" w:rsidRPr="00297F04" w:rsidRDefault="00C00674" w:rsidP="00CE0375">
      <w:r w:rsidRPr="00297F04">
        <w:t>After considering the strength of the available evidence in relation to comparative safety, clinical effectiveness and cost-effectiveness, MSAC supported the public funding of reduction of mitral regurgitation through tissue approximation, using transvenous/transeptal techniques</w:t>
      </w:r>
      <w:r w:rsidR="00C961CD" w:rsidRPr="00297F04">
        <w:t xml:space="preserve"> (TMVr)</w:t>
      </w:r>
      <w:r w:rsidRPr="00297F04">
        <w:t>. Funding was supported on a cost-minimisation basis against optimised medical management in patients with degenerative mitral regurgitation (DMR). For patients with functional mitral regurgitation (FMR), funding was supported on a cost-effectiveness basis against optimised medical management, but with the time-horizon adjusted to 7 years in the economic model</w:t>
      </w:r>
      <w:r w:rsidR="001F006F" w:rsidRPr="00297F04">
        <w:t>.</w:t>
      </w:r>
      <w:r w:rsidRPr="00297F04">
        <w:t xml:space="preserve"> </w:t>
      </w:r>
      <w:r w:rsidR="001F006F" w:rsidRPr="00297F04">
        <w:t>T</w:t>
      </w:r>
      <w:r w:rsidRPr="00297F04">
        <w:t xml:space="preserve">he </w:t>
      </w:r>
      <w:r w:rsidR="00794A11" w:rsidRPr="00297F04">
        <w:t xml:space="preserve">combined </w:t>
      </w:r>
      <w:r w:rsidRPr="00297F04">
        <w:t xml:space="preserve">price of </w:t>
      </w:r>
      <w:r w:rsidR="00794A11" w:rsidRPr="00297F04">
        <w:t xml:space="preserve">service and </w:t>
      </w:r>
      <w:r w:rsidRPr="00297F04">
        <w:t xml:space="preserve">the associated device </w:t>
      </w:r>
      <w:r w:rsidR="001F006F" w:rsidRPr="00297F04">
        <w:t xml:space="preserve">was </w:t>
      </w:r>
      <w:r w:rsidRPr="00297F04">
        <w:t xml:space="preserve">reduced so the incremental cost effectiveness ratio (ICER) </w:t>
      </w:r>
      <w:r w:rsidR="00DF4852" w:rsidRPr="00297F04">
        <w:t xml:space="preserve">is </w:t>
      </w:r>
      <w:r w:rsidR="00794A11" w:rsidRPr="00297F04">
        <w:t>in the</w:t>
      </w:r>
      <w:r w:rsidR="00DF4852" w:rsidRPr="00297F04">
        <w:t xml:space="preserve"> same</w:t>
      </w:r>
      <w:r w:rsidR="00794A11" w:rsidRPr="00297F04">
        <w:t xml:space="preserve"> range</w:t>
      </w:r>
      <w:r w:rsidR="00DF4852" w:rsidRPr="00297F04">
        <w:t xml:space="preserve"> as previously </w:t>
      </w:r>
      <w:r w:rsidR="00FD2BF9" w:rsidRPr="00297F04">
        <w:rPr>
          <w:b/>
          <w:szCs w:val="24"/>
        </w:rPr>
        <w:t>$redacted</w:t>
      </w:r>
      <w:r w:rsidR="00FD2BF9" w:rsidRPr="00297F04">
        <w:rPr>
          <w:szCs w:val="24"/>
        </w:rPr>
        <w:t xml:space="preserve"> </w:t>
      </w:r>
      <w:r w:rsidRPr="00297F04">
        <w:t>–</w:t>
      </w:r>
      <w:r w:rsidR="00FD2BF9" w:rsidRPr="00297F04">
        <w:rPr>
          <w:b/>
          <w:szCs w:val="24"/>
        </w:rPr>
        <w:t>$redacted</w:t>
      </w:r>
      <w:r w:rsidR="00FD2BF9" w:rsidRPr="00297F04">
        <w:rPr>
          <w:szCs w:val="24"/>
        </w:rPr>
        <w:t xml:space="preserve"> </w:t>
      </w:r>
      <w:r w:rsidRPr="00297F04">
        <w:t>per quality-adjusted life year (QALY)</w:t>
      </w:r>
      <w:r w:rsidR="00DF4852" w:rsidRPr="00297F04">
        <w:t>)</w:t>
      </w:r>
      <w:r w:rsidRPr="00297F04">
        <w:t>.</w:t>
      </w:r>
    </w:p>
    <w:p w14:paraId="72B0AB1D" w14:textId="277E0925" w:rsidR="00C00674" w:rsidRDefault="00C00674" w:rsidP="00C00674">
      <w:pPr>
        <w:spacing w:before="240"/>
      </w:pPr>
      <w:r w:rsidRPr="00297F04">
        <w:t xml:space="preserve">MSAC agreed that the evidence presented in the COAPT trial supports the claim for non-inferior safety and superior effectiveness for </w:t>
      </w:r>
      <w:r w:rsidR="00794A11" w:rsidRPr="00297F04">
        <w:t xml:space="preserve">the FMR </w:t>
      </w:r>
      <w:r w:rsidRPr="00297F04">
        <w:t xml:space="preserve">population </w:t>
      </w:r>
      <w:r w:rsidR="00794A11" w:rsidRPr="00297F04">
        <w:t>(</w:t>
      </w:r>
      <w:r w:rsidR="00A92E3B" w:rsidRPr="00297F04">
        <w:t xml:space="preserve">Population </w:t>
      </w:r>
      <w:r w:rsidR="00794A11" w:rsidRPr="00297F04">
        <w:t>2)</w:t>
      </w:r>
      <w:r w:rsidRPr="00297F04">
        <w:t xml:space="preserve"> (FMR). MSAC noted the cost-effectiveness, safety and clinical effectiveness for </w:t>
      </w:r>
      <w:r w:rsidR="00794A11" w:rsidRPr="00297F04">
        <w:t xml:space="preserve">the DMR </w:t>
      </w:r>
      <w:r w:rsidRPr="00297F04">
        <w:t>population</w:t>
      </w:r>
      <w:r w:rsidR="00794A11" w:rsidRPr="00297F04">
        <w:t xml:space="preserve"> (</w:t>
      </w:r>
      <w:r w:rsidR="00A92E3B" w:rsidRPr="00297F04">
        <w:t xml:space="preserve">Population </w:t>
      </w:r>
      <w:r w:rsidRPr="00297F04">
        <w:t>1</w:t>
      </w:r>
      <w:r w:rsidR="00794A11" w:rsidRPr="00297F04">
        <w:t>)</w:t>
      </w:r>
      <w:r w:rsidRPr="00297F04">
        <w:t xml:space="preserve"> was less certain, </w:t>
      </w:r>
      <w:r w:rsidR="00794A11" w:rsidRPr="00297F04">
        <w:t>but considered that on balance a conclusion of non-inferiority</w:t>
      </w:r>
      <w:r w:rsidR="00794A11">
        <w:t xml:space="preserve"> in safety and effectiveness was reasonable.</w:t>
      </w:r>
    </w:p>
    <w:p w14:paraId="7EA17B41" w14:textId="425DC7C7" w:rsidR="00C00674" w:rsidRDefault="00C00674" w:rsidP="00C00674">
      <w:pPr>
        <w:spacing w:before="240" w:after="240"/>
      </w:pPr>
      <w:r>
        <w:t xml:space="preserve">MSAC recommended that the Department further negotiate with the applicant regarding pricing as a condition of listing. MSAC also recommended establishing a </w:t>
      </w:r>
      <w:r w:rsidRPr="00237663">
        <w:t xml:space="preserve">transcatheter mitral valve replacement </w:t>
      </w:r>
      <w:r>
        <w:t>(TMVr) registry as a condition of listing.</w:t>
      </w:r>
    </w:p>
    <w:tbl>
      <w:tblPr>
        <w:tblStyle w:val="TableGrid"/>
        <w:tblW w:w="0" w:type="auto"/>
        <w:tblLook w:val="04A0" w:firstRow="1" w:lastRow="0" w:firstColumn="1" w:lastColumn="0" w:noHBand="0" w:noVBand="1"/>
        <w:tblDescription w:val="Consumer summary of MSAC consideration"/>
      </w:tblPr>
      <w:tblGrid>
        <w:gridCol w:w="9016"/>
      </w:tblGrid>
      <w:tr w:rsidR="00DB5988" w14:paraId="465D50D1" w14:textId="77777777" w:rsidTr="00DB5988">
        <w:trPr>
          <w:tblHeader/>
        </w:trPr>
        <w:tc>
          <w:tcPr>
            <w:tcW w:w="9016" w:type="dxa"/>
          </w:tcPr>
          <w:p w14:paraId="6A43CEB1" w14:textId="39C0E09B" w:rsidR="00DB5988" w:rsidRDefault="00DB5988" w:rsidP="00DB5988">
            <w:pPr>
              <w:spacing w:before="120" w:after="120"/>
            </w:pPr>
            <w:r w:rsidRPr="00C06B0B">
              <w:rPr>
                <w:b/>
              </w:rPr>
              <w:t>Consumer summary</w:t>
            </w:r>
          </w:p>
        </w:tc>
      </w:tr>
      <w:tr w:rsidR="00DB5988" w14:paraId="5C365C83" w14:textId="77777777" w:rsidTr="00DB5988">
        <w:tc>
          <w:tcPr>
            <w:tcW w:w="9016" w:type="dxa"/>
          </w:tcPr>
          <w:p w14:paraId="38634B03" w14:textId="77777777" w:rsidR="00DB5988" w:rsidRPr="00C00674" w:rsidRDefault="00DB5988" w:rsidP="00DB5988">
            <w:pPr>
              <w:spacing w:before="120" w:after="240"/>
              <w:rPr>
                <w:sz w:val="24"/>
                <w:szCs w:val="24"/>
              </w:rPr>
            </w:pPr>
            <w:r w:rsidRPr="00C00674">
              <w:rPr>
                <w:sz w:val="24"/>
                <w:szCs w:val="24"/>
              </w:rPr>
              <w:t>Abbott Australasia applied for Medicare Benefits Schedule (MBS) funding</w:t>
            </w:r>
            <w:r>
              <w:rPr>
                <w:sz w:val="24"/>
                <w:szCs w:val="24"/>
              </w:rPr>
              <w:t xml:space="preserve"> for a medical procedure called </w:t>
            </w:r>
            <w:r w:rsidRPr="002E3A0E">
              <w:rPr>
                <w:sz w:val="24"/>
                <w:szCs w:val="24"/>
              </w:rPr>
              <w:t xml:space="preserve">transcatheter mitral valve replacement </w:t>
            </w:r>
            <w:r>
              <w:rPr>
                <w:sz w:val="24"/>
                <w:szCs w:val="24"/>
              </w:rPr>
              <w:t>t</w:t>
            </w:r>
            <w:r w:rsidRPr="00C00674">
              <w:rPr>
                <w:sz w:val="24"/>
                <w:szCs w:val="24"/>
              </w:rPr>
              <w:t xml:space="preserve">o </w:t>
            </w:r>
            <w:r>
              <w:rPr>
                <w:sz w:val="24"/>
                <w:szCs w:val="24"/>
              </w:rPr>
              <w:t>manage</w:t>
            </w:r>
            <w:r w:rsidRPr="00C00674">
              <w:rPr>
                <w:sz w:val="24"/>
                <w:szCs w:val="24"/>
              </w:rPr>
              <w:t xml:space="preserve"> </w:t>
            </w:r>
            <w:r w:rsidRPr="002E3A0E">
              <w:rPr>
                <w:sz w:val="24"/>
                <w:szCs w:val="24"/>
              </w:rPr>
              <w:t>a condition in which the heart's mitral valve doesn't close tightly, which allows blood to flow backward in the heart</w:t>
            </w:r>
            <w:r>
              <w:rPr>
                <w:sz w:val="24"/>
                <w:szCs w:val="24"/>
              </w:rPr>
              <w:t xml:space="preserve"> (mitral regurgitation</w:t>
            </w:r>
            <w:r w:rsidRPr="00C00674">
              <w:rPr>
                <w:sz w:val="24"/>
                <w:szCs w:val="24"/>
              </w:rPr>
              <w:t>)</w:t>
            </w:r>
            <w:r>
              <w:rPr>
                <w:sz w:val="24"/>
                <w:szCs w:val="24"/>
              </w:rPr>
              <w:t>.</w:t>
            </w:r>
            <w:r w:rsidRPr="00C00674">
              <w:rPr>
                <w:sz w:val="24"/>
                <w:szCs w:val="24"/>
              </w:rPr>
              <w:t xml:space="preserve"> </w:t>
            </w:r>
          </w:p>
          <w:p w14:paraId="54417A2C" w14:textId="77777777" w:rsidR="00DB5988" w:rsidRDefault="00DB5988" w:rsidP="00DB5988">
            <w:pPr>
              <w:spacing w:before="240" w:after="240"/>
              <w:rPr>
                <w:sz w:val="24"/>
                <w:szCs w:val="24"/>
              </w:rPr>
            </w:pPr>
            <w:r w:rsidRPr="00C00674">
              <w:rPr>
                <w:sz w:val="24"/>
                <w:szCs w:val="24"/>
              </w:rPr>
              <w:t xml:space="preserve">The </w:t>
            </w:r>
            <w:r>
              <w:rPr>
                <w:sz w:val="24"/>
                <w:szCs w:val="24"/>
              </w:rPr>
              <w:t xml:space="preserve">medical procedure </w:t>
            </w:r>
            <w:r w:rsidRPr="00C00674">
              <w:rPr>
                <w:sz w:val="24"/>
                <w:szCs w:val="24"/>
              </w:rPr>
              <w:t>use</w:t>
            </w:r>
            <w:r>
              <w:rPr>
                <w:sz w:val="24"/>
                <w:szCs w:val="24"/>
              </w:rPr>
              <w:t>s a device</w:t>
            </w:r>
            <w:r w:rsidRPr="00C00674">
              <w:rPr>
                <w:sz w:val="24"/>
                <w:szCs w:val="24"/>
              </w:rPr>
              <w:t xml:space="preserve"> called MitraClip®. The </w:t>
            </w:r>
            <w:r>
              <w:rPr>
                <w:sz w:val="24"/>
                <w:szCs w:val="24"/>
              </w:rPr>
              <w:t xml:space="preserve">interventional cardiologist or </w:t>
            </w:r>
            <w:r w:rsidRPr="00C00674">
              <w:rPr>
                <w:sz w:val="24"/>
                <w:szCs w:val="24"/>
              </w:rPr>
              <w:t xml:space="preserve">surgeon </w:t>
            </w:r>
            <w:r>
              <w:rPr>
                <w:sz w:val="24"/>
                <w:szCs w:val="24"/>
              </w:rPr>
              <w:t xml:space="preserve">uses a customised catheter to </w:t>
            </w:r>
            <w:r w:rsidRPr="00C00674">
              <w:rPr>
                <w:sz w:val="24"/>
                <w:szCs w:val="24"/>
              </w:rPr>
              <w:t>thread the clip through a vein in the leg to the heart, where the clip is positioned near the faulty valve and then released to ‘clip’ the valve shut.</w:t>
            </w:r>
          </w:p>
          <w:p w14:paraId="6EF8B9C8" w14:textId="58755DB4" w:rsidR="00DB5988" w:rsidRDefault="00DB5988" w:rsidP="00DB5988">
            <w:pPr>
              <w:spacing w:before="240" w:after="240"/>
              <w:rPr>
                <w:sz w:val="24"/>
                <w:szCs w:val="24"/>
              </w:rPr>
            </w:pPr>
            <w:r>
              <w:rPr>
                <w:sz w:val="24"/>
                <w:szCs w:val="24"/>
              </w:rPr>
              <w:t xml:space="preserve">Abbott has applied for the procedure and device to be publicly funded for </w:t>
            </w:r>
            <w:r w:rsidRPr="002E3A0E">
              <w:rPr>
                <w:sz w:val="24"/>
                <w:szCs w:val="24"/>
              </w:rPr>
              <w:t>people with mitral regurgitation who cannot have open heart surgery</w:t>
            </w:r>
            <w:r>
              <w:rPr>
                <w:sz w:val="24"/>
                <w:szCs w:val="24"/>
              </w:rPr>
              <w:t xml:space="preserve"> to repair their mitral valve.</w:t>
            </w:r>
            <w:r w:rsidR="006F2477">
              <w:rPr>
                <w:sz w:val="24"/>
                <w:szCs w:val="24"/>
              </w:rPr>
              <w:t xml:space="preserve"> </w:t>
            </w:r>
            <w:r>
              <w:rPr>
                <w:sz w:val="24"/>
                <w:szCs w:val="24"/>
              </w:rPr>
              <w:t>Within this group, there are people who have degenerative mitral regurgitation (DMR – caused by problems related to the valve itself) and people who have functional mitral regurgitation (FMR – caused by a condition external to the valve, for example an issue with abnormal heart muscle structure and/or function).</w:t>
            </w:r>
          </w:p>
          <w:p w14:paraId="56FC18A7" w14:textId="77777777" w:rsidR="00DB5988" w:rsidRDefault="00DB5988" w:rsidP="00DB5988">
            <w:pPr>
              <w:spacing w:before="240" w:after="240"/>
              <w:rPr>
                <w:sz w:val="24"/>
                <w:szCs w:val="24"/>
              </w:rPr>
            </w:pPr>
            <w:r>
              <w:rPr>
                <w:sz w:val="24"/>
                <w:szCs w:val="24"/>
              </w:rPr>
              <w:t xml:space="preserve">There are high quality </w:t>
            </w:r>
            <w:r w:rsidRPr="003F0960">
              <w:rPr>
                <w:sz w:val="24"/>
                <w:szCs w:val="24"/>
              </w:rPr>
              <w:t xml:space="preserve">studies </w:t>
            </w:r>
            <w:r>
              <w:rPr>
                <w:sz w:val="24"/>
                <w:szCs w:val="24"/>
              </w:rPr>
              <w:t xml:space="preserve">that </w:t>
            </w:r>
            <w:r w:rsidRPr="003F0960">
              <w:rPr>
                <w:sz w:val="24"/>
                <w:szCs w:val="24"/>
              </w:rPr>
              <w:t>show that</w:t>
            </w:r>
            <w:r>
              <w:t xml:space="preserve"> </w:t>
            </w:r>
            <w:r w:rsidRPr="003F0960">
              <w:rPr>
                <w:sz w:val="24"/>
                <w:szCs w:val="24"/>
              </w:rPr>
              <w:t>transcatheter mitral valve replacement</w:t>
            </w:r>
            <w:r>
              <w:rPr>
                <w:sz w:val="24"/>
                <w:szCs w:val="24"/>
              </w:rPr>
              <w:t xml:space="preserve"> with </w:t>
            </w:r>
            <w:r w:rsidRPr="003F0960">
              <w:rPr>
                <w:sz w:val="24"/>
                <w:szCs w:val="24"/>
              </w:rPr>
              <w:t xml:space="preserve">MitraClip is </w:t>
            </w:r>
            <w:r>
              <w:rPr>
                <w:sz w:val="24"/>
                <w:szCs w:val="24"/>
              </w:rPr>
              <w:t xml:space="preserve">a safe and more </w:t>
            </w:r>
            <w:r w:rsidRPr="003F0960">
              <w:rPr>
                <w:sz w:val="24"/>
                <w:szCs w:val="24"/>
              </w:rPr>
              <w:t>effective</w:t>
            </w:r>
            <w:r>
              <w:rPr>
                <w:sz w:val="24"/>
                <w:szCs w:val="24"/>
              </w:rPr>
              <w:t xml:space="preserve"> than current procedures </w:t>
            </w:r>
            <w:r w:rsidRPr="003F0960">
              <w:rPr>
                <w:sz w:val="24"/>
                <w:szCs w:val="24"/>
              </w:rPr>
              <w:t>in patients with FMR</w:t>
            </w:r>
            <w:r>
              <w:rPr>
                <w:sz w:val="24"/>
                <w:szCs w:val="24"/>
              </w:rPr>
              <w:t xml:space="preserve"> who can’t have open heart surgery. However, the </w:t>
            </w:r>
            <w:r w:rsidRPr="005F54B4">
              <w:rPr>
                <w:sz w:val="24"/>
                <w:szCs w:val="24"/>
              </w:rPr>
              <w:t>Medical Services Advisory Committee (MSAC)</w:t>
            </w:r>
            <w:r>
              <w:rPr>
                <w:sz w:val="24"/>
                <w:szCs w:val="24"/>
              </w:rPr>
              <w:t xml:space="preserve"> recommended a lower price for the combination of the procedure with MitraClip, as the MSAC did not consider the applicant’s requested price to be value for money.</w:t>
            </w:r>
          </w:p>
          <w:p w14:paraId="204AA732" w14:textId="064B78CF" w:rsidR="00DB5988" w:rsidRPr="00C00674" w:rsidRDefault="00DB5988" w:rsidP="00DB5988">
            <w:pPr>
              <w:spacing w:before="240" w:after="240"/>
              <w:rPr>
                <w:sz w:val="24"/>
                <w:szCs w:val="24"/>
              </w:rPr>
            </w:pPr>
            <w:r>
              <w:rPr>
                <w:sz w:val="24"/>
                <w:szCs w:val="24"/>
              </w:rPr>
              <w:t xml:space="preserve">For people with DMR who can’t have open heart surgery, the evidence comparing </w:t>
            </w:r>
            <w:r w:rsidRPr="003F0960">
              <w:rPr>
                <w:sz w:val="24"/>
                <w:szCs w:val="24"/>
              </w:rPr>
              <w:t>transcatheter mitral valve replacement with MitraClip</w:t>
            </w:r>
            <w:r>
              <w:rPr>
                <w:sz w:val="24"/>
                <w:szCs w:val="24"/>
              </w:rPr>
              <w:t xml:space="preserve"> to current procedures is not as clear</w:t>
            </w:r>
            <w:r w:rsidR="006F2477">
              <w:rPr>
                <w:sz w:val="24"/>
                <w:szCs w:val="24"/>
              </w:rPr>
              <w:t>.</w:t>
            </w:r>
            <w:r>
              <w:rPr>
                <w:sz w:val="24"/>
                <w:szCs w:val="24"/>
              </w:rPr>
              <w:t xml:space="preserve"> </w:t>
            </w:r>
            <w:r w:rsidRPr="00C00674">
              <w:rPr>
                <w:sz w:val="24"/>
                <w:szCs w:val="24"/>
              </w:rPr>
              <w:t xml:space="preserve">The MSAC acknowledged that, although the evidence for DMR patients is of lower </w:t>
            </w:r>
            <w:r w:rsidRPr="00C00674">
              <w:rPr>
                <w:sz w:val="24"/>
                <w:szCs w:val="24"/>
              </w:rPr>
              <w:lastRenderedPageBreak/>
              <w:t>quality, these patients are very sick and have few other options. MSAC considered that the procedure was likely to be safe for these patients</w:t>
            </w:r>
            <w:r>
              <w:rPr>
                <w:sz w:val="24"/>
                <w:szCs w:val="24"/>
              </w:rPr>
              <w:t xml:space="preserve"> based on current evidence. </w:t>
            </w:r>
            <w:r w:rsidRPr="005F54B4">
              <w:rPr>
                <w:sz w:val="24"/>
                <w:szCs w:val="24"/>
              </w:rPr>
              <w:t xml:space="preserve">MSAC </w:t>
            </w:r>
            <w:r>
              <w:rPr>
                <w:sz w:val="24"/>
                <w:szCs w:val="24"/>
              </w:rPr>
              <w:t xml:space="preserve">also </w:t>
            </w:r>
            <w:r w:rsidRPr="005F54B4">
              <w:rPr>
                <w:sz w:val="24"/>
                <w:szCs w:val="24"/>
              </w:rPr>
              <w:t>considered that</w:t>
            </w:r>
            <w:r>
              <w:rPr>
                <w:sz w:val="24"/>
                <w:szCs w:val="24"/>
              </w:rPr>
              <w:t>,</w:t>
            </w:r>
            <w:r w:rsidRPr="005F54B4">
              <w:rPr>
                <w:sz w:val="24"/>
                <w:szCs w:val="24"/>
              </w:rPr>
              <w:t xml:space="preserve"> on balance, the proposed procedure</w:t>
            </w:r>
            <w:r>
              <w:rPr>
                <w:sz w:val="24"/>
                <w:szCs w:val="24"/>
              </w:rPr>
              <w:t xml:space="preserve"> with MitraClip</w:t>
            </w:r>
            <w:r w:rsidRPr="005F54B4">
              <w:rPr>
                <w:sz w:val="24"/>
                <w:szCs w:val="24"/>
              </w:rPr>
              <w:t xml:space="preserve"> was at least no worse </w:t>
            </w:r>
            <w:r>
              <w:rPr>
                <w:sz w:val="24"/>
                <w:szCs w:val="24"/>
              </w:rPr>
              <w:t xml:space="preserve">in terms </w:t>
            </w:r>
            <w:r w:rsidRPr="005F54B4">
              <w:rPr>
                <w:sz w:val="24"/>
                <w:szCs w:val="24"/>
              </w:rPr>
              <w:t xml:space="preserve">than current </w:t>
            </w:r>
            <w:r>
              <w:rPr>
                <w:sz w:val="24"/>
                <w:szCs w:val="24"/>
              </w:rPr>
              <w:t xml:space="preserve">medical </w:t>
            </w:r>
            <w:r w:rsidRPr="005F54B4">
              <w:rPr>
                <w:sz w:val="24"/>
                <w:szCs w:val="24"/>
              </w:rPr>
              <w:t xml:space="preserve">management. </w:t>
            </w:r>
            <w:r>
              <w:rPr>
                <w:sz w:val="24"/>
                <w:szCs w:val="24"/>
              </w:rPr>
              <w:t>MSAC considered the cost of the combination of the procedure with MitraClip for people with DMR should not be more expensive than the cost of current treatment.</w:t>
            </w:r>
            <w:r w:rsidRPr="005F54B4">
              <w:rPr>
                <w:sz w:val="24"/>
                <w:szCs w:val="24"/>
              </w:rPr>
              <w:t xml:space="preserve"> </w:t>
            </w:r>
          </w:p>
          <w:p w14:paraId="6AFCEB8C" w14:textId="77777777" w:rsidR="00DB5988" w:rsidRDefault="00DB5988" w:rsidP="00DB5988">
            <w:pPr>
              <w:spacing w:before="240" w:after="120"/>
              <w:rPr>
                <w:b/>
                <w:sz w:val="24"/>
                <w:szCs w:val="24"/>
              </w:rPr>
            </w:pPr>
            <w:r w:rsidRPr="00C00674">
              <w:rPr>
                <w:b/>
                <w:sz w:val="24"/>
                <w:szCs w:val="24"/>
              </w:rPr>
              <w:t>MSAC’s advice to the Commonwealth Minister of Health</w:t>
            </w:r>
          </w:p>
          <w:p w14:paraId="04F23DB8" w14:textId="03E55785" w:rsidR="00DB5988" w:rsidRDefault="00DB5988" w:rsidP="00DB5988">
            <w:pPr>
              <w:spacing w:before="120" w:after="120"/>
            </w:pPr>
            <w:r w:rsidRPr="00C00674">
              <w:rPr>
                <w:sz w:val="24"/>
                <w:szCs w:val="24"/>
              </w:rPr>
              <w:t>MSAC supported public funding of</w:t>
            </w:r>
            <w:r>
              <w:rPr>
                <w:sz w:val="24"/>
                <w:szCs w:val="24"/>
              </w:rPr>
              <w:t xml:space="preserve"> </w:t>
            </w:r>
            <w:r w:rsidRPr="002E3A0E">
              <w:rPr>
                <w:sz w:val="24"/>
                <w:szCs w:val="24"/>
              </w:rPr>
              <w:t>transcatheter mitral valve replacement</w:t>
            </w:r>
            <w:r>
              <w:rPr>
                <w:sz w:val="24"/>
                <w:szCs w:val="24"/>
              </w:rPr>
              <w:t xml:space="preserve"> with</w:t>
            </w:r>
            <w:r w:rsidRPr="00C00674">
              <w:rPr>
                <w:sz w:val="24"/>
                <w:szCs w:val="24"/>
              </w:rPr>
              <w:t xml:space="preserve"> MitraClip for </w:t>
            </w:r>
            <w:r>
              <w:rPr>
                <w:sz w:val="24"/>
                <w:szCs w:val="24"/>
              </w:rPr>
              <w:t>patients with mitral regurgitation due to</w:t>
            </w:r>
            <w:r w:rsidRPr="00C00674">
              <w:rPr>
                <w:sz w:val="24"/>
                <w:szCs w:val="24"/>
              </w:rPr>
              <w:t xml:space="preserve"> FMR and DMR </w:t>
            </w:r>
            <w:r>
              <w:rPr>
                <w:sz w:val="24"/>
                <w:szCs w:val="24"/>
              </w:rPr>
              <w:t xml:space="preserve">who can’t have open heart surgery. </w:t>
            </w:r>
            <w:r w:rsidRPr="00C00674">
              <w:rPr>
                <w:sz w:val="24"/>
                <w:szCs w:val="24"/>
              </w:rPr>
              <w:t xml:space="preserve">MSAC felt that the procedure was effective and safe and – </w:t>
            </w:r>
            <w:r>
              <w:rPr>
                <w:sz w:val="24"/>
                <w:szCs w:val="24"/>
              </w:rPr>
              <w:t>at a reduced price</w:t>
            </w:r>
            <w:r w:rsidRPr="00C00674">
              <w:rPr>
                <w:sz w:val="24"/>
                <w:szCs w:val="24"/>
              </w:rPr>
              <w:t xml:space="preserve"> – cost-effective. MSAC recommended that a</w:t>
            </w:r>
            <w:r>
              <w:rPr>
                <w:sz w:val="24"/>
                <w:szCs w:val="24"/>
              </w:rPr>
              <w:t xml:space="preserve"> compulsory</w:t>
            </w:r>
            <w:r w:rsidRPr="00C00674">
              <w:rPr>
                <w:sz w:val="24"/>
                <w:szCs w:val="24"/>
              </w:rPr>
              <w:t xml:space="preserve"> registry be established to ensure quality control, as a condition of listing.</w:t>
            </w:r>
          </w:p>
        </w:tc>
      </w:tr>
    </w:tbl>
    <w:p w14:paraId="3E177ACB" w14:textId="77777777" w:rsidR="00393F9D" w:rsidRDefault="00E10ED5" w:rsidP="00ED24C6">
      <w:pPr>
        <w:tabs>
          <w:tab w:val="num" w:pos="426"/>
        </w:tabs>
        <w:spacing w:before="240" w:after="120"/>
        <w:rPr>
          <w:b/>
        </w:rPr>
      </w:pPr>
      <w:r>
        <w:rPr>
          <w:b/>
        </w:rPr>
        <w:lastRenderedPageBreak/>
        <w:t>MSAC p</w:t>
      </w:r>
      <w:r w:rsidR="00393F9D">
        <w:rPr>
          <w:b/>
        </w:rPr>
        <w:t xml:space="preserve">roposed MBS item descriptors </w:t>
      </w:r>
    </w:p>
    <w:tbl>
      <w:tblPr>
        <w:tblStyle w:val="TableGrid"/>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5"/>
      </w:tblGrid>
      <w:tr w:rsidR="00393F9D" w:rsidRPr="006A64AA" w:rsidDel="00A134DA" w14:paraId="39B9D587" w14:textId="77777777" w:rsidTr="005462CA">
        <w:trPr>
          <w:tblHeader/>
        </w:trPr>
        <w:tc>
          <w:tcPr>
            <w:tcW w:w="8885" w:type="dxa"/>
          </w:tcPr>
          <w:p w14:paraId="7EBD2823" w14:textId="77777777" w:rsidR="00393F9D" w:rsidRPr="006A64AA" w:rsidDel="00A134DA" w:rsidRDefault="00393F9D" w:rsidP="00E32355">
            <w:pPr>
              <w:spacing w:before="40" w:after="40"/>
              <w:rPr>
                <w:rFonts w:ascii="Arial Narrow" w:hAnsi="Arial Narrow"/>
                <w:sz w:val="20"/>
                <w:szCs w:val="24"/>
              </w:rPr>
            </w:pPr>
            <w:r w:rsidRPr="006A64AA" w:rsidDel="00A134DA">
              <w:rPr>
                <w:rFonts w:ascii="Arial Narrow" w:hAnsi="Arial Narrow"/>
                <w:sz w:val="20"/>
                <w:szCs w:val="24"/>
              </w:rPr>
              <w:t xml:space="preserve">Category </w:t>
            </w:r>
            <w:r w:rsidRPr="006A64AA">
              <w:rPr>
                <w:rFonts w:ascii="Arial Narrow" w:hAnsi="Arial Narrow"/>
                <w:sz w:val="20"/>
                <w:szCs w:val="24"/>
              </w:rPr>
              <w:t>3</w:t>
            </w:r>
            <w:r w:rsidRPr="006A64AA" w:rsidDel="00A134DA">
              <w:rPr>
                <w:rFonts w:ascii="Arial Narrow" w:hAnsi="Arial Narrow"/>
                <w:sz w:val="20"/>
                <w:szCs w:val="24"/>
              </w:rPr>
              <w:t xml:space="preserve"> – </w:t>
            </w:r>
            <w:r w:rsidRPr="006A64AA">
              <w:rPr>
                <w:rFonts w:ascii="Arial Narrow" w:hAnsi="Arial Narrow"/>
                <w:sz w:val="20"/>
                <w:szCs w:val="24"/>
              </w:rPr>
              <w:t>Therapeutic procedures</w:t>
            </w:r>
          </w:p>
        </w:tc>
      </w:tr>
      <w:tr w:rsidR="00393F9D" w:rsidRPr="006A64AA" w:rsidDel="00A134DA" w14:paraId="262D1BDF" w14:textId="77777777" w:rsidTr="005462CA">
        <w:tc>
          <w:tcPr>
            <w:tcW w:w="8885" w:type="dxa"/>
          </w:tcPr>
          <w:p w14:paraId="29417DFA"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MBS item #####</w:t>
            </w:r>
          </w:p>
          <w:p w14:paraId="508AA2CE"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Transvenous/transeptal techniques for permanent coaptation of mitral valve leaflets using 1 or more tissue approximation devices</w:t>
            </w:r>
            <w:r>
              <w:rPr>
                <w:rFonts w:ascii="Arial Narrow" w:hAnsi="Arial Narrow"/>
                <w:sz w:val="20"/>
                <w:szCs w:val="24"/>
              </w:rPr>
              <w:t xml:space="preserve"> (Mitraclip)</w:t>
            </w:r>
            <w:r w:rsidRPr="006A64AA">
              <w:rPr>
                <w:rFonts w:ascii="Arial Narrow" w:hAnsi="Arial Narrow"/>
                <w:sz w:val="20"/>
                <w:szCs w:val="24"/>
              </w:rPr>
              <w:t xml:space="preserve"> in patients with moderate-severe or severe symptomatic degenerative mitral regurgitation (Grade 3+, 4+), who have left ventricular ejection fraction (LVEF) ≥20%, who are symptomatic (New York Heart Association [NYHA] functional class II or greater), who are determined by a MDHT to be ineligible for surgical intervention but suitable for the MitraClip procedure.</w:t>
            </w:r>
            <w:r w:rsidR="00646A8C">
              <w:rPr>
                <w:rFonts w:ascii="Arial Narrow" w:hAnsi="Arial Narrow"/>
                <w:sz w:val="20"/>
                <w:szCs w:val="24"/>
              </w:rPr>
              <w:t xml:space="preserve"> Performed via transfemoral delivery, unless transfemoral delivery is contraindicated.</w:t>
            </w:r>
          </w:p>
          <w:p w14:paraId="7194A182" w14:textId="77777777" w:rsidR="00393F9D" w:rsidRPr="006A64AA" w:rsidRDefault="00EF5C7B" w:rsidP="00E32355">
            <w:pPr>
              <w:spacing w:before="40" w:after="40"/>
              <w:rPr>
                <w:rFonts w:ascii="Arial Narrow" w:hAnsi="Arial Narrow"/>
                <w:sz w:val="20"/>
                <w:szCs w:val="24"/>
              </w:rPr>
            </w:pPr>
            <w:r>
              <w:rPr>
                <w:rFonts w:ascii="Arial Narrow" w:hAnsi="Arial Narrow"/>
                <w:sz w:val="20"/>
                <w:szCs w:val="24"/>
              </w:rPr>
              <w:t>I</w:t>
            </w:r>
            <w:r w:rsidR="00393F9D" w:rsidRPr="006A64AA">
              <w:rPr>
                <w:rFonts w:ascii="Arial Narrow" w:hAnsi="Arial Narrow"/>
                <w:sz w:val="20"/>
                <w:szCs w:val="24"/>
              </w:rPr>
              <w:t>n a transmitral valve re</w:t>
            </w:r>
            <w:r w:rsidR="00646A8C">
              <w:rPr>
                <w:rFonts w:ascii="Arial Narrow" w:hAnsi="Arial Narrow"/>
                <w:sz w:val="20"/>
                <w:szCs w:val="24"/>
              </w:rPr>
              <w:t>pair (TMVr) Hospital on a TMVr patient by a TMVr p</w:t>
            </w:r>
            <w:r w:rsidR="00393F9D" w:rsidRPr="006A64AA">
              <w:rPr>
                <w:rFonts w:ascii="Arial Narrow" w:hAnsi="Arial Narrow"/>
                <w:sz w:val="20"/>
                <w:szCs w:val="24"/>
              </w:rPr>
              <w:t>ractitioner – includes all intraoperative di</w:t>
            </w:r>
            <w:r w:rsidR="00646A8C">
              <w:rPr>
                <w:rFonts w:ascii="Arial Narrow" w:hAnsi="Arial Narrow"/>
                <w:sz w:val="20"/>
                <w:szCs w:val="24"/>
              </w:rPr>
              <w:t>agnostic imaging that the TMVr p</w:t>
            </w:r>
            <w:r w:rsidR="00393F9D" w:rsidRPr="006A64AA">
              <w:rPr>
                <w:rFonts w:ascii="Arial Narrow" w:hAnsi="Arial Narrow"/>
                <w:sz w:val="20"/>
                <w:szCs w:val="24"/>
              </w:rPr>
              <w:t>ractitione</w:t>
            </w:r>
            <w:r w:rsidR="00646A8C">
              <w:rPr>
                <w:rFonts w:ascii="Arial Narrow" w:hAnsi="Arial Narrow"/>
                <w:sz w:val="20"/>
                <w:szCs w:val="24"/>
              </w:rPr>
              <w:t>r performs upon the TMVr p</w:t>
            </w:r>
            <w:r w:rsidR="00393F9D" w:rsidRPr="006A64AA">
              <w:rPr>
                <w:rFonts w:ascii="Arial Narrow" w:hAnsi="Arial Narrow"/>
                <w:sz w:val="20"/>
                <w:szCs w:val="24"/>
              </w:rPr>
              <w:t>atient.</w:t>
            </w:r>
          </w:p>
          <w:p w14:paraId="6E04EEE9"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 xml:space="preserve">(Not payable more than once per patient in a five-year period) </w:t>
            </w:r>
          </w:p>
          <w:p w14:paraId="4E4E560E"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(See paragraph XX, XX of explanatory notes to this Category)</w:t>
            </w:r>
          </w:p>
          <w:p w14:paraId="2E484934" w14:textId="77777777" w:rsidR="00393F9D" w:rsidRPr="006A64AA" w:rsidDel="00A134DA" w:rsidRDefault="00393F9D" w:rsidP="00E32355">
            <w:pPr>
              <w:spacing w:before="40" w:after="40"/>
              <w:rPr>
                <w:rFonts w:ascii="Arial Narrow" w:hAnsi="Arial Narrow"/>
                <w:sz w:val="20"/>
                <w:szCs w:val="24"/>
              </w:rPr>
            </w:pPr>
            <w:r w:rsidRPr="006A64AA">
              <w:rPr>
                <w:rFonts w:ascii="Arial Narrow" w:hAnsi="Arial Narrow"/>
                <w:sz w:val="20"/>
                <w:szCs w:val="24"/>
              </w:rPr>
              <w:t xml:space="preserve">Fee: </w:t>
            </w:r>
            <w:r w:rsidR="00646A8C">
              <w:rPr>
                <w:rFonts w:ascii="Arial Narrow" w:hAnsi="Arial Narrow" w:cs="Helvetica"/>
                <w:color w:val="222222"/>
                <w:sz w:val="20"/>
                <w:szCs w:val="24"/>
              </w:rPr>
              <w:t>$1,455.10</w:t>
            </w:r>
            <w:r w:rsidRPr="006A64AA">
              <w:rPr>
                <w:rFonts w:ascii="Helvetica" w:hAnsi="Helvetica" w:cs="Helvetica"/>
                <w:color w:val="222222"/>
                <w:sz w:val="20"/>
                <w:szCs w:val="24"/>
              </w:rPr>
              <w:t xml:space="preserve"> </w:t>
            </w:r>
            <w:r w:rsidRPr="006A64AA">
              <w:rPr>
                <w:rFonts w:ascii="Arial Narrow" w:hAnsi="Arial Narrow"/>
                <w:sz w:val="20"/>
                <w:szCs w:val="24"/>
              </w:rPr>
              <w:t xml:space="preserve">Benefit 75% = </w:t>
            </w:r>
            <w:r w:rsidR="00646A8C">
              <w:rPr>
                <w:rFonts w:ascii="Arial Narrow" w:hAnsi="Arial Narrow" w:cs="Helvetica"/>
                <w:color w:val="222222"/>
                <w:sz w:val="20"/>
                <w:szCs w:val="24"/>
              </w:rPr>
              <w:t>$1,091</w:t>
            </w:r>
            <w:r w:rsidR="00F648A1">
              <w:rPr>
                <w:rFonts w:ascii="Arial Narrow" w:hAnsi="Arial Narrow" w:cs="Helvetica"/>
                <w:color w:val="222222"/>
                <w:sz w:val="20"/>
                <w:szCs w:val="24"/>
              </w:rPr>
              <w:t>.35</w:t>
            </w:r>
            <w:r w:rsidRPr="006A64AA">
              <w:rPr>
                <w:rFonts w:ascii="Helvetica" w:hAnsi="Helvetica" w:cs="Helvetica"/>
                <w:color w:val="222222"/>
                <w:sz w:val="20"/>
                <w:szCs w:val="24"/>
              </w:rPr>
              <w:t xml:space="preserve"> </w:t>
            </w:r>
          </w:p>
        </w:tc>
      </w:tr>
      <w:tr w:rsidR="00393F9D" w:rsidRPr="006A64AA" w:rsidDel="00A134DA" w14:paraId="7DB157F8" w14:textId="77777777" w:rsidTr="005462CA">
        <w:tc>
          <w:tcPr>
            <w:tcW w:w="8885" w:type="dxa"/>
          </w:tcPr>
          <w:p w14:paraId="2B92F488"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MBS item #####</w:t>
            </w:r>
          </w:p>
          <w:p w14:paraId="3FBBD9ED"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Transvenous/transeptal techniques for permanent coaptation of mitral valve leaflets using 1 or more tissue approximation devices</w:t>
            </w:r>
            <w:r w:rsidR="00F648A1">
              <w:rPr>
                <w:rFonts w:ascii="Arial Narrow" w:hAnsi="Arial Narrow"/>
                <w:sz w:val="20"/>
                <w:szCs w:val="24"/>
              </w:rPr>
              <w:t xml:space="preserve"> (Mitraclip)</w:t>
            </w:r>
            <w:r w:rsidRPr="006A64AA">
              <w:rPr>
                <w:rFonts w:ascii="Arial Narrow" w:hAnsi="Arial Narrow"/>
                <w:sz w:val="20"/>
                <w:szCs w:val="24"/>
              </w:rPr>
              <w:t xml:space="preserve"> in patients with moderate-severe or severe symptomatic functional mitral regurgitation (Grade 3+, 4+), with LVEF 20–50% and LVESD ≤70mm considered by the MDHT to be ineligible for surgical intervention, and whose symptoms (NYHA functional class II or greater) persist despite maximally tolerated guideline directed medical therapy (GDMT) as determined by the MDHT. </w:t>
            </w:r>
            <w:r w:rsidR="00F648A1">
              <w:rPr>
                <w:rFonts w:ascii="Arial Narrow" w:hAnsi="Arial Narrow"/>
                <w:sz w:val="20"/>
                <w:szCs w:val="24"/>
              </w:rPr>
              <w:t>Performed via transfemoral delivery, unless transfemoral delivery is contraindicated.</w:t>
            </w:r>
          </w:p>
          <w:p w14:paraId="24A42EBE" w14:textId="77777777" w:rsidR="00393F9D" w:rsidRPr="006A64AA" w:rsidRDefault="00F648A1" w:rsidP="00E32355">
            <w:pPr>
              <w:spacing w:before="40" w:after="40"/>
              <w:rPr>
                <w:rFonts w:ascii="Arial Narrow" w:hAnsi="Arial Narrow"/>
                <w:sz w:val="20"/>
                <w:szCs w:val="24"/>
              </w:rPr>
            </w:pPr>
            <w:r>
              <w:rPr>
                <w:rFonts w:ascii="Arial Narrow" w:hAnsi="Arial Narrow"/>
                <w:sz w:val="20"/>
                <w:szCs w:val="24"/>
              </w:rPr>
              <w:t>I</w:t>
            </w:r>
            <w:r w:rsidR="00393F9D" w:rsidRPr="006A64AA">
              <w:rPr>
                <w:rFonts w:ascii="Arial Narrow" w:hAnsi="Arial Narrow"/>
                <w:sz w:val="20"/>
                <w:szCs w:val="24"/>
              </w:rPr>
              <w:t>n a transmitral valve repair (TMVr) Hospital on a TMVr Patient by a TMVr Practitioner – includes all intraoperative diagnostic imaging that the TMVr Practitioner performs upon the TMVr Patient.</w:t>
            </w:r>
          </w:p>
          <w:p w14:paraId="49A1FA1A"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 xml:space="preserve">(Not payable more than once per patient in a five-year period) </w:t>
            </w:r>
          </w:p>
          <w:p w14:paraId="6604916F"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(See paragraph XX, XX of explanatory notes to this Category)</w:t>
            </w:r>
          </w:p>
          <w:p w14:paraId="584C2EEE" w14:textId="77777777" w:rsidR="00393F9D" w:rsidRPr="006A64AA" w:rsidDel="00A134DA" w:rsidRDefault="00393F9D" w:rsidP="00E32355">
            <w:pPr>
              <w:spacing w:before="40" w:after="40"/>
              <w:rPr>
                <w:rFonts w:ascii="Arial Narrow" w:hAnsi="Arial Narrow"/>
                <w:sz w:val="20"/>
                <w:szCs w:val="24"/>
              </w:rPr>
            </w:pPr>
            <w:r w:rsidRPr="006A64AA">
              <w:rPr>
                <w:rFonts w:ascii="Arial Narrow" w:hAnsi="Arial Narrow"/>
                <w:sz w:val="20"/>
                <w:szCs w:val="24"/>
              </w:rPr>
              <w:t xml:space="preserve">Fee: </w:t>
            </w:r>
            <w:r w:rsidR="00F648A1">
              <w:rPr>
                <w:rFonts w:ascii="Arial Narrow" w:hAnsi="Arial Narrow" w:cs="Helvetica"/>
                <w:color w:val="222222"/>
                <w:sz w:val="20"/>
                <w:szCs w:val="24"/>
              </w:rPr>
              <w:t>$1,455.10</w:t>
            </w:r>
            <w:r w:rsidRPr="006A64AA">
              <w:rPr>
                <w:rFonts w:ascii="Helvetica" w:hAnsi="Helvetica" w:cs="Helvetica"/>
                <w:color w:val="222222"/>
                <w:sz w:val="20"/>
                <w:szCs w:val="24"/>
              </w:rPr>
              <w:t xml:space="preserve"> </w:t>
            </w:r>
            <w:r w:rsidRPr="006A64AA">
              <w:rPr>
                <w:rFonts w:ascii="Arial Narrow" w:hAnsi="Arial Narrow"/>
                <w:sz w:val="20"/>
                <w:szCs w:val="24"/>
              </w:rPr>
              <w:t xml:space="preserve">Benefit 75% = </w:t>
            </w:r>
            <w:r w:rsidR="00F648A1">
              <w:rPr>
                <w:rFonts w:ascii="Arial Narrow" w:hAnsi="Arial Narrow" w:cs="Helvetica"/>
                <w:color w:val="222222"/>
                <w:sz w:val="20"/>
                <w:szCs w:val="24"/>
              </w:rPr>
              <w:t>$1,091.35</w:t>
            </w:r>
          </w:p>
        </w:tc>
      </w:tr>
      <w:tr w:rsidR="00393F9D" w:rsidRPr="006A64AA" w14:paraId="13635964" w14:textId="77777777" w:rsidTr="005462CA">
        <w:tc>
          <w:tcPr>
            <w:tcW w:w="8885" w:type="dxa"/>
          </w:tcPr>
          <w:p w14:paraId="1788BA6F"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MBS item #####</w:t>
            </w:r>
          </w:p>
          <w:p w14:paraId="7364F92E"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Coordination of a TMVr Case Conference by a TMVr practitioner where the TMVr Case Conference has a duration of 10 minutes or more</w:t>
            </w:r>
          </w:p>
          <w:p w14:paraId="03B85725"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 xml:space="preserve">(Not payable more than once per patient in a five-year period) </w:t>
            </w:r>
          </w:p>
          <w:p w14:paraId="51F3DC9D"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Fee: $51.70 Benefit 75% = $38.80 85% = $43.95</w:t>
            </w:r>
          </w:p>
        </w:tc>
      </w:tr>
      <w:tr w:rsidR="00393F9D" w:rsidRPr="006A64AA" w14:paraId="17B445C2" w14:textId="77777777" w:rsidTr="005462CA">
        <w:tc>
          <w:tcPr>
            <w:tcW w:w="8885" w:type="dxa"/>
          </w:tcPr>
          <w:p w14:paraId="65690973"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MBS item #####</w:t>
            </w:r>
          </w:p>
          <w:p w14:paraId="099C5C7E"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Attendance at a TMVr Case Conference by a specialist or consultant physician who does not also perform th</w:t>
            </w:r>
            <w:r w:rsidR="00EF5C7B">
              <w:rPr>
                <w:rFonts w:ascii="Arial Narrow" w:hAnsi="Arial Narrow"/>
                <w:sz w:val="20"/>
                <w:szCs w:val="24"/>
              </w:rPr>
              <w:t xml:space="preserve">e service described in the item #### </w:t>
            </w:r>
            <w:r w:rsidRPr="006A64AA">
              <w:rPr>
                <w:rFonts w:ascii="Arial Narrow" w:hAnsi="Arial Narrow"/>
                <w:sz w:val="20"/>
                <w:szCs w:val="24"/>
              </w:rPr>
              <w:t xml:space="preserve">above for the same case conference where the TMVr Case Conference has a duration of 10 minutes or more. </w:t>
            </w:r>
          </w:p>
          <w:p w14:paraId="4E950DD6"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 xml:space="preserve">(Not payable more than once per patient in a five-year period) </w:t>
            </w:r>
          </w:p>
          <w:p w14:paraId="4740B032" w14:textId="77777777" w:rsidR="00393F9D" w:rsidRPr="006A64AA" w:rsidRDefault="00393F9D" w:rsidP="00E32355">
            <w:pPr>
              <w:spacing w:before="40" w:after="40"/>
              <w:rPr>
                <w:rFonts w:ascii="Arial Narrow" w:hAnsi="Arial Narrow"/>
                <w:sz w:val="20"/>
                <w:szCs w:val="24"/>
              </w:rPr>
            </w:pPr>
            <w:r w:rsidRPr="006A64AA">
              <w:rPr>
                <w:rFonts w:ascii="Arial Narrow" w:hAnsi="Arial Narrow"/>
                <w:sz w:val="20"/>
                <w:szCs w:val="24"/>
              </w:rPr>
              <w:t>Fee: $38.55 Benefit 75% = $28.95 85% = $32.80</w:t>
            </w:r>
          </w:p>
        </w:tc>
      </w:tr>
    </w:tbl>
    <w:p w14:paraId="5D0869F0" w14:textId="77777777" w:rsidR="00E10ED5" w:rsidRDefault="00E10ED5" w:rsidP="006F2477">
      <w:pPr>
        <w:shd w:val="clear" w:color="auto" w:fill="FBFBFB"/>
        <w:spacing w:before="720" w:after="240"/>
        <w:rPr>
          <w:b/>
          <w:bCs/>
          <w:color w:val="222222"/>
          <w:szCs w:val="24"/>
        </w:rPr>
      </w:pPr>
      <w:r>
        <w:rPr>
          <w:b/>
          <w:bCs/>
          <w:color w:val="222222"/>
          <w:szCs w:val="24"/>
        </w:rPr>
        <w:lastRenderedPageBreak/>
        <w:t>MSAC proposed explanatory notes</w:t>
      </w:r>
    </w:p>
    <w:p w14:paraId="26D5059D" w14:textId="77777777" w:rsidR="006C4E20" w:rsidRPr="00570BFC" w:rsidRDefault="006C4E20" w:rsidP="00570BFC">
      <w:pPr>
        <w:shd w:val="clear" w:color="auto" w:fill="FBFBFB"/>
        <w:spacing w:after="60"/>
        <w:rPr>
          <w:rFonts w:ascii="Arial Narrow" w:hAnsi="Arial Narrow"/>
          <w:color w:val="222222"/>
          <w:sz w:val="20"/>
          <w:u w:val="single"/>
        </w:rPr>
      </w:pPr>
      <w:r w:rsidRPr="00570BFC">
        <w:rPr>
          <w:rFonts w:ascii="Arial Narrow" w:hAnsi="Arial Narrow"/>
          <w:bCs/>
          <w:color w:val="222222"/>
          <w:sz w:val="20"/>
          <w:u w:val="single"/>
        </w:rPr>
        <w:t>TMVr Hospital</w:t>
      </w:r>
    </w:p>
    <w:p w14:paraId="55452150" w14:textId="77777777" w:rsidR="006C4E20" w:rsidRPr="00570BFC" w:rsidRDefault="006C4E20" w:rsidP="00570BFC">
      <w:pPr>
        <w:shd w:val="clear" w:color="auto" w:fill="FBFBFB"/>
        <w:spacing w:after="60"/>
        <w:rPr>
          <w:rFonts w:ascii="Arial Narrow" w:hAnsi="Arial Narrow"/>
          <w:color w:val="222222"/>
          <w:sz w:val="20"/>
        </w:rPr>
      </w:pPr>
      <w:r w:rsidRPr="00570BFC">
        <w:rPr>
          <w:rFonts w:ascii="Arial Narrow" w:hAnsi="Arial Narrow"/>
          <w:color w:val="222222"/>
          <w:sz w:val="20"/>
        </w:rPr>
        <w:t>For item ##### a TMVr Hospital means a hospital, as defined by subsection 121-5(5) of the Private Health Insurance Act 2007, that is clinically accepted as being a suitable hospital in which the service described in Item ##### may be performed.</w:t>
      </w:r>
    </w:p>
    <w:p w14:paraId="581BECA0" w14:textId="77777777" w:rsidR="006C4E20" w:rsidRPr="00570BFC" w:rsidRDefault="00B205DB" w:rsidP="00570BFC">
      <w:pPr>
        <w:shd w:val="clear" w:color="auto" w:fill="FBFBFB"/>
        <w:spacing w:after="60"/>
        <w:rPr>
          <w:rFonts w:ascii="Arial Narrow" w:hAnsi="Arial Narrow"/>
          <w:color w:val="222222"/>
          <w:sz w:val="20"/>
        </w:rPr>
      </w:pPr>
      <w:r w:rsidRPr="00570BFC">
        <w:rPr>
          <w:rFonts w:ascii="Arial Narrow" w:hAnsi="Arial Narrow"/>
          <w:i/>
          <w:iCs/>
          <w:color w:val="222222"/>
          <w:sz w:val="20"/>
        </w:rPr>
        <w:t>The Transmitral valve repair</w:t>
      </w:r>
      <w:r w:rsidR="006C4E20" w:rsidRPr="00570BFC">
        <w:rPr>
          <w:rFonts w:ascii="Arial Narrow" w:hAnsi="Arial Narrow"/>
          <w:i/>
          <w:iCs/>
          <w:color w:val="222222"/>
          <w:sz w:val="20"/>
        </w:rPr>
        <w:t xml:space="preserve"> - Rul</w:t>
      </w:r>
      <w:r w:rsidRPr="00570BFC">
        <w:rPr>
          <w:rFonts w:ascii="Arial Narrow" w:hAnsi="Arial Narrow"/>
          <w:i/>
          <w:iCs/>
          <w:color w:val="222222"/>
          <w:sz w:val="20"/>
        </w:rPr>
        <w:t xml:space="preserve">es for the Accreditation of TMVr </w:t>
      </w:r>
      <w:r w:rsidR="006C4E20" w:rsidRPr="00570BFC">
        <w:rPr>
          <w:rFonts w:ascii="Arial Narrow" w:hAnsi="Arial Narrow"/>
          <w:i/>
          <w:iCs/>
          <w:color w:val="222222"/>
          <w:sz w:val="20"/>
        </w:rPr>
        <w:t xml:space="preserve"> Practitioners</w:t>
      </w:r>
      <w:r w:rsidR="006C4E20" w:rsidRPr="00570BFC">
        <w:rPr>
          <w:rFonts w:ascii="Arial Narrow" w:hAnsi="Arial Narrow"/>
          <w:color w:val="222222"/>
          <w:sz w:val="20"/>
        </w:rPr>
        <w:t xml:space="preserve"> developed by </w:t>
      </w:r>
      <w:r w:rsidRPr="00570BFC">
        <w:rPr>
          <w:rFonts w:ascii="Arial Narrow" w:hAnsi="Arial Narrow"/>
          <w:color w:val="222222"/>
          <w:sz w:val="20"/>
        </w:rPr>
        <w:t xml:space="preserve">the assigned accreditation authority </w:t>
      </w:r>
      <w:r w:rsidR="006C4E20" w:rsidRPr="00570BFC">
        <w:rPr>
          <w:rFonts w:ascii="Arial Narrow" w:hAnsi="Arial Narrow"/>
          <w:color w:val="222222"/>
          <w:sz w:val="20"/>
        </w:rPr>
        <w:t>provides guidance on what are considered by the sector as minimum requirements that must be met in order to be a clinically acceptable fa</w:t>
      </w:r>
      <w:r w:rsidRPr="00570BFC">
        <w:rPr>
          <w:rFonts w:ascii="Arial Narrow" w:hAnsi="Arial Narrow"/>
          <w:color w:val="222222"/>
          <w:sz w:val="20"/>
        </w:rPr>
        <w:t>cility that is suitable for TMVr</w:t>
      </w:r>
      <w:r w:rsidR="006C4E20" w:rsidRPr="00570BFC">
        <w:rPr>
          <w:rFonts w:ascii="Arial Narrow" w:hAnsi="Arial Narrow"/>
          <w:color w:val="222222"/>
          <w:sz w:val="20"/>
        </w:rPr>
        <w:t xml:space="preserve"> procedures to be performed at. </w:t>
      </w:r>
    </w:p>
    <w:p w14:paraId="4251ABEA" w14:textId="77777777" w:rsidR="006C4E20" w:rsidRPr="00570BFC" w:rsidRDefault="00B205DB" w:rsidP="00570BFC">
      <w:pPr>
        <w:shd w:val="clear" w:color="auto" w:fill="FBFBFB"/>
        <w:spacing w:after="60"/>
        <w:rPr>
          <w:rFonts w:ascii="Arial Narrow" w:hAnsi="Arial Narrow"/>
          <w:color w:val="222222"/>
          <w:sz w:val="20"/>
          <w:u w:val="single"/>
        </w:rPr>
      </w:pPr>
      <w:r w:rsidRPr="00570BFC">
        <w:rPr>
          <w:rFonts w:ascii="Arial Narrow" w:hAnsi="Arial Narrow"/>
          <w:bCs/>
          <w:color w:val="222222"/>
          <w:sz w:val="20"/>
          <w:u w:val="single"/>
        </w:rPr>
        <w:t>TMVr</w:t>
      </w:r>
      <w:r w:rsidR="006C4E20" w:rsidRPr="00570BFC">
        <w:rPr>
          <w:rFonts w:ascii="Arial Narrow" w:hAnsi="Arial Narrow"/>
          <w:bCs/>
          <w:color w:val="222222"/>
          <w:sz w:val="20"/>
          <w:u w:val="single"/>
        </w:rPr>
        <w:t xml:space="preserve"> Practitioner</w:t>
      </w:r>
    </w:p>
    <w:p w14:paraId="523CF82A" w14:textId="77777777" w:rsidR="006C4E20" w:rsidRPr="00570BFC" w:rsidRDefault="00B205DB" w:rsidP="00570BFC">
      <w:pPr>
        <w:shd w:val="clear" w:color="auto" w:fill="FBFBFB"/>
        <w:spacing w:after="60"/>
        <w:rPr>
          <w:rFonts w:ascii="Arial Narrow" w:hAnsi="Arial Narrow"/>
          <w:color w:val="222222"/>
          <w:sz w:val="20"/>
        </w:rPr>
      </w:pPr>
      <w:r w:rsidRPr="00570BFC">
        <w:rPr>
          <w:rFonts w:ascii="Arial Narrow" w:hAnsi="Arial Narrow"/>
          <w:color w:val="222222"/>
          <w:sz w:val="20"/>
        </w:rPr>
        <w:t>For item #####</w:t>
      </w:r>
      <w:r w:rsidR="005C63DD" w:rsidRPr="00570BFC">
        <w:rPr>
          <w:rFonts w:ascii="Arial Narrow" w:hAnsi="Arial Narrow"/>
          <w:color w:val="222222"/>
          <w:sz w:val="20"/>
        </w:rPr>
        <w:t xml:space="preserve"> a TMVr</w:t>
      </w:r>
      <w:r w:rsidR="006C4E20" w:rsidRPr="00570BFC">
        <w:rPr>
          <w:rFonts w:ascii="Arial Narrow" w:hAnsi="Arial Narrow"/>
          <w:color w:val="222222"/>
          <w:sz w:val="20"/>
        </w:rPr>
        <w:t xml:space="preserve"> Practitioner is either a cardiothoracic surgeon or interventional cardiolo</w:t>
      </w:r>
      <w:r w:rsidRPr="00570BFC">
        <w:rPr>
          <w:rFonts w:ascii="Arial Narrow" w:hAnsi="Arial Narrow"/>
          <w:color w:val="222222"/>
          <w:sz w:val="20"/>
        </w:rPr>
        <w:t>gist who is accredited by the assigned accreditation authority</w:t>
      </w:r>
      <w:r w:rsidR="006C4E20" w:rsidRPr="00570BFC">
        <w:rPr>
          <w:rFonts w:ascii="Arial Narrow" w:hAnsi="Arial Narrow"/>
          <w:color w:val="222222"/>
          <w:sz w:val="20"/>
        </w:rPr>
        <w:t>. </w:t>
      </w:r>
    </w:p>
    <w:p w14:paraId="08093A07" w14:textId="77777777" w:rsidR="006C4E20" w:rsidRPr="00570BFC" w:rsidRDefault="006C4E20" w:rsidP="00570BFC">
      <w:pPr>
        <w:shd w:val="clear" w:color="auto" w:fill="FBFBFB"/>
        <w:spacing w:after="60"/>
        <w:rPr>
          <w:rFonts w:ascii="Arial Narrow" w:hAnsi="Arial Narrow"/>
          <w:color w:val="222222"/>
          <w:sz w:val="20"/>
        </w:rPr>
      </w:pPr>
      <w:r w:rsidRPr="00570BFC">
        <w:rPr>
          <w:rFonts w:ascii="Arial Narrow" w:hAnsi="Arial Narrow"/>
          <w:color w:val="222222"/>
          <w:sz w:val="20"/>
        </w:rPr>
        <w:t xml:space="preserve">Accreditation by </w:t>
      </w:r>
      <w:r w:rsidR="00B205DB" w:rsidRPr="00570BFC">
        <w:rPr>
          <w:rFonts w:ascii="Arial Narrow" w:hAnsi="Arial Narrow"/>
          <w:color w:val="222222"/>
          <w:sz w:val="20"/>
        </w:rPr>
        <w:t>the assigned accreditation authority</w:t>
      </w:r>
      <w:r w:rsidRPr="00570BFC">
        <w:rPr>
          <w:rFonts w:ascii="Arial Narrow" w:hAnsi="Arial Narrow"/>
          <w:color w:val="222222"/>
          <w:sz w:val="20"/>
        </w:rPr>
        <w:t xml:space="preserve"> must be valid prior to the service being undertaken in order for benefit</w:t>
      </w:r>
      <w:r w:rsidR="00B205DB" w:rsidRPr="00570BFC">
        <w:rPr>
          <w:rFonts w:ascii="Arial Narrow" w:hAnsi="Arial Narrow"/>
          <w:color w:val="222222"/>
          <w:sz w:val="20"/>
        </w:rPr>
        <w:t>s to be payable under item #####</w:t>
      </w:r>
      <w:r w:rsidRPr="00570BFC">
        <w:rPr>
          <w:rFonts w:ascii="Arial Narrow" w:hAnsi="Arial Narrow"/>
          <w:color w:val="222222"/>
          <w:sz w:val="20"/>
        </w:rPr>
        <w:t>.  </w:t>
      </w:r>
    </w:p>
    <w:p w14:paraId="6503DF0E" w14:textId="77777777" w:rsidR="006C4E20" w:rsidRPr="00570BFC" w:rsidRDefault="00DC34CF" w:rsidP="00570BFC">
      <w:pPr>
        <w:shd w:val="clear" w:color="auto" w:fill="FBFBFB"/>
        <w:spacing w:after="60"/>
        <w:rPr>
          <w:rFonts w:ascii="Arial Narrow" w:hAnsi="Arial Narrow"/>
          <w:color w:val="222222"/>
          <w:sz w:val="20"/>
          <w:u w:val="single"/>
        </w:rPr>
      </w:pPr>
      <w:r w:rsidRPr="00570BFC">
        <w:rPr>
          <w:rFonts w:ascii="Arial Narrow" w:hAnsi="Arial Narrow"/>
          <w:bCs/>
          <w:color w:val="222222"/>
          <w:sz w:val="20"/>
          <w:u w:val="single"/>
        </w:rPr>
        <w:t>TMVr</w:t>
      </w:r>
      <w:r w:rsidR="006C4E20" w:rsidRPr="00570BFC">
        <w:rPr>
          <w:rFonts w:ascii="Arial Narrow" w:hAnsi="Arial Narrow"/>
          <w:bCs/>
          <w:color w:val="222222"/>
          <w:sz w:val="20"/>
          <w:u w:val="single"/>
        </w:rPr>
        <w:t xml:space="preserve"> Patient</w:t>
      </w:r>
    </w:p>
    <w:p w14:paraId="609104FC" w14:textId="77777777" w:rsidR="006C4E20" w:rsidRPr="00570BFC" w:rsidRDefault="00DC34CF" w:rsidP="00570BFC">
      <w:pPr>
        <w:shd w:val="clear" w:color="auto" w:fill="FBFBFB"/>
        <w:spacing w:after="60"/>
        <w:rPr>
          <w:rFonts w:ascii="Arial Narrow" w:hAnsi="Arial Narrow"/>
          <w:color w:val="222222"/>
          <w:sz w:val="20"/>
        </w:rPr>
      </w:pPr>
      <w:r w:rsidRPr="00570BFC">
        <w:rPr>
          <w:rFonts w:ascii="Arial Narrow" w:hAnsi="Arial Narrow"/>
          <w:color w:val="222222"/>
          <w:sz w:val="20"/>
        </w:rPr>
        <w:t>A TMVr</w:t>
      </w:r>
      <w:r w:rsidR="006C4E20" w:rsidRPr="00570BFC">
        <w:rPr>
          <w:rFonts w:ascii="Arial Narrow" w:hAnsi="Arial Narrow"/>
          <w:color w:val="222222"/>
          <w:sz w:val="20"/>
        </w:rPr>
        <w:t xml:space="preserve"> Patient means a pa</w:t>
      </w:r>
      <w:r w:rsidRPr="00570BFC">
        <w:rPr>
          <w:rFonts w:ascii="Arial Narrow" w:hAnsi="Arial Narrow"/>
          <w:color w:val="222222"/>
          <w:sz w:val="20"/>
        </w:rPr>
        <w:t>tient who, as a result of a TMVr</w:t>
      </w:r>
      <w:r w:rsidR="006C4E20" w:rsidRPr="00570BFC">
        <w:rPr>
          <w:rFonts w:ascii="Arial Narrow" w:hAnsi="Arial Narrow"/>
          <w:color w:val="222222"/>
          <w:sz w:val="20"/>
        </w:rPr>
        <w:t xml:space="preserve"> Case Conference, has been assessed as having an unacceptably high risk for s</w:t>
      </w:r>
      <w:r w:rsidRPr="00570BFC">
        <w:rPr>
          <w:rFonts w:ascii="Arial Narrow" w:hAnsi="Arial Narrow"/>
          <w:color w:val="222222"/>
          <w:sz w:val="20"/>
        </w:rPr>
        <w:t>urgical mitral valve replacement</w:t>
      </w:r>
      <w:r w:rsidR="006C4E20" w:rsidRPr="00570BFC">
        <w:rPr>
          <w:rFonts w:ascii="Arial Narrow" w:hAnsi="Arial Narrow"/>
          <w:color w:val="222222"/>
          <w:sz w:val="20"/>
        </w:rPr>
        <w:t xml:space="preserve"> and is recommended as being suitable to receive the</w:t>
      </w:r>
      <w:r w:rsidRPr="00570BFC">
        <w:rPr>
          <w:rFonts w:ascii="Arial Narrow" w:hAnsi="Arial Narrow"/>
          <w:color w:val="222222"/>
          <w:sz w:val="20"/>
        </w:rPr>
        <w:t xml:space="preserve"> service described in item #####</w:t>
      </w:r>
      <w:r w:rsidR="006C4E20" w:rsidRPr="00570BFC">
        <w:rPr>
          <w:rFonts w:ascii="Arial Narrow" w:hAnsi="Arial Narrow"/>
          <w:color w:val="222222"/>
          <w:sz w:val="20"/>
        </w:rPr>
        <w:t>.</w:t>
      </w:r>
    </w:p>
    <w:p w14:paraId="36791CC7" w14:textId="77777777" w:rsidR="006C4E20" w:rsidRPr="00570BFC" w:rsidRDefault="00DC34CF" w:rsidP="00570BFC">
      <w:pPr>
        <w:shd w:val="clear" w:color="auto" w:fill="FBFBFB"/>
        <w:spacing w:after="60"/>
        <w:rPr>
          <w:rFonts w:ascii="Arial Narrow" w:hAnsi="Arial Narrow"/>
          <w:color w:val="222222"/>
          <w:sz w:val="20"/>
        </w:rPr>
      </w:pPr>
      <w:r w:rsidRPr="00570BFC">
        <w:rPr>
          <w:rFonts w:ascii="Arial Narrow" w:hAnsi="Arial Narrow"/>
          <w:color w:val="222222"/>
          <w:sz w:val="20"/>
        </w:rPr>
        <w:t>A TMVr</w:t>
      </w:r>
      <w:r w:rsidR="006C4E20" w:rsidRPr="00570BFC">
        <w:rPr>
          <w:rFonts w:ascii="Arial Narrow" w:hAnsi="Arial Narrow"/>
          <w:color w:val="222222"/>
          <w:sz w:val="20"/>
        </w:rPr>
        <w:t xml:space="preserve"> Case Conference is a process by which:</w:t>
      </w:r>
    </w:p>
    <w:p w14:paraId="5F51C0FA" w14:textId="71DE9123" w:rsidR="006C4E20" w:rsidRPr="003104D1" w:rsidRDefault="006C4E20" w:rsidP="003104D1">
      <w:pPr>
        <w:pStyle w:val="ListParagraph"/>
        <w:numPr>
          <w:ilvl w:val="0"/>
          <w:numId w:val="15"/>
        </w:numPr>
        <w:shd w:val="clear" w:color="auto" w:fill="FBFBFB"/>
        <w:tabs>
          <w:tab w:val="left" w:pos="426"/>
        </w:tabs>
        <w:spacing w:after="60"/>
        <w:ind w:hanging="720"/>
        <w:rPr>
          <w:rFonts w:ascii="Arial Narrow" w:hAnsi="Arial Narrow"/>
          <w:color w:val="222222"/>
          <w:sz w:val="20"/>
        </w:rPr>
      </w:pPr>
      <w:r w:rsidRPr="003104D1">
        <w:rPr>
          <w:rFonts w:ascii="Arial Narrow" w:hAnsi="Arial Narrow"/>
          <w:color w:val="222222"/>
          <w:sz w:val="20"/>
        </w:rPr>
        <w:t>there is a team of 3 or more participants, where:</w:t>
      </w:r>
    </w:p>
    <w:p w14:paraId="5E6529FC" w14:textId="0E0FD1BB" w:rsidR="006C4E20" w:rsidRPr="00570BFC" w:rsidRDefault="003104D1" w:rsidP="003104D1">
      <w:pPr>
        <w:shd w:val="clear" w:color="auto" w:fill="FBFBFB"/>
        <w:tabs>
          <w:tab w:val="left" w:pos="426"/>
          <w:tab w:val="left" w:pos="709"/>
        </w:tabs>
        <w:spacing w:after="60"/>
        <w:rPr>
          <w:rFonts w:ascii="Arial Narrow" w:hAnsi="Arial Narrow"/>
          <w:color w:val="222222"/>
          <w:sz w:val="20"/>
        </w:rPr>
      </w:pPr>
      <w:r>
        <w:rPr>
          <w:rFonts w:ascii="Arial Narrow" w:hAnsi="Arial Narrow"/>
          <w:color w:val="222222"/>
          <w:sz w:val="20"/>
        </w:rPr>
        <w:tab/>
        <w:t>(i)</w:t>
      </w:r>
      <w:r>
        <w:rPr>
          <w:rFonts w:ascii="Arial Narrow" w:hAnsi="Arial Narrow"/>
          <w:color w:val="222222"/>
          <w:sz w:val="20"/>
        </w:rPr>
        <w:tab/>
      </w:r>
      <w:r w:rsidR="006C4E20" w:rsidRPr="00570BFC">
        <w:rPr>
          <w:rFonts w:ascii="Arial Narrow" w:hAnsi="Arial Narrow"/>
          <w:color w:val="222222"/>
          <w:sz w:val="20"/>
        </w:rPr>
        <w:t>the first participant is a cardiothoracic surgeon; and</w:t>
      </w:r>
    </w:p>
    <w:p w14:paraId="6A08895A" w14:textId="05D0FC4A" w:rsidR="006C4E20" w:rsidRPr="00570BFC" w:rsidRDefault="003104D1" w:rsidP="003104D1">
      <w:pPr>
        <w:shd w:val="clear" w:color="auto" w:fill="FBFBFB"/>
        <w:tabs>
          <w:tab w:val="left" w:pos="426"/>
          <w:tab w:val="left" w:pos="709"/>
        </w:tabs>
        <w:spacing w:after="60"/>
        <w:rPr>
          <w:rFonts w:ascii="Arial Narrow" w:hAnsi="Arial Narrow"/>
          <w:color w:val="222222"/>
          <w:sz w:val="20"/>
        </w:rPr>
      </w:pPr>
      <w:r>
        <w:rPr>
          <w:rFonts w:ascii="Arial Narrow" w:hAnsi="Arial Narrow"/>
          <w:color w:val="222222"/>
          <w:sz w:val="20"/>
        </w:rPr>
        <w:tab/>
        <w:t>(ii)</w:t>
      </w:r>
      <w:r>
        <w:rPr>
          <w:rFonts w:ascii="Arial Narrow" w:hAnsi="Arial Narrow"/>
          <w:color w:val="222222"/>
          <w:sz w:val="20"/>
        </w:rPr>
        <w:tab/>
      </w:r>
      <w:r w:rsidR="006C4E20" w:rsidRPr="00570BFC">
        <w:rPr>
          <w:rFonts w:ascii="Arial Narrow" w:hAnsi="Arial Narrow"/>
          <w:color w:val="222222"/>
          <w:sz w:val="20"/>
        </w:rPr>
        <w:t>the second participant is an interventional cardiologist; and</w:t>
      </w:r>
    </w:p>
    <w:p w14:paraId="648A359C" w14:textId="4D3AD885" w:rsidR="006C4E20" w:rsidRPr="00570BFC" w:rsidRDefault="003104D1" w:rsidP="003104D1">
      <w:pPr>
        <w:shd w:val="clear" w:color="auto" w:fill="FBFBFB"/>
        <w:tabs>
          <w:tab w:val="left" w:pos="426"/>
          <w:tab w:val="left" w:pos="709"/>
        </w:tabs>
        <w:spacing w:after="60"/>
        <w:rPr>
          <w:rFonts w:ascii="Arial Narrow" w:hAnsi="Arial Narrow"/>
          <w:color w:val="222222"/>
          <w:sz w:val="20"/>
        </w:rPr>
      </w:pPr>
      <w:r>
        <w:rPr>
          <w:rFonts w:ascii="Arial Narrow" w:hAnsi="Arial Narrow"/>
          <w:color w:val="222222"/>
          <w:sz w:val="20"/>
        </w:rPr>
        <w:tab/>
        <w:t>(iii)</w:t>
      </w:r>
      <w:r>
        <w:rPr>
          <w:rFonts w:ascii="Arial Narrow" w:hAnsi="Arial Narrow"/>
          <w:color w:val="222222"/>
          <w:sz w:val="20"/>
        </w:rPr>
        <w:tab/>
      </w:r>
      <w:r w:rsidR="006C4E20" w:rsidRPr="00570BFC">
        <w:rPr>
          <w:rFonts w:ascii="Arial Narrow" w:hAnsi="Arial Narrow"/>
          <w:color w:val="222222"/>
          <w:sz w:val="20"/>
        </w:rPr>
        <w:t>the third participant is a specialist or consultant physician who does not perform a</w:t>
      </w:r>
      <w:r w:rsidR="00DC34CF" w:rsidRPr="00570BFC">
        <w:rPr>
          <w:rFonts w:ascii="Arial Narrow" w:hAnsi="Arial Narrow"/>
          <w:color w:val="222222"/>
          <w:sz w:val="20"/>
        </w:rPr>
        <w:t xml:space="preserve"> service described in Item #####</w:t>
      </w:r>
      <w:r w:rsidR="006C4E20" w:rsidRPr="00570BFC">
        <w:rPr>
          <w:rFonts w:ascii="Arial Narrow" w:hAnsi="Arial Narrow"/>
          <w:color w:val="222222"/>
          <w:sz w:val="20"/>
        </w:rPr>
        <w:t xml:space="preserve"> for the patient being assessed; and</w:t>
      </w:r>
    </w:p>
    <w:p w14:paraId="25377B70" w14:textId="765BCE7D" w:rsidR="006C4E20" w:rsidRPr="00570BFC" w:rsidRDefault="003104D1" w:rsidP="003104D1">
      <w:pPr>
        <w:shd w:val="clear" w:color="auto" w:fill="FBFBFB"/>
        <w:tabs>
          <w:tab w:val="left" w:pos="426"/>
          <w:tab w:val="left" w:pos="709"/>
        </w:tabs>
        <w:spacing w:after="60"/>
        <w:rPr>
          <w:rFonts w:ascii="Arial Narrow" w:hAnsi="Arial Narrow"/>
          <w:color w:val="222222"/>
          <w:sz w:val="20"/>
        </w:rPr>
      </w:pPr>
      <w:r>
        <w:rPr>
          <w:rFonts w:ascii="Arial Narrow" w:hAnsi="Arial Narrow"/>
          <w:color w:val="222222"/>
          <w:sz w:val="20"/>
        </w:rPr>
        <w:tab/>
        <w:t>(iv)</w:t>
      </w:r>
      <w:r>
        <w:rPr>
          <w:rFonts w:ascii="Arial Narrow" w:hAnsi="Arial Narrow"/>
          <w:color w:val="222222"/>
          <w:sz w:val="20"/>
        </w:rPr>
        <w:tab/>
      </w:r>
      <w:r w:rsidR="006C4E20" w:rsidRPr="00570BFC">
        <w:rPr>
          <w:rFonts w:ascii="Arial Narrow" w:hAnsi="Arial Narrow"/>
          <w:color w:val="222222"/>
          <w:sz w:val="20"/>
        </w:rPr>
        <w:t>either the first or the s</w:t>
      </w:r>
      <w:r w:rsidR="00DC34CF" w:rsidRPr="00570BFC">
        <w:rPr>
          <w:rFonts w:ascii="Arial Narrow" w:hAnsi="Arial Narrow"/>
          <w:color w:val="222222"/>
          <w:sz w:val="20"/>
        </w:rPr>
        <w:t>econd participant is also a TMVr</w:t>
      </w:r>
      <w:r w:rsidR="006C4E20" w:rsidRPr="00570BFC">
        <w:rPr>
          <w:rFonts w:ascii="Arial Narrow" w:hAnsi="Arial Narrow"/>
          <w:color w:val="222222"/>
          <w:sz w:val="20"/>
        </w:rPr>
        <w:t xml:space="preserve"> Practitioner; and</w:t>
      </w:r>
    </w:p>
    <w:p w14:paraId="5C874264" w14:textId="0F708231" w:rsidR="006C4E20" w:rsidRPr="003104D1" w:rsidRDefault="006C4E20" w:rsidP="003104D1">
      <w:pPr>
        <w:pStyle w:val="ListParagraph"/>
        <w:numPr>
          <w:ilvl w:val="0"/>
          <w:numId w:val="15"/>
        </w:numPr>
        <w:shd w:val="clear" w:color="auto" w:fill="FBFBFB"/>
        <w:tabs>
          <w:tab w:val="left" w:pos="426"/>
        </w:tabs>
        <w:spacing w:after="60"/>
        <w:ind w:hanging="720"/>
        <w:rPr>
          <w:rFonts w:ascii="Arial Narrow" w:hAnsi="Arial Narrow"/>
          <w:color w:val="222222"/>
          <w:sz w:val="20"/>
        </w:rPr>
      </w:pPr>
      <w:r w:rsidRPr="003104D1">
        <w:rPr>
          <w:rFonts w:ascii="Arial Narrow" w:hAnsi="Arial Narrow"/>
          <w:color w:val="222222"/>
          <w:sz w:val="20"/>
        </w:rPr>
        <w:t>the team assesses a patient’s risk and technical suitability to receive the se</w:t>
      </w:r>
      <w:r w:rsidR="00DC34CF" w:rsidRPr="003104D1">
        <w:rPr>
          <w:rFonts w:ascii="Arial Narrow" w:hAnsi="Arial Narrow"/>
          <w:color w:val="222222"/>
          <w:sz w:val="20"/>
        </w:rPr>
        <w:t>rvice described in Item #####</w:t>
      </w:r>
      <w:r w:rsidRPr="003104D1">
        <w:rPr>
          <w:rFonts w:ascii="Arial Narrow" w:hAnsi="Arial Narrow"/>
          <w:color w:val="222222"/>
          <w:sz w:val="20"/>
        </w:rPr>
        <w:t>, taking into account matters such as:</w:t>
      </w:r>
    </w:p>
    <w:p w14:paraId="4C0AD3D7" w14:textId="40750EDE" w:rsidR="006C4E20" w:rsidRPr="003104D1" w:rsidRDefault="006C4E20" w:rsidP="003104D1">
      <w:pPr>
        <w:pStyle w:val="ListParagraph"/>
        <w:numPr>
          <w:ilvl w:val="0"/>
          <w:numId w:val="16"/>
        </w:numPr>
        <w:shd w:val="clear" w:color="auto" w:fill="FBFBFB"/>
        <w:tabs>
          <w:tab w:val="left" w:pos="709"/>
        </w:tabs>
        <w:spacing w:after="60"/>
        <w:rPr>
          <w:rFonts w:ascii="Arial Narrow" w:hAnsi="Arial Narrow"/>
          <w:color w:val="222222"/>
          <w:sz w:val="20"/>
        </w:rPr>
      </w:pPr>
      <w:r w:rsidRPr="003104D1">
        <w:rPr>
          <w:rFonts w:ascii="Arial Narrow" w:hAnsi="Arial Narrow"/>
          <w:color w:val="222222"/>
          <w:sz w:val="20"/>
        </w:rPr>
        <w:t>the patient’s risk and technical s</w:t>
      </w:r>
      <w:r w:rsidR="00DC34CF" w:rsidRPr="003104D1">
        <w:rPr>
          <w:rFonts w:ascii="Arial Narrow" w:hAnsi="Arial Narrow"/>
          <w:color w:val="222222"/>
          <w:sz w:val="20"/>
        </w:rPr>
        <w:t>uitability for a surgical mitral</w:t>
      </w:r>
      <w:r w:rsidRPr="003104D1">
        <w:rPr>
          <w:rFonts w:ascii="Arial Narrow" w:hAnsi="Arial Narrow"/>
          <w:color w:val="222222"/>
          <w:sz w:val="20"/>
        </w:rPr>
        <w:t xml:space="preserve"> valve replacement; and</w:t>
      </w:r>
    </w:p>
    <w:p w14:paraId="566DACF4" w14:textId="704B3D0B" w:rsidR="006C4E20" w:rsidRPr="00570BFC" w:rsidRDefault="003104D1" w:rsidP="003104D1">
      <w:pPr>
        <w:shd w:val="clear" w:color="auto" w:fill="FBFBFB"/>
        <w:tabs>
          <w:tab w:val="left" w:pos="284"/>
          <w:tab w:val="left" w:pos="709"/>
        </w:tabs>
        <w:spacing w:after="60"/>
        <w:rPr>
          <w:rFonts w:ascii="Arial Narrow" w:hAnsi="Arial Narrow"/>
          <w:color w:val="222222"/>
          <w:sz w:val="20"/>
        </w:rPr>
      </w:pPr>
      <w:r>
        <w:rPr>
          <w:rFonts w:ascii="Arial Narrow" w:hAnsi="Arial Narrow"/>
          <w:color w:val="222222"/>
          <w:sz w:val="20"/>
        </w:rPr>
        <w:tab/>
        <w:t>(ii)</w:t>
      </w:r>
      <w:r>
        <w:rPr>
          <w:rFonts w:ascii="Arial Narrow" w:hAnsi="Arial Narrow"/>
          <w:color w:val="222222"/>
          <w:sz w:val="20"/>
        </w:rPr>
        <w:tab/>
      </w:r>
      <w:r w:rsidR="006C4E20" w:rsidRPr="00570BFC">
        <w:rPr>
          <w:rFonts w:ascii="Arial Narrow" w:hAnsi="Arial Narrow"/>
          <w:color w:val="222222"/>
          <w:sz w:val="20"/>
        </w:rPr>
        <w:t>the patient’s cognitive function and frailty; and</w:t>
      </w:r>
    </w:p>
    <w:p w14:paraId="48910247" w14:textId="512D56D8" w:rsidR="006C4E20" w:rsidRPr="00570BFC" w:rsidRDefault="003104D1" w:rsidP="003104D1">
      <w:pPr>
        <w:shd w:val="clear" w:color="auto" w:fill="FBFBFB"/>
        <w:tabs>
          <w:tab w:val="left" w:pos="426"/>
        </w:tabs>
        <w:spacing w:after="60"/>
        <w:rPr>
          <w:rFonts w:ascii="Arial Narrow" w:hAnsi="Arial Narrow"/>
          <w:color w:val="222222"/>
          <w:sz w:val="20"/>
        </w:rPr>
      </w:pPr>
      <w:r>
        <w:rPr>
          <w:rFonts w:ascii="Arial Narrow" w:hAnsi="Arial Narrow"/>
          <w:color w:val="222222"/>
          <w:sz w:val="20"/>
        </w:rPr>
        <w:t>(c)</w:t>
      </w:r>
      <w:r>
        <w:rPr>
          <w:rFonts w:ascii="Arial Narrow" w:hAnsi="Arial Narrow"/>
          <w:color w:val="222222"/>
          <w:sz w:val="20"/>
        </w:rPr>
        <w:tab/>
      </w:r>
      <w:r w:rsidR="006C4E20" w:rsidRPr="00570BFC">
        <w:rPr>
          <w:rFonts w:ascii="Arial Narrow" w:hAnsi="Arial Narrow"/>
          <w:color w:val="222222"/>
          <w:sz w:val="20"/>
        </w:rPr>
        <w:t>the result of the assessment is that the team makes a recommendation about whether or not the patient is suitable to receive the</w:t>
      </w:r>
      <w:r w:rsidR="00DC34CF" w:rsidRPr="00570BFC">
        <w:rPr>
          <w:rFonts w:ascii="Arial Narrow" w:hAnsi="Arial Narrow"/>
          <w:color w:val="222222"/>
          <w:sz w:val="20"/>
        </w:rPr>
        <w:t xml:space="preserve"> service described in Item #####</w:t>
      </w:r>
      <w:r w:rsidR="006C4E20" w:rsidRPr="00570BFC">
        <w:rPr>
          <w:rFonts w:ascii="Arial Narrow" w:hAnsi="Arial Narrow"/>
          <w:color w:val="222222"/>
          <w:sz w:val="20"/>
        </w:rPr>
        <w:t>; and</w:t>
      </w:r>
    </w:p>
    <w:p w14:paraId="7E113E5F" w14:textId="1421BD5C" w:rsidR="006C4E20" w:rsidRPr="00570BFC" w:rsidRDefault="003104D1" w:rsidP="003104D1">
      <w:pPr>
        <w:shd w:val="clear" w:color="auto" w:fill="FBFBFB"/>
        <w:tabs>
          <w:tab w:val="left" w:pos="426"/>
        </w:tabs>
        <w:spacing w:after="60"/>
        <w:rPr>
          <w:rFonts w:ascii="Arial Narrow" w:hAnsi="Arial Narrow"/>
          <w:color w:val="222222"/>
          <w:sz w:val="20"/>
        </w:rPr>
      </w:pPr>
      <w:r>
        <w:rPr>
          <w:rFonts w:ascii="Arial Narrow" w:hAnsi="Arial Narrow"/>
          <w:color w:val="222222"/>
          <w:sz w:val="20"/>
        </w:rPr>
        <w:t>(d)</w:t>
      </w:r>
      <w:r>
        <w:rPr>
          <w:rFonts w:ascii="Arial Narrow" w:hAnsi="Arial Narrow"/>
          <w:color w:val="222222"/>
          <w:sz w:val="20"/>
        </w:rPr>
        <w:tab/>
      </w:r>
      <w:r w:rsidR="006C4E20" w:rsidRPr="00570BFC">
        <w:rPr>
          <w:rFonts w:ascii="Arial Narrow" w:hAnsi="Arial Narrow"/>
          <w:color w:val="222222"/>
          <w:sz w:val="20"/>
        </w:rPr>
        <w:t>the particulars of the assessment and recommendation are recorded in writing.</w:t>
      </w:r>
    </w:p>
    <w:p w14:paraId="7692C7E2" w14:textId="77777777" w:rsidR="006C4E20" w:rsidRPr="00570BFC" w:rsidRDefault="006C4E20" w:rsidP="00570BFC">
      <w:pPr>
        <w:shd w:val="clear" w:color="auto" w:fill="FBFBFB"/>
        <w:spacing w:after="60"/>
        <w:rPr>
          <w:rFonts w:ascii="Arial Narrow" w:hAnsi="Arial Narrow"/>
          <w:color w:val="222222"/>
          <w:sz w:val="20"/>
        </w:rPr>
      </w:pPr>
      <w:r w:rsidRPr="00570BFC">
        <w:rPr>
          <w:rFonts w:ascii="Arial Narrow" w:hAnsi="Arial Narrow"/>
          <w:color w:val="222222"/>
          <w:sz w:val="20"/>
        </w:rPr>
        <w:t xml:space="preserve">While benefits </w:t>
      </w:r>
      <w:r w:rsidR="00DC34CF" w:rsidRPr="00570BFC">
        <w:rPr>
          <w:rFonts w:ascii="Arial Narrow" w:hAnsi="Arial Narrow"/>
          <w:color w:val="222222"/>
          <w:sz w:val="20"/>
        </w:rPr>
        <w:t>are payable for an eligible TMVr</w:t>
      </w:r>
      <w:r w:rsidRPr="00570BFC">
        <w:rPr>
          <w:rFonts w:ascii="Arial Narrow" w:hAnsi="Arial Narrow"/>
          <w:color w:val="222222"/>
          <w:sz w:val="20"/>
        </w:rPr>
        <w:t xml:space="preserve"> </w:t>
      </w:r>
      <w:r w:rsidR="00DC34CF" w:rsidRPr="00570BFC">
        <w:rPr>
          <w:rFonts w:ascii="Arial Narrow" w:hAnsi="Arial Narrow"/>
          <w:color w:val="222222"/>
          <w:sz w:val="20"/>
        </w:rPr>
        <w:t>Case Conference under Items #### and ####</w:t>
      </w:r>
      <w:r w:rsidRPr="00570BFC">
        <w:rPr>
          <w:rFonts w:ascii="Arial Narrow" w:hAnsi="Arial Narrow"/>
          <w:color w:val="222222"/>
          <w:sz w:val="20"/>
        </w:rPr>
        <w:t>, a claim for these services does not have to be made in order for a ben</w:t>
      </w:r>
      <w:r w:rsidR="00DC34CF" w:rsidRPr="00570BFC">
        <w:rPr>
          <w:rFonts w:ascii="Arial Narrow" w:hAnsi="Arial Narrow"/>
          <w:color w:val="222222"/>
          <w:sz w:val="20"/>
        </w:rPr>
        <w:t>efit to be paid under Item ####.  Item #####</w:t>
      </w:r>
      <w:r w:rsidRPr="00570BFC">
        <w:rPr>
          <w:rFonts w:ascii="Arial Narrow" w:hAnsi="Arial Narrow"/>
          <w:color w:val="222222"/>
          <w:sz w:val="20"/>
        </w:rPr>
        <w:t xml:space="preserve"> is only payable once per patient in a five year period.</w:t>
      </w:r>
    </w:p>
    <w:p w14:paraId="780B0F3A" w14:textId="77777777" w:rsidR="006C4E20" w:rsidRPr="00570BFC" w:rsidRDefault="00DC34CF" w:rsidP="00570BFC">
      <w:pPr>
        <w:shd w:val="clear" w:color="auto" w:fill="FBFBFB"/>
        <w:spacing w:before="240" w:after="60"/>
        <w:rPr>
          <w:rFonts w:ascii="Arial Narrow" w:hAnsi="Arial Narrow"/>
          <w:color w:val="222222"/>
          <w:sz w:val="20"/>
          <w:u w:val="single"/>
        </w:rPr>
      </w:pPr>
      <w:r w:rsidRPr="00570BFC">
        <w:rPr>
          <w:rFonts w:ascii="Arial Narrow" w:hAnsi="Arial Narrow"/>
          <w:color w:val="222222"/>
          <w:sz w:val="20"/>
          <w:u w:val="single"/>
        </w:rPr>
        <w:t>TMVr CASE CONFERENCE - (ITEMS #### AND ####</w:t>
      </w:r>
      <w:r w:rsidR="006C4E20" w:rsidRPr="00570BFC">
        <w:rPr>
          <w:rFonts w:ascii="Arial Narrow" w:hAnsi="Arial Narrow"/>
          <w:color w:val="222222"/>
          <w:sz w:val="20"/>
          <w:u w:val="single"/>
        </w:rPr>
        <w:t>)</w:t>
      </w:r>
    </w:p>
    <w:p w14:paraId="5B541416" w14:textId="77777777" w:rsidR="006C4E20" w:rsidRPr="00570BFC" w:rsidRDefault="00DC34CF" w:rsidP="00570BFC">
      <w:pPr>
        <w:shd w:val="clear" w:color="auto" w:fill="FBFBFB"/>
        <w:spacing w:after="60"/>
        <w:rPr>
          <w:rFonts w:ascii="Arial Narrow" w:hAnsi="Arial Narrow"/>
          <w:color w:val="222222"/>
          <w:sz w:val="20"/>
        </w:rPr>
      </w:pPr>
      <w:r w:rsidRPr="00570BFC">
        <w:rPr>
          <w:rFonts w:ascii="Arial Narrow" w:hAnsi="Arial Narrow"/>
          <w:color w:val="222222"/>
          <w:sz w:val="20"/>
        </w:rPr>
        <w:t>Items #### and #### apply to a TMVr</w:t>
      </w:r>
      <w:r w:rsidR="006C4E20" w:rsidRPr="00570BFC">
        <w:rPr>
          <w:rFonts w:ascii="Arial Narrow" w:hAnsi="Arial Narrow"/>
          <w:color w:val="222222"/>
          <w:sz w:val="20"/>
        </w:rPr>
        <w:t xml:space="preserve"> Case Conference organised to discuss a patient’s suitability to receive the</w:t>
      </w:r>
      <w:r w:rsidRPr="00570BFC">
        <w:rPr>
          <w:rFonts w:ascii="Arial Narrow" w:hAnsi="Arial Narrow"/>
          <w:color w:val="222222"/>
          <w:sz w:val="20"/>
        </w:rPr>
        <w:t xml:space="preserve"> service described in Item ##### for Trans</w:t>
      </w:r>
      <w:r w:rsidR="00E10ED5" w:rsidRPr="00570BFC">
        <w:rPr>
          <w:rFonts w:ascii="Arial Narrow" w:hAnsi="Arial Narrow"/>
          <w:color w:val="222222"/>
          <w:sz w:val="20"/>
        </w:rPr>
        <w:t>mitral valve repair</w:t>
      </w:r>
      <w:r w:rsidRPr="00570BFC">
        <w:rPr>
          <w:rFonts w:ascii="Arial Narrow" w:hAnsi="Arial Narrow"/>
          <w:color w:val="222222"/>
          <w:sz w:val="20"/>
        </w:rPr>
        <w:t xml:space="preserve"> (TMVr</w:t>
      </w:r>
      <w:r w:rsidR="006C4E20" w:rsidRPr="00570BFC">
        <w:rPr>
          <w:rFonts w:ascii="Arial Narrow" w:hAnsi="Arial Narrow"/>
          <w:color w:val="222222"/>
          <w:sz w:val="20"/>
        </w:rPr>
        <w:t>). </w:t>
      </w:r>
    </w:p>
    <w:p w14:paraId="43937F1C" w14:textId="77777777" w:rsidR="006C4E20" w:rsidRPr="00570BFC" w:rsidRDefault="006C4E20" w:rsidP="00570BFC">
      <w:pPr>
        <w:shd w:val="clear" w:color="auto" w:fill="FBFBFB"/>
        <w:spacing w:after="60"/>
        <w:rPr>
          <w:rFonts w:ascii="Arial Narrow" w:hAnsi="Arial Narrow"/>
          <w:color w:val="222222"/>
          <w:sz w:val="20"/>
        </w:rPr>
      </w:pPr>
      <w:r w:rsidRPr="00570BFC">
        <w:rPr>
          <w:rFonts w:ascii="Arial Narrow" w:hAnsi="Arial Narrow"/>
          <w:color w:val="222222"/>
          <w:sz w:val="20"/>
        </w:rPr>
        <w:t>For i</w:t>
      </w:r>
      <w:r w:rsidR="00E10ED5" w:rsidRPr="00570BFC">
        <w:rPr>
          <w:rFonts w:ascii="Arial Narrow" w:hAnsi="Arial Narrow"/>
          <w:color w:val="222222"/>
          <w:sz w:val="20"/>
        </w:rPr>
        <w:t>tems #### and #### a TMVr</w:t>
      </w:r>
      <w:r w:rsidRPr="00570BFC">
        <w:rPr>
          <w:rFonts w:ascii="Arial Narrow" w:hAnsi="Arial Narrow"/>
          <w:color w:val="222222"/>
          <w:sz w:val="20"/>
        </w:rPr>
        <w:t xml:space="preserve"> Case Conference is a process by which:</w:t>
      </w:r>
    </w:p>
    <w:p w14:paraId="0C803D53" w14:textId="20A457B4" w:rsidR="006C4E20" w:rsidRPr="003104D1" w:rsidRDefault="006C4E20" w:rsidP="003104D1">
      <w:pPr>
        <w:pStyle w:val="ListParagraph"/>
        <w:numPr>
          <w:ilvl w:val="0"/>
          <w:numId w:val="17"/>
        </w:numPr>
        <w:shd w:val="clear" w:color="auto" w:fill="FBFBFB"/>
        <w:tabs>
          <w:tab w:val="left" w:pos="426"/>
        </w:tabs>
        <w:spacing w:after="60"/>
        <w:ind w:hanging="720"/>
        <w:rPr>
          <w:rFonts w:ascii="Arial Narrow" w:hAnsi="Arial Narrow"/>
          <w:color w:val="222222"/>
          <w:sz w:val="20"/>
        </w:rPr>
      </w:pPr>
      <w:r w:rsidRPr="003104D1">
        <w:rPr>
          <w:rFonts w:ascii="Arial Narrow" w:hAnsi="Arial Narrow"/>
          <w:color w:val="222222"/>
          <w:sz w:val="20"/>
        </w:rPr>
        <w:t>there is a team of 3 or more participants, where:</w:t>
      </w:r>
    </w:p>
    <w:p w14:paraId="2EBD5F10" w14:textId="33BD717C" w:rsidR="006C4E20" w:rsidRPr="003104D1" w:rsidRDefault="006C4E20" w:rsidP="003104D1">
      <w:pPr>
        <w:pStyle w:val="ListParagraph"/>
        <w:numPr>
          <w:ilvl w:val="0"/>
          <w:numId w:val="18"/>
        </w:numPr>
        <w:shd w:val="clear" w:color="auto" w:fill="FBFBFB"/>
        <w:tabs>
          <w:tab w:val="left" w:pos="709"/>
        </w:tabs>
        <w:spacing w:after="60"/>
        <w:rPr>
          <w:rFonts w:ascii="Arial Narrow" w:hAnsi="Arial Narrow"/>
          <w:color w:val="222222"/>
          <w:sz w:val="20"/>
        </w:rPr>
      </w:pPr>
      <w:r w:rsidRPr="003104D1">
        <w:rPr>
          <w:rFonts w:ascii="Arial Narrow" w:hAnsi="Arial Narrow"/>
          <w:color w:val="222222"/>
          <w:sz w:val="20"/>
        </w:rPr>
        <w:t>the first participant is a cardiothoracic surgeon; and</w:t>
      </w:r>
    </w:p>
    <w:p w14:paraId="31F4AE59" w14:textId="50C56E09" w:rsidR="006C4E20" w:rsidRPr="003104D1" w:rsidRDefault="006C4E20" w:rsidP="003104D1">
      <w:pPr>
        <w:pStyle w:val="ListParagraph"/>
        <w:numPr>
          <w:ilvl w:val="0"/>
          <w:numId w:val="18"/>
        </w:numPr>
        <w:shd w:val="clear" w:color="auto" w:fill="FBFBFB"/>
        <w:tabs>
          <w:tab w:val="left" w:pos="709"/>
        </w:tabs>
        <w:spacing w:after="60"/>
        <w:rPr>
          <w:rFonts w:ascii="Arial Narrow" w:hAnsi="Arial Narrow"/>
          <w:color w:val="222222"/>
          <w:sz w:val="20"/>
        </w:rPr>
      </w:pPr>
      <w:r w:rsidRPr="003104D1">
        <w:rPr>
          <w:rFonts w:ascii="Arial Narrow" w:hAnsi="Arial Narrow"/>
          <w:color w:val="222222"/>
          <w:sz w:val="20"/>
        </w:rPr>
        <w:t>the second participant is an interventional cardiologist; and</w:t>
      </w:r>
    </w:p>
    <w:p w14:paraId="12D15564" w14:textId="10D6A3D2" w:rsidR="006C4E20" w:rsidRPr="003104D1" w:rsidRDefault="006C4E20" w:rsidP="003104D1">
      <w:pPr>
        <w:pStyle w:val="ListParagraph"/>
        <w:numPr>
          <w:ilvl w:val="0"/>
          <w:numId w:val="18"/>
        </w:numPr>
        <w:shd w:val="clear" w:color="auto" w:fill="FBFBFB"/>
        <w:tabs>
          <w:tab w:val="left" w:pos="709"/>
        </w:tabs>
        <w:spacing w:after="60"/>
        <w:rPr>
          <w:rFonts w:ascii="Arial Narrow" w:hAnsi="Arial Narrow"/>
          <w:color w:val="222222"/>
          <w:sz w:val="20"/>
        </w:rPr>
      </w:pPr>
      <w:r w:rsidRPr="003104D1">
        <w:rPr>
          <w:rFonts w:ascii="Arial Narrow" w:hAnsi="Arial Narrow"/>
          <w:color w:val="222222"/>
          <w:sz w:val="20"/>
        </w:rPr>
        <w:t>the third participant is a specialist or consultant physician who does not perform a</w:t>
      </w:r>
      <w:r w:rsidR="00E10ED5" w:rsidRPr="003104D1">
        <w:rPr>
          <w:rFonts w:ascii="Arial Narrow" w:hAnsi="Arial Narrow"/>
          <w:color w:val="222222"/>
          <w:sz w:val="20"/>
        </w:rPr>
        <w:t xml:space="preserve"> service described in Item ####</w:t>
      </w:r>
      <w:r w:rsidRPr="003104D1">
        <w:rPr>
          <w:rFonts w:ascii="Arial Narrow" w:hAnsi="Arial Narrow"/>
          <w:color w:val="222222"/>
          <w:sz w:val="20"/>
        </w:rPr>
        <w:t xml:space="preserve"> for the patient being assessed; and</w:t>
      </w:r>
    </w:p>
    <w:p w14:paraId="03C594A1" w14:textId="41DEC9D6" w:rsidR="006C4E20" w:rsidRPr="00570BFC" w:rsidRDefault="003104D1" w:rsidP="003104D1">
      <w:pPr>
        <w:shd w:val="clear" w:color="auto" w:fill="FBFBFB"/>
        <w:tabs>
          <w:tab w:val="left" w:pos="284"/>
          <w:tab w:val="left" w:pos="709"/>
        </w:tabs>
        <w:spacing w:after="60"/>
        <w:rPr>
          <w:rFonts w:ascii="Arial Narrow" w:hAnsi="Arial Narrow"/>
          <w:color w:val="222222"/>
          <w:sz w:val="20"/>
        </w:rPr>
      </w:pPr>
      <w:r>
        <w:rPr>
          <w:rFonts w:ascii="Arial Narrow" w:hAnsi="Arial Narrow"/>
          <w:color w:val="222222"/>
          <w:sz w:val="20"/>
        </w:rPr>
        <w:tab/>
        <w:t>(iv)</w:t>
      </w:r>
      <w:r>
        <w:rPr>
          <w:rFonts w:ascii="Arial Narrow" w:hAnsi="Arial Narrow"/>
          <w:color w:val="222222"/>
          <w:sz w:val="20"/>
        </w:rPr>
        <w:tab/>
      </w:r>
      <w:r w:rsidR="006C4E20" w:rsidRPr="00570BFC">
        <w:rPr>
          <w:rFonts w:ascii="Arial Narrow" w:hAnsi="Arial Narrow"/>
          <w:color w:val="222222"/>
          <w:sz w:val="20"/>
        </w:rPr>
        <w:t>either the first or the s</w:t>
      </w:r>
      <w:r w:rsidR="00E10ED5" w:rsidRPr="00570BFC">
        <w:rPr>
          <w:rFonts w:ascii="Arial Narrow" w:hAnsi="Arial Narrow"/>
          <w:color w:val="222222"/>
          <w:sz w:val="20"/>
        </w:rPr>
        <w:t>econd participant is also a TMVr</w:t>
      </w:r>
      <w:r w:rsidR="006C4E20" w:rsidRPr="00570BFC">
        <w:rPr>
          <w:rFonts w:ascii="Arial Narrow" w:hAnsi="Arial Narrow"/>
          <w:color w:val="222222"/>
          <w:sz w:val="20"/>
        </w:rPr>
        <w:t xml:space="preserve"> Practitioner; and</w:t>
      </w:r>
    </w:p>
    <w:p w14:paraId="4DE399E9" w14:textId="21040832" w:rsidR="006C4E20" w:rsidRPr="003104D1" w:rsidRDefault="006C4E20" w:rsidP="003104D1">
      <w:pPr>
        <w:pStyle w:val="ListParagraph"/>
        <w:numPr>
          <w:ilvl w:val="0"/>
          <w:numId w:val="17"/>
        </w:numPr>
        <w:shd w:val="clear" w:color="auto" w:fill="FBFBFB"/>
        <w:tabs>
          <w:tab w:val="left" w:pos="426"/>
        </w:tabs>
        <w:spacing w:after="60"/>
        <w:ind w:hanging="720"/>
        <w:rPr>
          <w:rFonts w:ascii="Arial Narrow" w:hAnsi="Arial Narrow"/>
          <w:color w:val="222222"/>
          <w:sz w:val="20"/>
        </w:rPr>
      </w:pPr>
      <w:r w:rsidRPr="003104D1">
        <w:rPr>
          <w:rFonts w:ascii="Arial Narrow" w:hAnsi="Arial Narrow"/>
          <w:color w:val="222222"/>
          <w:sz w:val="20"/>
        </w:rPr>
        <w:t>the team assesses a patient’s risk and technical suitability to receive the</w:t>
      </w:r>
      <w:r w:rsidR="00E10ED5" w:rsidRPr="003104D1">
        <w:rPr>
          <w:rFonts w:ascii="Arial Narrow" w:hAnsi="Arial Narrow"/>
          <w:color w:val="222222"/>
          <w:sz w:val="20"/>
        </w:rPr>
        <w:t xml:space="preserve"> service described in Item #####</w:t>
      </w:r>
      <w:r w:rsidRPr="003104D1">
        <w:rPr>
          <w:rFonts w:ascii="Arial Narrow" w:hAnsi="Arial Narrow"/>
          <w:color w:val="222222"/>
          <w:sz w:val="20"/>
        </w:rPr>
        <w:t>, taking into account matters such as:</w:t>
      </w:r>
    </w:p>
    <w:p w14:paraId="2F946D0B" w14:textId="2321C11E" w:rsidR="006C4E20" w:rsidRPr="003104D1" w:rsidRDefault="006C4E20" w:rsidP="003104D1">
      <w:pPr>
        <w:pStyle w:val="ListParagraph"/>
        <w:numPr>
          <w:ilvl w:val="0"/>
          <w:numId w:val="19"/>
        </w:numPr>
        <w:shd w:val="clear" w:color="auto" w:fill="FBFBFB"/>
        <w:tabs>
          <w:tab w:val="left" w:pos="851"/>
        </w:tabs>
        <w:spacing w:after="60"/>
        <w:rPr>
          <w:rFonts w:ascii="Arial Narrow" w:hAnsi="Arial Narrow"/>
          <w:color w:val="222222"/>
          <w:sz w:val="20"/>
        </w:rPr>
      </w:pPr>
      <w:r w:rsidRPr="003104D1">
        <w:rPr>
          <w:rFonts w:ascii="Arial Narrow" w:hAnsi="Arial Narrow"/>
          <w:color w:val="222222"/>
          <w:sz w:val="20"/>
        </w:rPr>
        <w:t>the patient’s risk and technical s</w:t>
      </w:r>
      <w:r w:rsidR="00E10ED5" w:rsidRPr="003104D1">
        <w:rPr>
          <w:rFonts w:ascii="Arial Narrow" w:hAnsi="Arial Narrow"/>
          <w:color w:val="222222"/>
          <w:sz w:val="20"/>
        </w:rPr>
        <w:t>uitability for a surgical mitral</w:t>
      </w:r>
      <w:r w:rsidRPr="003104D1">
        <w:rPr>
          <w:rFonts w:ascii="Arial Narrow" w:hAnsi="Arial Narrow"/>
          <w:color w:val="222222"/>
          <w:sz w:val="20"/>
        </w:rPr>
        <w:t xml:space="preserve"> valve replacement; and</w:t>
      </w:r>
    </w:p>
    <w:p w14:paraId="6C27F9F6" w14:textId="78F1BCCC" w:rsidR="006C4E20" w:rsidRPr="00570BFC" w:rsidRDefault="00EA55E0" w:rsidP="00EA55E0">
      <w:pPr>
        <w:shd w:val="clear" w:color="auto" w:fill="FBFBFB"/>
        <w:tabs>
          <w:tab w:val="left" w:pos="851"/>
        </w:tabs>
        <w:spacing w:after="60"/>
        <w:ind w:firstLine="284"/>
        <w:rPr>
          <w:rFonts w:ascii="Arial Narrow" w:hAnsi="Arial Narrow"/>
          <w:color w:val="222222"/>
          <w:sz w:val="20"/>
        </w:rPr>
      </w:pPr>
      <w:r>
        <w:rPr>
          <w:rFonts w:ascii="Arial Narrow" w:hAnsi="Arial Narrow"/>
          <w:color w:val="222222"/>
          <w:sz w:val="20"/>
        </w:rPr>
        <w:t>(ii)</w:t>
      </w:r>
      <w:r>
        <w:rPr>
          <w:rFonts w:ascii="Arial Narrow" w:hAnsi="Arial Narrow"/>
          <w:color w:val="222222"/>
          <w:sz w:val="20"/>
        </w:rPr>
        <w:tab/>
      </w:r>
      <w:r w:rsidR="006C4E20" w:rsidRPr="00570BFC">
        <w:rPr>
          <w:rFonts w:ascii="Arial Narrow" w:hAnsi="Arial Narrow"/>
          <w:color w:val="222222"/>
          <w:sz w:val="20"/>
        </w:rPr>
        <w:t>the patient’s cognitive function and frailty; and</w:t>
      </w:r>
    </w:p>
    <w:p w14:paraId="54AD50B2" w14:textId="55F010B6" w:rsidR="006C4E20" w:rsidRPr="00570BFC" w:rsidRDefault="00EA55E0" w:rsidP="00EA55E0">
      <w:pPr>
        <w:shd w:val="clear" w:color="auto" w:fill="FBFBFB"/>
        <w:tabs>
          <w:tab w:val="left" w:pos="426"/>
        </w:tabs>
        <w:spacing w:after="60"/>
        <w:rPr>
          <w:rFonts w:ascii="Arial Narrow" w:hAnsi="Arial Narrow"/>
          <w:color w:val="222222"/>
          <w:sz w:val="20"/>
        </w:rPr>
      </w:pPr>
      <w:r>
        <w:rPr>
          <w:rFonts w:ascii="Arial Narrow" w:hAnsi="Arial Narrow"/>
          <w:color w:val="222222"/>
          <w:sz w:val="20"/>
        </w:rPr>
        <w:t>(c)</w:t>
      </w:r>
      <w:r>
        <w:rPr>
          <w:rFonts w:ascii="Arial Narrow" w:hAnsi="Arial Narrow"/>
          <w:color w:val="222222"/>
          <w:sz w:val="20"/>
        </w:rPr>
        <w:tab/>
      </w:r>
      <w:r w:rsidR="006C4E20" w:rsidRPr="00570BFC">
        <w:rPr>
          <w:rFonts w:ascii="Arial Narrow" w:hAnsi="Arial Narrow"/>
          <w:color w:val="222222"/>
          <w:sz w:val="20"/>
        </w:rPr>
        <w:t>the result of the assessment is that the team makes a recommendation about whether or not the patient is suitable to receive th</w:t>
      </w:r>
      <w:r w:rsidR="00E10ED5" w:rsidRPr="00570BFC">
        <w:rPr>
          <w:rFonts w:ascii="Arial Narrow" w:hAnsi="Arial Narrow"/>
          <w:color w:val="222222"/>
          <w:sz w:val="20"/>
        </w:rPr>
        <w:t>e service described in Item #####</w:t>
      </w:r>
      <w:r w:rsidR="006C4E20" w:rsidRPr="00570BFC">
        <w:rPr>
          <w:rFonts w:ascii="Arial Narrow" w:hAnsi="Arial Narrow"/>
          <w:color w:val="222222"/>
          <w:sz w:val="20"/>
        </w:rPr>
        <w:t>; and</w:t>
      </w:r>
    </w:p>
    <w:p w14:paraId="17FDA019" w14:textId="2F124281" w:rsidR="006C4E20" w:rsidRPr="00570BFC" w:rsidRDefault="00EA55E0" w:rsidP="00EA55E0">
      <w:pPr>
        <w:shd w:val="clear" w:color="auto" w:fill="FBFBFB"/>
        <w:tabs>
          <w:tab w:val="left" w:pos="426"/>
        </w:tabs>
        <w:spacing w:after="60"/>
        <w:rPr>
          <w:rFonts w:ascii="Arial Narrow" w:hAnsi="Arial Narrow"/>
          <w:color w:val="222222"/>
          <w:sz w:val="20"/>
        </w:rPr>
      </w:pPr>
      <w:r>
        <w:rPr>
          <w:rFonts w:ascii="Arial Narrow" w:hAnsi="Arial Narrow"/>
          <w:color w:val="222222"/>
          <w:sz w:val="20"/>
        </w:rPr>
        <w:t>(d)</w:t>
      </w:r>
      <w:r>
        <w:rPr>
          <w:rFonts w:ascii="Arial Narrow" w:hAnsi="Arial Narrow"/>
          <w:color w:val="222222"/>
          <w:sz w:val="20"/>
        </w:rPr>
        <w:tab/>
      </w:r>
      <w:r w:rsidR="006C4E20" w:rsidRPr="00570BFC">
        <w:rPr>
          <w:rFonts w:ascii="Arial Narrow" w:hAnsi="Arial Narrow"/>
          <w:color w:val="222222"/>
          <w:sz w:val="20"/>
        </w:rPr>
        <w:t>the particulars of the assessment and recommendation are recorded in writing.  </w:t>
      </w:r>
    </w:p>
    <w:p w14:paraId="77F393FA" w14:textId="77777777" w:rsidR="006C4E20" w:rsidRPr="00570BFC" w:rsidRDefault="00E10ED5" w:rsidP="00570BFC">
      <w:pPr>
        <w:shd w:val="clear" w:color="auto" w:fill="FBFBFB"/>
        <w:spacing w:after="60"/>
        <w:rPr>
          <w:rFonts w:ascii="Arial Narrow" w:hAnsi="Arial Narrow"/>
          <w:color w:val="222222"/>
          <w:sz w:val="20"/>
          <w:u w:val="single"/>
        </w:rPr>
      </w:pPr>
      <w:r w:rsidRPr="00570BFC">
        <w:rPr>
          <w:rFonts w:ascii="Arial Narrow" w:hAnsi="Arial Narrow"/>
          <w:bCs/>
          <w:color w:val="222222"/>
          <w:sz w:val="20"/>
          <w:u w:val="single"/>
        </w:rPr>
        <w:t>TMVr</w:t>
      </w:r>
      <w:r w:rsidR="006C4E20" w:rsidRPr="00570BFC">
        <w:rPr>
          <w:rFonts w:ascii="Arial Narrow" w:hAnsi="Arial Narrow"/>
          <w:bCs/>
          <w:color w:val="222222"/>
          <w:sz w:val="20"/>
          <w:u w:val="single"/>
        </w:rPr>
        <w:t xml:space="preserve"> Practitioner</w:t>
      </w:r>
    </w:p>
    <w:p w14:paraId="5680E72A" w14:textId="46442C0F" w:rsidR="006C4E20" w:rsidRPr="00570BFC" w:rsidRDefault="006C4E20" w:rsidP="00570BFC">
      <w:pPr>
        <w:shd w:val="clear" w:color="auto" w:fill="FBFBFB"/>
        <w:spacing w:after="60"/>
        <w:rPr>
          <w:rFonts w:ascii="Arial Narrow" w:hAnsi="Arial Narrow"/>
          <w:color w:val="222222"/>
          <w:sz w:val="20"/>
        </w:rPr>
      </w:pPr>
      <w:r w:rsidRPr="00570BFC">
        <w:rPr>
          <w:rFonts w:ascii="Arial Narrow" w:hAnsi="Arial Narrow"/>
          <w:color w:val="222222"/>
          <w:sz w:val="20"/>
        </w:rPr>
        <w:t>For items #### and #### a TAVI Practitioner is either a cardiothoracic surgeon or interventional cardiologist who is accredited by Cardiac A</w:t>
      </w:r>
      <w:r w:rsidR="00EA55E0">
        <w:rPr>
          <w:rFonts w:ascii="Arial Narrow" w:hAnsi="Arial Narrow"/>
          <w:color w:val="222222"/>
          <w:sz w:val="20"/>
        </w:rPr>
        <w:t>ccreditation Services Limited.</w:t>
      </w:r>
    </w:p>
    <w:p w14:paraId="2A310E26" w14:textId="77777777" w:rsidR="00E57DB1" w:rsidRPr="00F715D1" w:rsidRDefault="00A30633" w:rsidP="00A30633">
      <w:pPr>
        <w:pStyle w:val="Heading1"/>
        <w:numPr>
          <w:ilvl w:val="0"/>
          <w:numId w:val="0"/>
        </w:numPr>
      </w:pPr>
      <w:r>
        <w:lastRenderedPageBreak/>
        <w:t>3.</w:t>
      </w:r>
      <w:r>
        <w:tab/>
      </w:r>
      <w:r w:rsidR="00E57DB1" w:rsidRPr="00F715D1">
        <w:t xml:space="preserve">Summary of consideration and rationale for MSAC’s advice </w:t>
      </w:r>
    </w:p>
    <w:p w14:paraId="7BBCE458" w14:textId="3BFB5598" w:rsidR="006A336B" w:rsidRDefault="00C00674" w:rsidP="00ED24C6">
      <w:pPr>
        <w:spacing w:after="240"/>
      </w:pPr>
      <w:r>
        <w:t xml:space="preserve">MSAC noted this is a </w:t>
      </w:r>
      <w:r w:rsidRPr="00AC29A0">
        <w:t>resubmission requesting a new Medica</w:t>
      </w:r>
      <w:r>
        <w:t>re</w:t>
      </w:r>
      <w:r w:rsidRPr="00AC29A0">
        <w:t xml:space="preserve"> Benefits Schedule (MBS) listing for the reduction of mitral regurgitation through tissue approximation</w:t>
      </w:r>
      <w:r w:rsidR="00B04C4E">
        <w:t xml:space="preserve"> (TMVr)</w:t>
      </w:r>
      <w:r w:rsidRPr="00AC29A0">
        <w:t xml:space="preserve">, using </w:t>
      </w:r>
      <w:r w:rsidR="00042CB0">
        <w:t xml:space="preserve">a </w:t>
      </w:r>
      <w:r w:rsidRPr="00AC29A0">
        <w:t>MitraClip</w:t>
      </w:r>
      <w:r w:rsidR="00042CB0">
        <w:t xml:space="preserve"> device</w:t>
      </w:r>
      <w:r w:rsidRPr="00AC29A0">
        <w:t xml:space="preserve"> for the treatment of </w:t>
      </w:r>
      <w:r>
        <w:t>DMR and FMR</w:t>
      </w:r>
      <w:r w:rsidR="006A336B">
        <w:t xml:space="preserve"> in patients with mitral regurgitation who are not suitable for open heart surgery</w:t>
      </w:r>
      <w:r w:rsidRPr="00AC29A0">
        <w:t>.</w:t>
      </w:r>
    </w:p>
    <w:p w14:paraId="1890EED2" w14:textId="77777777" w:rsidR="00C00674" w:rsidRDefault="00C00674" w:rsidP="00C00674">
      <w:r w:rsidRPr="00AC29A0">
        <w:t xml:space="preserve">MitraClip is listed on the </w:t>
      </w:r>
      <w:r w:rsidRPr="00C231B4">
        <w:t>Australian Register of Therapeutic Goods</w:t>
      </w:r>
      <w:r>
        <w:t>, and the procedure is c</w:t>
      </w:r>
      <w:r w:rsidRPr="00AC29A0">
        <w:t>urrently being performed by a number of centres in Australia, generally as part of a structural heart disease program</w:t>
      </w:r>
      <w:r>
        <w:t>.</w:t>
      </w:r>
    </w:p>
    <w:p w14:paraId="0B26A2AB" w14:textId="2C26F38F" w:rsidR="00C00674" w:rsidRDefault="00C00674" w:rsidP="00C00674">
      <w:pPr>
        <w:spacing w:before="240"/>
      </w:pPr>
      <w:r w:rsidRPr="00C401AB">
        <w:t xml:space="preserve">MSAC noted that it </w:t>
      </w:r>
      <w:r w:rsidR="00042CB0">
        <w:t xml:space="preserve">had </w:t>
      </w:r>
      <w:r w:rsidRPr="00C401AB">
        <w:t xml:space="preserve">rejected </w:t>
      </w:r>
      <w:r w:rsidR="00B04C4E">
        <w:t xml:space="preserve">a similar </w:t>
      </w:r>
      <w:r w:rsidRPr="00C401AB">
        <w:t xml:space="preserve">application </w:t>
      </w:r>
      <w:r w:rsidR="006A336B" w:rsidRPr="00C401AB">
        <w:t>three time</w:t>
      </w:r>
      <w:r w:rsidR="00B04C4E">
        <w:t>s previously</w:t>
      </w:r>
      <w:r w:rsidR="006A336B" w:rsidRPr="00C401AB">
        <w:t xml:space="preserve"> </w:t>
      </w:r>
      <w:r w:rsidRPr="00C401AB">
        <w:t xml:space="preserve">due to uncertain clinical effectiveness, comparative safety and cost-effectiveness. MSAC noted that </w:t>
      </w:r>
      <w:r w:rsidR="00C401AB" w:rsidRPr="00C401AB">
        <w:t>the three</w:t>
      </w:r>
      <w:r w:rsidRPr="00C401AB">
        <w:t xml:space="preserve"> previous submission</w:t>
      </w:r>
      <w:r w:rsidR="00C401AB" w:rsidRPr="00C401AB">
        <w:t>s sought listing in the DMR population only.</w:t>
      </w:r>
    </w:p>
    <w:p w14:paraId="643B2C52" w14:textId="77777777" w:rsidR="00D43E2A" w:rsidRDefault="00D43E2A" w:rsidP="00D43E2A">
      <w:pPr>
        <w:spacing w:before="240"/>
      </w:pPr>
      <w:r>
        <w:t xml:space="preserve">MSAC proposed including a limit on claiming of once every 5 years in the descriptor. MSAC also </w:t>
      </w:r>
      <w:r w:rsidR="00B04C4E">
        <w:t xml:space="preserve">agreed </w:t>
      </w:r>
      <w:r>
        <w:t>that the Department consider defining the r</w:t>
      </w:r>
      <w:r w:rsidRPr="00862448">
        <w:t xml:space="preserve">equired specialties making up the </w:t>
      </w:r>
      <w:r>
        <w:t>multidisciplinary heart team (</w:t>
      </w:r>
      <w:r w:rsidRPr="00862448">
        <w:t>MDHT</w:t>
      </w:r>
      <w:r>
        <w:t>)</w:t>
      </w:r>
      <w:r w:rsidRPr="00862448">
        <w:t xml:space="preserve"> conference in the item descriptor or explanatory note</w:t>
      </w:r>
      <w:r w:rsidR="00B04C4E">
        <w:t xml:space="preserve">, </w:t>
      </w:r>
      <w:r>
        <w:t>as the MDHT was a crucial part of ensuring this technique is used for the correct patient population.</w:t>
      </w:r>
    </w:p>
    <w:p w14:paraId="686F46DC" w14:textId="32C26948" w:rsidR="00D43E2A" w:rsidRPr="00DB5988" w:rsidRDefault="00CF74CA" w:rsidP="00DB5988">
      <w:pPr>
        <w:spacing w:before="240"/>
      </w:pPr>
      <w:r>
        <w:t>MSAC agreed that a s</w:t>
      </w:r>
      <w:r w:rsidRPr="00FB6749">
        <w:t>pecific anaesthesia management item for TMVr</w:t>
      </w:r>
      <w:r>
        <w:t xml:space="preserve"> should be created. </w:t>
      </w:r>
    </w:p>
    <w:p w14:paraId="0FFE5425" w14:textId="29EE2D4B" w:rsidR="00A90E5D" w:rsidRPr="00C961CD" w:rsidRDefault="00C961CD" w:rsidP="00DB5988">
      <w:pPr>
        <w:spacing w:before="240"/>
      </w:pPr>
      <w:r>
        <w:t>The MSAC noted the comparator for the DMR population</w:t>
      </w:r>
      <w:r w:rsidR="00B04C4E">
        <w:t xml:space="preserve"> (</w:t>
      </w:r>
      <w:r w:rsidR="00A92E3B">
        <w:t xml:space="preserve">Population </w:t>
      </w:r>
      <w:r w:rsidR="00B04C4E">
        <w:t>1), optimised medical treatment (OMT),</w:t>
      </w:r>
      <w:r>
        <w:t xml:space="preserve"> is unchanged from the previous applications, and the same comparator is nominated for the FMR population</w:t>
      </w:r>
      <w:r w:rsidR="00B04C4E">
        <w:t xml:space="preserve"> (</w:t>
      </w:r>
      <w:r w:rsidR="00A92E3B">
        <w:t xml:space="preserve">Population </w:t>
      </w:r>
      <w:r w:rsidR="00B04C4E">
        <w:t>2)</w:t>
      </w:r>
      <w:r>
        <w:t>. The MSAC considered this appropriate.</w:t>
      </w:r>
    </w:p>
    <w:p w14:paraId="2AEECA56" w14:textId="54CB49FF" w:rsidR="00C961CD" w:rsidRDefault="00C961CD" w:rsidP="00C00674">
      <w:pPr>
        <w:spacing w:before="240"/>
        <w:rPr>
          <w:color w:val="FF0000"/>
        </w:rPr>
      </w:pPr>
      <w:r>
        <w:t xml:space="preserve">MSAC considered that the new </w:t>
      </w:r>
      <w:r w:rsidRPr="00237663">
        <w:t xml:space="preserve">evidence presented for </w:t>
      </w:r>
      <w:r w:rsidR="00B04C4E">
        <w:t>DMR</w:t>
      </w:r>
      <w:r w:rsidRPr="00237663">
        <w:t xml:space="preserve"> patients</w:t>
      </w:r>
      <w:r w:rsidR="00B04C4E">
        <w:t xml:space="preserve"> (</w:t>
      </w:r>
      <w:r w:rsidR="00A92E3B">
        <w:t xml:space="preserve">Population </w:t>
      </w:r>
      <w:r w:rsidR="00B04C4E">
        <w:t>1)</w:t>
      </w:r>
      <w:r w:rsidRPr="00237663">
        <w:t xml:space="preserve"> </w:t>
      </w:r>
      <w:r>
        <w:t>to be insufficient to resolve MSAC</w:t>
      </w:r>
      <w:r w:rsidR="00042CB0">
        <w:t>’</w:t>
      </w:r>
      <w:r>
        <w:t xml:space="preserve">s previous uncertainties regarding the comparative </w:t>
      </w:r>
      <w:r w:rsidRPr="00237663">
        <w:t>safety and effectiveness</w:t>
      </w:r>
      <w:r>
        <w:t xml:space="preserve"> of</w:t>
      </w:r>
      <w:r w:rsidR="00DF4852" w:rsidRPr="00DF4852">
        <w:t xml:space="preserve"> TMVr</w:t>
      </w:r>
      <w:r>
        <w:t xml:space="preserve"> </w:t>
      </w:r>
      <w:r w:rsidR="00DF4852">
        <w:t>with MitraClip compared to O</w:t>
      </w:r>
      <w:r w:rsidR="00B04C4E">
        <w:t>MT.</w:t>
      </w:r>
      <w:r w:rsidR="00DF4852">
        <w:t xml:space="preserve"> T</w:t>
      </w:r>
      <w:r w:rsidRPr="00237663">
        <w:t xml:space="preserve">he additional evidence for </w:t>
      </w:r>
      <w:r w:rsidR="00DF4852">
        <w:t xml:space="preserve">the </w:t>
      </w:r>
      <w:r w:rsidRPr="00237663">
        <w:t xml:space="preserve">DMR </w:t>
      </w:r>
      <w:r w:rsidR="00DF4852">
        <w:t xml:space="preserve">population </w:t>
      </w:r>
      <w:r w:rsidRPr="00237663">
        <w:t xml:space="preserve">included in the current submission </w:t>
      </w:r>
      <w:r>
        <w:t>comprises</w:t>
      </w:r>
      <w:r w:rsidRPr="00237663">
        <w:t xml:space="preserve"> transcatheter valve therapy registry </w:t>
      </w:r>
      <w:r>
        <w:t xml:space="preserve">data </w:t>
      </w:r>
      <w:r w:rsidRPr="00237663">
        <w:t>(Sorajja et al., 2017). This new evidence shows similar rates of safety and effectiveness outcomes as were reported in the comparative trials</w:t>
      </w:r>
      <w:r w:rsidR="00DF4852">
        <w:t xml:space="preserve"> presented in the earlier applications, but does not resolve the previously identified uncertainties. However,</w:t>
      </w:r>
      <w:r w:rsidRPr="00237663">
        <w:t xml:space="preserve"> </w:t>
      </w:r>
      <w:r>
        <w:t xml:space="preserve">MSAC accepted that </w:t>
      </w:r>
      <w:r w:rsidR="00DF4852">
        <w:t xml:space="preserve">on-balance, it was reasonable to conclude that TMVr with MitraClip was at least non-inferior to OMT for </w:t>
      </w:r>
      <w:r>
        <w:t xml:space="preserve">the DMR population, </w:t>
      </w:r>
      <w:r w:rsidR="00DF4852">
        <w:t xml:space="preserve">particularly in the context of a </w:t>
      </w:r>
      <w:r w:rsidR="00B04C4E">
        <w:t xml:space="preserve">serious </w:t>
      </w:r>
      <w:r w:rsidR="00DF4852">
        <w:t xml:space="preserve">condition with </w:t>
      </w:r>
      <w:r w:rsidR="00B04C4E">
        <w:t xml:space="preserve">limited </w:t>
      </w:r>
      <w:r w:rsidR="00DF4852">
        <w:t xml:space="preserve">treatment </w:t>
      </w:r>
      <w:r>
        <w:t>options</w:t>
      </w:r>
      <w:r w:rsidR="00DF4852">
        <w:t>.</w:t>
      </w:r>
    </w:p>
    <w:p w14:paraId="25D5163E" w14:textId="137A601E" w:rsidR="00C00674" w:rsidRDefault="00C00674" w:rsidP="00C00674">
      <w:pPr>
        <w:spacing w:before="240"/>
      </w:pPr>
      <w:r>
        <w:t>MSAC agreed that the e</w:t>
      </w:r>
      <w:r w:rsidRPr="00C231B4">
        <w:t>vidence presented in the COAPT trial supports the claim for non-inferior safety and superior effectiveness</w:t>
      </w:r>
      <w:r w:rsidR="00B04C4E">
        <w:t xml:space="preserve"> compared to OMT</w:t>
      </w:r>
      <w:r w:rsidRPr="00C231B4">
        <w:t xml:space="preserve"> </w:t>
      </w:r>
      <w:r>
        <w:t xml:space="preserve">for </w:t>
      </w:r>
      <w:r w:rsidR="00A92E3B">
        <w:t xml:space="preserve">Population </w:t>
      </w:r>
      <w:r>
        <w:t xml:space="preserve">2 (FMR). </w:t>
      </w:r>
      <w:r w:rsidR="00D17040">
        <w:t>MSAC noted the</w:t>
      </w:r>
      <w:r w:rsidRPr="00C231B4">
        <w:t xml:space="preserve"> evidence presented in the MITRA-FR trial does not support the claim for superior effectiveness</w:t>
      </w:r>
      <w:r w:rsidR="00D17040">
        <w:t xml:space="preserve">, however </w:t>
      </w:r>
      <w:r>
        <w:t>accepted t</w:t>
      </w:r>
      <w:r w:rsidRPr="00237663">
        <w:t xml:space="preserve">he finding of no significant differences between TMVr and OMT in the overall MITRA-FR trial population was consistent with the recruitment of patients in whom mitral regurgitation is proportionately severe to the degree of left </w:t>
      </w:r>
      <w:r w:rsidR="00A92E3B" w:rsidRPr="00237663">
        <w:t>ventric</w:t>
      </w:r>
      <w:r w:rsidR="00A92E3B">
        <w:t>ular</w:t>
      </w:r>
      <w:r w:rsidR="00A92E3B" w:rsidRPr="00237663">
        <w:t xml:space="preserve"> </w:t>
      </w:r>
      <w:r w:rsidRPr="00237663">
        <w:t>dilat</w:t>
      </w:r>
      <w:r w:rsidR="00A92E3B">
        <w:t>at</w:t>
      </w:r>
      <w:r w:rsidRPr="00237663">
        <w:t>ion</w:t>
      </w:r>
      <w:r>
        <w:t>,</w:t>
      </w:r>
      <w:r w:rsidRPr="00237663">
        <w:t xml:space="preserve"> and in whom </w:t>
      </w:r>
      <w:r w:rsidR="00A92E3B" w:rsidRPr="00237663">
        <w:t>a</w:t>
      </w:r>
      <w:r w:rsidR="00A92E3B">
        <w:t xml:space="preserve"> beneficial</w:t>
      </w:r>
      <w:r w:rsidR="00A92E3B" w:rsidRPr="00237663">
        <w:t xml:space="preserve"> </w:t>
      </w:r>
      <w:r w:rsidRPr="00237663">
        <w:t>effect is not expected</w:t>
      </w:r>
      <w:r w:rsidR="00CF74CA">
        <w:t>. MSAC</w:t>
      </w:r>
      <w:r>
        <w:t xml:space="preserve"> agreed that the MITRA-FR trial is less applicable</w:t>
      </w:r>
      <w:r w:rsidR="00D17040">
        <w:t xml:space="preserve"> </w:t>
      </w:r>
      <w:r w:rsidR="00A92E3B">
        <w:t xml:space="preserve">than the COAPT trial </w:t>
      </w:r>
      <w:r w:rsidR="00D17040">
        <w:t>to the population for whom subsidy is sought</w:t>
      </w:r>
      <w:r w:rsidR="00A92E3B">
        <w:t>, i.e. those with a disproportionately severe mitral regurgitation in relation to the degree of left ventricular dilatation</w:t>
      </w:r>
      <w:r>
        <w:t xml:space="preserve">. </w:t>
      </w:r>
    </w:p>
    <w:p w14:paraId="7AC3098F" w14:textId="77777777" w:rsidR="00C00674" w:rsidRDefault="00C00674" w:rsidP="00C00674">
      <w:pPr>
        <w:spacing w:before="240"/>
      </w:pPr>
      <w:r>
        <w:t>MSAC considered that the difference in</w:t>
      </w:r>
      <w:r w:rsidR="00377CB4">
        <w:t xml:space="preserve"> the requested</w:t>
      </w:r>
      <w:r>
        <w:t xml:space="preserve"> fees for TMVr compared with </w:t>
      </w:r>
      <w:r w:rsidRPr="00862448">
        <w:t>transcatheter aortic valve implantation</w:t>
      </w:r>
      <w:r>
        <w:t xml:space="preserve"> (TAVI) </w:t>
      </w:r>
      <w:r w:rsidRPr="00237663">
        <w:t>($1,7</w:t>
      </w:r>
      <w:r w:rsidR="00377CB4">
        <w:t>48</w:t>
      </w:r>
      <w:r w:rsidRPr="00237663">
        <w:t>.</w:t>
      </w:r>
      <w:r w:rsidR="00377CB4" w:rsidRPr="00377CB4">
        <w:rPr>
          <w:szCs w:val="24"/>
        </w:rPr>
        <w:t>45</w:t>
      </w:r>
      <w:r w:rsidRPr="00377CB4">
        <w:rPr>
          <w:szCs w:val="24"/>
        </w:rPr>
        <w:t>)</w:t>
      </w:r>
      <w:r>
        <w:t xml:space="preserve"> was </w:t>
      </w:r>
      <w:r w:rsidR="00377CB4">
        <w:t xml:space="preserve">not well </w:t>
      </w:r>
      <w:r>
        <w:t>justified</w:t>
      </w:r>
      <w:r w:rsidR="00CF74CA">
        <w:t>, and recommended the fee for TMVr be consistent with the fee for TAVI</w:t>
      </w:r>
      <w:r w:rsidR="00C668F8">
        <w:t xml:space="preserve"> ($1455.10)</w:t>
      </w:r>
      <w:r w:rsidR="00377CB4">
        <w:t xml:space="preserve">. </w:t>
      </w:r>
    </w:p>
    <w:p w14:paraId="2752A644" w14:textId="70A4D5C6" w:rsidR="00CF74CA" w:rsidRPr="00042CB0" w:rsidRDefault="00CF74CA" w:rsidP="00CF74CA">
      <w:pPr>
        <w:spacing w:before="240"/>
        <w:rPr>
          <w:szCs w:val="24"/>
        </w:rPr>
      </w:pPr>
      <w:r w:rsidRPr="00042CB0">
        <w:rPr>
          <w:szCs w:val="24"/>
        </w:rPr>
        <w:lastRenderedPageBreak/>
        <w:t>MSAC recalled it previously requested that the applicant submit a cost-minimisation analysis (CMA) for the DMR population (</w:t>
      </w:r>
      <w:r w:rsidR="00A92E3B">
        <w:rPr>
          <w:szCs w:val="24"/>
        </w:rPr>
        <w:t>P</w:t>
      </w:r>
      <w:r w:rsidR="00A92E3B" w:rsidRPr="00042CB0">
        <w:rPr>
          <w:szCs w:val="24"/>
        </w:rPr>
        <w:t xml:space="preserve">opulation </w:t>
      </w:r>
      <w:r w:rsidRPr="00042CB0">
        <w:rPr>
          <w:szCs w:val="24"/>
        </w:rPr>
        <w:t>1), but the applicant asserted that a cost utility/cost-effectiveness analysis was more appropriate in its re-submission</w:t>
      </w:r>
      <w:r w:rsidR="00C668F8">
        <w:rPr>
          <w:szCs w:val="24"/>
        </w:rPr>
        <w:t xml:space="preserve"> and its pre</w:t>
      </w:r>
      <w:r w:rsidR="007D66E6">
        <w:rPr>
          <w:szCs w:val="24"/>
        </w:rPr>
        <w:noBreakHyphen/>
      </w:r>
      <w:r w:rsidR="00C668F8">
        <w:rPr>
          <w:szCs w:val="24"/>
        </w:rPr>
        <w:t>MSAC response</w:t>
      </w:r>
      <w:r w:rsidRPr="00042CB0">
        <w:rPr>
          <w:szCs w:val="24"/>
        </w:rPr>
        <w:t>. MSAC noted the results of the CMA analysis conducted by the Department</w:t>
      </w:r>
      <w:r w:rsidR="00A25000" w:rsidRPr="00042CB0">
        <w:rPr>
          <w:szCs w:val="24"/>
        </w:rPr>
        <w:t xml:space="preserve"> at its request</w:t>
      </w:r>
      <w:r w:rsidRPr="00042CB0">
        <w:rPr>
          <w:szCs w:val="24"/>
        </w:rPr>
        <w:t xml:space="preserve"> (</w:t>
      </w:r>
      <w:r w:rsidR="00A25000" w:rsidRPr="00042CB0">
        <w:rPr>
          <w:szCs w:val="24"/>
        </w:rPr>
        <w:t xml:space="preserve">see </w:t>
      </w:r>
      <w:r w:rsidRPr="00042CB0">
        <w:rPr>
          <w:szCs w:val="24"/>
        </w:rPr>
        <w:t xml:space="preserve">section 11) and agreed that </w:t>
      </w:r>
      <w:r w:rsidR="00256190" w:rsidRPr="00042CB0">
        <w:rPr>
          <w:szCs w:val="24"/>
        </w:rPr>
        <w:t xml:space="preserve">TMVr with MitraClip would be </w:t>
      </w:r>
      <w:r w:rsidR="007D66E6" w:rsidRPr="00042CB0">
        <w:rPr>
          <w:szCs w:val="24"/>
        </w:rPr>
        <w:t>acceptabl</w:t>
      </w:r>
      <w:r w:rsidR="007D66E6">
        <w:rPr>
          <w:szCs w:val="24"/>
        </w:rPr>
        <w:t>y</w:t>
      </w:r>
      <w:r w:rsidR="007D66E6" w:rsidRPr="00042CB0">
        <w:rPr>
          <w:szCs w:val="24"/>
        </w:rPr>
        <w:t xml:space="preserve"> </w:t>
      </w:r>
      <w:r w:rsidR="00256190" w:rsidRPr="00042CB0">
        <w:rPr>
          <w:szCs w:val="24"/>
        </w:rPr>
        <w:t xml:space="preserve">cost-effective for use in patients with DMR who cannot have surgery at an MBS procedure fee of $1455.10 and a device cost of </w:t>
      </w:r>
      <w:r w:rsidR="000E669E">
        <w:rPr>
          <w:szCs w:val="24"/>
        </w:rPr>
        <w:t>$</w:t>
      </w:r>
      <w:r w:rsidR="00ED24C6" w:rsidRPr="00ED24C6">
        <w:rPr>
          <w:b/>
          <w:szCs w:val="24"/>
        </w:rPr>
        <w:t>redacted</w:t>
      </w:r>
      <w:r w:rsidR="00256190" w:rsidRPr="00042CB0">
        <w:rPr>
          <w:szCs w:val="24"/>
        </w:rPr>
        <w:t>.</w:t>
      </w:r>
    </w:p>
    <w:p w14:paraId="28C14729" w14:textId="77777777" w:rsidR="00732939" w:rsidRPr="00042CB0" w:rsidRDefault="00CF74CA" w:rsidP="00732939">
      <w:pPr>
        <w:spacing w:before="240"/>
        <w:rPr>
          <w:color w:val="000000"/>
          <w:szCs w:val="24"/>
        </w:rPr>
      </w:pPr>
      <w:r w:rsidRPr="00042CB0">
        <w:rPr>
          <w:szCs w:val="24"/>
        </w:rPr>
        <w:t>MSAC agreed the applicant’s cost-effectiveness approach was appropriate for the FMR population (Population 2). Howeve</w:t>
      </w:r>
      <w:r w:rsidR="00256190" w:rsidRPr="00042CB0">
        <w:rPr>
          <w:szCs w:val="24"/>
        </w:rPr>
        <w:t>r MSAC</w:t>
      </w:r>
      <w:r w:rsidR="00732939" w:rsidRPr="00042CB0">
        <w:rPr>
          <w:szCs w:val="24"/>
        </w:rPr>
        <w:t xml:space="preserve"> noted the outcome of the FMR model is very sensitive to the time horizon and</w:t>
      </w:r>
      <w:r w:rsidR="00256190" w:rsidRPr="00042CB0">
        <w:rPr>
          <w:szCs w:val="24"/>
        </w:rPr>
        <w:t xml:space="preserve"> agreed with </w:t>
      </w:r>
      <w:r w:rsidR="00732939" w:rsidRPr="00042CB0">
        <w:rPr>
          <w:szCs w:val="24"/>
        </w:rPr>
        <w:t xml:space="preserve">its </w:t>
      </w:r>
      <w:r w:rsidR="00256190" w:rsidRPr="00042CB0">
        <w:rPr>
          <w:szCs w:val="24"/>
        </w:rPr>
        <w:t xml:space="preserve">ESC that </w:t>
      </w:r>
      <w:r w:rsidR="00732939" w:rsidRPr="00042CB0">
        <w:rPr>
          <w:szCs w:val="24"/>
        </w:rPr>
        <w:t>a</w:t>
      </w:r>
      <w:r w:rsidR="00256190" w:rsidRPr="00042CB0">
        <w:rPr>
          <w:rFonts w:eastAsia="Calibri"/>
          <w:szCs w:val="24"/>
          <w:lang w:eastAsia="en-US"/>
        </w:rPr>
        <w:t xml:space="preserve"> 10 year time horizon is an issue for this mode</w:t>
      </w:r>
      <w:r w:rsidR="00732939" w:rsidRPr="00042CB0">
        <w:rPr>
          <w:rFonts w:eastAsia="Calibri"/>
          <w:szCs w:val="24"/>
          <w:lang w:eastAsia="en-US"/>
        </w:rPr>
        <w:t>l.</w:t>
      </w:r>
      <w:r w:rsidR="00256190" w:rsidRPr="00042CB0">
        <w:rPr>
          <w:rFonts w:eastAsia="Calibri"/>
          <w:szCs w:val="24"/>
          <w:lang w:eastAsia="en-US"/>
        </w:rPr>
        <w:t xml:space="preserve">  </w:t>
      </w:r>
      <w:r w:rsidR="00732939" w:rsidRPr="00042CB0">
        <w:rPr>
          <w:color w:val="000000"/>
          <w:szCs w:val="24"/>
        </w:rPr>
        <w:t>MSAC noted the applicant’s pre-MSAC comments that it considers a 10-year time horizon</w:t>
      </w:r>
      <w:r w:rsidR="00732939" w:rsidRPr="00042CB0">
        <w:rPr>
          <w:szCs w:val="24"/>
        </w:rPr>
        <w:t xml:space="preserve"> </w:t>
      </w:r>
      <w:r w:rsidR="00732939" w:rsidRPr="00042CB0">
        <w:rPr>
          <w:color w:val="000000"/>
          <w:szCs w:val="24"/>
        </w:rPr>
        <w:t xml:space="preserve">is justifiable in the context of MR patients, who are 72 years at baseline, to adequately capture the long-term benefits and costs in that population. MSAC agreed that a 5-year model time horizon (as used for TAVI) was too conservative for the TMVr population which is overall younger than the TAVI population, but considered a 7-year time horizon </w:t>
      </w:r>
      <w:r w:rsidR="00934FA2" w:rsidRPr="00042CB0">
        <w:rPr>
          <w:color w:val="000000"/>
          <w:szCs w:val="24"/>
        </w:rPr>
        <w:t xml:space="preserve">would provide a more appropriate basis for assessing the cost-effectiveness of the proposed intervention. </w:t>
      </w:r>
    </w:p>
    <w:p w14:paraId="19D3BC2D" w14:textId="7EA9F2D4" w:rsidR="00911692" w:rsidRPr="00042CB0" w:rsidRDefault="00934FA2" w:rsidP="00911692">
      <w:pPr>
        <w:spacing w:before="240"/>
        <w:rPr>
          <w:color w:val="000000"/>
          <w:szCs w:val="24"/>
        </w:rPr>
      </w:pPr>
      <w:r w:rsidRPr="00042CB0">
        <w:rPr>
          <w:color w:val="000000"/>
          <w:szCs w:val="24"/>
        </w:rPr>
        <w:t>MSAC noted that</w:t>
      </w:r>
      <w:r w:rsidR="00911692" w:rsidRPr="00042CB0">
        <w:rPr>
          <w:szCs w:val="24"/>
        </w:rPr>
        <w:t xml:space="preserve"> i</w:t>
      </w:r>
      <w:r w:rsidR="00911692" w:rsidRPr="00042CB0">
        <w:rPr>
          <w:color w:val="000000"/>
          <w:szCs w:val="24"/>
        </w:rPr>
        <w:t>f the time horizon in the applicant’s FMR model is set to 7 year</w:t>
      </w:r>
      <w:r w:rsidR="007D66E6">
        <w:rPr>
          <w:color w:val="000000"/>
          <w:szCs w:val="24"/>
        </w:rPr>
        <w:t>s</w:t>
      </w:r>
      <w:r w:rsidR="00911692" w:rsidRPr="00042CB0">
        <w:rPr>
          <w:color w:val="000000"/>
          <w:szCs w:val="24"/>
        </w:rPr>
        <w:t xml:space="preserve"> rather than 10 years, and the MBS fee </w:t>
      </w:r>
      <w:r w:rsidR="007D66E6">
        <w:rPr>
          <w:color w:val="000000"/>
          <w:szCs w:val="24"/>
        </w:rPr>
        <w:t xml:space="preserve">is </w:t>
      </w:r>
      <w:r w:rsidR="00911692" w:rsidRPr="00042CB0">
        <w:rPr>
          <w:color w:val="000000"/>
          <w:szCs w:val="24"/>
        </w:rPr>
        <w:t xml:space="preserve">reduced from  $1748.45 </w:t>
      </w:r>
      <w:r w:rsidR="007D66E6">
        <w:rPr>
          <w:color w:val="000000"/>
          <w:szCs w:val="24"/>
        </w:rPr>
        <w:t>to</w:t>
      </w:r>
      <w:r w:rsidR="00911692" w:rsidRPr="00042CB0">
        <w:rPr>
          <w:color w:val="000000"/>
          <w:szCs w:val="24"/>
        </w:rPr>
        <w:t xml:space="preserve"> $1455.10, the cost of the MitraClip device would need to be adjusted to approximately </w:t>
      </w:r>
      <w:r w:rsidR="000E669E">
        <w:rPr>
          <w:color w:val="000000"/>
          <w:szCs w:val="24"/>
        </w:rPr>
        <w:t>$</w:t>
      </w:r>
      <w:r w:rsidR="00ED24C6" w:rsidRPr="00ED24C6">
        <w:rPr>
          <w:b/>
          <w:szCs w:val="24"/>
        </w:rPr>
        <w:t>redacted</w:t>
      </w:r>
      <w:r w:rsidR="00ED24C6" w:rsidRPr="00042CB0">
        <w:rPr>
          <w:color w:val="000000"/>
          <w:szCs w:val="24"/>
        </w:rPr>
        <w:t xml:space="preserve"> </w:t>
      </w:r>
      <w:r w:rsidR="00911692" w:rsidRPr="00042CB0">
        <w:rPr>
          <w:color w:val="000000"/>
          <w:szCs w:val="24"/>
        </w:rPr>
        <w:t>to maintain the same ICER per QALY (see also Table 9).</w:t>
      </w:r>
    </w:p>
    <w:p w14:paraId="6AE6BA60" w14:textId="58D5B06A" w:rsidR="00911692" w:rsidRPr="00042CB0" w:rsidRDefault="00911692" w:rsidP="00911692">
      <w:pPr>
        <w:spacing w:before="240"/>
        <w:rPr>
          <w:color w:val="000000"/>
          <w:szCs w:val="24"/>
        </w:rPr>
      </w:pPr>
      <w:r w:rsidRPr="00042CB0">
        <w:rPr>
          <w:color w:val="000000"/>
          <w:szCs w:val="24"/>
        </w:rPr>
        <w:t xml:space="preserve">MSAC noted the financial estimates provided by the applicant indicate around two-thirds of the patients who </w:t>
      </w:r>
      <w:r w:rsidR="00C668F8">
        <w:rPr>
          <w:color w:val="000000"/>
          <w:szCs w:val="24"/>
        </w:rPr>
        <w:t xml:space="preserve">are </w:t>
      </w:r>
      <w:r w:rsidRPr="00042CB0">
        <w:rPr>
          <w:color w:val="000000"/>
          <w:szCs w:val="24"/>
        </w:rPr>
        <w:t xml:space="preserve">expected to receive this intervention have DMR and one-third have FMR. On that basis MSAC recommended the price for the MitraClip device used in this procedure be no higher than </w:t>
      </w:r>
      <w:r w:rsidR="000E669E">
        <w:rPr>
          <w:color w:val="000000"/>
          <w:szCs w:val="24"/>
        </w:rPr>
        <w:t>$</w:t>
      </w:r>
      <w:r w:rsidR="00ED24C6" w:rsidRPr="00ED24C6">
        <w:rPr>
          <w:b/>
          <w:szCs w:val="24"/>
        </w:rPr>
        <w:t>redacted</w:t>
      </w:r>
      <w:r w:rsidR="00ED24C6" w:rsidRPr="00042CB0">
        <w:rPr>
          <w:color w:val="000000"/>
          <w:szCs w:val="24"/>
        </w:rPr>
        <w:t xml:space="preserve"> </w:t>
      </w:r>
      <w:r w:rsidRPr="00042CB0">
        <w:rPr>
          <w:color w:val="000000"/>
          <w:szCs w:val="24"/>
        </w:rPr>
        <w:t xml:space="preserve">(See Table 11, assuming an MBS procedure fee of $1455.10). MSAC recommended the same price be paid for the </w:t>
      </w:r>
      <w:r w:rsidR="00042CB0" w:rsidRPr="00042CB0">
        <w:rPr>
          <w:color w:val="000000"/>
          <w:szCs w:val="24"/>
        </w:rPr>
        <w:t xml:space="preserve">MitraClip </w:t>
      </w:r>
      <w:r w:rsidRPr="00042CB0">
        <w:rPr>
          <w:color w:val="000000"/>
          <w:szCs w:val="24"/>
        </w:rPr>
        <w:t xml:space="preserve">device irrespective of the number </w:t>
      </w:r>
      <w:r w:rsidR="00C668F8">
        <w:rPr>
          <w:color w:val="000000"/>
          <w:szCs w:val="24"/>
        </w:rPr>
        <w:t xml:space="preserve">of devices </w:t>
      </w:r>
      <w:r w:rsidRPr="00042CB0">
        <w:rPr>
          <w:color w:val="000000"/>
          <w:szCs w:val="24"/>
        </w:rPr>
        <w:t>used</w:t>
      </w:r>
      <w:r w:rsidR="00042CB0" w:rsidRPr="00042CB0">
        <w:rPr>
          <w:color w:val="000000"/>
          <w:szCs w:val="24"/>
        </w:rPr>
        <w:t xml:space="preserve"> in a single procedure.</w:t>
      </w:r>
      <w:r w:rsidRPr="00042CB0">
        <w:rPr>
          <w:color w:val="000000"/>
          <w:szCs w:val="24"/>
        </w:rPr>
        <w:t xml:space="preserve"> </w:t>
      </w:r>
    </w:p>
    <w:p w14:paraId="3088DF46" w14:textId="77777777" w:rsidR="00C00674" w:rsidRPr="00042CB0" w:rsidRDefault="00C00674" w:rsidP="00C00674">
      <w:pPr>
        <w:spacing w:before="240"/>
        <w:rPr>
          <w:szCs w:val="24"/>
        </w:rPr>
      </w:pPr>
      <w:r w:rsidRPr="00042CB0">
        <w:rPr>
          <w:szCs w:val="24"/>
        </w:rPr>
        <w:t>MSAC noted that the</w:t>
      </w:r>
      <w:r w:rsidR="00042CB0" w:rsidRPr="00042CB0">
        <w:rPr>
          <w:szCs w:val="24"/>
        </w:rPr>
        <w:t xml:space="preserve"> application</w:t>
      </w:r>
      <w:r w:rsidR="00C668F8">
        <w:rPr>
          <w:szCs w:val="24"/>
        </w:rPr>
        <w:t>’</w:t>
      </w:r>
      <w:r w:rsidR="00042CB0" w:rsidRPr="00042CB0">
        <w:rPr>
          <w:szCs w:val="24"/>
        </w:rPr>
        <w:t>s</w:t>
      </w:r>
      <w:r w:rsidRPr="00042CB0">
        <w:rPr>
          <w:szCs w:val="24"/>
        </w:rPr>
        <w:t xml:space="preserve"> financial</w:t>
      </w:r>
      <w:r w:rsidR="00042CB0" w:rsidRPr="00042CB0">
        <w:rPr>
          <w:szCs w:val="24"/>
        </w:rPr>
        <w:t xml:space="preserve"> estimates would need to be revised to take into account the outcomes of the MSAC’s considerations.</w:t>
      </w:r>
    </w:p>
    <w:p w14:paraId="0DEA5793" w14:textId="77777777" w:rsidR="00C00674" w:rsidRPr="00042CB0" w:rsidRDefault="00C00674" w:rsidP="00C00674">
      <w:pPr>
        <w:spacing w:before="240"/>
        <w:rPr>
          <w:szCs w:val="24"/>
        </w:rPr>
      </w:pPr>
      <w:r w:rsidRPr="00042CB0">
        <w:rPr>
          <w:szCs w:val="24"/>
        </w:rPr>
        <w:t xml:space="preserve">MSAC </w:t>
      </w:r>
      <w:r w:rsidR="00C668F8">
        <w:rPr>
          <w:szCs w:val="24"/>
        </w:rPr>
        <w:t xml:space="preserve">agreed </w:t>
      </w:r>
      <w:r w:rsidRPr="00042CB0">
        <w:rPr>
          <w:szCs w:val="24"/>
        </w:rPr>
        <w:t>that providers should be accredited to be able to claim TMVr on the MBS, and</w:t>
      </w:r>
      <w:r w:rsidR="00CF74CA" w:rsidRPr="00042CB0">
        <w:rPr>
          <w:szCs w:val="24"/>
        </w:rPr>
        <w:t xml:space="preserve"> agreed with the Department</w:t>
      </w:r>
      <w:r w:rsidRPr="00042CB0">
        <w:rPr>
          <w:szCs w:val="24"/>
        </w:rPr>
        <w:t xml:space="preserve"> that the TAVI accreditation committee may</w:t>
      </w:r>
      <w:r w:rsidR="00CF74CA" w:rsidRPr="00042CB0">
        <w:rPr>
          <w:szCs w:val="24"/>
        </w:rPr>
        <w:t xml:space="preserve"> also</w:t>
      </w:r>
      <w:r w:rsidRPr="00042CB0">
        <w:rPr>
          <w:szCs w:val="24"/>
        </w:rPr>
        <w:t xml:space="preserve"> be appropriate for TMVr.</w:t>
      </w:r>
    </w:p>
    <w:p w14:paraId="722E5F64" w14:textId="77777777" w:rsidR="00E57DB1" w:rsidRPr="00042CB0" w:rsidRDefault="00C00674" w:rsidP="00C00674">
      <w:pPr>
        <w:spacing w:before="240"/>
        <w:rPr>
          <w:szCs w:val="24"/>
        </w:rPr>
      </w:pPr>
      <w:r w:rsidRPr="00042CB0">
        <w:rPr>
          <w:szCs w:val="24"/>
        </w:rPr>
        <w:t>MSAC noted the consumer feedback strongly supporting a TMVr registry for quality assurance purposes. MSAC agreed that a registry should be a condition of listing, but</w:t>
      </w:r>
      <w:r w:rsidR="00CF74CA" w:rsidRPr="00042CB0">
        <w:rPr>
          <w:szCs w:val="24"/>
        </w:rPr>
        <w:t xml:space="preserve"> noted the Department’s advice that there is currently </w:t>
      </w:r>
      <w:r w:rsidRPr="00042CB0">
        <w:rPr>
          <w:szCs w:val="24"/>
        </w:rPr>
        <w:t xml:space="preserve">no legal </w:t>
      </w:r>
      <w:r w:rsidR="00CF74CA" w:rsidRPr="00042CB0">
        <w:rPr>
          <w:szCs w:val="24"/>
        </w:rPr>
        <w:t xml:space="preserve">basis </w:t>
      </w:r>
      <w:r w:rsidRPr="00042CB0">
        <w:rPr>
          <w:szCs w:val="24"/>
        </w:rPr>
        <w:t xml:space="preserve">to make such a registry compulsory. </w:t>
      </w:r>
      <w:r w:rsidR="00A25000" w:rsidRPr="00042CB0">
        <w:rPr>
          <w:szCs w:val="24"/>
        </w:rPr>
        <w:t>MSAC noted the Department’s advice that it</w:t>
      </w:r>
      <w:r w:rsidRPr="00042CB0">
        <w:rPr>
          <w:szCs w:val="24"/>
        </w:rPr>
        <w:t xml:space="preserve"> is working towards establishing a legal </w:t>
      </w:r>
      <w:r w:rsidR="00A25000" w:rsidRPr="00042CB0">
        <w:rPr>
          <w:szCs w:val="24"/>
        </w:rPr>
        <w:t>basis</w:t>
      </w:r>
      <w:r w:rsidRPr="00042CB0">
        <w:rPr>
          <w:szCs w:val="24"/>
        </w:rPr>
        <w:t xml:space="preserve"> for </w:t>
      </w:r>
      <w:r w:rsidR="00A25000" w:rsidRPr="00042CB0">
        <w:rPr>
          <w:szCs w:val="24"/>
        </w:rPr>
        <w:t>this type of registry.</w:t>
      </w:r>
    </w:p>
    <w:p w14:paraId="780E79FC" w14:textId="77777777" w:rsidR="00E57DB1" w:rsidRPr="00F715D1" w:rsidRDefault="00E57DB1" w:rsidP="00E57DB1">
      <w:pPr>
        <w:pStyle w:val="Heading1"/>
      </w:pPr>
      <w:r w:rsidRPr="00F715D1">
        <w:t>Background</w:t>
      </w:r>
    </w:p>
    <w:p w14:paraId="5E6A9FB9" w14:textId="77777777" w:rsidR="00E47DC5" w:rsidRPr="00F657E0" w:rsidRDefault="00E47DC5" w:rsidP="00F657E0">
      <w:pPr>
        <w:spacing w:after="240"/>
        <w:rPr>
          <w:highlight w:val="cyan"/>
        </w:rPr>
      </w:pPr>
      <w:r w:rsidRPr="00547EC2">
        <w:t xml:space="preserve">This </w:t>
      </w:r>
      <w:r>
        <w:t xml:space="preserve">resubmission (Applicant Developed Assessment Report [ADAR]) </w:t>
      </w:r>
      <w:r w:rsidRPr="00547EC2">
        <w:t xml:space="preserve">is the </w:t>
      </w:r>
      <w:r>
        <w:t>fourth</w:t>
      </w:r>
      <w:r w:rsidRPr="00547EC2">
        <w:t xml:space="preserve"> </w:t>
      </w:r>
      <w:r>
        <w:t>iteration of this application series (</w:t>
      </w:r>
      <w:r w:rsidRPr="00547EC2">
        <w:t>1192</w:t>
      </w:r>
      <w:r>
        <w:t>)</w:t>
      </w:r>
      <w:r w:rsidR="00F657E0">
        <w:t>.</w:t>
      </w:r>
    </w:p>
    <w:p w14:paraId="3B7E5AB1" w14:textId="77777777" w:rsidR="00E47DC5" w:rsidRDefault="00E47DC5" w:rsidP="00F657E0">
      <w:pPr>
        <w:spacing w:after="240"/>
      </w:pPr>
      <w:r>
        <w:t xml:space="preserve">In November 2012, MSAC considered Application 1192 for patients with moderate to severe MR and did not support public funding. The then comparator was conventional surgery for repair or replacement of the mitral valve and, to a lesser extent, medical management for patients considered to be high risk. MSAC considered that MitraClip therapy may be </w:t>
      </w:r>
      <w:r>
        <w:lastRenderedPageBreak/>
        <w:t>beneficial to treat high risk patients. However, the MSAC noted that there would need to be a high-level study performe</w:t>
      </w:r>
      <w:r w:rsidR="00F657E0">
        <w:t>d to address the lack of data.</w:t>
      </w:r>
    </w:p>
    <w:p w14:paraId="796A1403" w14:textId="77777777" w:rsidR="00E47DC5" w:rsidRDefault="00E47DC5" w:rsidP="00F657E0">
      <w:pPr>
        <w:spacing w:after="240"/>
      </w:pPr>
      <w:r>
        <w:t>In April 2014, MSAC considered Application 1192.1 and did not support public funding for the reduction of MR through tissue approximation using transvenous/transeptal techniques because of uncertain comparative safety, effectiveness and cost-effectiveness due to limited direct comparative data. MSAC considered it was difficult to define a clinical need in terms of the patient</w:t>
      </w:r>
      <w:r w:rsidR="00F657E0">
        <w:t xml:space="preserve"> population likely to benefit.</w:t>
      </w:r>
    </w:p>
    <w:p w14:paraId="758E9D84" w14:textId="77777777" w:rsidR="00E47DC5" w:rsidRDefault="00E47DC5" w:rsidP="00F657E0">
      <w:pPr>
        <w:spacing w:after="240"/>
      </w:pPr>
      <w:r>
        <w:t>In July 2016, MSAC considered Application 1192.2 and did not support the application due to continued uncertainty about clinical effectiveness and cost-effectiveness of reduction of severe MR through tissue approximation using transvenous/</w:t>
      </w:r>
      <w:r w:rsidR="00F657E0">
        <w:t>transeptal</w:t>
      </w:r>
      <w:r>
        <w:t xml:space="preserve"> techniques in patients with severe DMR (grade 3+ or 4+) considered to be high risk for surgery.</w:t>
      </w:r>
      <w:r w:rsidRPr="00C31A85">
        <w:t xml:space="preserve"> </w:t>
      </w:r>
      <w:r>
        <w:t>However, MSAC noted that there is a clinical need in a small group of patients with severe DMR w</w:t>
      </w:r>
      <w:r w:rsidR="00F657E0">
        <w:t>ho are unsuitable for surgery.</w:t>
      </w:r>
    </w:p>
    <w:p w14:paraId="7B3DB67A" w14:textId="77777777" w:rsidR="00E47DC5" w:rsidRDefault="00E47DC5" w:rsidP="00E47DC5">
      <w:r>
        <w:t>The Public Summary Document</w:t>
      </w:r>
      <w:r w:rsidR="00F657E0">
        <w:t>s</w:t>
      </w:r>
      <w:r>
        <w:t xml:space="preserve"> (PSD) for Application 1192, 1192.1 and 1192.2 are available on the MSAC website.</w:t>
      </w:r>
    </w:p>
    <w:p w14:paraId="098E6B52" w14:textId="77777777" w:rsidR="00E57DB1" w:rsidRPr="00F715D1" w:rsidRDefault="00E57DB1" w:rsidP="00E57DB1">
      <w:pPr>
        <w:pStyle w:val="Heading1"/>
      </w:pPr>
      <w:r w:rsidRPr="00F715D1">
        <w:t>Prerequisites to implementation of any funding advice</w:t>
      </w:r>
    </w:p>
    <w:p w14:paraId="37B7EC27" w14:textId="77777777" w:rsidR="00E47DC5" w:rsidRPr="00183E4D" w:rsidRDefault="00E47DC5" w:rsidP="00F657E0">
      <w:pPr>
        <w:spacing w:after="240"/>
      </w:pPr>
      <w:r w:rsidRPr="00183E4D">
        <w:t xml:space="preserve">Items on the </w:t>
      </w:r>
      <w:r w:rsidRPr="00226269">
        <w:t xml:space="preserve">Australian Register of Therapeutic Goods (ARTG) </w:t>
      </w:r>
      <w:r w:rsidRPr="00183E4D">
        <w:t xml:space="preserve">that are relevant to </w:t>
      </w:r>
      <w:r w:rsidRPr="00EE07D5">
        <w:t xml:space="preserve">this application are shown in </w:t>
      </w:r>
      <w:r w:rsidRPr="00EE07D5">
        <w:fldChar w:fldCharType="begin"/>
      </w:r>
      <w:r w:rsidRPr="00EE07D5">
        <w:instrText xml:space="preserve"> REF _Ref364240778 \h  \* MERGEFORMAT </w:instrText>
      </w:r>
      <w:r w:rsidRPr="00EE07D5">
        <w:fldChar w:fldCharType="separate"/>
      </w:r>
      <w:r w:rsidRPr="00153BF4">
        <w:t>Table</w:t>
      </w:r>
      <w:r>
        <w:t xml:space="preserve"> 1</w:t>
      </w:r>
      <w:r w:rsidRPr="00EE07D5">
        <w:fldChar w:fldCharType="end"/>
      </w:r>
      <w:r w:rsidRPr="00EE07D5">
        <w:t>.</w:t>
      </w:r>
    </w:p>
    <w:p w14:paraId="25EB52F6" w14:textId="77777777" w:rsidR="00E47DC5" w:rsidRPr="00BE70ED" w:rsidRDefault="00E47DC5" w:rsidP="00BE70ED">
      <w:pPr>
        <w:keepNext/>
        <w:keepLines/>
        <w:rPr>
          <w:rFonts w:ascii="Arial Narrow" w:hAnsi="Arial Narrow"/>
          <w:b/>
          <w:sz w:val="20"/>
        </w:rPr>
      </w:pPr>
      <w:bookmarkStart w:id="0" w:name="_Ref364240778"/>
      <w:bookmarkStart w:id="1" w:name="_Toc381969859"/>
      <w:bookmarkStart w:id="2" w:name="_Toc22047109"/>
      <w:r w:rsidRPr="00BE70ED">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1</w:t>
      </w:r>
      <w:r w:rsidRPr="00BE70ED">
        <w:rPr>
          <w:rFonts w:ascii="Arial Narrow" w:hAnsi="Arial Narrow"/>
          <w:b/>
          <w:sz w:val="20"/>
        </w:rPr>
        <w:fldChar w:fldCharType="end"/>
      </w:r>
      <w:bookmarkEnd w:id="0"/>
      <w:r w:rsidRPr="00BE70ED">
        <w:rPr>
          <w:rFonts w:ascii="Arial Narrow" w:hAnsi="Arial Narrow"/>
          <w:b/>
          <w:sz w:val="20"/>
        </w:rPr>
        <w:t xml:space="preserve"> Mitral valve tissue repair systems listed on the ARTG</w:t>
      </w:r>
      <w:bookmarkEnd w:id="1"/>
      <w:bookmarkEnd w:id="2"/>
    </w:p>
    <w:tbl>
      <w:tblPr>
        <w:tblStyle w:val="TableGrid"/>
        <w:tblW w:w="0" w:type="auto"/>
        <w:tblLook w:val="04A0" w:firstRow="1" w:lastRow="0" w:firstColumn="1" w:lastColumn="0" w:noHBand="0" w:noVBand="1"/>
        <w:tblCaption w:val="Table 10 XXX listed on the Australian Register of Therapeutic Goods"/>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331"/>
        <w:gridCol w:w="1320"/>
        <w:gridCol w:w="3348"/>
        <w:gridCol w:w="1957"/>
        <w:gridCol w:w="1060"/>
      </w:tblGrid>
      <w:tr w:rsidR="00E47DC5" w:rsidRPr="00183E4D" w14:paraId="57F96EAE" w14:textId="77777777" w:rsidTr="005462CA">
        <w:trPr>
          <w:tblHeader/>
        </w:trPr>
        <w:tc>
          <w:tcPr>
            <w:tcW w:w="1331" w:type="dxa"/>
          </w:tcPr>
          <w:p w14:paraId="4FDA6316" w14:textId="77777777" w:rsidR="00E47DC5" w:rsidRPr="00F56CB3" w:rsidRDefault="00E47DC5" w:rsidP="00BE70ED">
            <w:pPr>
              <w:pStyle w:val="Tabletext"/>
              <w:keepNext/>
              <w:keepLines/>
              <w:rPr>
                <w:b/>
              </w:rPr>
            </w:pPr>
            <w:r w:rsidRPr="00F56CB3">
              <w:rPr>
                <w:b/>
              </w:rPr>
              <w:t>ARTG no.</w:t>
            </w:r>
          </w:p>
        </w:tc>
        <w:tc>
          <w:tcPr>
            <w:tcW w:w="1320" w:type="dxa"/>
          </w:tcPr>
          <w:p w14:paraId="081813EB" w14:textId="77777777" w:rsidR="00E47DC5" w:rsidRPr="00F56CB3" w:rsidRDefault="00E47DC5" w:rsidP="00BE70ED">
            <w:pPr>
              <w:pStyle w:val="Tabletext"/>
              <w:keepNext/>
              <w:keepLines/>
              <w:rPr>
                <w:b/>
              </w:rPr>
            </w:pPr>
            <w:r w:rsidRPr="00F56CB3">
              <w:rPr>
                <w:b/>
              </w:rPr>
              <w:t>Product no./ product category</w:t>
            </w:r>
          </w:p>
        </w:tc>
        <w:tc>
          <w:tcPr>
            <w:tcW w:w="3350" w:type="dxa"/>
          </w:tcPr>
          <w:p w14:paraId="1EC0D871" w14:textId="77777777" w:rsidR="00E47DC5" w:rsidRPr="00F56CB3" w:rsidRDefault="00E47DC5" w:rsidP="00BE70ED">
            <w:pPr>
              <w:pStyle w:val="Tabletext"/>
              <w:keepNext/>
              <w:keepLines/>
              <w:rPr>
                <w:b/>
              </w:rPr>
            </w:pPr>
            <w:r w:rsidRPr="00F56CB3">
              <w:rPr>
                <w:b/>
              </w:rPr>
              <w:t>Product description</w:t>
            </w:r>
          </w:p>
        </w:tc>
        <w:tc>
          <w:tcPr>
            <w:tcW w:w="1958" w:type="dxa"/>
          </w:tcPr>
          <w:p w14:paraId="673C381F" w14:textId="77777777" w:rsidR="00E47DC5" w:rsidRPr="00F56CB3" w:rsidRDefault="00E47DC5" w:rsidP="00BE70ED">
            <w:pPr>
              <w:pStyle w:val="Tabletext"/>
              <w:keepNext/>
              <w:keepLines/>
              <w:rPr>
                <w:b/>
              </w:rPr>
            </w:pPr>
            <w:r w:rsidRPr="00F56CB3">
              <w:rPr>
                <w:b/>
              </w:rPr>
              <w:t>Intended use</w:t>
            </w:r>
          </w:p>
        </w:tc>
        <w:tc>
          <w:tcPr>
            <w:tcW w:w="1060" w:type="dxa"/>
          </w:tcPr>
          <w:p w14:paraId="0C41EBA2" w14:textId="77777777" w:rsidR="00E47DC5" w:rsidRPr="00F56CB3" w:rsidRDefault="00E47DC5" w:rsidP="00BE70ED">
            <w:pPr>
              <w:pStyle w:val="Tabletext"/>
              <w:keepNext/>
              <w:keepLines/>
              <w:rPr>
                <w:b/>
              </w:rPr>
            </w:pPr>
            <w:r w:rsidRPr="00F56CB3">
              <w:rPr>
                <w:b/>
              </w:rPr>
              <w:t>Sponsor</w:t>
            </w:r>
          </w:p>
        </w:tc>
      </w:tr>
      <w:tr w:rsidR="00E47DC5" w:rsidRPr="00183E4D" w14:paraId="2537762F" w14:textId="77777777" w:rsidTr="005462CA">
        <w:tc>
          <w:tcPr>
            <w:tcW w:w="1331" w:type="dxa"/>
          </w:tcPr>
          <w:p w14:paraId="1717F855" w14:textId="77777777" w:rsidR="00E47DC5" w:rsidRDefault="00E47DC5" w:rsidP="004030AA">
            <w:pPr>
              <w:pStyle w:val="Tabletext"/>
            </w:pPr>
            <w:r>
              <w:t>309700</w:t>
            </w:r>
          </w:p>
          <w:p w14:paraId="1806E408" w14:textId="77777777" w:rsidR="00E47DC5" w:rsidRPr="00183E4D" w:rsidRDefault="00E47DC5" w:rsidP="00ED24C6">
            <w:pPr>
              <w:pStyle w:val="Tabletext"/>
              <w:spacing w:before="240"/>
            </w:pPr>
            <w:r>
              <w:t>Date: 26/09/2018</w:t>
            </w:r>
          </w:p>
        </w:tc>
        <w:tc>
          <w:tcPr>
            <w:tcW w:w="1320" w:type="dxa"/>
          </w:tcPr>
          <w:p w14:paraId="5B66CC70" w14:textId="77777777" w:rsidR="00E47DC5" w:rsidRPr="00183E4D" w:rsidRDefault="00E47DC5" w:rsidP="004030AA">
            <w:pPr>
              <w:pStyle w:val="Tabletext"/>
            </w:pPr>
            <w:r>
              <w:t>56280 / Medical Device Class III</w:t>
            </w:r>
          </w:p>
        </w:tc>
        <w:tc>
          <w:tcPr>
            <w:tcW w:w="3350" w:type="dxa"/>
          </w:tcPr>
          <w:p w14:paraId="11BDD41C" w14:textId="77777777" w:rsidR="00E47DC5" w:rsidRPr="00F85BAF" w:rsidRDefault="00E47DC5" w:rsidP="004030AA">
            <w:pPr>
              <w:pStyle w:val="Tabletext"/>
              <w:rPr>
                <w:u w:val="single"/>
              </w:rPr>
            </w:pPr>
            <w:r w:rsidRPr="00F85BAF">
              <w:rPr>
                <w:u w:val="single"/>
              </w:rPr>
              <w:t>Mitral valve tissue repair system</w:t>
            </w:r>
          </w:p>
          <w:p w14:paraId="3A7EED78" w14:textId="77777777" w:rsidR="00E47DC5" w:rsidRPr="00183E4D" w:rsidRDefault="00E47DC5" w:rsidP="004030AA">
            <w:pPr>
              <w:pStyle w:val="Tabletext"/>
            </w:pPr>
            <w:r>
              <w:t>The MitraClip NTR/XTR Systems consists of the Clip Delivery System (CDS) and the Steerable Guide Catheter (SGC). The CDS is introduced into the body through a SGC which includes a dilator. The CDS is used to advance and manipulate the MitraClip NTR/XTR device for proper positioning and placement on the mitral valve leaflets.</w:t>
            </w:r>
          </w:p>
        </w:tc>
        <w:tc>
          <w:tcPr>
            <w:tcW w:w="1958" w:type="dxa"/>
          </w:tcPr>
          <w:p w14:paraId="3268F062" w14:textId="77777777" w:rsidR="00E47DC5" w:rsidRPr="00183E4D" w:rsidRDefault="00E47DC5" w:rsidP="004030AA">
            <w:pPr>
              <w:pStyle w:val="Tabletext"/>
            </w:pPr>
            <w:r>
              <w:t>The MitraClip System is intended for reconstruction of the insufficient mitral valve through tissue approximation</w:t>
            </w:r>
          </w:p>
        </w:tc>
        <w:tc>
          <w:tcPr>
            <w:tcW w:w="1060" w:type="dxa"/>
          </w:tcPr>
          <w:p w14:paraId="7EDAA6A1" w14:textId="77777777" w:rsidR="00E47DC5" w:rsidRPr="00183E4D" w:rsidRDefault="00E47DC5" w:rsidP="004030AA">
            <w:pPr>
              <w:pStyle w:val="Tabletext"/>
            </w:pPr>
            <w:r>
              <w:t>Abbott Vascular</w:t>
            </w:r>
          </w:p>
        </w:tc>
      </w:tr>
      <w:tr w:rsidR="00E47DC5" w:rsidRPr="00183E4D" w14:paraId="10EEB6BE" w14:textId="77777777" w:rsidTr="005462CA">
        <w:tc>
          <w:tcPr>
            <w:tcW w:w="1331" w:type="dxa"/>
          </w:tcPr>
          <w:p w14:paraId="5BBDC11D" w14:textId="77777777" w:rsidR="00E47DC5" w:rsidRDefault="00E47DC5" w:rsidP="004030AA">
            <w:pPr>
              <w:pStyle w:val="Tabletext"/>
            </w:pPr>
            <w:r>
              <w:t>309701</w:t>
            </w:r>
          </w:p>
          <w:p w14:paraId="1EB56B3A" w14:textId="77777777" w:rsidR="00E47DC5" w:rsidRDefault="00E47DC5" w:rsidP="00ED24C6">
            <w:pPr>
              <w:pStyle w:val="Tabletext"/>
              <w:spacing w:before="240"/>
            </w:pPr>
            <w:r>
              <w:t>Date: 26/09/2018</w:t>
            </w:r>
          </w:p>
        </w:tc>
        <w:tc>
          <w:tcPr>
            <w:tcW w:w="1320" w:type="dxa"/>
          </w:tcPr>
          <w:p w14:paraId="30DF554E" w14:textId="77777777" w:rsidR="00E47DC5" w:rsidRPr="00F85BAF" w:rsidRDefault="00E47DC5" w:rsidP="004030AA">
            <w:pPr>
              <w:pStyle w:val="Tabletext"/>
              <w:rPr>
                <w:u w:val="single"/>
              </w:rPr>
            </w:pPr>
            <w:r>
              <w:t>57790 / Medical Device Class III</w:t>
            </w:r>
          </w:p>
        </w:tc>
        <w:tc>
          <w:tcPr>
            <w:tcW w:w="3350" w:type="dxa"/>
          </w:tcPr>
          <w:p w14:paraId="02D864E3" w14:textId="77777777" w:rsidR="00E47DC5" w:rsidRPr="00F85BAF" w:rsidRDefault="00E47DC5" w:rsidP="004030AA">
            <w:pPr>
              <w:pStyle w:val="Tabletext"/>
              <w:rPr>
                <w:u w:val="single"/>
              </w:rPr>
            </w:pPr>
            <w:r w:rsidRPr="00F85BAF">
              <w:rPr>
                <w:u w:val="single"/>
              </w:rPr>
              <w:t>Mitral valve clip</w:t>
            </w:r>
          </w:p>
          <w:p w14:paraId="42A2F9E2" w14:textId="77777777" w:rsidR="00E47DC5" w:rsidRDefault="00E47DC5" w:rsidP="004030AA">
            <w:pPr>
              <w:pStyle w:val="Tabletext"/>
            </w:pPr>
            <w:r>
              <w:t>The MitraClip NTR/ XTR Clip Delivery System (CDS0602) consists of three major components: The Delivery Catheter, the Steerable Sleeve and the MitraClip Device. The MitraClip NTR/XTR device is a percutaneously implantable mechanical Clip that grasps and coapts the mitral valve leaflets resulting in fixed approximation of the mitral leaflets throughout the cardiac cycle.</w:t>
            </w:r>
          </w:p>
        </w:tc>
        <w:tc>
          <w:tcPr>
            <w:tcW w:w="1958" w:type="dxa"/>
          </w:tcPr>
          <w:p w14:paraId="01592D66" w14:textId="77777777" w:rsidR="00E47DC5" w:rsidRDefault="00E47DC5" w:rsidP="004030AA">
            <w:pPr>
              <w:pStyle w:val="Tabletext"/>
            </w:pPr>
            <w:r>
              <w:t>The MitraClip NTR/XTR CDS is used to advance and manipulate the MitraClip device which is intended for reconstruction of the insufficient mitral valve through tissue approximation</w:t>
            </w:r>
          </w:p>
        </w:tc>
        <w:tc>
          <w:tcPr>
            <w:tcW w:w="1060" w:type="dxa"/>
          </w:tcPr>
          <w:p w14:paraId="552F4173" w14:textId="77777777" w:rsidR="00E47DC5" w:rsidRPr="00183E4D" w:rsidRDefault="00E47DC5" w:rsidP="004030AA">
            <w:pPr>
              <w:pStyle w:val="Tabletext"/>
            </w:pPr>
            <w:r>
              <w:t>Abbott Vascular</w:t>
            </w:r>
          </w:p>
        </w:tc>
      </w:tr>
      <w:tr w:rsidR="00E47DC5" w:rsidRPr="00C13573" w14:paraId="1BCFE229" w14:textId="77777777" w:rsidTr="005462CA">
        <w:tc>
          <w:tcPr>
            <w:tcW w:w="1331" w:type="dxa"/>
          </w:tcPr>
          <w:p w14:paraId="30E54D6C" w14:textId="77777777" w:rsidR="00E47DC5" w:rsidRPr="00C13573" w:rsidRDefault="00E47DC5" w:rsidP="004030AA">
            <w:pPr>
              <w:pStyle w:val="Tabletext"/>
            </w:pPr>
            <w:r w:rsidRPr="00C13573">
              <w:t>292317*</w:t>
            </w:r>
          </w:p>
          <w:p w14:paraId="6416AD1C" w14:textId="77777777" w:rsidR="00E47DC5" w:rsidRPr="00C13573" w:rsidRDefault="00E47DC5" w:rsidP="00ED24C6">
            <w:pPr>
              <w:pStyle w:val="Tabletext"/>
              <w:spacing w:before="240"/>
            </w:pPr>
            <w:r w:rsidRPr="00C13573">
              <w:t>Date:</w:t>
            </w:r>
          </w:p>
          <w:p w14:paraId="5F007096" w14:textId="39248B52" w:rsidR="00E47DC5" w:rsidRPr="00C13573" w:rsidRDefault="00E47DC5" w:rsidP="004030AA">
            <w:pPr>
              <w:pStyle w:val="Tabletext"/>
            </w:pPr>
            <w:r w:rsidRPr="00C13573">
              <w:t>2/08/2017</w:t>
            </w:r>
          </w:p>
        </w:tc>
        <w:tc>
          <w:tcPr>
            <w:tcW w:w="1320" w:type="dxa"/>
          </w:tcPr>
          <w:p w14:paraId="2EEC1EDB" w14:textId="77777777" w:rsidR="00E47DC5" w:rsidRPr="00C13573" w:rsidRDefault="00E47DC5" w:rsidP="004030AA">
            <w:pPr>
              <w:pStyle w:val="Tabletext"/>
            </w:pPr>
            <w:r w:rsidRPr="00C13573">
              <w:t>37039 /</w:t>
            </w:r>
          </w:p>
          <w:p w14:paraId="336894C5" w14:textId="77777777" w:rsidR="00E47DC5" w:rsidRPr="00C13573" w:rsidRDefault="00E47DC5" w:rsidP="004030AA">
            <w:pPr>
              <w:pStyle w:val="Tabletext"/>
            </w:pPr>
            <w:r w:rsidRPr="00C13573">
              <w:t>Medical Device Class I</w:t>
            </w:r>
          </w:p>
        </w:tc>
        <w:tc>
          <w:tcPr>
            <w:tcW w:w="3350" w:type="dxa"/>
          </w:tcPr>
          <w:p w14:paraId="4E2021E8" w14:textId="77777777" w:rsidR="00E47DC5" w:rsidRPr="00C13573" w:rsidRDefault="00E47DC5" w:rsidP="004030AA">
            <w:pPr>
              <w:pStyle w:val="Tabletext"/>
              <w:rPr>
                <w:u w:val="single"/>
              </w:rPr>
            </w:pPr>
            <w:r w:rsidRPr="00C13573">
              <w:rPr>
                <w:u w:val="single"/>
              </w:rPr>
              <w:t>MitraClip Accessories</w:t>
            </w:r>
          </w:p>
          <w:p w14:paraId="41C1A10A" w14:textId="77777777" w:rsidR="00E47DC5" w:rsidRPr="00C13573" w:rsidRDefault="00E47DC5" w:rsidP="004030AA">
            <w:pPr>
              <w:pStyle w:val="Tabletext"/>
              <w:rPr>
                <w:u w:val="single"/>
              </w:rPr>
            </w:pPr>
            <w:r w:rsidRPr="00C13573">
              <w:t>Accessories used in conjunction with the MitraClip System: 1) a Stabilizer, 2) a Lift, 3) a Support (Plexiglas) Plate.</w:t>
            </w:r>
          </w:p>
        </w:tc>
        <w:tc>
          <w:tcPr>
            <w:tcW w:w="1958" w:type="dxa"/>
          </w:tcPr>
          <w:p w14:paraId="3C4BDBB8" w14:textId="77777777" w:rsidR="00E47DC5" w:rsidRPr="00C13573" w:rsidRDefault="00E47DC5" w:rsidP="004030AA">
            <w:pPr>
              <w:pStyle w:val="Tabletext"/>
            </w:pPr>
            <w:r w:rsidRPr="00C13573">
              <w:t>A device used to stabilize or support a variety of other devices, used in conjunction with surgical</w:t>
            </w:r>
          </w:p>
          <w:p w14:paraId="4538E893" w14:textId="77777777" w:rsidR="00E47DC5" w:rsidRPr="00C13573" w:rsidRDefault="00E47DC5" w:rsidP="004030AA">
            <w:pPr>
              <w:pStyle w:val="Tabletext"/>
            </w:pPr>
            <w:r w:rsidRPr="00C13573">
              <w:t>procedures.</w:t>
            </w:r>
          </w:p>
        </w:tc>
        <w:tc>
          <w:tcPr>
            <w:tcW w:w="1060" w:type="dxa"/>
          </w:tcPr>
          <w:p w14:paraId="333F3B3A" w14:textId="77777777" w:rsidR="00E47DC5" w:rsidRPr="00C13573" w:rsidRDefault="00E47DC5" w:rsidP="004030AA">
            <w:pPr>
              <w:pStyle w:val="Tabletext"/>
            </w:pPr>
            <w:r w:rsidRPr="00C13573">
              <w:t>Abbott Vascular</w:t>
            </w:r>
          </w:p>
        </w:tc>
      </w:tr>
      <w:tr w:rsidR="00E47DC5" w:rsidRPr="00C13573" w14:paraId="64A7609C" w14:textId="77777777" w:rsidTr="005462CA">
        <w:tc>
          <w:tcPr>
            <w:tcW w:w="1331" w:type="dxa"/>
          </w:tcPr>
          <w:p w14:paraId="1123FA51" w14:textId="77777777" w:rsidR="00E47DC5" w:rsidRPr="00C13573" w:rsidRDefault="00E47DC5" w:rsidP="004030AA">
            <w:pPr>
              <w:pStyle w:val="Tabletext"/>
            </w:pPr>
            <w:r w:rsidRPr="00C13573">
              <w:lastRenderedPageBreak/>
              <w:t>289168</w:t>
            </w:r>
          </w:p>
          <w:p w14:paraId="2E06D4E0" w14:textId="77777777" w:rsidR="00E47DC5" w:rsidRPr="00C13573" w:rsidRDefault="00E47DC5" w:rsidP="00ED24C6">
            <w:pPr>
              <w:pStyle w:val="Tabletext"/>
              <w:spacing w:before="240"/>
            </w:pPr>
            <w:r w:rsidRPr="00C13573">
              <w:t>Date: 19/05/2017</w:t>
            </w:r>
          </w:p>
        </w:tc>
        <w:tc>
          <w:tcPr>
            <w:tcW w:w="1320" w:type="dxa"/>
          </w:tcPr>
          <w:p w14:paraId="572164F3" w14:textId="77777777" w:rsidR="00E47DC5" w:rsidRPr="00C13573" w:rsidRDefault="00E47DC5" w:rsidP="004030AA">
            <w:pPr>
              <w:pStyle w:val="Tabletext"/>
              <w:rPr>
                <w:u w:val="single"/>
              </w:rPr>
            </w:pPr>
            <w:r w:rsidRPr="00C13573">
              <w:t>57790/ Medical Device Class III</w:t>
            </w:r>
          </w:p>
        </w:tc>
        <w:tc>
          <w:tcPr>
            <w:tcW w:w="3350" w:type="dxa"/>
          </w:tcPr>
          <w:p w14:paraId="372A945F" w14:textId="77777777" w:rsidR="00E47DC5" w:rsidRPr="00C13573" w:rsidRDefault="00E47DC5" w:rsidP="004030AA">
            <w:pPr>
              <w:pStyle w:val="Tabletext"/>
              <w:rPr>
                <w:u w:val="single"/>
              </w:rPr>
            </w:pPr>
            <w:r w:rsidRPr="00C13573">
              <w:rPr>
                <w:u w:val="single"/>
              </w:rPr>
              <w:t>Mitral valve clip</w:t>
            </w:r>
          </w:p>
          <w:p w14:paraId="778ACF09" w14:textId="77777777" w:rsidR="00E47DC5" w:rsidRPr="00C13573" w:rsidRDefault="00E47DC5" w:rsidP="004030AA">
            <w:pPr>
              <w:pStyle w:val="Tabletext"/>
            </w:pPr>
            <w:r w:rsidRPr="00C13573">
              <w:t>The MitraClip NT Clip Delivery System (CDS0502) consists of three major components: the Delivery Catheter, the Steerable Sleeve and the MitraClip NT Device. The MitraClip NT device is a percutaneously implantable mechanical Clip that grasps and coapts the mitral valve leaflets resulting in fixed approximation of the mitral leaflets throughout the cardiac cycle.</w:t>
            </w:r>
          </w:p>
        </w:tc>
        <w:tc>
          <w:tcPr>
            <w:tcW w:w="1958" w:type="dxa"/>
          </w:tcPr>
          <w:p w14:paraId="233573E6" w14:textId="77777777" w:rsidR="00E47DC5" w:rsidRPr="00C13573" w:rsidRDefault="00E47DC5" w:rsidP="004030AA">
            <w:pPr>
              <w:pStyle w:val="Tabletext"/>
            </w:pPr>
            <w:r w:rsidRPr="00C13573">
              <w:t>The MitraClip NT CDS is used to advance and manipulate the MitraClip NT device which is intended for reconstruction of the insufficient mitral valve through tissue approximation</w:t>
            </w:r>
          </w:p>
        </w:tc>
        <w:tc>
          <w:tcPr>
            <w:tcW w:w="1060" w:type="dxa"/>
          </w:tcPr>
          <w:p w14:paraId="54ABFA1F" w14:textId="77777777" w:rsidR="00E47DC5" w:rsidRPr="00C13573" w:rsidRDefault="00E47DC5" w:rsidP="004030AA">
            <w:pPr>
              <w:pStyle w:val="Tabletext"/>
            </w:pPr>
            <w:r w:rsidRPr="00C13573">
              <w:t>Abbott Vascular</w:t>
            </w:r>
          </w:p>
        </w:tc>
      </w:tr>
      <w:tr w:rsidR="00E47DC5" w:rsidRPr="00C13573" w14:paraId="4450B4C8" w14:textId="77777777" w:rsidTr="005462CA">
        <w:tc>
          <w:tcPr>
            <w:tcW w:w="1331" w:type="dxa"/>
          </w:tcPr>
          <w:p w14:paraId="0432295A" w14:textId="77777777" w:rsidR="00E47DC5" w:rsidRPr="00C13573" w:rsidRDefault="00E47DC5" w:rsidP="004030AA">
            <w:pPr>
              <w:pStyle w:val="Tabletext"/>
            </w:pPr>
            <w:r w:rsidRPr="00C13573">
              <w:t xml:space="preserve">289167 </w:t>
            </w:r>
          </w:p>
          <w:p w14:paraId="3FF0FB15" w14:textId="77777777" w:rsidR="00E47DC5" w:rsidRPr="00C13573" w:rsidRDefault="00E47DC5" w:rsidP="00ED24C6">
            <w:pPr>
              <w:pStyle w:val="Tabletext"/>
              <w:spacing w:before="240"/>
            </w:pPr>
            <w:r w:rsidRPr="00C13573">
              <w:t>Date: 19/05/2017</w:t>
            </w:r>
          </w:p>
        </w:tc>
        <w:tc>
          <w:tcPr>
            <w:tcW w:w="1320" w:type="dxa"/>
          </w:tcPr>
          <w:p w14:paraId="1ADD204F" w14:textId="77777777" w:rsidR="00E47DC5" w:rsidRPr="00C13573" w:rsidRDefault="00E47DC5" w:rsidP="004030AA">
            <w:pPr>
              <w:pStyle w:val="Tabletext"/>
              <w:rPr>
                <w:u w:val="single"/>
              </w:rPr>
            </w:pPr>
            <w:r w:rsidRPr="00C13573">
              <w:t>56280 / Medical Device Class III</w:t>
            </w:r>
          </w:p>
        </w:tc>
        <w:tc>
          <w:tcPr>
            <w:tcW w:w="3350" w:type="dxa"/>
          </w:tcPr>
          <w:p w14:paraId="302D3BB6" w14:textId="77777777" w:rsidR="00E47DC5" w:rsidRPr="00C13573" w:rsidRDefault="00E47DC5" w:rsidP="004030AA">
            <w:pPr>
              <w:pStyle w:val="Tabletext"/>
              <w:rPr>
                <w:u w:val="single"/>
              </w:rPr>
            </w:pPr>
            <w:r w:rsidRPr="00C13573">
              <w:rPr>
                <w:u w:val="single"/>
              </w:rPr>
              <w:t>Mitral valve tissue repair system</w:t>
            </w:r>
          </w:p>
          <w:p w14:paraId="525873C2" w14:textId="77777777" w:rsidR="00E47DC5" w:rsidRPr="00C13573" w:rsidRDefault="00E47DC5" w:rsidP="004030AA">
            <w:pPr>
              <w:pStyle w:val="Tabletext"/>
            </w:pPr>
            <w:r w:rsidRPr="00C13573">
              <w:t>The MitraClip NT System consists of the Clip Delivery System (CDS) and the S</w:t>
            </w:r>
            <w:r>
              <w:t>GC</w:t>
            </w:r>
            <w:r w:rsidRPr="00C13573">
              <w:t>. The CDS is introduced into the body through a SGC which includes a dilator. The CDS is used to advance and manipulate the MitraClip NT device for proper positioning and placement on the mitral valve leaflets</w:t>
            </w:r>
          </w:p>
        </w:tc>
        <w:tc>
          <w:tcPr>
            <w:tcW w:w="1958" w:type="dxa"/>
          </w:tcPr>
          <w:p w14:paraId="265DAD9F" w14:textId="77777777" w:rsidR="00E47DC5" w:rsidRPr="00C13573" w:rsidRDefault="00E47DC5" w:rsidP="004030AA">
            <w:pPr>
              <w:pStyle w:val="Tabletext"/>
            </w:pPr>
            <w:r w:rsidRPr="00C13573">
              <w:t>The MitraClip NT System is intended for reconstruction of the insufficient mitral valve through tissue approximation</w:t>
            </w:r>
          </w:p>
        </w:tc>
        <w:tc>
          <w:tcPr>
            <w:tcW w:w="1060" w:type="dxa"/>
          </w:tcPr>
          <w:p w14:paraId="72DA85EC" w14:textId="77777777" w:rsidR="00E47DC5" w:rsidRPr="00C13573" w:rsidRDefault="00E47DC5" w:rsidP="004030AA">
            <w:pPr>
              <w:pStyle w:val="Tabletext"/>
            </w:pPr>
            <w:r w:rsidRPr="00C13573">
              <w:t>Abbott Vascular</w:t>
            </w:r>
          </w:p>
        </w:tc>
      </w:tr>
    </w:tbl>
    <w:p w14:paraId="673434D8" w14:textId="77777777" w:rsidR="00E47DC5" w:rsidRDefault="00E47DC5" w:rsidP="00E47DC5">
      <w:pPr>
        <w:pStyle w:val="TableNote"/>
        <w:rPr>
          <w:rFonts w:cs="Calibri"/>
        </w:rPr>
      </w:pPr>
      <w:r w:rsidRPr="00C13573">
        <w:rPr>
          <w:rFonts w:cs="Calibri"/>
        </w:rPr>
        <w:t>*Manufacturer change from Menlo Park to Abbott Vascular, Santa Clara</w:t>
      </w:r>
    </w:p>
    <w:p w14:paraId="58DC3AA7" w14:textId="77777777" w:rsidR="00E47DC5" w:rsidRDefault="00E47DC5" w:rsidP="00E47DC5">
      <w:pPr>
        <w:tabs>
          <w:tab w:val="left" w:pos="720"/>
          <w:tab w:val="left" w:pos="1140"/>
        </w:tabs>
        <w:spacing w:after="240"/>
      </w:pPr>
      <w:r w:rsidRPr="00183E4D">
        <w:t>Source</w:t>
      </w:r>
      <w:r>
        <w:t>: Table 7, p43 of ADAR</w:t>
      </w:r>
    </w:p>
    <w:p w14:paraId="13C2FFFF" w14:textId="77777777" w:rsidR="00E57DB1" w:rsidRPr="00F715D1" w:rsidRDefault="00E57DB1" w:rsidP="00E57DB1">
      <w:pPr>
        <w:pStyle w:val="Heading1"/>
      </w:pPr>
      <w:r w:rsidRPr="00F715D1">
        <w:t>Proposal for public funding</w:t>
      </w:r>
    </w:p>
    <w:p w14:paraId="3AE39F9F" w14:textId="77777777" w:rsidR="00E47DC5" w:rsidRPr="003F3EB3" w:rsidRDefault="00E47DC5" w:rsidP="00F657E0">
      <w:pPr>
        <w:spacing w:after="240"/>
      </w:pPr>
      <w:r w:rsidRPr="003F3EB3" w:rsidDel="00A134DA">
        <w:t xml:space="preserve">The </w:t>
      </w:r>
      <w:r>
        <w:t xml:space="preserve">ADAR </w:t>
      </w:r>
      <w:r w:rsidRPr="003F3EB3" w:rsidDel="00A134DA">
        <w:t xml:space="preserve">proposed </w:t>
      </w:r>
      <w:r w:rsidRPr="00EE73B4">
        <w:t xml:space="preserve">MBS </w:t>
      </w:r>
      <w:r w:rsidRPr="003F3EB3" w:rsidDel="00A134DA">
        <w:t>item descriptor</w:t>
      </w:r>
      <w:r w:rsidRPr="003F3EB3">
        <w:t>s</w:t>
      </w:r>
      <w:r>
        <w:t xml:space="preserve"> for TMVr in DMR and FMR</w:t>
      </w:r>
      <w:r w:rsidRPr="00B6260E">
        <w:t xml:space="preserve"> </w:t>
      </w:r>
      <w:r w:rsidR="00F657E0">
        <w:t xml:space="preserve">modelled on the </w:t>
      </w:r>
      <w:r w:rsidRPr="003F3EB3">
        <w:t>TAVI descriptor (MBS item 38495)</w:t>
      </w:r>
      <w:r>
        <w:t xml:space="preserve">, shown below in </w:t>
      </w:r>
      <w:r>
        <w:fldChar w:fldCharType="begin"/>
      </w:r>
      <w:r>
        <w:instrText xml:space="preserve"> REF _Ref394849669 \h </w:instrText>
      </w:r>
      <w:r>
        <w:fldChar w:fldCharType="separate"/>
      </w:r>
      <w:r w:rsidRPr="005C44CC" w:rsidDel="00A134DA">
        <w:t xml:space="preserve">Table </w:t>
      </w:r>
      <w:r>
        <w:rPr>
          <w:noProof/>
        </w:rPr>
        <w:t>2</w:t>
      </w:r>
      <w:r>
        <w:fldChar w:fldCharType="end"/>
      </w:r>
      <w:r>
        <w:t xml:space="preserve">. The </w:t>
      </w:r>
      <w:r w:rsidRPr="003F3EB3">
        <w:t xml:space="preserve">explanatory notes, like those for </w:t>
      </w:r>
      <w:r>
        <w:t xml:space="preserve">the </w:t>
      </w:r>
      <w:r w:rsidRPr="003F3EB3">
        <w:t xml:space="preserve">item 38495, </w:t>
      </w:r>
      <w:r>
        <w:t xml:space="preserve">will </w:t>
      </w:r>
      <w:r w:rsidR="00F657E0">
        <w:t>be included for the TMVr item.</w:t>
      </w:r>
    </w:p>
    <w:p w14:paraId="496F6343" w14:textId="77777777" w:rsidR="00E47DC5" w:rsidRDefault="00E47DC5" w:rsidP="00F657E0">
      <w:pPr>
        <w:spacing w:after="240"/>
      </w:pPr>
      <w:r>
        <w:t xml:space="preserve">Similar to </w:t>
      </w:r>
      <w:r w:rsidRPr="003F3EB3">
        <w:t xml:space="preserve">TAVI, </w:t>
      </w:r>
      <w:r>
        <w:t xml:space="preserve">the applicant proposed </w:t>
      </w:r>
      <w:r w:rsidRPr="003F3EB3">
        <w:t xml:space="preserve">two additional items </w:t>
      </w:r>
      <w:r>
        <w:t>listed related to the case c</w:t>
      </w:r>
      <w:r w:rsidRPr="003F3EB3">
        <w:t>onference for coordination of the TMVr service</w:t>
      </w:r>
      <w:r>
        <w:t xml:space="preserve"> using a MDHT </w:t>
      </w:r>
      <w:r w:rsidRPr="003F3EB3">
        <w:t>based on MBS items 6080 and 6081</w:t>
      </w:r>
      <w:r>
        <w:t xml:space="preserve"> (</w:t>
      </w:r>
      <w:r>
        <w:fldChar w:fldCharType="begin"/>
      </w:r>
      <w:r>
        <w:instrText xml:space="preserve"> REF _Ref394849669 \h </w:instrText>
      </w:r>
      <w:r>
        <w:fldChar w:fldCharType="separate"/>
      </w:r>
      <w:r w:rsidRPr="005C44CC" w:rsidDel="00A134DA">
        <w:t xml:space="preserve">Table </w:t>
      </w:r>
      <w:r>
        <w:rPr>
          <w:noProof/>
        </w:rPr>
        <w:t>2</w:t>
      </w:r>
      <w:r>
        <w:fldChar w:fldCharType="end"/>
      </w:r>
      <w:r>
        <w:t xml:space="preserve">). The MDHT will </w:t>
      </w:r>
      <w:r w:rsidR="00F657E0">
        <w:t>have</w:t>
      </w:r>
      <w:r>
        <w:t xml:space="preserve"> a key role in determining which patients are ineligible for surgical intervention that would benefit from the TMVr procedure. Based on feedback from PASC and local experts, it was suggested </w:t>
      </w:r>
      <w:r w:rsidR="00F657E0">
        <w:t xml:space="preserve">that </w:t>
      </w:r>
      <w:r>
        <w:t xml:space="preserve">the MDHT include </w:t>
      </w:r>
      <w:r w:rsidRPr="00026CC5">
        <w:t xml:space="preserve">a heart failure </w:t>
      </w:r>
      <w:r>
        <w:t xml:space="preserve">(HF) </w:t>
      </w:r>
      <w:r w:rsidRPr="00026CC5">
        <w:t>specialist</w:t>
      </w:r>
      <w:r>
        <w:t xml:space="preserve">. A minimum </w:t>
      </w:r>
      <w:r w:rsidR="00F657E0">
        <w:t xml:space="preserve">of </w:t>
      </w:r>
      <w:r>
        <w:t xml:space="preserve">three physicians will make </w:t>
      </w:r>
      <w:r w:rsidR="00F657E0">
        <w:t>up the MDHT.</w:t>
      </w:r>
    </w:p>
    <w:p w14:paraId="513FECA3" w14:textId="77777777" w:rsidR="00E47DC5" w:rsidRPr="00BE70ED" w:rsidDel="00A134DA" w:rsidRDefault="00E47DC5" w:rsidP="00BE70ED">
      <w:pPr>
        <w:rPr>
          <w:rFonts w:ascii="Arial Narrow" w:hAnsi="Arial Narrow"/>
          <w:b/>
          <w:sz w:val="20"/>
        </w:rPr>
      </w:pPr>
      <w:bookmarkStart w:id="3" w:name="_Ref394849669"/>
      <w:bookmarkStart w:id="4" w:name="_Toc22047110"/>
      <w:bookmarkStart w:id="5" w:name="_Ref30076058"/>
      <w:r w:rsidRPr="00BE70ED" w:rsidDel="00A134DA">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2</w:t>
      </w:r>
      <w:r w:rsidRPr="00BE70ED">
        <w:rPr>
          <w:rFonts w:ascii="Arial Narrow" w:hAnsi="Arial Narrow"/>
          <w:b/>
          <w:sz w:val="20"/>
        </w:rPr>
        <w:fldChar w:fldCharType="end"/>
      </w:r>
      <w:bookmarkEnd w:id="3"/>
      <w:r w:rsidRPr="00BE70ED" w:rsidDel="00A134DA">
        <w:rPr>
          <w:rFonts w:ascii="Arial Narrow" w:hAnsi="Arial Narrow"/>
          <w:b/>
          <w:sz w:val="20"/>
        </w:rPr>
        <w:tab/>
        <w:t>Proposed MBS item descriptor</w:t>
      </w:r>
      <w:r w:rsidRPr="00BE70ED">
        <w:rPr>
          <w:rFonts w:ascii="Arial Narrow" w:hAnsi="Arial Narrow"/>
          <w:b/>
          <w:sz w:val="20"/>
        </w:rPr>
        <w:t>s</w:t>
      </w:r>
      <w:bookmarkEnd w:id="4"/>
      <w:bookmarkEnd w:id="5"/>
    </w:p>
    <w:tbl>
      <w:tblPr>
        <w:tblStyle w:val="TableGrid"/>
        <w:tblW w:w="0" w:type="auto"/>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8888"/>
      </w:tblGrid>
      <w:tr w:rsidR="00E47DC5" w:rsidRPr="00183E4D" w:rsidDel="00A134DA" w14:paraId="1130FA85" w14:textId="77777777" w:rsidTr="005462CA">
        <w:trPr>
          <w:tblHeader/>
        </w:trPr>
        <w:tc>
          <w:tcPr>
            <w:tcW w:w="8888" w:type="dxa"/>
          </w:tcPr>
          <w:p w14:paraId="1C660741" w14:textId="77777777" w:rsidR="00E47DC5" w:rsidRPr="00183E4D" w:rsidDel="00A134DA" w:rsidRDefault="00E47DC5" w:rsidP="004030AA">
            <w:pPr>
              <w:pStyle w:val="Tabletext"/>
            </w:pPr>
            <w:r w:rsidRPr="00183E4D" w:rsidDel="00A134DA">
              <w:t xml:space="preserve">Category </w:t>
            </w:r>
            <w:r>
              <w:t>3</w:t>
            </w:r>
            <w:r w:rsidRPr="00183E4D" w:rsidDel="00A134DA">
              <w:t xml:space="preserve"> – </w:t>
            </w:r>
            <w:r>
              <w:t>Therapeutic procedures</w:t>
            </w:r>
          </w:p>
        </w:tc>
      </w:tr>
      <w:tr w:rsidR="00E47DC5" w:rsidRPr="00183E4D" w:rsidDel="00A134DA" w14:paraId="7643152F" w14:textId="77777777" w:rsidTr="005462CA">
        <w:tc>
          <w:tcPr>
            <w:tcW w:w="8888" w:type="dxa"/>
          </w:tcPr>
          <w:p w14:paraId="1F0772BF" w14:textId="77777777" w:rsidR="00E47DC5" w:rsidRDefault="00E47DC5" w:rsidP="004030AA">
            <w:pPr>
              <w:pStyle w:val="Tabletext"/>
            </w:pPr>
            <w:r>
              <w:t>MBS item #####</w:t>
            </w:r>
          </w:p>
          <w:p w14:paraId="7BC9C63A" w14:textId="77777777" w:rsidR="00E47DC5" w:rsidRDefault="00E47DC5" w:rsidP="004030AA">
            <w:pPr>
              <w:pStyle w:val="Tabletext"/>
            </w:pPr>
            <w:r>
              <w:t>Transvenous/transeptal techniques for permanent coaptation of mitral valve leaflets using 1 or more tissue approximation devices in patients with moderate-</w:t>
            </w:r>
            <w:r w:rsidRPr="00026CC5">
              <w:t xml:space="preserve">severe or severe symptomatic degenerative mitral regurgitation (Grade 3+, 4+), who have left ventricular ejection fraction (LVEF) ≥20%, who are symptomatic (New York Heart Association [NYHA] functional class II or greater), who are determined by a </w:t>
            </w:r>
            <w:r>
              <w:t>MDHT</w:t>
            </w:r>
            <w:r w:rsidRPr="00026CC5">
              <w:t xml:space="preserve"> to be ineligible for surgical intervention but suitable for the MitraClip procedure</w:t>
            </w:r>
            <w:r>
              <w:t>.</w:t>
            </w:r>
          </w:p>
          <w:p w14:paraId="06C68BCC" w14:textId="77777777" w:rsidR="00E47DC5" w:rsidRPr="00026CC5" w:rsidRDefault="00E47DC5" w:rsidP="004030AA">
            <w:pPr>
              <w:pStyle w:val="Tabletext"/>
            </w:pPr>
            <w:r>
              <w:t>The procedure to be performed</w:t>
            </w:r>
            <w:r w:rsidRPr="00026CC5">
              <w:t xml:space="preserve"> in a transmitral valve repair (TMVr) Hospital on a TMVr Patient by a TMVr Practitioner – includes all intraoperative diagnostic imaging that the TMVr Practitioner performs upon the TMVr Patient.</w:t>
            </w:r>
          </w:p>
          <w:p w14:paraId="09EDB3CE" w14:textId="77777777" w:rsidR="00E47DC5" w:rsidRDefault="00E47DC5" w:rsidP="004030AA">
            <w:pPr>
              <w:pStyle w:val="Tabletext"/>
            </w:pPr>
            <w:r w:rsidRPr="00026CC5">
              <w:t>(Not payable more than once per patient in a five-year period)</w:t>
            </w:r>
            <w:r>
              <w:t xml:space="preserve"> </w:t>
            </w:r>
          </w:p>
          <w:p w14:paraId="7F179D21" w14:textId="77777777" w:rsidR="00E47DC5" w:rsidRDefault="00E47DC5" w:rsidP="004030AA">
            <w:pPr>
              <w:pStyle w:val="Tabletext"/>
            </w:pPr>
            <w:r>
              <w:t>(See paragraph XX, XX of explanatory notes to this Category)</w:t>
            </w:r>
          </w:p>
          <w:p w14:paraId="47F3FD23" w14:textId="77777777" w:rsidR="00E47DC5" w:rsidRPr="00183E4D" w:rsidDel="00A134DA" w:rsidRDefault="00E47DC5" w:rsidP="004030AA">
            <w:pPr>
              <w:pStyle w:val="Tabletext"/>
            </w:pPr>
            <w:r>
              <w:t xml:space="preserve">Fee: </w:t>
            </w:r>
            <w:r w:rsidRPr="00026CC5">
              <w:rPr>
                <w:rFonts w:cs="Helvetica"/>
                <w:color w:val="222222"/>
              </w:rPr>
              <w:t>$1,748.45</w:t>
            </w:r>
            <w:r>
              <w:rPr>
                <w:rFonts w:ascii="Helvetica" w:hAnsi="Helvetica" w:cs="Helvetica"/>
                <w:color w:val="222222"/>
              </w:rPr>
              <w:t xml:space="preserve"> </w:t>
            </w:r>
            <w:r>
              <w:t xml:space="preserve">Benefit 75% = </w:t>
            </w:r>
            <w:r w:rsidRPr="00026CC5">
              <w:rPr>
                <w:rFonts w:cs="Helvetica"/>
                <w:color w:val="222222"/>
              </w:rPr>
              <w:t>$1,311.35</w:t>
            </w:r>
            <w:r>
              <w:rPr>
                <w:rFonts w:ascii="Helvetica" w:hAnsi="Helvetica" w:cs="Helvetica"/>
                <w:color w:val="222222"/>
              </w:rPr>
              <w:t xml:space="preserve"> </w:t>
            </w:r>
            <w:r>
              <w:t>85% = $1,486.18</w:t>
            </w:r>
          </w:p>
        </w:tc>
      </w:tr>
      <w:tr w:rsidR="00E47DC5" w:rsidRPr="00183E4D" w:rsidDel="00A134DA" w14:paraId="188DBA51" w14:textId="77777777" w:rsidTr="00DB5988">
        <w:trPr>
          <w:cantSplit/>
        </w:trPr>
        <w:tc>
          <w:tcPr>
            <w:tcW w:w="8888" w:type="dxa"/>
          </w:tcPr>
          <w:p w14:paraId="06909461" w14:textId="77777777" w:rsidR="00E47DC5" w:rsidRDefault="00E47DC5" w:rsidP="004030AA">
            <w:pPr>
              <w:pStyle w:val="Tabletext"/>
            </w:pPr>
            <w:r>
              <w:lastRenderedPageBreak/>
              <w:t>MBS item #####</w:t>
            </w:r>
          </w:p>
          <w:p w14:paraId="7398FAB8" w14:textId="77777777" w:rsidR="00E47DC5" w:rsidRDefault="00E47DC5" w:rsidP="004030AA">
            <w:pPr>
              <w:pStyle w:val="Tabletext"/>
            </w:pPr>
            <w:r>
              <w:t xml:space="preserve">Transvenous/transeptal techniques for permanent coaptation of mitral valve leaflets using 1 or more tissue approximation devices in patients with moderate-severe or severe </w:t>
            </w:r>
            <w:r w:rsidRPr="00026CC5">
              <w:t xml:space="preserve">symptomatic functional mitral regurgitation (Grade 3+, 4+), with </w:t>
            </w:r>
            <w:r>
              <w:t>LVEF</w:t>
            </w:r>
            <w:r w:rsidRPr="00026CC5">
              <w:t xml:space="preserve"> 20</w:t>
            </w:r>
            <w:r>
              <w:t>–50</w:t>
            </w:r>
            <w:r w:rsidRPr="00026CC5">
              <w:t xml:space="preserve">% and </w:t>
            </w:r>
            <w:r>
              <w:t>LVESD</w:t>
            </w:r>
            <w:r w:rsidRPr="00026CC5">
              <w:t xml:space="preserve"> ≤70mm considered by the </w:t>
            </w:r>
            <w:r>
              <w:t>MDHT</w:t>
            </w:r>
            <w:r w:rsidRPr="00026CC5">
              <w:t xml:space="preserve"> to be ineligible for surgical intervention, and whose symptoms (NYHA functional class II or greater) persist despite maximally tolerated guideline directed medical therapy (GDMT) as determined by the MDHT</w:t>
            </w:r>
            <w:r>
              <w:t xml:space="preserve">. </w:t>
            </w:r>
          </w:p>
          <w:p w14:paraId="4ED7487F" w14:textId="77777777" w:rsidR="00E47DC5" w:rsidRDefault="00E47DC5" w:rsidP="004030AA">
            <w:pPr>
              <w:pStyle w:val="Tabletext"/>
            </w:pPr>
            <w:r>
              <w:t>The procedure to be performed</w:t>
            </w:r>
            <w:r w:rsidRPr="00026CC5">
              <w:t xml:space="preserve"> in a transmitral valve repair (TMVr) Hospital on a TMVr Patient by a TMVr</w:t>
            </w:r>
            <w:r>
              <w:t xml:space="preserve"> Practitioner – includes all intraoperative diagnostic imaging that the TMVr Practitioner performs upon the TMVr Patient.</w:t>
            </w:r>
          </w:p>
          <w:p w14:paraId="34052075" w14:textId="77777777" w:rsidR="00E47DC5" w:rsidRDefault="00E47DC5" w:rsidP="004030AA">
            <w:pPr>
              <w:pStyle w:val="Tabletext"/>
            </w:pPr>
            <w:r>
              <w:t xml:space="preserve">(Not payable more than once per patient in a five-year period) </w:t>
            </w:r>
          </w:p>
          <w:p w14:paraId="43BAE6B2" w14:textId="77777777" w:rsidR="00E47DC5" w:rsidRDefault="00E47DC5" w:rsidP="004030AA">
            <w:pPr>
              <w:pStyle w:val="Tabletext"/>
            </w:pPr>
            <w:r>
              <w:t>(See paragraph XX, XX of explanatory notes to this Category)</w:t>
            </w:r>
          </w:p>
          <w:p w14:paraId="74310B5C" w14:textId="77777777" w:rsidR="00E47DC5" w:rsidRPr="00183E4D" w:rsidDel="00A134DA" w:rsidRDefault="00E47DC5" w:rsidP="004030AA">
            <w:pPr>
              <w:pStyle w:val="Tabletext"/>
            </w:pPr>
            <w:r>
              <w:t xml:space="preserve">Fee: </w:t>
            </w:r>
            <w:bookmarkStart w:id="6" w:name="_Hlk19560757"/>
            <w:r w:rsidRPr="00026CC5">
              <w:rPr>
                <w:rFonts w:cs="Helvetica"/>
                <w:color w:val="222222"/>
              </w:rPr>
              <w:t>$1,748.45</w:t>
            </w:r>
            <w:r>
              <w:rPr>
                <w:rFonts w:ascii="Helvetica" w:hAnsi="Helvetica" w:cs="Helvetica"/>
                <w:color w:val="222222"/>
              </w:rPr>
              <w:t xml:space="preserve"> </w:t>
            </w:r>
            <w:bookmarkEnd w:id="6"/>
            <w:r>
              <w:t xml:space="preserve">Benefit 75% = </w:t>
            </w:r>
            <w:r w:rsidRPr="00026CC5">
              <w:rPr>
                <w:rFonts w:cs="Helvetica"/>
                <w:color w:val="222222"/>
              </w:rPr>
              <w:t>$1,311.35</w:t>
            </w:r>
            <w:r>
              <w:rPr>
                <w:rFonts w:ascii="Helvetica" w:hAnsi="Helvetica" w:cs="Helvetica"/>
                <w:color w:val="222222"/>
              </w:rPr>
              <w:t xml:space="preserve"> </w:t>
            </w:r>
            <w:r>
              <w:t>85% = $1,486.18</w:t>
            </w:r>
          </w:p>
        </w:tc>
      </w:tr>
      <w:tr w:rsidR="00E47DC5" w14:paraId="30684600" w14:textId="77777777" w:rsidTr="005462CA">
        <w:tc>
          <w:tcPr>
            <w:tcW w:w="8888" w:type="dxa"/>
          </w:tcPr>
          <w:p w14:paraId="10316C80" w14:textId="77777777" w:rsidR="00E47DC5" w:rsidRPr="003F3EB3" w:rsidRDefault="00E47DC5" w:rsidP="004030AA">
            <w:pPr>
              <w:pStyle w:val="Tabletext"/>
            </w:pPr>
            <w:r w:rsidRPr="003F3EB3">
              <w:t>MBS item #####</w:t>
            </w:r>
          </w:p>
          <w:p w14:paraId="531C3162" w14:textId="77777777" w:rsidR="00E47DC5" w:rsidRDefault="00E47DC5" w:rsidP="004030AA">
            <w:pPr>
              <w:pStyle w:val="Tabletext"/>
            </w:pPr>
            <w:r>
              <w:t>Coordination of a TMVr Case Conference by a TMVr practitioner where the TMVr Case Conference has a duration of 10 minutes or more</w:t>
            </w:r>
          </w:p>
          <w:p w14:paraId="7B9F4FFE" w14:textId="77777777" w:rsidR="00E47DC5" w:rsidRDefault="00E47DC5" w:rsidP="004030AA">
            <w:pPr>
              <w:pStyle w:val="Tabletext"/>
            </w:pPr>
            <w:r>
              <w:t xml:space="preserve">(Not payable more than once per patient in a five-year period) </w:t>
            </w:r>
          </w:p>
          <w:p w14:paraId="29CCC9D9" w14:textId="77777777" w:rsidR="00E47DC5" w:rsidRDefault="00E47DC5" w:rsidP="004030AA">
            <w:pPr>
              <w:pStyle w:val="Tabletext"/>
            </w:pPr>
            <w:r>
              <w:t>Fee: $51.70 Benefit 75% = $38.80 85% = $43.95</w:t>
            </w:r>
          </w:p>
        </w:tc>
      </w:tr>
      <w:tr w:rsidR="00E47DC5" w14:paraId="43EB0C5D" w14:textId="77777777" w:rsidTr="005462CA">
        <w:tc>
          <w:tcPr>
            <w:tcW w:w="8888" w:type="dxa"/>
          </w:tcPr>
          <w:p w14:paraId="2B52425F" w14:textId="77777777" w:rsidR="00E47DC5" w:rsidRPr="003F3EB3" w:rsidRDefault="00E47DC5" w:rsidP="004030AA">
            <w:pPr>
              <w:pStyle w:val="Tabletext"/>
            </w:pPr>
            <w:r w:rsidRPr="003F3EB3">
              <w:t>MBS item #####</w:t>
            </w:r>
          </w:p>
          <w:p w14:paraId="0DC8FE39" w14:textId="77777777" w:rsidR="00E47DC5" w:rsidRDefault="00E47DC5" w:rsidP="004030AA">
            <w:pPr>
              <w:pStyle w:val="Tabletext"/>
            </w:pPr>
            <w:r w:rsidRPr="00511C65">
              <w:t xml:space="preserve">Attendance at a TMVr Case Conference by a specialist or consultant physician who does not also perform the service described in the item above for the same case conference where the TMVr Case Conference has a duration of 10 minutes or more. </w:t>
            </w:r>
          </w:p>
          <w:p w14:paraId="72CD7DA9" w14:textId="77777777" w:rsidR="00E47DC5" w:rsidRDefault="00E47DC5" w:rsidP="004030AA">
            <w:pPr>
              <w:pStyle w:val="Tabletext"/>
            </w:pPr>
            <w:r>
              <w:t xml:space="preserve">(Not payable more than once per patient in a five-year period) </w:t>
            </w:r>
          </w:p>
          <w:p w14:paraId="505ABBFF" w14:textId="77777777" w:rsidR="00E47DC5" w:rsidRDefault="00E47DC5" w:rsidP="004030AA">
            <w:pPr>
              <w:pStyle w:val="Tabletext"/>
            </w:pPr>
            <w:r>
              <w:t>Fee: $38.55 Benefit 75% = $28.95 85% = $32.80</w:t>
            </w:r>
          </w:p>
        </w:tc>
      </w:tr>
    </w:tbl>
    <w:p w14:paraId="2B4626C0" w14:textId="77777777" w:rsidR="00E47DC5" w:rsidRDefault="00E47DC5" w:rsidP="00F657E0">
      <w:pPr>
        <w:pStyle w:val="Tablenotes"/>
      </w:pPr>
      <w:r>
        <w:t>Source: Table 8, p45</w:t>
      </w:r>
      <w:r w:rsidR="00F657E0">
        <w:t xml:space="preserve"> of ADAR</w:t>
      </w:r>
    </w:p>
    <w:p w14:paraId="422F6BDC" w14:textId="5ADDCD04" w:rsidR="00E47DC5" w:rsidRPr="00A44DF5" w:rsidRDefault="00E47DC5" w:rsidP="00E47DC5">
      <w:r w:rsidRPr="00AC5F51">
        <w:t>The proposed MBS fee has increased from $895.30 in Application 1192, to $912.30 in</w:t>
      </w:r>
      <w:r w:rsidR="00ED24C6">
        <w:t xml:space="preserve"> </w:t>
      </w:r>
      <w:r w:rsidRPr="00AC5F51">
        <w:t>Application 1192.1, to $1720.90 in Application 1192.2</w:t>
      </w:r>
      <w:r>
        <w:t>, to $</w:t>
      </w:r>
      <w:r w:rsidRPr="00AC5F51">
        <w:t>1,748.45</w:t>
      </w:r>
      <w:r>
        <w:t xml:space="preserve"> in Application 1192.3</w:t>
      </w:r>
      <w:r w:rsidRPr="00AC5F51">
        <w:t xml:space="preserve">. </w:t>
      </w:r>
      <w:r w:rsidR="00F657E0">
        <w:t>The ADAR claimed that</w:t>
      </w:r>
      <w:r>
        <w:t xml:space="preserve"> t</w:t>
      </w:r>
      <w:r w:rsidRPr="00AC5F51">
        <w:t xml:space="preserve">he proposed MBS fee for TMVr was benchmarked to existing MBS item 38487 (open valvotomy of mitral valve) in the previous </w:t>
      </w:r>
      <w:r>
        <w:t>resubmission (1192.2)</w:t>
      </w:r>
      <w:r w:rsidRPr="00AC5F51">
        <w:t>. MBS fees for this item, TAVI and associated case conference items increased in July 2019 (as part of the regular MBS fee increases). These increased MBS fees are reflected in the item descriptors.</w:t>
      </w:r>
    </w:p>
    <w:p w14:paraId="3049AAC5" w14:textId="418EE1EF" w:rsidR="00E47DC5" w:rsidRDefault="00E47DC5" w:rsidP="00F657E0">
      <w:pPr>
        <w:spacing w:before="240" w:after="240"/>
      </w:pPr>
      <w:r>
        <w:t xml:space="preserve">The ADAR altered </w:t>
      </w:r>
      <w:r w:rsidRPr="00F65DCF">
        <w:t>the</w:t>
      </w:r>
      <w:r>
        <w:t xml:space="preserve"> descriptor for the</w:t>
      </w:r>
      <w:r w:rsidRPr="00F65DCF">
        <w:t xml:space="preserve"> proposed population for FMR. The ratified PICO specifie</w:t>
      </w:r>
      <w:r>
        <w:t>d</w:t>
      </w:r>
      <w:r w:rsidRPr="00F65DCF">
        <w:t xml:space="preserve"> t</w:t>
      </w:r>
      <w:r>
        <w:t>hat patients with FMR must have l</w:t>
      </w:r>
      <w:r w:rsidRPr="006D0C21">
        <w:t xml:space="preserve">eft ventricular ejection fraction </w:t>
      </w:r>
      <w:r>
        <w:t>(</w:t>
      </w:r>
      <w:r w:rsidRPr="00F65DCF">
        <w:t>LVEF</w:t>
      </w:r>
      <w:r>
        <w:t>)</w:t>
      </w:r>
      <w:r w:rsidRPr="00F65DCF">
        <w:t xml:space="preserve"> ≥20%</w:t>
      </w:r>
      <w:r>
        <w:t>, this was altered to</w:t>
      </w:r>
      <w:r w:rsidRPr="00F65DCF">
        <w:t xml:space="preserve"> ‘20–50%’</w:t>
      </w:r>
      <w:r>
        <w:t xml:space="preserve"> in the ADAR. The ADAR identified two trials relevant to the FMR population:</w:t>
      </w:r>
      <w:r w:rsidRPr="001F385B">
        <w:t xml:space="preserve"> the COAPT trial (Stone et al. 2018) and MITRA</w:t>
      </w:r>
      <w:r w:rsidR="00A92E3B">
        <w:t>-</w:t>
      </w:r>
      <w:r w:rsidRPr="001F385B">
        <w:t xml:space="preserve">FR trial (Obadia et al. 2018). The ADAR </w:t>
      </w:r>
      <w:r>
        <w:t xml:space="preserve">claimed there were </w:t>
      </w:r>
      <w:r w:rsidRPr="009B5C76">
        <w:t>clinically important differences in the baseline characteristics between the COAPT and MITRA</w:t>
      </w:r>
      <w:r w:rsidR="00A92E3B">
        <w:t>-</w:t>
      </w:r>
      <w:r w:rsidRPr="009B5C76">
        <w:t>FR trials</w:t>
      </w:r>
      <w:r>
        <w:t xml:space="preserve">. Because of these differences, the ADAR proposed the </w:t>
      </w:r>
      <w:r w:rsidRPr="00A9122C">
        <w:t xml:space="preserve">FMR patient population eligible for TMVr </w:t>
      </w:r>
      <w:r>
        <w:t>be</w:t>
      </w:r>
      <w:r w:rsidRPr="00A9122C">
        <w:t xml:space="preserve"> confined; based on patient eligibility criteria as per the COAPT trial</w:t>
      </w:r>
      <w:r>
        <w:t>. Therefore,</w:t>
      </w:r>
      <w:r w:rsidRPr="009B5C76">
        <w:t xml:space="preserve"> </w:t>
      </w:r>
      <w:r>
        <w:t xml:space="preserve">the ADAR </w:t>
      </w:r>
      <w:r w:rsidRPr="001F385B">
        <w:t xml:space="preserve">excluded the </w:t>
      </w:r>
      <w:r w:rsidR="00A92E3B">
        <w:t>MITRA-FR</w:t>
      </w:r>
      <w:r w:rsidRPr="001F385B">
        <w:t xml:space="preserve"> trial from the clinical claim </w:t>
      </w:r>
      <w:r>
        <w:t xml:space="preserve">and </w:t>
      </w:r>
      <w:r w:rsidRPr="001F385B">
        <w:t>present</w:t>
      </w:r>
      <w:r>
        <w:t>ed</w:t>
      </w:r>
      <w:r w:rsidRPr="001F385B">
        <w:t xml:space="preserve"> the evidence f</w:t>
      </w:r>
      <w:r>
        <w:t>rom the</w:t>
      </w:r>
      <w:r w:rsidRPr="001F385B">
        <w:t xml:space="preserve"> </w:t>
      </w:r>
      <w:r w:rsidR="00A92E3B">
        <w:t>MITRA-FR</w:t>
      </w:r>
      <w:r>
        <w:t xml:space="preserve"> trial as evidence of </w:t>
      </w:r>
      <w:r w:rsidRPr="00A9122C">
        <w:t xml:space="preserve">patients </w:t>
      </w:r>
      <w:r>
        <w:t xml:space="preserve">who </w:t>
      </w:r>
      <w:r w:rsidRPr="00A9122C">
        <w:t>should not be eligible for TMVr on the MBS</w:t>
      </w:r>
      <w:r w:rsidRPr="001F385B">
        <w:t xml:space="preserve">. </w:t>
      </w:r>
    </w:p>
    <w:p w14:paraId="152904DC" w14:textId="6285FFCF" w:rsidR="00E47DC5" w:rsidRPr="00F657E0" w:rsidRDefault="00E47DC5" w:rsidP="00F657E0">
      <w:pPr>
        <w:spacing w:after="240"/>
      </w:pPr>
      <w:r w:rsidRPr="001F385B">
        <w:t>The commentary acknowledge</w:t>
      </w:r>
      <w:r>
        <w:t>d</w:t>
      </w:r>
      <w:r w:rsidRPr="001F385B">
        <w:t xml:space="preserve"> that</w:t>
      </w:r>
      <w:r w:rsidRPr="001F385B">
        <w:rPr>
          <w:iCs/>
        </w:rPr>
        <w:t xml:space="preserve"> from the </w:t>
      </w:r>
      <w:r>
        <w:rPr>
          <w:iCs/>
        </w:rPr>
        <w:t>e</w:t>
      </w:r>
      <w:r w:rsidRPr="006D0C21">
        <w:rPr>
          <w:iCs/>
        </w:rPr>
        <w:t>ffective regurgitant orifice area</w:t>
      </w:r>
      <w:r>
        <w:rPr>
          <w:iCs/>
        </w:rPr>
        <w:t xml:space="preserve"> (</w:t>
      </w:r>
      <w:r w:rsidRPr="001F385B">
        <w:rPr>
          <w:iCs/>
        </w:rPr>
        <w:t>EROA</w:t>
      </w:r>
      <w:r>
        <w:rPr>
          <w:iCs/>
        </w:rPr>
        <w:t>)</w:t>
      </w:r>
      <w:r w:rsidRPr="001F385B">
        <w:rPr>
          <w:iCs/>
        </w:rPr>
        <w:t xml:space="preserve"> and LVEF measures in the two trial populations, th</w:t>
      </w:r>
      <w:r>
        <w:rPr>
          <w:iCs/>
        </w:rPr>
        <w:t>e</w:t>
      </w:r>
      <w:r w:rsidRPr="001F385B">
        <w:rPr>
          <w:iCs/>
        </w:rPr>
        <w:t xml:space="preserve"> COAPT </w:t>
      </w:r>
      <w:r>
        <w:rPr>
          <w:iCs/>
        </w:rPr>
        <w:t xml:space="preserve">trial </w:t>
      </w:r>
      <w:r w:rsidRPr="001F385B">
        <w:rPr>
          <w:iCs/>
        </w:rPr>
        <w:t xml:space="preserve">patients </w:t>
      </w:r>
      <w:r>
        <w:rPr>
          <w:iCs/>
        </w:rPr>
        <w:t>had</w:t>
      </w:r>
      <w:r w:rsidRPr="001F385B">
        <w:rPr>
          <w:iCs/>
        </w:rPr>
        <w:t xml:space="preserve"> more severe MR (higher EROA) than </w:t>
      </w:r>
      <w:r w:rsidR="00A92E3B">
        <w:rPr>
          <w:iCs/>
        </w:rPr>
        <w:t>MITRA-FR</w:t>
      </w:r>
      <w:r w:rsidRPr="001F385B">
        <w:rPr>
          <w:iCs/>
        </w:rPr>
        <w:t>, while having similar levels of LVEF. While this demonstrate</w:t>
      </w:r>
      <w:r>
        <w:rPr>
          <w:iCs/>
        </w:rPr>
        <w:t>d</w:t>
      </w:r>
      <w:r w:rsidRPr="001F385B">
        <w:rPr>
          <w:iCs/>
        </w:rPr>
        <w:t xml:space="preserve"> the disproportionate MR in relation to LVEF in COAPT patients, this is not reflected in the PICO or MBS item descriptor, which includes only LVEF and not EROA. </w:t>
      </w:r>
      <w:r>
        <w:rPr>
          <w:iCs/>
        </w:rPr>
        <w:t>The commentary suggested</w:t>
      </w:r>
      <w:r w:rsidRPr="001F385B">
        <w:rPr>
          <w:iCs/>
        </w:rPr>
        <w:t xml:space="preserve"> there may be potential for patient leakage to the population in the MITRA-FR trial</w:t>
      </w:r>
      <w:r>
        <w:rPr>
          <w:iCs/>
        </w:rPr>
        <w:t xml:space="preserve"> with the current MBS item descriptor</w:t>
      </w:r>
      <w:r w:rsidRPr="001F385B">
        <w:rPr>
          <w:iCs/>
        </w:rPr>
        <w:t>.</w:t>
      </w:r>
    </w:p>
    <w:p w14:paraId="61AC35B9" w14:textId="0E8AF7C2" w:rsidR="00E47DC5" w:rsidRDefault="00E47DC5" w:rsidP="00F657E0">
      <w:pPr>
        <w:spacing w:after="240"/>
        <w:rPr>
          <w:iCs/>
        </w:rPr>
      </w:pPr>
      <w:r>
        <w:rPr>
          <w:iCs/>
        </w:rPr>
        <w:lastRenderedPageBreak/>
        <w:t xml:space="preserve">In the pre-ESC response, the applicant reiterated that </w:t>
      </w:r>
      <w:r w:rsidRPr="00756C20">
        <w:rPr>
          <w:iCs/>
        </w:rPr>
        <w:t xml:space="preserve">the </w:t>
      </w:r>
      <w:r w:rsidR="00A92E3B">
        <w:rPr>
          <w:iCs/>
        </w:rPr>
        <w:t>MITRA-FR</w:t>
      </w:r>
      <w:r w:rsidRPr="00756C20">
        <w:rPr>
          <w:iCs/>
        </w:rPr>
        <w:t xml:space="preserve"> results </w:t>
      </w:r>
      <w:r>
        <w:rPr>
          <w:iCs/>
        </w:rPr>
        <w:t>are</w:t>
      </w:r>
      <w:r w:rsidRPr="00756C20">
        <w:rPr>
          <w:iCs/>
        </w:rPr>
        <w:t xml:space="preserve"> indicative of which patients should not be eligible for TMVr on the MBS</w:t>
      </w:r>
      <w:r>
        <w:rPr>
          <w:iCs/>
        </w:rPr>
        <w:t xml:space="preserve"> and that </w:t>
      </w:r>
      <w:r w:rsidRPr="009534C0">
        <w:rPr>
          <w:iCs/>
        </w:rPr>
        <w:t>these patients are not reflective of the specific subgroup of FMR patients (</w:t>
      </w:r>
      <w:r>
        <w:rPr>
          <w:iCs/>
        </w:rPr>
        <w:t>‘</w:t>
      </w:r>
      <w:r w:rsidRPr="009534C0">
        <w:rPr>
          <w:iCs/>
        </w:rPr>
        <w:t>COAPT</w:t>
      </w:r>
      <w:r>
        <w:rPr>
          <w:iCs/>
        </w:rPr>
        <w:t>-</w:t>
      </w:r>
      <w:r w:rsidRPr="009534C0">
        <w:rPr>
          <w:iCs/>
        </w:rPr>
        <w:t>like patients</w:t>
      </w:r>
      <w:r>
        <w:rPr>
          <w:iCs/>
        </w:rPr>
        <w:t>’</w:t>
      </w:r>
      <w:r w:rsidRPr="009534C0">
        <w:rPr>
          <w:iCs/>
        </w:rPr>
        <w:t>) for whom MBS listing is sought.</w:t>
      </w:r>
      <w:r>
        <w:rPr>
          <w:iCs/>
        </w:rPr>
        <w:t xml:space="preserve"> The applicant stated that a</w:t>
      </w:r>
      <w:r w:rsidRPr="009534C0">
        <w:rPr>
          <w:iCs/>
        </w:rPr>
        <w:t xml:space="preserve">fter the completion of the COAPT trial, demonstrating superior mortality of TMVr versus </w:t>
      </w:r>
      <w:r w:rsidRPr="00677529">
        <w:t xml:space="preserve">optimal medical management </w:t>
      </w:r>
      <w:r>
        <w:t>(</w:t>
      </w:r>
      <w:r w:rsidRPr="009534C0">
        <w:rPr>
          <w:iCs/>
        </w:rPr>
        <w:t>OMT</w:t>
      </w:r>
      <w:r>
        <w:rPr>
          <w:iCs/>
        </w:rPr>
        <w:t>)</w:t>
      </w:r>
      <w:r w:rsidRPr="009534C0">
        <w:rPr>
          <w:iCs/>
        </w:rPr>
        <w:t>, real world clinical practice is being shaped away from the MITRA-FR study in terms of patient selection and the application of the TMVr intervention.</w:t>
      </w:r>
    </w:p>
    <w:p w14:paraId="2695F730" w14:textId="754C1729" w:rsidR="00E47DC5" w:rsidRDefault="00E47DC5" w:rsidP="00E47DC5">
      <w:pPr>
        <w:widowControl w:val="0"/>
      </w:pPr>
      <w:r>
        <w:t xml:space="preserve">The applicant stated </w:t>
      </w:r>
      <w:r w:rsidR="00F657E0">
        <w:t xml:space="preserve">that </w:t>
      </w:r>
      <w:r>
        <w:t>c</w:t>
      </w:r>
      <w:r w:rsidRPr="009534C0">
        <w:t xml:space="preserve">areful patient selection is critical to ensure </w:t>
      </w:r>
      <w:r w:rsidR="00F657E0">
        <w:t xml:space="preserve">that </w:t>
      </w:r>
      <w:r w:rsidRPr="009534C0">
        <w:t>access to TMVr on the MBS is limited to FMR patients that will benefit from the intervention at a magnitude of effect similar to that observed in the COAPT study.</w:t>
      </w:r>
      <w:r>
        <w:t xml:space="preserve"> As such, the applicant proposed the following strategies to ensure the eligible FMR population for treatment of TMVr on the MBS targets ‘COAPT</w:t>
      </w:r>
      <w:r w:rsidR="00A92E3B">
        <w:t>-</w:t>
      </w:r>
      <w:r>
        <w:t>like patients’ and precludes ‘</w:t>
      </w:r>
      <w:r w:rsidR="00A92E3B">
        <w:t>MITRA-FR-</w:t>
      </w:r>
      <w:r>
        <w:t>like patients’ from accessing treatment:</w:t>
      </w:r>
    </w:p>
    <w:p w14:paraId="6238C560" w14:textId="6524135B" w:rsidR="00E47DC5" w:rsidRDefault="00E47DC5" w:rsidP="00ED24C6">
      <w:pPr>
        <w:pStyle w:val="ListParagraph"/>
        <w:widowControl w:val="0"/>
        <w:numPr>
          <w:ilvl w:val="0"/>
          <w:numId w:val="4"/>
        </w:numPr>
        <w:spacing w:after="120"/>
        <w:ind w:left="567" w:hanging="357"/>
      </w:pPr>
      <w:r>
        <w:t xml:space="preserve">Eligibility will be assessed and determined by a MDHT, by combining eligibility considerations such as: surgical risk assessment, frailty, major organ system dysfunction and procedure-specific impediments, anatomical suitability for MitraClip and for FMR, ensuring only patients in whom the MR is disproportionate to their </w:t>
      </w:r>
      <w:r w:rsidR="00A92E3B">
        <w:t>left ventricular end diastolic volume (</w:t>
      </w:r>
      <w:r>
        <w:t>LVEDV</w:t>
      </w:r>
      <w:r w:rsidR="00A92E3B">
        <w:t>)</w:t>
      </w:r>
      <w:r>
        <w:t xml:space="preserve"> (MR grading 3+ or 4+; LVESD </w:t>
      </w:r>
      <w:r w:rsidRPr="005E3D45">
        <w:t>≤ 70 mm</w:t>
      </w:r>
      <w:r>
        <w:t>). The MDHT will act as a gate keeper ensu</w:t>
      </w:r>
      <w:r w:rsidR="009F2A94">
        <w:t>r</w:t>
      </w:r>
      <w:r>
        <w:t xml:space="preserve">ing appropriate patient selection. </w:t>
      </w:r>
    </w:p>
    <w:p w14:paraId="36F8E505" w14:textId="77777777" w:rsidR="00E47DC5" w:rsidRDefault="009F2A94" w:rsidP="009F2A94">
      <w:pPr>
        <w:pStyle w:val="ListParagraph"/>
        <w:widowControl w:val="0"/>
        <w:numPr>
          <w:ilvl w:val="0"/>
          <w:numId w:val="4"/>
        </w:numPr>
        <w:spacing w:after="160"/>
        <w:ind w:left="567"/>
      </w:pPr>
      <w:r>
        <w:t>A consensus</w:t>
      </w:r>
      <w:r w:rsidR="00E47DC5">
        <w:t>/position statement will be prepared by a Working Group, including a multidisciplinary team of Key Opinion Leaders (with representatives from the Cardiac Society of Australia and New Zealand [CSANZ]), and the Australian and New Zealand Society of Cardiac and Thoracic Surgeons [ANZSCTS]), that further defines TMVr hospitals, practitioners and patients. This position paper will underpin the MBS listing for TMVr.</w:t>
      </w:r>
    </w:p>
    <w:p w14:paraId="0576AEF0" w14:textId="77777777" w:rsidR="00CA2A1A" w:rsidRPr="00CA2A1A" w:rsidRDefault="00CA2A1A" w:rsidP="00CA2A1A">
      <w:pPr>
        <w:tabs>
          <w:tab w:val="left" w:pos="720"/>
          <w:tab w:val="left" w:pos="1140"/>
        </w:tabs>
        <w:spacing w:after="240"/>
        <w:rPr>
          <w:szCs w:val="24"/>
        </w:rPr>
      </w:pPr>
      <w:r>
        <w:rPr>
          <w:szCs w:val="24"/>
        </w:rPr>
        <w:t xml:space="preserve">In the pre-MSAC response, the applicant noted that ESC </w:t>
      </w:r>
      <w:r w:rsidRPr="00CA2A1A">
        <w:rPr>
          <w:szCs w:val="24"/>
        </w:rPr>
        <w:t>considered the higher fee for TMVr than for TAVI is not justified ($1,720.90 vs $1,432.20).</w:t>
      </w:r>
      <w:r>
        <w:rPr>
          <w:szCs w:val="24"/>
        </w:rPr>
        <w:t xml:space="preserve"> The applicant reiterated their justification for the proposed fee and maintained</w:t>
      </w:r>
      <w:r w:rsidRPr="00CA2A1A">
        <w:rPr>
          <w:szCs w:val="24"/>
        </w:rPr>
        <w:t xml:space="preserve"> that the proposed fee for the TMVr procedure is </w:t>
      </w:r>
      <w:r>
        <w:rPr>
          <w:szCs w:val="24"/>
        </w:rPr>
        <w:t>appropriate. Nevertheless, the a</w:t>
      </w:r>
      <w:r w:rsidRPr="00CA2A1A">
        <w:rPr>
          <w:szCs w:val="24"/>
        </w:rPr>
        <w:t xml:space="preserve">pplicant </w:t>
      </w:r>
      <w:r>
        <w:rPr>
          <w:szCs w:val="24"/>
        </w:rPr>
        <w:t>expressed willing</w:t>
      </w:r>
      <w:r w:rsidR="009F2A94">
        <w:rPr>
          <w:szCs w:val="24"/>
        </w:rPr>
        <w:t>ness</w:t>
      </w:r>
      <w:r>
        <w:rPr>
          <w:szCs w:val="24"/>
        </w:rPr>
        <w:t xml:space="preserve"> to </w:t>
      </w:r>
      <w:r w:rsidRPr="00CA2A1A">
        <w:rPr>
          <w:szCs w:val="24"/>
        </w:rPr>
        <w:t>work with MSAC and local experts in finalising the fee if necessary.</w:t>
      </w:r>
    </w:p>
    <w:p w14:paraId="3521D08E" w14:textId="77777777" w:rsidR="00E57DB1" w:rsidRPr="00F715D1" w:rsidRDefault="00E57DB1" w:rsidP="00E57DB1">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6D4AA73B" w14:textId="02B8DA3B" w:rsidR="00E47DC5" w:rsidRDefault="00E47DC5" w:rsidP="00E47DC5">
      <w:r>
        <w:t xml:space="preserve">See </w:t>
      </w:r>
      <w:hyperlink r:id="rId10" w:tooltip="Link to MSAC website page for application 1192" w:history="1">
        <w:r w:rsidRPr="00646E3A">
          <w:rPr>
            <w:rStyle w:val="Hyperlink"/>
          </w:rPr>
          <w:t>Public Summary Document (PSD) Application No. 1192</w:t>
        </w:r>
      </w:hyperlink>
      <w:r>
        <w:t>, Nov 2012.</w:t>
      </w:r>
    </w:p>
    <w:p w14:paraId="63FE85DB" w14:textId="77777777" w:rsidR="00E57DB1" w:rsidRPr="00F715D1" w:rsidRDefault="00E57DB1" w:rsidP="00E57DB1">
      <w:pPr>
        <w:pStyle w:val="Heading1"/>
      </w:pPr>
      <w:r w:rsidRPr="00F715D1">
        <w:t>Proposed intervention’s place in clinical management</w:t>
      </w:r>
    </w:p>
    <w:p w14:paraId="3662137A" w14:textId="77777777" w:rsidR="00E57DB1" w:rsidRDefault="00E57DB1" w:rsidP="00E47DC5">
      <w:pPr>
        <w:pStyle w:val="Heading2"/>
        <w:rPr>
          <w:b w:val="0"/>
        </w:rPr>
      </w:pPr>
      <w:r w:rsidRPr="00CF4E81">
        <w:t>Description of Proposed Intervention</w:t>
      </w:r>
    </w:p>
    <w:p w14:paraId="5AEC6D48" w14:textId="73B3B822" w:rsidR="00C961CD" w:rsidRDefault="00E47DC5" w:rsidP="00ED24C6">
      <w:pPr>
        <w:tabs>
          <w:tab w:val="left" w:pos="720"/>
          <w:tab w:val="left" w:pos="1140"/>
        </w:tabs>
      </w:pPr>
      <w:r w:rsidRPr="003C71FE">
        <w:t xml:space="preserve">The proposed medical service is percutaneous reconstruction of an insufficient mitral valve through tissue approximation using transvenous/transeptal techniques. The procedure is performed </w:t>
      </w:r>
      <w:r w:rsidRPr="001E02F5">
        <w:t>under general anaesthesia by an interventional cardiologist and/or cardiothoracic surgeon</w:t>
      </w:r>
      <w:r>
        <w:t>,</w:t>
      </w:r>
      <w:r w:rsidRPr="001E02F5">
        <w:t xml:space="preserve"> </w:t>
      </w:r>
      <w:r w:rsidRPr="003C71FE">
        <w:t xml:space="preserve">using a catheter-based device that enables physicians to perform </w:t>
      </w:r>
      <w:r w:rsidR="009F2A94">
        <w:t>percutaneous, transvenous/trans</w:t>
      </w:r>
      <w:r w:rsidRPr="003C71FE">
        <w:t>eptal mitral valve repair in patients with MR while the heart is beating.</w:t>
      </w:r>
      <w:r w:rsidRPr="001E02F5">
        <w:t xml:space="preserve"> </w:t>
      </w:r>
      <w:r>
        <w:t>The</w:t>
      </w:r>
      <w:r w:rsidRPr="00954596">
        <w:t xml:space="preserve"> </w:t>
      </w:r>
      <w:r>
        <w:t>TMVr procedure is based on the principle of edge-to-edge repair but a mechanical clip (MitraClip) is used in place of a suture to allow permanent coaptation (‘approximation’) of the two malfunctioning mitral valve leaflets.</w:t>
      </w:r>
    </w:p>
    <w:p w14:paraId="3B29581F" w14:textId="77777777" w:rsidR="00E57DB1" w:rsidRPr="00CF4E81" w:rsidRDefault="00E57DB1" w:rsidP="00ED24C6">
      <w:pPr>
        <w:pStyle w:val="Heading2"/>
        <w:spacing w:before="240"/>
      </w:pPr>
      <w:r w:rsidRPr="00CF4E81">
        <w:t>Description of Medical Condition(s)</w:t>
      </w:r>
    </w:p>
    <w:p w14:paraId="3C26657E" w14:textId="4C989354" w:rsidR="00E47DC5" w:rsidRPr="00652C0E" w:rsidRDefault="00E47DC5" w:rsidP="009F2A94">
      <w:pPr>
        <w:tabs>
          <w:tab w:val="left" w:pos="720"/>
          <w:tab w:val="left" w:pos="1140"/>
        </w:tabs>
        <w:spacing w:after="240"/>
        <w:rPr>
          <w:szCs w:val="24"/>
        </w:rPr>
      </w:pPr>
      <w:r w:rsidRPr="00652C0E">
        <w:rPr>
          <w:szCs w:val="24"/>
        </w:rPr>
        <w:t xml:space="preserve">MR occurs when the leaflets (or flaps) of the heart’s mitral value do not close properly and leak. The mitral valve is a one-way valve that separates the left atrium (a chamber in the heart which collects blood from the lungs) from the left ventricle (a chamber in the heart which </w:t>
      </w:r>
      <w:r w:rsidRPr="00652C0E">
        <w:rPr>
          <w:szCs w:val="24"/>
        </w:rPr>
        <w:lastRenderedPageBreak/>
        <w:t xml:space="preserve">pumps blood to the rest of the body). During </w:t>
      </w:r>
      <w:r w:rsidR="00A92E3B">
        <w:rPr>
          <w:szCs w:val="24"/>
        </w:rPr>
        <w:t>left ventricular systole</w:t>
      </w:r>
      <w:r w:rsidRPr="00652C0E">
        <w:rPr>
          <w:szCs w:val="24"/>
        </w:rPr>
        <w:t>, the leak in the mitral valve causes blood to flow backwards into the left atrium (also known as regurgitant volume), thereby decreasing blood flow to the body (resulting in lower card</w:t>
      </w:r>
      <w:r w:rsidR="009F2A94">
        <w:rPr>
          <w:szCs w:val="24"/>
        </w:rPr>
        <w:t xml:space="preserve">iac output and stroke volume). </w:t>
      </w:r>
    </w:p>
    <w:p w14:paraId="28107083" w14:textId="261C289C" w:rsidR="00E47DC5" w:rsidRPr="009F2A94" w:rsidRDefault="00E47DC5" w:rsidP="009F2A94">
      <w:pPr>
        <w:tabs>
          <w:tab w:val="left" w:pos="720"/>
          <w:tab w:val="left" w:pos="1140"/>
        </w:tabs>
        <w:spacing w:after="240"/>
        <w:rPr>
          <w:szCs w:val="24"/>
        </w:rPr>
      </w:pPr>
      <w:r w:rsidRPr="00652C0E">
        <w:rPr>
          <w:szCs w:val="24"/>
        </w:rPr>
        <w:t xml:space="preserve">To maintain blood flow to the body and compensate for MR, the left ventricle must </w:t>
      </w:r>
      <w:r w:rsidR="00A92E3B">
        <w:rPr>
          <w:szCs w:val="24"/>
        </w:rPr>
        <w:t>increase its contraction</w:t>
      </w:r>
      <w:r w:rsidRPr="00652C0E">
        <w:rPr>
          <w:szCs w:val="24"/>
        </w:rPr>
        <w:t>. Backflow due to MR places an extra burden on the left ventricle and lungs. Eventually, this burden can cause other problems, such as: stroke, sudden death, irregular heartbeat, increasing damage to the heart muscle (progressive myocardial injury); and/or inability to maintain adequate circulation of bl</w:t>
      </w:r>
      <w:r w:rsidR="009F2A94">
        <w:rPr>
          <w:szCs w:val="24"/>
        </w:rPr>
        <w:t>ood (congestive heart failure).</w:t>
      </w:r>
    </w:p>
    <w:p w14:paraId="19B90DFC" w14:textId="77777777" w:rsidR="00E47DC5" w:rsidRPr="00AC5F51" w:rsidRDefault="00E47DC5" w:rsidP="00E47DC5">
      <w:r>
        <w:t>The proposed medical service is specified for treating MR in t</w:t>
      </w:r>
      <w:r w:rsidRPr="00AC5F51">
        <w:t>wo</w:t>
      </w:r>
      <w:r>
        <w:t xml:space="preserve"> subset</w:t>
      </w:r>
      <w:r w:rsidRPr="00AC5F51">
        <w:t xml:space="preserve"> patient populations:</w:t>
      </w:r>
    </w:p>
    <w:p w14:paraId="6B5A3F75" w14:textId="77777777" w:rsidR="00E47DC5" w:rsidRPr="00AC5F51" w:rsidRDefault="00E47DC5" w:rsidP="00E47DC5">
      <w:pPr>
        <w:pStyle w:val="ListParagraph"/>
        <w:numPr>
          <w:ilvl w:val="0"/>
          <w:numId w:val="5"/>
        </w:numPr>
      </w:pPr>
      <w:r w:rsidRPr="00AC5F51">
        <w:t>Population 1: Degenerative mitral regurgitation (DMR)</w:t>
      </w:r>
    </w:p>
    <w:p w14:paraId="00414D37" w14:textId="77777777" w:rsidR="00E47DC5" w:rsidRDefault="00E47DC5" w:rsidP="00ED24C6">
      <w:pPr>
        <w:spacing w:after="120"/>
        <w:ind w:left="720"/>
      </w:pPr>
      <w:r w:rsidRPr="00AC5F51">
        <w:t xml:space="preserve">Patients with </w:t>
      </w:r>
      <w:r>
        <w:t xml:space="preserve">moderate-severe or severe DMR (MR grading of </w:t>
      </w:r>
      <w:r w:rsidRPr="00AC5F51">
        <w:t>3+ or 4+</w:t>
      </w:r>
      <w:r>
        <w:t xml:space="preserve">) </w:t>
      </w:r>
      <w:r w:rsidRPr="00AC5F51">
        <w:t xml:space="preserve">who are determined by a </w:t>
      </w:r>
      <w:r>
        <w:t>multidisciplinary heart team</w:t>
      </w:r>
      <w:r w:rsidRPr="00AC5F51">
        <w:t xml:space="preserve"> </w:t>
      </w:r>
      <w:r>
        <w:t>(</w:t>
      </w:r>
      <w:r w:rsidRPr="00AC5F51">
        <w:t>MDHT</w:t>
      </w:r>
      <w:r>
        <w:t>)</w:t>
      </w:r>
      <w:r w:rsidRPr="00AC5F51">
        <w:t xml:space="preserve"> to be ineligib</w:t>
      </w:r>
      <w:r w:rsidR="009F2A94">
        <w:t>le for surgical intervention.</w:t>
      </w:r>
    </w:p>
    <w:p w14:paraId="643BE50F" w14:textId="77777777" w:rsidR="00E47DC5" w:rsidRPr="00AC5F51" w:rsidRDefault="00E47DC5" w:rsidP="00E47DC5">
      <w:pPr>
        <w:pStyle w:val="ListParagraph"/>
        <w:numPr>
          <w:ilvl w:val="0"/>
          <w:numId w:val="5"/>
        </w:numPr>
      </w:pPr>
      <w:r w:rsidRPr="00AC5F51">
        <w:t>Population 2: Functional mitral regurgitation (FMR)</w:t>
      </w:r>
    </w:p>
    <w:p w14:paraId="68CF657D" w14:textId="77777777" w:rsidR="00E57DB1" w:rsidRDefault="00E47DC5" w:rsidP="009F2A94">
      <w:pPr>
        <w:ind w:left="720"/>
      </w:pPr>
      <w:r w:rsidRPr="00AC5F51">
        <w:t>Patients with moderate-severe or severe FMR (MR grading of 3+</w:t>
      </w:r>
      <w:r>
        <w:t xml:space="preserve"> or 4+</w:t>
      </w:r>
      <w:r w:rsidRPr="00AC5F51">
        <w:t xml:space="preserve">), who </w:t>
      </w:r>
      <w:r>
        <w:t xml:space="preserve">are </w:t>
      </w:r>
      <w:r w:rsidRPr="00AC5F51">
        <w:t xml:space="preserve">considered by the MDHT to be ineligible for surgical intervention, and whose symptoms persist despite maximally tolerated </w:t>
      </w:r>
      <w:r>
        <w:t>Guideline-Directed Medical Therapy</w:t>
      </w:r>
      <w:r w:rsidRPr="00AC5F51">
        <w:t xml:space="preserve"> </w:t>
      </w:r>
      <w:r>
        <w:t>(</w:t>
      </w:r>
      <w:r w:rsidRPr="00AC5F51">
        <w:t>GDMT</w:t>
      </w:r>
      <w:r>
        <w:t>)</w:t>
      </w:r>
      <w:r w:rsidRPr="00AC5F51">
        <w:t xml:space="preserve"> as determined by the MDHT.</w:t>
      </w:r>
    </w:p>
    <w:p w14:paraId="777549FE" w14:textId="77777777" w:rsidR="00E47DC5" w:rsidRDefault="00E47DC5" w:rsidP="009F2A94">
      <w:pPr>
        <w:spacing w:before="240"/>
      </w:pPr>
      <w:r>
        <w:t xml:space="preserve">The proposed clinical management algorithms for TMVr in the DMR and FMR population are presented in </w:t>
      </w:r>
      <w:r>
        <w:fldChar w:fldCharType="begin"/>
      </w:r>
      <w:r>
        <w:instrText xml:space="preserve"> REF _Ref20403463 \h </w:instrText>
      </w:r>
      <w:r>
        <w:fldChar w:fldCharType="separate"/>
      </w:r>
      <w:r>
        <w:t xml:space="preserve">Figure </w:t>
      </w:r>
      <w:r>
        <w:rPr>
          <w:noProof/>
        </w:rPr>
        <w:t>1</w:t>
      </w:r>
      <w:r>
        <w:fldChar w:fldCharType="end"/>
      </w:r>
      <w:r>
        <w:t xml:space="preserve">and </w:t>
      </w:r>
      <w:r>
        <w:fldChar w:fldCharType="begin"/>
      </w:r>
      <w:r>
        <w:instrText xml:space="preserve"> REF _Ref20403777 \h </w:instrText>
      </w:r>
      <w:r>
        <w:fldChar w:fldCharType="separate"/>
      </w:r>
      <w:r>
        <w:t xml:space="preserve">Figure </w:t>
      </w:r>
      <w:r>
        <w:rPr>
          <w:noProof/>
        </w:rPr>
        <w:t>2</w:t>
      </w:r>
      <w:r>
        <w:fldChar w:fldCharType="end"/>
      </w:r>
      <w:r>
        <w:t xml:space="preserve"> , respectively.</w:t>
      </w:r>
    </w:p>
    <w:p w14:paraId="69A49074" w14:textId="77777777" w:rsidR="00E47DC5" w:rsidRDefault="00E47DC5" w:rsidP="00BE70ED">
      <w:pPr>
        <w:keepNext/>
        <w:keepLines/>
        <w:widowControl w:val="0"/>
        <w:jc w:val="center"/>
      </w:pPr>
      <w:r>
        <w:rPr>
          <w:noProof/>
        </w:rPr>
        <w:lastRenderedPageBreak/>
        <w:drawing>
          <wp:inline distT="0" distB="0" distL="0" distR="0" wp14:anchorId="595CC068" wp14:editId="4858E456">
            <wp:extent cx="5092995" cy="5092995"/>
            <wp:effectExtent l="0" t="0" r="0" b="0"/>
            <wp:docPr id="9" name="Picture 9" descr="Proposed clinical management algorithm with introduction of TMVr – Population 1: 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9561" cy="5109561"/>
                    </a:xfrm>
                    <a:prstGeom prst="rect">
                      <a:avLst/>
                    </a:prstGeom>
                    <a:noFill/>
                    <a:ln>
                      <a:noFill/>
                    </a:ln>
                  </pic:spPr>
                </pic:pic>
              </a:graphicData>
            </a:graphic>
          </wp:inline>
        </w:drawing>
      </w:r>
    </w:p>
    <w:p w14:paraId="6946A3A8" w14:textId="77777777" w:rsidR="00E47DC5" w:rsidRPr="00BE70ED" w:rsidRDefault="00E47DC5" w:rsidP="00BE70ED">
      <w:pPr>
        <w:keepNext/>
        <w:keepLines/>
        <w:rPr>
          <w:rFonts w:ascii="Arial Narrow" w:hAnsi="Arial Narrow"/>
          <w:b/>
          <w:sz w:val="20"/>
        </w:rPr>
      </w:pPr>
      <w:bookmarkStart w:id="7" w:name="_Ref20403463"/>
      <w:bookmarkStart w:id="8" w:name="_Toc22047226"/>
      <w:r w:rsidRPr="00BE70ED">
        <w:rPr>
          <w:rFonts w:ascii="Arial Narrow" w:hAnsi="Arial Narrow"/>
          <w:b/>
          <w:sz w:val="20"/>
        </w:rPr>
        <w:t xml:space="preserve">Figure </w:t>
      </w:r>
      <w:r w:rsidRPr="00BE70ED">
        <w:rPr>
          <w:rFonts w:ascii="Arial Narrow" w:hAnsi="Arial Narrow"/>
          <w:b/>
          <w:sz w:val="20"/>
        </w:rPr>
        <w:fldChar w:fldCharType="begin"/>
      </w:r>
      <w:r w:rsidRPr="00BE70ED">
        <w:rPr>
          <w:rFonts w:ascii="Arial Narrow" w:hAnsi="Arial Narrow"/>
          <w:b/>
          <w:sz w:val="20"/>
        </w:rPr>
        <w:instrText xml:space="preserve"> SEQ Figure \* ARABIC </w:instrText>
      </w:r>
      <w:r w:rsidRPr="00BE70ED">
        <w:rPr>
          <w:rFonts w:ascii="Arial Narrow" w:hAnsi="Arial Narrow"/>
          <w:b/>
          <w:sz w:val="20"/>
        </w:rPr>
        <w:fldChar w:fldCharType="separate"/>
      </w:r>
      <w:r w:rsidRPr="00BE70ED">
        <w:rPr>
          <w:rFonts w:ascii="Arial Narrow" w:hAnsi="Arial Narrow"/>
          <w:b/>
          <w:sz w:val="20"/>
        </w:rPr>
        <w:t>1</w:t>
      </w:r>
      <w:r w:rsidRPr="00BE70ED">
        <w:rPr>
          <w:rFonts w:ascii="Arial Narrow" w:hAnsi="Arial Narrow"/>
          <w:b/>
          <w:sz w:val="20"/>
        </w:rPr>
        <w:fldChar w:fldCharType="end"/>
      </w:r>
      <w:bookmarkEnd w:id="7"/>
      <w:r w:rsidRPr="00BE70ED">
        <w:rPr>
          <w:rFonts w:ascii="Arial Narrow" w:hAnsi="Arial Narrow"/>
          <w:b/>
          <w:sz w:val="20"/>
        </w:rPr>
        <w:tab/>
        <w:t>Proposed clinical management algorithm with introduction of TMVr – Population 1: DMR</w:t>
      </w:r>
      <w:bookmarkEnd w:id="8"/>
    </w:p>
    <w:p w14:paraId="560144FD" w14:textId="77777777" w:rsidR="00E47DC5" w:rsidRPr="001828D9" w:rsidRDefault="00E47DC5" w:rsidP="00BE70ED">
      <w:pPr>
        <w:pStyle w:val="TableNote"/>
      </w:pPr>
      <w:r w:rsidRPr="001828D9">
        <w:t xml:space="preserve">DMR, degenerative mitral regurgitation; MR, mitral regurgitation; NYHA, New York Heart Association; LVEF, left ventricular ejection fraction. </w:t>
      </w:r>
    </w:p>
    <w:p w14:paraId="09C07967" w14:textId="77777777" w:rsidR="00E47DC5" w:rsidRPr="001828D9" w:rsidRDefault="00E47DC5" w:rsidP="00BE70ED">
      <w:pPr>
        <w:pStyle w:val="TableNote"/>
      </w:pPr>
      <w:r w:rsidRPr="001828D9">
        <w:t>1 Symptomatic = NYHA functional class II or greater</w:t>
      </w:r>
    </w:p>
    <w:p w14:paraId="37FE0F94" w14:textId="77777777" w:rsidR="00E47DC5" w:rsidRPr="001828D9" w:rsidRDefault="00E47DC5" w:rsidP="00BE70ED">
      <w:pPr>
        <w:pStyle w:val="TableNote"/>
      </w:pPr>
      <w:r w:rsidRPr="001828D9">
        <w:t>2 Patients considered ineligible for surgery as determined by a multidisciplinary heart team, combining surgical risk assessment, frailty, major organ system dysfunction, and procedure-specific impediments.</w:t>
      </w:r>
    </w:p>
    <w:p w14:paraId="28A86C38" w14:textId="77777777" w:rsidR="00E47DC5" w:rsidRPr="001828D9" w:rsidRDefault="00E47DC5" w:rsidP="00BE70ED">
      <w:pPr>
        <w:pStyle w:val="TableNote"/>
      </w:pPr>
      <w:r w:rsidRPr="001828D9">
        <w:t>3 Medical management refers to maximally tolerated guideline directed medical therapy (GDMT)</w:t>
      </w:r>
    </w:p>
    <w:p w14:paraId="604C76CF" w14:textId="77777777" w:rsidR="00E47DC5" w:rsidRPr="001828D9" w:rsidRDefault="00E47DC5" w:rsidP="00BE70ED">
      <w:pPr>
        <w:pStyle w:val="TableNote"/>
      </w:pPr>
      <w:r w:rsidRPr="001828D9">
        <w:t>4 Extended heart failure management includes cardiac resynchronisation therapy, ventricular assist devices, cardiac restraint devices and heart transplant</w:t>
      </w:r>
    </w:p>
    <w:p w14:paraId="7076D490" w14:textId="77777777" w:rsidR="00E47DC5" w:rsidRDefault="00E47DC5" w:rsidP="00BE70ED">
      <w:pPr>
        <w:pStyle w:val="TableNote"/>
      </w:pPr>
      <w:r w:rsidRPr="001828D9">
        <w:t>Source: Figure 7, p59 of ADAR</w:t>
      </w:r>
    </w:p>
    <w:p w14:paraId="19C591B3" w14:textId="77777777" w:rsidR="00E47DC5" w:rsidRDefault="00E47DC5" w:rsidP="00E47DC5">
      <w:pPr>
        <w:jc w:val="center"/>
      </w:pPr>
      <w:r>
        <w:rPr>
          <w:noProof/>
        </w:rPr>
        <w:lastRenderedPageBreak/>
        <w:drawing>
          <wp:inline distT="0" distB="0" distL="0" distR="0" wp14:anchorId="1376D68E" wp14:editId="06C241DD">
            <wp:extent cx="4734702" cy="5135526"/>
            <wp:effectExtent l="0" t="0" r="8890" b="8255"/>
            <wp:docPr id="11" name="Picture 11" descr="Proposed clinical management algorithm with introduction of TMVr – Population 1: 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0669" cy="5196231"/>
                    </a:xfrm>
                    <a:prstGeom prst="rect">
                      <a:avLst/>
                    </a:prstGeom>
                    <a:noFill/>
                    <a:ln>
                      <a:noFill/>
                    </a:ln>
                  </pic:spPr>
                </pic:pic>
              </a:graphicData>
            </a:graphic>
          </wp:inline>
        </w:drawing>
      </w:r>
    </w:p>
    <w:p w14:paraId="4B733D65" w14:textId="77777777" w:rsidR="00E47DC5" w:rsidRPr="00BE70ED" w:rsidRDefault="00E47DC5" w:rsidP="00BE70ED">
      <w:pPr>
        <w:rPr>
          <w:rFonts w:ascii="Arial Narrow" w:hAnsi="Arial Narrow"/>
          <w:b/>
          <w:sz w:val="20"/>
        </w:rPr>
      </w:pPr>
      <w:bookmarkStart w:id="9" w:name="_Ref20403777"/>
      <w:bookmarkStart w:id="10" w:name="_Toc22047228"/>
      <w:r w:rsidRPr="00BE70ED">
        <w:rPr>
          <w:rFonts w:ascii="Arial Narrow" w:hAnsi="Arial Narrow"/>
          <w:b/>
          <w:sz w:val="20"/>
        </w:rPr>
        <w:t xml:space="preserve">Figure </w:t>
      </w:r>
      <w:r w:rsidRPr="00BE70ED">
        <w:rPr>
          <w:rFonts w:ascii="Arial Narrow" w:hAnsi="Arial Narrow"/>
          <w:b/>
          <w:sz w:val="20"/>
        </w:rPr>
        <w:fldChar w:fldCharType="begin"/>
      </w:r>
      <w:r w:rsidRPr="00BE70ED">
        <w:rPr>
          <w:rFonts w:ascii="Arial Narrow" w:hAnsi="Arial Narrow"/>
          <w:b/>
          <w:sz w:val="20"/>
        </w:rPr>
        <w:instrText xml:space="preserve"> SEQ Figure \* ARABIC </w:instrText>
      </w:r>
      <w:r w:rsidRPr="00BE70ED">
        <w:rPr>
          <w:rFonts w:ascii="Arial Narrow" w:hAnsi="Arial Narrow"/>
          <w:b/>
          <w:sz w:val="20"/>
        </w:rPr>
        <w:fldChar w:fldCharType="separate"/>
      </w:r>
      <w:r w:rsidRPr="00BE70ED">
        <w:rPr>
          <w:rFonts w:ascii="Arial Narrow" w:hAnsi="Arial Narrow"/>
          <w:b/>
          <w:sz w:val="20"/>
        </w:rPr>
        <w:t>2</w:t>
      </w:r>
      <w:r w:rsidRPr="00BE70ED">
        <w:rPr>
          <w:rFonts w:ascii="Arial Narrow" w:hAnsi="Arial Narrow"/>
          <w:b/>
          <w:sz w:val="20"/>
        </w:rPr>
        <w:fldChar w:fldCharType="end"/>
      </w:r>
      <w:bookmarkEnd w:id="9"/>
      <w:r w:rsidRPr="00BE70ED">
        <w:rPr>
          <w:rFonts w:ascii="Arial Narrow" w:hAnsi="Arial Narrow"/>
          <w:b/>
          <w:sz w:val="20"/>
        </w:rPr>
        <w:tab/>
        <w:t>Proposed clinical management algorithm with introduction of TMVr – Population 1: DMR</w:t>
      </w:r>
      <w:bookmarkEnd w:id="10"/>
    </w:p>
    <w:p w14:paraId="1F071C77" w14:textId="77777777" w:rsidR="00E47DC5" w:rsidRDefault="00E47DC5" w:rsidP="00E47DC5">
      <w:pPr>
        <w:pStyle w:val="TableNote"/>
      </w:pPr>
      <w:r>
        <w:t>FMR, functional mitral regurgitation; MR, mitral regurgitation; NYHA, New York Heart Association; LVEF, left ventricular ejection fraction; MDHT, multidisciplinary heart team; LVESD, Left Ventricular End Systolic Volume.</w:t>
      </w:r>
    </w:p>
    <w:p w14:paraId="6EDBD3B9" w14:textId="77777777" w:rsidR="00E47DC5" w:rsidRDefault="00E47DC5" w:rsidP="00E47DC5">
      <w:pPr>
        <w:pStyle w:val="TableNote"/>
      </w:pPr>
      <w:r>
        <w:rPr>
          <w:vertAlign w:val="superscript"/>
        </w:rPr>
        <w:t>1</w:t>
      </w:r>
      <w:r>
        <w:t xml:space="preserve"> Symptomatic = NYHA functional class II or greater</w:t>
      </w:r>
    </w:p>
    <w:p w14:paraId="02565FE4" w14:textId="77777777" w:rsidR="00E47DC5" w:rsidRDefault="00E47DC5" w:rsidP="00E47DC5">
      <w:pPr>
        <w:pStyle w:val="TableNote"/>
      </w:pPr>
      <w:r>
        <w:rPr>
          <w:vertAlign w:val="superscript"/>
        </w:rPr>
        <w:t>2</w:t>
      </w:r>
      <w:r>
        <w:t xml:space="preserve"> Patients considered ineligible for surgery as determined by a multidisciplinary heart team, combining surgical risk assessment, frailty, major organ system dysfunction, and procedure-specific impediments.</w:t>
      </w:r>
    </w:p>
    <w:p w14:paraId="46A94EB9" w14:textId="77777777" w:rsidR="00E47DC5" w:rsidRDefault="00E47DC5" w:rsidP="00E47DC5">
      <w:pPr>
        <w:pStyle w:val="TableNote"/>
      </w:pPr>
      <w:r>
        <w:rPr>
          <w:vertAlign w:val="superscript"/>
        </w:rPr>
        <w:t xml:space="preserve">3 </w:t>
      </w:r>
      <w:r>
        <w:t>Medical management refers to maximally tolerated guideline directed medical therapy (GDMT)</w:t>
      </w:r>
    </w:p>
    <w:p w14:paraId="683DDF15" w14:textId="77777777" w:rsidR="00E47DC5" w:rsidRDefault="00E47DC5" w:rsidP="00E47DC5">
      <w:pPr>
        <w:pStyle w:val="TableNote"/>
      </w:pPr>
      <w:r>
        <w:rPr>
          <w:vertAlign w:val="superscript"/>
        </w:rPr>
        <w:t xml:space="preserve">4 </w:t>
      </w:r>
      <w:r>
        <w:t>Extended heart failure management includes cardiac resynchronisation therapy, ventricular assist devices, cardiac restraint devices and heart transplant</w:t>
      </w:r>
    </w:p>
    <w:p w14:paraId="28A40B3C" w14:textId="77777777" w:rsidR="00E47DC5" w:rsidRDefault="00E47DC5" w:rsidP="00E47DC5">
      <w:pPr>
        <w:pStyle w:val="TableNote"/>
      </w:pPr>
      <w:r>
        <w:t xml:space="preserve">Source: Figure 9, p62 of ADAR </w:t>
      </w:r>
    </w:p>
    <w:p w14:paraId="384FD823" w14:textId="77777777" w:rsidR="00E57DB1" w:rsidRPr="00F715D1" w:rsidRDefault="00E57DB1" w:rsidP="00E57DB1">
      <w:pPr>
        <w:pStyle w:val="Heading1"/>
      </w:pPr>
      <w:r w:rsidRPr="00F715D1">
        <w:t xml:space="preserve">Comparator </w:t>
      </w:r>
    </w:p>
    <w:p w14:paraId="6A237A4C" w14:textId="77777777" w:rsidR="009F2A94" w:rsidRDefault="00E47DC5" w:rsidP="00E47DC5">
      <w:r w:rsidRPr="000A371A">
        <w:t xml:space="preserve">The comparator proposed </w:t>
      </w:r>
      <w:r>
        <w:t>in</w:t>
      </w:r>
      <w:r w:rsidR="009F2A94">
        <w:t xml:space="preserve"> this</w:t>
      </w:r>
      <w:r w:rsidRPr="000A371A">
        <w:t xml:space="preserve"> resubmission (</w:t>
      </w:r>
      <w:r>
        <w:t xml:space="preserve">Application </w:t>
      </w:r>
      <w:r w:rsidRPr="000A371A">
        <w:t>1192.3) is medical management</w:t>
      </w:r>
      <w:r>
        <w:t xml:space="preserve">. </w:t>
      </w:r>
    </w:p>
    <w:p w14:paraId="6E17AFAA" w14:textId="77777777" w:rsidR="00E47DC5" w:rsidRDefault="00E47DC5" w:rsidP="009F2A94">
      <w:pPr>
        <w:spacing w:before="240"/>
      </w:pPr>
      <w:r>
        <w:t>Medical management was</w:t>
      </w:r>
      <w:r w:rsidRPr="000A371A">
        <w:t xml:space="preserve"> </w:t>
      </w:r>
      <w:r w:rsidR="009F2A94">
        <w:t xml:space="preserve">previously </w:t>
      </w:r>
      <w:r w:rsidRPr="000A371A">
        <w:t xml:space="preserve">considered </w:t>
      </w:r>
      <w:r w:rsidR="009F2A94">
        <w:t xml:space="preserve">by MSAC </w:t>
      </w:r>
      <w:r w:rsidRPr="000A371A">
        <w:t>to be a</w:t>
      </w:r>
      <w:r w:rsidR="009F2A94">
        <w:t>n appropriate comparator</w:t>
      </w:r>
      <w:r w:rsidRPr="000A371A">
        <w:t xml:space="preserve"> (</w:t>
      </w:r>
      <w:r>
        <w:t xml:space="preserve">see PSD </w:t>
      </w:r>
      <w:r w:rsidRPr="000A371A">
        <w:t>Application</w:t>
      </w:r>
      <w:r>
        <w:t xml:space="preserve"> No.</w:t>
      </w:r>
      <w:r w:rsidRPr="000A371A">
        <w:t xml:space="preserve"> </w:t>
      </w:r>
      <w:r>
        <w:t>1192.2</w:t>
      </w:r>
      <w:r w:rsidRPr="000A371A">
        <w:t>, p8).</w:t>
      </w:r>
    </w:p>
    <w:p w14:paraId="1DBB08D7" w14:textId="77777777" w:rsidR="00E57DB1" w:rsidRPr="00F715D1" w:rsidRDefault="00E57DB1" w:rsidP="00E57DB1">
      <w:pPr>
        <w:pStyle w:val="Heading1"/>
      </w:pPr>
      <w:r w:rsidRPr="00F715D1">
        <w:t>Comparative safety</w:t>
      </w:r>
    </w:p>
    <w:p w14:paraId="2B4EF227" w14:textId="77777777" w:rsidR="00E47DC5" w:rsidRPr="00E47DC5" w:rsidRDefault="00E47DC5" w:rsidP="00E47DC5">
      <w:pPr>
        <w:pStyle w:val="Heading2"/>
        <w:rPr>
          <w:b w:val="0"/>
          <w:i/>
          <w:u w:val="single"/>
        </w:rPr>
      </w:pPr>
      <w:r w:rsidRPr="00E47DC5">
        <w:rPr>
          <w:b w:val="0"/>
          <w:i/>
          <w:u w:val="single"/>
        </w:rPr>
        <w:t>Population 1: DMR</w:t>
      </w:r>
    </w:p>
    <w:p w14:paraId="0EAC980A" w14:textId="77777777" w:rsidR="009F2A94" w:rsidRDefault="00E47DC5" w:rsidP="00E47DC5">
      <w:r>
        <w:t xml:space="preserve">No new comparative </w:t>
      </w:r>
      <w:r w:rsidR="009F2A94">
        <w:t>safety data was presented in this</w:t>
      </w:r>
      <w:r>
        <w:t xml:space="preserve"> resubmission (Application 1192.3).</w:t>
      </w:r>
    </w:p>
    <w:p w14:paraId="0E517142" w14:textId="77777777" w:rsidR="00E47DC5" w:rsidRDefault="00E47DC5" w:rsidP="009F2A94">
      <w:pPr>
        <w:spacing w:before="240" w:after="240"/>
      </w:pPr>
      <w:r w:rsidRPr="00E76365">
        <w:t xml:space="preserve">The </w:t>
      </w:r>
      <w:r>
        <w:t>three non-randomised comparative</w:t>
      </w:r>
      <w:r w:rsidRPr="00E76365">
        <w:t xml:space="preserve"> studies (EVEREST II HRR</w:t>
      </w:r>
      <w:r>
        <w:t xml:space="preserve">: Whitlow et al. 2012, </w:t>
      </w:r>
      <w:r w:rsidRPr="00E76365">
        <w:t xml:space="preserve">Velazquez </w:t>
      </w:r>
      <w:r>
        <w:t xml:space="preserve">et al. </w:t>
      </w:r>
      <w:r w:rsidRPr="00E76365">
        <w:t xml:space="preserve">2015 and Swaans </w:t>
      </w:r>
      <w:r>
        <w:t xml:space="preserve">et al. </w:t>
      </w:r>
      <w:r w:rsidRPr="00E76365">
        <w:t>2014)</w:t>
      </w:r>
      <w:r>
        <w:t xml:space="preserve"> were provid</w:t>
      </w:r>
      <w:r w:rsidR="009F2A94">
        <w:t xml:space="preserve">ed in the previous </w:t>
      </w:r>
      <w:r>
        <w:t>submission (Application 1192.2).</w:t>
      </w:r>
      <w:r w:rsidRPr="00E76365">
        <w:t xml:space="preserve"> </w:t>
      </w:r>
      <w:r>
        <w:t>The only addi</w:t>
      </w:r>
      <w:r w:rsidR="009F2A94">
        <w:t xml:space="preserve">tional evidence provided in this </w:t>
      </w:r>
      <w:r>
        <w:t xml:space="preserve">resubmission </w:t>
      </w:r>
      <w:r>
        <w:lastRenderedPageBreak/>
        <w:t xml:space="preserve">(Application 1192.3) was </w:t>
      </w:r>
      <w:r w:rsidRPr="000125C3">
        <w:t>one large, prospective</w:t>
      </w:r>
      <w:r>
        <w:t xml:space="preserve">, single arm, </w:t>
      </w:r>
      <w:r w:rsidRPr="00F75435">
        <w:t>Society of Thoracic Surgery/American College of Cardiology Transcatheter Valve Therapy</w:t>
      </w:r>
      <w:r w:rsidRPr="000125C3">
        <w:t xml:space="preserve"> registry </w:t>
      </w:r>
      <w:r>
        <w:t xml:space="preserve">(TVT registry) </w:t>
      </w:r>
      <w:r w:rsidRPr="000125C3">
        <w:t xml:space="preserve">of 2,952 patients (85.9% DMR) </w:t>
      </w:r>
      <w:r>
        <w:t>undergoing TMVr (Sorajja et al. 2017</w:t>
      </w:r>
      <w:r w:rsidR="009F2A94">
        <w:t>).</w:t>
      </w:r>
    </w:p>
    <w:p w14:paraId="6572983D" w14:textId="77777777" w:rsidR="00E47DC5" w:rsidRDefault="00E47DC5" w:rsidP="009F2A94">
      <w:pPr>
        <w:spacing w:after="240"/>
      </w:pPr>
      <w:r>
        <w:t xml:space="preserve">The ADAR stated </w:t>
      </w:r>
      <w:r w:rsidR="009F2A94">
        <w:t xml:space="preserve">that </w:t>
      </w:r>
      <w:r>
        <w:t>the incident rate of 30-day mortality with TMVr was lower than in the OMT cohort (TMVr: range 4.2-7.7% vs OMT: range 7.2-8.3%). The TVT registry (N=1867) reported simi</w:t>
      </w:r>
      <w:r w:rsidR="009F2A94">
        <w:t>lar 30-day mortality with TMVr.</w:t>
      </w:r>
    </w:p>
    <w:p w14:paraId="78473CE4" w14:textId="77777777" w:rsidR="00E47DC5" w:rsidRDefault="00E47DC5" w:rsidP="003C0709">
      <w:pPr>
        <w:spacing w:after="240"/>
      </w:pPr>
      <w:r>
        <w:t xml:space="preserve">The ADAR </w:t>
      </w:r>
      <w:r w:rsidR="009F2A94">
        <w:t xml:space="preserve">also </w:t>
      </w:r>
      <w:r>
        <w:t xml:space="preserve">stated </w:t>
      </w:r>
      <w:r w:rsidR="009F2A94">
        <w:t xml:space="preserve">that </w:t>
      </w:r>
      <w:r>
        <w:t>the 30-day major adverse event (MAE) rate with TMVr in EVEREST II HRR was 26.9%, with the most common MAE being transfusion of ≥2 U of blood, which occurred in 14 patients (17.9%) at 30 days and in 19 patients (24.4%) at 12</w:t>
      </w:r>
      <w:r w:rsidR="009F2A94">
        <w:t> </w:t>
      </w:r>
      <w:r>
        <w:t xml:space="preserve">months. Few device-related adverse events (AEs) were reported with TMVr and did not appear to differ between the EVEREST II HRR trial and the TVT registry. Single leaflet device attachment (EVEREST II HRR: 1.3% and TVT registry: 1.5%) and device embolisation (EVEREST II HRR: 0% and TVT registry: 0.1%) was comparable between the EVEREST II HRR and TVT registry patients. </w:t>
      </w:r>
      <w:bookmarkStart w:id="11" w:name="_Hlk20993762"/>
      <w:r>
        <w:t>In EVEREST II HRR, b</w:t>
      </w:r>
      <w:r w:rsidRPr="004D6EC3">
        <w:t>eyond one year, all AEs were low and stable through five years, with no unexpected safety signal through long-term follow-up.</w:t>
      </w:r>
    </w:p>
    <w:bookmarkEnd w:id="11"/>
    <w:p w14:paraId="5FF7E3C6" w14:textId="77777777" w:rsidR="00527DE7" w:rsidRDefault="00E47DC5" w:rsidP="00683623">
      <w:pPr>
        <w:spacing w:after="240"/>
        <w:rPr>
          <w:iCs/>
        </w:rPr>
      </w:pPr>
      <w:r w:rsidRPr="00EC4C11">
        <w:t xml:space="preserve">The commentary noted that the comparative data comes from a mixed population of DMR and FMR </w:t>
      </w:r>
      <w:r>
        <w:t xml:space="preserve">patients </w:t>
      </w:r>
      <w:r w:rsidRPr="00EC4C11">
        <w:t xml:space="preserve">and </w:t>
      </w:r>
      <w:r w:rsidR="003C0709">
        <w:t xml:space="preserve">that </w:t>
      </w:r>
      <w:r w:rsidRPr="00EC4C11">
        <w:t>the data did not consist of primarily D</w:t>
      </w:r>
      <w:r w:rsidR="003C0709">
        <w:t xml:space="preserve">MR patients. For the previous </w:t>
      </w:r>
      <w:r w:rsidRPr="00EC4C11">
        <w:t>submission (</w:t>
      </w:r>
      <w:r>
        <w:t xml:space="preserve">Application </w:t>
      </w:r>
      <w:r w:rsidRPr="00EC4C11">
        <w:t>1192.2), MSAC considered that TMVr had a reasonable safety profile, however still noted that there was continued uncertainty in the safety evidence for the DMR population (</w:t>
      </w:r>
      <w:r>
        <w:t xml:space="preserve">see PSD </w:t>
      </w:r>
      <w:r w:rsidRPr="000E22A7">
        <w:t>Application</w:t>
      </w:r>
      <w:r>
        <w:t xml:space="preserve"> No. 1192</w:t>
      </w:r>
      <w:r w:rsidRPr="000E22A7">
        <w:t xml:space="preserve">.2, p1). The commentary noted that the only </w:t>
      </w:r>
      <w:r>
        <w:rPr>
          <w:iCs/>
        </w:rPr>
        <w:t>new evidence presented is the</w:t>
      </w:r>
      <w:r w:rsidRPr="000E22A7">
        <w:rPr>
          <w:iCs/>
        </w:rPr>
        <w:t xml:space="preserve"> single arm retrospe</w:t>
      </w:r>
      <w:r w:rsidRPr="00EC4C11">
        <w:rPr>
          <w:iCs/>
        </w:rPr>
        <w:t xml:space="preserve">ctive </w:t>
      </w:r>
      <w:r>
        <w:rPr>
          <w:iCs/>
        </w:rPr>
        <w:t>TVT registry study</w:t>
      </w:r>
      <w:r w:rsidRPr="00EC4C11">
        <w:rPr>
          <w:iCs/>
        </w:rPr>
        <w:t xml:space="preserve"> that</w:t>
      </w:r>
      <w:r>
        <w:rPr>
          <w:iCs/>
        </w:rPr>
        <w:t xml:space="preserve"> reports similar rates of 30-</w:t>
      </w:r>
      <w:r w:rsidRPr="00EC4C11">
        <w:rPr>
          <w:iCs/>
        </w:rPr>
        <w:t xml:space="preserve">day mortality and clinical adverse events. </w:t>
      </w:r>
      <w:r>
        <w:rPr>
          <w:iCs/>
        </w:rPr>
        <w:t xml:space="preserve">The commentary considered that </w:t>
      </w:r>
      <w:r w:rsidRPr="00EC4C11">
        <w:rPr>
          <w:iCs/>
        </w:rPr>
        <w:t>TMVr continues to have uncertain safety for the DMR population</w:t>
      </w:r>
      <w:r w:rsidR="004030AA">
        <w:rPr>
          <w:iCs/>
        </w:rPr>
        <w:t>.</w:t>
      </w:r>
    </w:p>
    <w:p w14:paraId="43EA00F7" w14:textId="77777777" w:rsidR="00527DE7" w:rsidRDefault="00527DE7" w:rsidP="00E47DC5">
      <w:pPr>
        <w:rPr>
          <w:iCs/>
        </w:rPr>
      </w:pPr>
      <w:r>
        <w:rPr>
          <w:iCs/>
        </w:rPr>
        <w:t xml:space="preserve">In the pre-MSAC response, the applicant reiterated their claim that </w:t>
      </w:r>
      <w:r w:rsidR="008519F8">
        <w:rPr>
          <w:iCs/>
        </w:rPr>
        <w:t xml:space="preserve">the </w:t>
      </w:r>
      <w:r w:rsidRPr="00527DE7">
        <w:rPr>
          <w:iCs/>
        </w:rPr>
        <w:t xml:space="preserve">TMVr procedure is safe, and that a claim of non-inferiority to OMT </w:t>
      </w:r>
      <w:r>
        <w:rPr>
          <w:iCs/>
        </w:rPr>
        <w:t xml:space="preserve">for the DMR population </w:t>
      </w:r>
      <w:r w:rsidRPr="00527DE7">
        <w:rPr>
          <w:iCs/>
        </w:rPr>
        <w:t xml:space="preserve">is reasonable. </w:t>
      </w:r>
      <w:r>
        <w:rPr>
          <w:iCs/>
        </w:rPr>
        <w:t xml:space="preserve">To support this the applicant </w:t>
      </w:r>
      <w:r w:rsidR="008519F8">
        <w:rPr>
          <w:iCs/>
        </w:rPr>
        <w:t>reiterated their claims</w:t>
      </w:r>
      <w:r>
        <w:rPr>
          <w:iCs/>
        </w:rPr>
        <w:t xml:space="preserve"> that:</w:t>
      </w:r>
    </w:p>
    <w:p w14:paraId="0333DC00" w14:textId="77777777" w:rsidR="00527DE7" w:rsidRDefault="00527DE7" w:rsidP="008519F8">
      <w:pPr>
        <w:pStyle w:val="ListParagraph"/>
        <w:numPr>
          <w:ilvl w:val="0"/>
          <w:numId w:val="5"/>
        </w:numPr>
        <w:rPr>
          <w:iCs/>
        </w:rPr>
      </w:pPr>
      <w:r>
        <w:rPr>
          <w:iCs/>
        </w:rPr>
        <w:t>T</w:t>
      </w:r>
      <w:r w:rsidRPr="00527DE7">
        <w:rPr>
          <w:iCs/>
        </w:rPr>
        <w:t>here is no indication of any safety risks specific to the DMR population</w:t>
      </w:r>
      <w:r>
        <w:rPr>
          <w:iCs/>
        </w:rPr>
        <w:t>.</w:t>
      </w:r>
    </w:p>
    <w:p w14:paraId="778B9E6C" w14:textId="77777777" w:rsidR="00527DE7" w:rsidRDefault="00527DE7" w:rsidP="008519F8">
      <w:pPr>
        <w:pStyle w:val="ListParagraph"/>
        <w:numPr>
          <w:ilvl w:val="0"/>
          <w:numId w:val="5"/>
        </w:numPr>
        <w:rPr>
          <w:iCs/>
        </w:rPr>
      </w:pPr>
      <w:r>
        <w:rPr>
          <w:iCs/>
        </w:rPr>
        <w:t xml:space="preserve">It is reasonable to extrapolate the safety of the </w:t>
      </w:r>
      <w:r w:rsidRPr="00527DE7">
        <w:rPr>
          <w:iCs/>
        </w:rPr>
        <w:t xml:space="preserve">TMVr procedure relative to OMT from the COAPT study </w:t>
      </w:r>
      <w:r>
        <w:rPr>
          <w:iCs/>
        </w:rPr>
        <w:t xml:space="preserve">(FMR population) </w:t>
      </w:r>
      <w:r w:rsidRPr="00527DE7">
        <w:rPr>
          <w:iCs/>
        </w:rPr>
        <w:t>to the DMR population</w:t>
      </w:r>
      <w:r>
        <w:rPr>
          <w:iCs/>
        </w:rPr>
        <w:t xml:space="preserve"> as the procedure itself is the same irrespective of the MR aetiology.</w:t>
      </w:r>
    </w:p>
    <w:p w14:paraId="42499ECE" w14:textId="77777777" w:rsidR="003B00BE" w:rsidRDefault="003B00BE" w:rsidP="008519F8">
      <w:pPr>
        <w:pStyle w:val="ListParagraph"/>
        <w:numPr>
          <w:ilvl w:val="0"/>
          <w:numId w:val="5"/>
        </w:numPr>
        <w:rPr>
          <w:iCs/>
        </w:rPr>
      </w:pPr>
      <w:r w:rsidRPr="00527DE7">
        <w:rPr>
          <w:iCs/>
        </w:rPr>
        <w:t>Typically, the main safety considerations for an implantable device relative to OMT are those that are procedure and device related. For these events, comparative evidence versus OMT is not necessary, and as such, the TVT registry, including a large sample size (N=1867 for safety assessment) is considered informative.</w:t>
      </w:r>
    </w:p>
    <w:p w14:paraId="1D5E2246" w14:textId="77777777" w:rsidR="003B00BE" w:rsidRDefault="003B00BE" w:rsidP="008519F8">
      <w:pPr>
        <w:pStyle w:val="ListParagraph"/>
        <w:numPr>
          <w:ilvl w:val="0"/>
          <w:numId w:val="5"/>
        </w:numPr>
        <w:rPr>
          <w:iCs/>
        </w:rPr>
      </w:pPr>
      <w:r w:rsidRPr="00527DE7">
        <w:rPr>
          <w:iCs/>
        </w:rPr>
        <w:t>The extended assessment of harms section of the ADAR reported safety data from a range of</w:t>
      </w:r>
      <w:r w:rsidRPr="003B00BE">
        <w:rPr>
          <w:iCs/>
        </w:rPr>
        <w:t xml:space="preserve"> </w:t>
      </w:r>
      <w:r w:rsidRPr="00527DE7">
        <w:rPr>
          <w:iCs/>
        </w:rPr>
        <w:t>international registries additional to the TVT, including both FMR and DMR patients.</w:t>
      </w:r>
      <w:r>
        <w:rPr>
          <w:iCs/>
        </w:rPr>
        <w:t xml:space="preserve"> </w:t>
      </w:r>
      <w:r w:rsidRPr="00527DE7">
        <w:rPr>
          <w:iCs/>
        </w:rPr>
        <w:t>Considering only those registries that included both aetiologies, safety data for a total of 2629 patients were reported of which 66% and 34% had FMR and DMR aetiology respectively. This is further supported by the MitraClip Asia-Pacific Registry (MARS) registry including 49 (30%) Australian patients (N=169) confirming that procedural mortality is similar between DMR and FMR patients (Tay</w:t>
      </w:r>
      <w:r w:rsidR="000B7F4C">
        <w:rPr>
          <w:iCs/>
        </w:rPr>
        <w:t> </w:t>
      </w:r>
      <w:r w:rsidRPr="00527DE7">
        <w:rPr>
          <w:iCs/>
        </w:rPr>
        <w:t>et al., 2016).</w:t>
      </w:r>
    </w:p>
    <w:p w14:paraId="3F559E50" w14:textId="729135F7" w:rsidR="00E47DC5" w:rsidRPr="00683623" w:rsidRDefault="003B00BE" w:rsidP="00E47DC5">
      <w:pPr>
        <w:pStyle w:val="ListParagraph"/>
        <w:numPr>
          <w:ilvl w:val="0"/>
          <w:numId w:val="5"/>
        </w:numPr>
        <w:rPr>
          <w:iCs/>
        </w:rPr>
      </w:pPr>
      <w:r>
        <w:rPr>
          <w:iCs/>
        </w:rPr>
        <w:t>L</w:t>
      </w:r>
      <w:r w:rsidR="00527DE7" w:rsidRPr="00527DE7">
        <w:rPr>
          <w:iCs/>
        </w:rPr>
        <w:t>ocal experts concur that there are no differential safety issues associated with TMVr in DMR and FMR patients (</w:t>
      </w:r>
      <w:r>
        <w:rPr>
          <w:iCs/>
        </w:rPr>
        <w:t xml:space="preserve">pre-MSAC response attachment </w:t>
      </w:r>
      <w:r w:rsidR="00ED24C6">
        <w:rPr>
          <w:iCs/>
        </w:rPr>
        <w:t>–</w:t>
      </w:r>
      <w:r>
        <w:rPr>
          <w:iCs/>
        </w:rPr>
        <w:t xml:space="preserve"> </w:t>
      </w:r>
      <w:r w:rsidR="00ED24C6">
        <w:rPr>
          <w:iCs/>
        </w:rPr>
        <w:t xml:space="preserve">Letter from </w:t>
      </w:r>
      <w:r w:rsidR="00ED24C6" w:rsidRPr="00ED24C6">
        <w:rPr>
          <w:b/>
          <w:szCs w:val="24"/>
        </w:rPr>
        <w:t>redacted</w:t>
      </w:r>
      <w:r w:rsidR="00527DE7" w:rsidRPr="00527DE7">
        <w:rPr>
          <w:iCs/>
        </w:rPr>
        <w:t>).</w:t>
      </w:r>
    </w:p>
    <w:p w14:paraId="52A73675" w14:textId="77777777" w:rsidR="00E47DC5" w:rsidRPr="00E47DC5" w:rsidRDefault="00E47DC5" w:rsidP="00ED24C6">
      <w:pPr>
        <w:pStyle w:val="Heading2"/>
        <w:spacing w:before="240"/>
        <w:rPr>
          <w:b w:val="0"/>
          <w:i/>
          <w:u w:val="single"/>
        </w:rPr>
      </w:pPr>
      <w:r w:rsidRPr="00E47DC5">
        <w:rPr>
          <w:b w:val="0"/>
          <w:i/>
          <w:u w:val="single"/>
        </w:rPr>
        <w:lastRenderedPageBreak/>
        <w:t>Population 2: FMR</w:t>
      </w:r>
    </w:p>
    <w:p w14:paraId="73E106B6" w14:textId="48439E2D" w:rsidR="00E47DC5" w:rsidRDefault="00E47DC5" w:rsidP="00683623">
      <w:pPr>
        <w:spacing w:after="240"/>
      </w:pPr>
      <w:r>
        <w:t xml:space="preserve">Two open-label randomised controlled trials (RCTs), COAPT (Stone et al. 2018) and </w:t>
      </w:r>
      <w:r w:rsidR="00A92E3B">
        <w:t>MITRA-FR</w:t>
      </w:r>
      <w:r>
        <w:t xml:space="preserve"> (Obadia et al. 2018), of 3- and 2-years follow-up respectively were presented. T</w:t>
      </w:r>
      <w:r w:rsidRPr="002B2958">
        <w:t>he GRADE assessment tool suggest</w:t>
      </w:r>
      <w:r>
        <w:t>ed</w:t>
      </w:r>
      <w:r w:rsidRPr="002B2958">
        <w:t xml:space="preserve"> the COAPT is of </w:t>
      </w:r>
      <w:r>
        <w:t>high</w:t>
      </w:r>
      <w:r w:rsidRPr="002B2958">
        <w:t xml:space="preserve"> quality</w:t>
      </w:r>
      <w:r>
        <w:t xml:space="preserve"> whereas </w:t>
      </w:r>
      <w:r w:rsidR="00A92E3B">
        <w:t>MITRA-FR</w:t>
      </w:r>
      <w:r>
        <w:t xml:space="preserve"> is of moderate quality given the significant amount of missing da</w:t>
      </w:r>
      <w:r w:rsidR="00683623">
        <w:t xml:space="preserve">ta for key secondary outcomes. </w:t>
      </w:r>
    </w:p>
    <w:p w14:paraId="1ACB56A7" w14:textId="77777777" w:rsidR="00E47DC5" w:rsidRDefault="00E47DC5" w:rsidP="00683623">
      <w:pPr>
        <w:spacing w:after="240"/>
      </w:pPr>
      <w:r>
        <w:t>The ADAR stated t</w:t>
      </w:r>
      <w:r w:rsidRPr="00524783">
        <w:t>he COAPT trial reported a decreased risk of death and of heart failure-related</w:t>
      </w:r>
      <w:r>
        <w:t xml:space="preserve"> rehospitalisation in the TMVr group, compared to the control group receiving continued OMT </w:t>
      </w:r>
      <w:r>
        <w:fldChar w:fldCharType="begin"/>
      </w:r>
      <w:r>
        <w:instrText xml:space="preserve"> ADDIN EN.CITE &lt;EndNote&gt;&lt;Cite&gt;&lt;Author&gt;Stone&lt;/Author&gt;&lt;Year&gt;2018&lt;/Year&gt;&lt;RecNum&gt;4&lt;/RecNum&gt;&lt;DisplayText&gt;(Stone et al. 2018)&lt;/DisplayText&gt;&lt;record&gt;&lt;rec-number&gt;4&lt;/rec-number&gt;&lt;foreign-keys&gt;&lt;key app="EN" db-id="sf9rsxr9nvzpspe2avovw2soferwfrrz0zv5" timestamp="1561807107"&gt;4&lt;/key&gt;&lt;/foreign-keys&gt;&lt;ref-type name="Journal Article"&gt;17&lt;/ref-type&gt;&lt;contributors&gt;&lt;authors&gt;&lt;author&gt;Stone, Gregg W.&lt;/author&gt;&lt;author&gt;Lindenfeld, JoAnn&lt;/author&gt;&lt;author&gt;Abraham, William T.&lt;/author&gt;&lt;author&gt;Kar, Saibal&lt;/author&gt;&lt;author&gt;Lim, D. Scott&lt;/author&gt;&lt;author&gt;Mishell, Jacob M.&lt;/author&gt;&lt;author&gt;Whisenant, Brian&lt;/author&gt;&lt;author&gt;Grayburn, Paul A.&lt;/author&gt;&lt;author&gt;Rinaldi, Michael&lt;/author&gt;&lt;author&gt;Kapadia, Samir R.&lt;/author&gt;&lt;author&gt;Rajagopal, Vivek&lt;/author&gt;&lt;author&gt;Sarembock, Ian J.&lt;/author&gt;&lt;author&gt;Brieke, Andreas&lt;/author&gt;&lt;author&gt;Marx, Steven O.&lt;/author&gt;&lt;author&gt;Cohen, David J.&lt;/author&gt;&lt;author&gt;Weissman, Neil J.&lt;/author&gt;&lt;author&gt;Mack, Michael J.&lt;/author&gt;&lt;/authors&gt;&lt;/contributors&gt;&lt;titles&gt;&lt;title&gt;Transcatheter Mitral-Valve Repair in Patients with Heart Failure&lt;/title&gt;&lt;secondary-title&gt;New England Journal of Medicine&lt;/secondary-title&gt;&lt;/titles&gt;&lt;periodical&gt;&lt;full-title&gt;New England Journal of Medicine&lt;/full-title&gt;&lt;/periodical&gt;&lt;pages&gt;2307-2318&lt;/pages&gt;&lt;volume&gt;379&lt;/volume&gt;&lt;number&gt;24&lt;/number&gt;&lt;dates&gt;&lt;year&gt;2018&lt;/year&gt;&lt;/dates&gt;&lt;accession-num&gt;30280640&lt;/accession-num&gt;&lt;urls&gt;&lt;related-urls&gt;&lt;url&gt;https://www.nejm.org/doi/full/10.1056/NEJMoa1806640&lt;/url&gt;&lt;/related-urls&gt;&lt;/urls&gt;&lt;electronic-resource-num&gt;10.1056/NEJMoa1806640&lt;/electronic-resource-num&gt;&lt;/record&gt;&lt;/Cite&gt;&lt;/EndNote&gt;</w:instrText>
      </w:r>
      <w:r>
        <w:fldChar w:fldCharType="end"/>
      </w:r>
      <w:r>
        <w:t>(</w:t>
      </w:r>
      <w:hyperlink w:anchor="_ENREF_47" w:tooltip="Stone, 2018 #4" w:history="1">
        <w:r>
          <w:t>Stone et al. 2018</w:t>
        </w:r>
      </w:hyperlink>
      <w:r>
        <w:t>).  The majority of events for which a statistically significant difference in favour of TMVr were reported, were consistent with the effectiveness of TMVr in reducing all-cause death, death due to cardiovascular causes and hospitalisations due to HF. However, a statistically significantly lower proportion of TMVr patients than OMT patients required a l</w:t>
      </w:r>
      <w:r w:rsidRPr="00F75435">
        <w:t xml:space="preserve">eft ventricular assist device </w:t>
      </w:r>
      <w:r>
        <w:t>(LVAD) implantation (7.3% vs 11.4%; p=0.03) over 36 months suggestin</w:t>
      </w:r>
      <w:r w:rsidR="00683623">
        <w:t>g a safety advantage with TMVr.</w:t>
      </w:r>
    </w:p>
    <w:p w14:paraId="05C7F2C1" w14:textId="0110957B" w:rsidR="00E47DC5" w:rsidRDefault="00E47DC5" w:rsidP="00683623">
      <w:pPr>
        <w:spacing w:after="240"/>
      </w:pPr>
      <w:r w:rsidRPr="00A9396C">
        <w:t xml:space="preserve">The </w:t>
      </w:r>
      <w:r>
        <w:t xml:space="preserve">ADAR stated the </w:t>
      </w:r>
      <w:r w:rsidRPr="00A9396C">
        <w:t>co</w:t>
      </w:r>
      <w:r>
        <w:t>-</w:t>
      </w:r>
      <w:r w:rsidRPr="00A9396C">
        <w:t>primary s</w:t>
      </w:r>
      <w:r>
        <w:t>afety outcome in the COAPT trial</w:t>
      </w:r>
      <w:r w:rsidRPr="00A9396C">
        <w:t xml:space="preserve"> was freedom form device related complications at 12 months. The Kaplan</w:t>
      </w:r>
      <w:r w:rsidR="00CD186E">
        <w:t>-</w:t>
      </w:r>
      <w:r w:rsidRPr="00A9396C">
        <w:t>Mei</w:t>
      </w:r>
      <w:r w:rsidR="00A92E3B">
        <w:t>e</w:t>
      </w:r>
      <w:r w:rsidRPr="00A9396C">
        <w:t>r estimate of event</w:t>
      </w:r>
      <w:r w:rsidR="00CD186E">
        <w:t>-</w:t>
      </w:r>
      <w:r w:rsidRPr="00A9396C">
        <w:t xml:space="preserve">free rate was 96.6% with the 95% lower confidence limit (94.8%) exceeding the objective performance goal of 88.0% for the primary safety end point (p&lt;0.001). A total of nine device related complications were reported of which three were </w:t>
      </w:r>
      <w:r>
        <w:t>LVAD</w:t>
      </w:r>
      <w:r w:rsidRPr="00A9396C">
        <w:t xml:space="preserve"> implants, two were heart transplant, two were single leaflet device attachment and one device embolisation.</w:t>
      </w:r>
      <w:r>
        <w:t xml:space="preserve"> One patient developed pericardial effusion and tamponade. </w:t>
      </w:r>
      <w:bookmarkStart w:id="12" w:name="_Hlk20994045"/>
      <w:r>
        <w:t>No late device related complications were reported over 36 months.</w:t>
      </w:r>
      <w:bookmarkEnd w:id="12"/>
      <w:r>
        <w:t xml:space="preserve"> Device migration was not reported. The rates of 30-day mortality and stroke was lo</w:t>
      </w:r>
      <w:r w:rsidR="00683623">
        <w:t>w, at 2% and 0.7% respectively.</w:t>
      </w:r>
    </w:p>
    <w:p w14:paraId="62B87E6C" w14:textId="77777777" w:rsidR="00E47DC5" w:rsidRDefault="00E47DC5" w:rsidP="00683623">
      <w:pPr>
        <w:spacing w:after="240"/>
      </w:pPr>
      <w:r>
        <w:t>The ADAR reported the proportion of patients experiencing a myocardial infarction (MI) over 24 months was lower in TMVr than OMT patients (4.7% versus 6.5%) over 24 months. There were no adverse events reported in a statistically significantly higher proportion of TMVr than OMT patients, with the rates reported numerically lower in the TMVr subjects than OMT subjects c</w:t>
      </w:r>
      <w:r w:rsidR="00683623">
        <w:t xml:space="preserve">onsistently across all events. </w:t>
      </w:r>
    </w:p>
    <w:p w14:paraId="5AD6EACC" w14:textId="6460013A" w:rsidR="00E47DC5" w:rsidRPr="00683623" w:rsidRDefault="00E47DC5" w:rsidP="00683623">
      <w:pPr>
        <w:spacing w:after="240"/>
        <w:rPr>
          <w:i/>
          <w:iCs/>
        </w:rPr>
      </w:pPr>
      <w:r>
        <w:t xml:space="preserve">The ADAR did not use the </w:t>
      </w:r>
      <w:r w:rsidR="00A92E3B">
        <w:t>MITRA-FR</w:t>
      </w:r>
      <w:r>
        <w:t xml:space="preserve"> trial results as part of its clinical claim. The ADAR claimed that there were clinically important differences in the baseline characteristics between the COAPT and </w:t>
      </w:r>
      <w:r w:rsidR="00A92E3B">
        <w:t>MITRA-FR</w:t>
      </w:r>
      <w:r>
        <w:t xml:space="preserve"> trials (discussed in section B.4 of the ADAR, p88-92). Therefore, the ADAR excluded the </w:t>
      </w:r>
      <w:r w:rsidR="00A92E3B">
        <w:t>MITRA-FR</w:t>
      </w:r>
      <w:r>
        <w:t xml:space="preserve"> trial from the clinical claim and claimed the </w:t>
      </w:r>
      <w:r w:rsidR="00A92E3B">
        <w:t>MITRA-FR</w:t>
      </w:r>
      <w:r>
        <w:t xml:space="preserve"> trial presented</w:t>
      </w:r>
      <w:r w:rsidRPr="00652737">
        <w:t xml:space="preserve"> evidence of the population in which TMVr is less effective and not eligible for listing</w:t>
      </w:r>
      <w:r>
        <w:t xml:space="preserve">. In the </w:t>
      </w:r>
      <w:r w:rsidR="00A92E3B">
        <w:t>MITRA-FR</w:t>
      </w:r>
      <w:r>
        <w:t xml:space="preserve"> study, </w:t>
      </w:r>
      <w:r w:rsidRPr="002F632E">
        <w:t>the mortality rate at 30 days was 3.3% (5 patients) in the TMVr group and 2.6% (4 patients) in the OMT group. The rates of ischaemic or haemorrhagic stroke (4.6% vs 0.7%), renal-replacement therapy (3.3% vs 0.7%), and severe haemorrhage (7.2% vs 3.9%) were higher in the TMVr group than in the OMT group.</w:t>
      </w:r>
    </w:p>
    <w:p w14:paraId="01FA6DBA" w14:textId="77777777" w:rsidR="00E47DC5" w:rsidRDefault="00E47DC5" w:rsidP="00E47DC5">
      <w:r>
        <w:t xml:space="preserve">The commentary noted the </w:t>
      </w:r>
      <w:r w:rsidRPr="00891870">
        <w:t>evidence presented in the COAPT trial supports the claim for non-inferior safety and superior effectiveness.</w:t>
      </w:r>
      <w:r w:rsidRPr="00B4690E">
        <w:t xml:space="preserve"> However, </w:t>
      </w:r>
      <w:r>
        <w:t xml:space="preserve">the commentary raised </w:t>
      </w:r>
      <w:r w:rsidRPr="00B4690E">
        <w:t xml:space="preserve">two issues </w:t>
      </w:r>
      <w:r>
        <w:t xml:space="preserve">that </w:t>
      </w:r>
      <w:r w:rsidRPr="00B4690E">
        <w:t xml:space="preserve">add to uncertainty in the FMR population: </w:t>
      </w:r>
    </w:p>
    <w:p w14:paraId="7F503555" w14:textId="77777777" w:rsidR="00E47DC5" w:rsidRDefault="00E47DC5" w:rsidP="00E47DC5">
      <w:pPr>
        <w:pStyle w:val="ListParagraph"/>
        <w:numPr>
          <w:ilvl w:val="0"/>
          <w:numId w:val="6"/>
        </w:numPr>
      </w:pPr>
      <w:r w:rsidRPr="00B4690E">
        <w:t>the evidence presented in the MITRA-FR trial does not support the claim for superior effectiveness</w:t>
      </w:r>
      <w:r>
        <w:t xml:space="preserve">; </w:t>
      </w:r>
    </w:p>
    <w:p w14:paraId="431B09FF" w14:textId="77777777" w:rsidR="00E47DC5" w:rsidRDefault="00E47DC5" w:rsidP="00E47DC5">
      <w:pPr>
        <w:pStyle w:val="ListParagraph"/>
        <w:numPr>
          <w:ilvl w:val="0"/>
          <w:numId w:val="6"/>
        </w:numPr>
      </w:pPr>
      <w:r w:rsidRPr="00B4690E">
        <w:t xml:space="preserve">the ADAR excluded MITRA-FR results from the clinical claim.  </w:t>
      </w:r>
    </w:p>
    <w:p w14:paraId="7F5B5FD0" w14:textId="1179E9B8" w:rsidR="00E47DC5" w:rsidRDefault="00E47DC5" w:rsidP="00ED24C6">
      <w:pPr>
        <w:spacing w:before="240" w:after="240"/>
      </w:pPr>
      <w:r>
        <w:t>The commentary acknowledged that the</w:t>
      </w:r>
      <w:r w:rsidRPr="00B4690E">
        <w:t xml:space="preserve"> explanation</w:t>
      </w:r>
      <w:r>
        <w:t xml:space="preserve"> provided in the ADAR</w:t>
      </w:r>
      <w:r w:rsidRPr="00B4690E">
        <w:t xml:space="preserve"> for exclusion of MITRA-FR c</w:t>
      </w:r>
      <w:r>
        <w:t>ould</w:t>
      </w:r>
      <w:r w:rsidRPr="00B4690E">
        <w:t xml:space="preserve"> be justified</w:t>
      </w:r>
      <w:r>
        <w:t>. The commentary also noted that the ADAR citied</w:t>
      </w:r>
      <w:r w:rsidRPr="00756C20">
        <w:t xml:space="preserve"> the</w:t>
      </w:r>
      <w:r>
        <w:t xml:space="preserve"> </w:t>
      </w:r>
      <w:r w:rsidR="00A92E3B">
        <w:t>MITRA-FR</w:t>
      </w:r>
      <w:r w:rsidRPr="00756C20">
        <w:t xml:space="preserve"> results (no significant differences in effectiveness outcomes) as indicative of which patients should not be eligible for TMVr on the MBS (i.e. those with MR proportionally severe to the degree of left ventricular dysfunction)</w:t>
      </w:r>
      <w:r>
        <w:t>. However</w:t>
      </w:r>
      <w:r w:rsidRPr="00B4690E">
        <w:t>, the</w:t>
      </w:r>
      <w:r>
        <w:t xml:space="preserve"> </w:t>
      </w:r>
      <w:r>
        <w:lastRenderedPageBreak/>
        <w:t>commentary suggested the</w:t>
      </w:r>
      <w:r w:rsidRPr="00B4690E">
        <w:t xml:space="preserve"> MITRA-FR setting may be more reflective of the real-world setting, which would argue for the inclusion of MITRA-FR results as part of the clinical claim</w:t>
      </w:r>
      <w:r w:rsidR="00683623">
        <w:t xml:space="preserve">. </w:t>
      </w:r>
    </w:p>
    <w:p w14:paraId="6F77A925" w14:textId="346F784D" w:rsidR="00E47DC5" w:rsidRPr="00683623" w:rsidRDefault="00E47DC5" w:rsidP="00E47DC5">
      <w:pPr>
        <w:rPr>
          <w:iCs/>
        </w:rPr>
      </w:pPr>
      <w:r>
        <w:t xml:space="preserve">Based on the COAPT and </w:t>
      </w:r>
      <w:r w:rsidR="00A92E3B">
        <w:t>MITRA-FR</w:t>
      </w:r>
      <w:r>
        <w:t xml:space="preserve"> trial, the commentary</w:t>
      </w:r>
      <w:r w:rsidRPr="00536C71">
        <w:t xml:space="preserve"> </w:t>
      </w:r>
      <w:r>
        <w:t xml:space="preserve">considered the </w:t>
      </w:r>
      <w:r w:rsidRPr="00891870">
        <w:rPr>
          <w:iCs/>
        </w:rPr>
        <w:t>safety profile of TMVr in the FMR population is uncertain.</w:t>
      </w:r>
    </w:p>
    <w:p w14:paraId="5CA0D093" w14:textId="77777777" w:rsidR="00E57DB1" w:rsidRPr="00F715D1" w:rsidRDefault="00E57DB1" w:rsidP="00E57DB1">
      <w:pPr>
        <w:pStyle w:val="Heading1"/>
      </w:pPr>
      <w:r w:rsidRPr="00F715D1">
        <w:t>Comparative effectiveness</w:t>
      </w:r>
    </w:p>
    <w:p w14:paraId="206E730B" w14:textId="77777777" w:rsidR="00E47DC5" w:rsidRPr="00E47DC5" w:rsidRDefault="00E47DC5" w:rsidP="00E47DC5">
      <w:pPr>
        <w:pStyle w:val="Heading2"/>
        <w:rPr>
          <w:b w:val="0"/>
          <w:i/>
          <w:u w:val="single"/>
        </w:rPr>
      </w:pPr>
      <w:r w:rsidRPr="00E47DC5">
        <w:rPr>
          <w:b w:val="0"/>
          <w:i/>
          <w:u w:val="single"/>
        </w:rPr>
        <w:t>Population 1: DMR</w:t>
      </w:r>
    </w:p>
    <w:p w14:paraId="48402617" w14:textId="77777777" w:rsidR="00E47DC5" w:rsidRPr="006A737E" w:rsidRDefault="00E47DC5" w:rsidP="00683623">
      <w:pPr>
        <w:spacing w:after="240"/>
      </w:pPr>
      <w:r>
        <w:t xml:space="preserve">The ADAR claimed </w:t>
      </w:r>
      <w:r w:rsidR="00683623">
        <w:t xml:space="preserve">that </w:t>
      </w:r>
      <w:r>
        <w:t>th</w:t>
      </w:r>
      <w:r w:rsidRPr="006A737E">
        <w:t>e results from the comparative studies demonstrate</w:t>
      </w:r>
      <w:r>
        <w:t>d</w:t>
      </w:r>
      <w:r w:rsidRPr="006A737E">
        <w:t xml:space="preserve"> that TMVr patients ha</w:t>
      </w:r>
      <w:r>
        <w:t>ve a statistically significant</w:t>
      </w:r>
      <w:r w:rsidRPr="006A737E">
        <w:t xml:space="preserve"> higher survival rate at one year (range 76% to 86%) compared with patients who are receiving OMT (55% to 68%). This difference remained significantly different through three years</w:t>
      </w:r>
      <w:r>
        <w:t xml:space="preserve"> </w:t>
      </w:r>
      <w:r>
        <w:fldChar w:fldCharType="begin">
          <w:fldData xml:space="preserve">PEVuZE5vdGU+PENpdGU+PEF1dGhvcj5Td2FhbnM8L0F1dGhvcj48WWVhcj4yMDE0PC9ZZWFyPjxS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</w:fldData>
        </w:fldChar>
      </w:r>
      <w:r>
        <w:instrText xml:space="preserve"> ADDIN EN.CITE </w:instrText>
      </w:r>
      <w:r>
        <w:fldChar w:fldCharType="begin">
          <w:fldData xml:space="preserve">PEVuZE5vdGU+PENpdGU+PEF1dGhvcj5Td2FhbnM8L0F1dGhvcj48WWVhcj4yMDE0PC9ZZWFyPjxS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</w:fldData>
        </w:fldChar>
      </w:r>
      <w:r>
        <w:instrText xml:space="preserve"> ADDIN EN.CITE.DATA </w:instrText>
      </w:r>
      <w:r>
        <w:fldChar w:fldCharType="end"/>
      </w:r>
      <w:r>
        <w:fldChar w:fldCharType="separate"/>
      </w:r>
      <w:r>
        <w:rPr>
          <w:noProof/>
        </w:rPr>
        <w:t>(</w:t>
      </w:r>
      <w:hyperlink w:anchor="_ENREF_49" w:tooltip="Swaans, 2014 #42" w:history="1">
        <w:r>
          <w:rPr>
            <w:noProof/>
          </w:rPr>
          <w:t>Swaans et al. 2014</w:t>
        </w:r>
      </w:hyperlink>
      <w:r>
        <w:rPr>
          <w:noProof/>
        </w:rPr>
        <w:t>)</w:t>
      </w:r>
      <w:r>
        <w:fldChar w:fldCharType="end"/>
      </w:r>
      <w:r w:rsidRPr="006A737E">
        <w:t>, with survival rates at two years (75.5% vs. 52.5%) and three years (</w:t>
      </w:r>
      <w:r>
        <w:t>62.3% vs. 45.8%)</w:t>
      </w:r>
      <w:r w:rsidRPr="006A737E">
        <w:t xml:space="preserve"> being statist</w:t>
      </w:r>
      <w:r>
        <w:t>ically significantly</w:t>
      </w:r>
      <w:r w:rsidRPr="006A737E">
        <w:t xml:space="preserve"> higher in the TMVr arm than the OMT arm (at 3 years: HR=0.41, 95%CI: 0.22-0.78; p=0.006). The survival rate in the TVT registry at 12 months, 74.2%, </w:t>
      </w:r>
      <w:r>
        <w:t>was</w:t>
      </w:r>
      <w:r w:rsidRPr="006A737E">
        <w:t xml:space="preserve"> comparable to the comparative trials.</w:t>
      </w:r>
    </w:p>
    <w:p w14:paraId="600229EE" w14:textId="77777777" w:rsidR="00E47DC5" w:rsidRPr="006A737E" w:rsidRDefault="00E47DC5" w:rsidP="00683623">
      <w:pPr>
        <w:spacing w:after="240"/>
      </w:pPr>
      <w:r w:rsidRPr="006A737E">
        <w:t>In EVEREST II HRR, 42% (33/78) of patients in the 12 months prior to TMVr had been hospitalised due to HF, compared with 16% (12/75) in the 12 months after the TMVr procedure (p=0.018)</w:t>
      </w:r>
      <w:r>
        <w:t>. The ADAR</w:t>
      </w:r>
      <w:r w:rsidRPr="006A737E">
        <w:t xml:space="preserve"> suggest</w:t>
      </w:r>
      <w:r>
        <w:t>ed</w:t>
      </w:r>
      <w:r w:rsidRPr="006A737E">
        <w:t xml:space="preserve"> </w:t>
      </w:r>
      <w:r>
        <w:t>this demonstrated a</w:t>
      </w:r>
      <w:r w:rsidRPr="006A737E">
        <w:t xml:space="preserve"> significant treatment benefit with TMVr in terms of reducing re</w:t>
      </w:r>
      <w:r>
        <w:t>hospitalisations</w:t>
      </w:r>
      <w:r w:rsidRPr="006A737E">
        <w:t xml:space="preserve">. The TVT </w:t>
      </w:r>
      <w:r>
        <w:t>R</w:t>
      </w:r>
      <w:r w:rsidRPr="006A737E">
        <w:t>egistry reported similar 12-month rate of rehosp</w:t>
      </w:r>
      <w:r>
        <w:t>italisation due to HF, at 20.2%</w:t>
      </w:r>
      <w:r w:rsidRPr="006A737E">
        <w:t>.</w:t>
      </w:r>
    </w:p>
    <w:p w14:paraId="4E0F66AD" w14:textId="59CAFBA8" w:rsidR="00E47DC5" w:rsidRDefault="00E47DC5" w:rsidP="00683623">
      <w:pPr>
        <w:spacing w:after="240"/>
      </w:pPr>
      <w:r>
        <w:t xml:space="preserve">The ADAR claimed </w:t>
      </w:r>
      <w:r w:rsidR="00683623">
        <w:t xml:space="preserve">that </w:t>
      </w:r>
      <w:r>
        <w:t>s</w:t>
      </w:r>
      <w:r w:rsidRPr="006A737E">
        <w:t xml:space="preserve">tatistically significant and clinically meaningful improvements in MR grade and echocardiographic measurements from baseline through to follow-up were demonstrated with TMVr in the EVEREST II HRR. Similarly, patient-relevant outcomes such </w:t>
      </w:r>
      <w:r w:rsidRPr="00E70B1E">
        <w:t xml:space="preserve">New York Heart Association </w:t>
      </w:r>
      <w:r>
        <w:t>(</w:t>
      </w:r>
      <w:r w:rsidRPr="006A737E">
        <w:t>NYHA</w:t>
      </w:r>
      <w:r>
        <w:t>)</w:t>
      </w:r>
      <w:r w:rsidRPr="006A737E">
        <w:t xml:space="preserve"> functional class and quality of life measures reported to show significant improvements from baseline through to follow-up in the EVER</w:t>
      </w:r>
      <w:r w:rsidR="00CD186E">
        <w:t>E</w:t>
      </w:r>
      <w:r w:rsidRPr="006A737E">
        <w:t>ST II HRR.</w:t>
      </w:r>
    </w:p>
    <w:p w14:paraId="31DDD258" w14:textId="2A32A6CB" w:rsidR="00ED24C6" w:rsidRPr="00ED24C6" w:rsidRDefault="00E47DC5" w:rsidP="00ED24C6">
      <w:pPr>
        <w:spacing w:after="240"/>
      </w:pPr>
      <w:r w:rsidRPr="00C454E3">
        <w:t>On the basis of the benefits and harms reported in the</w:t>
      </w:r>
      <w:r>
        <w:t xml:space="preserve"> evidence base (summarised below in </w:t>
      </w:r>
      <w:r>
        <w:fldChar w:fldCharType="begin"/>
      </w:r>
      <w:r>
        <w:instrText xml:space="preserve"> REF _Ref20750664 \h </w:instrText>
      </w:r>
      <w:r>
        <w:fldChar w:fldCharType="separate"/>
      </w:r>
      <w:r w:rsidRPr="00B375C7">
        <w:t xml:space="preserve">Table </w:t>
      </w:r>
      <w:r>
        <w:rPr>
          <w:noProof/>
        </w:rPr>
        <w:t>3</w:t>
      </w:r>
      <w:r>
        <w:fldChar w:fldCharType="end"/>
      </w:r>
      <w:r>
        <w:t>)</w:t>
      </w:r>
      <w:r w:rsidRPr="00C454E3">
        <w:t xml:space="preserve">, </w:t>
      </w:r>
      <w:r>
        <w:t>the ADAR claimed</w:t>
      </w:r>
      <w:r w:rsidRPr="004C44D0">
        <w:t xml:space="preserve"> that, relative to OMT, TMVr has non-inferior safety and superior effectiveness in the DMR population.</w:t>
      </w:r>
      <w:bookmarkStart w:id="13" w:name="_Ref20750664"/>
      <w:bookmarkStart w:id="14" w:name="_Ref31550203"/>
      <w:bookmarkStart w:id="15" w:name="_Toc22047104"/>
      <w:r w:rsidR="00ED24C6">
        <w:br w:type="page"/>
      </w:r>
    </w:p>
    <w:p w14:paraId="7E7E9927" w14:textId="0717A9E8" w:rsidR="00E47DC5" w:rsidRPr="00BE70ED" w:rsidRDefault="00E47DC5" w:rsidP="00BE70ED">
      <w:pPr>
        <w:rPr>
          <w:rFonts w:ascii="Arial Narrow" w:hAnsi="Arial Narrow"/>
          <w:b/>
          <w:sz w:val="20"/>
        </w:rPr>
      </w:pPr>
      <w:r w:rsidRPr="00BE70ED">
        <w:rPr>
          <w:rFonts w:ascii="Arial Narrow" w:hAnsi="Arial Narrow"/>
          <w:b/>
          <w:sz w:val="20"/>
        </w:rPr>
        <w:lastRenderedPageBreak/>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3</w:t>
      </w:r>
      <w:r w:rsidRPr="00BE70ED">
        <w:rPr>
          <w:rFonts w:ascii="Arial Narrow" w:hAnsi="Arial Narrow"/>
          <w:b/>
          <w:sz w:val="20"/>
        </w:rPr>
        <w:fldChar w:fldCharType="end"/>
      </w:r>
      <w:bookmarkEnd w:id="13"/>
      <w:r w:rsidRPr="00BE70ED">
        <w:rPr>
          <w:rFonts w:ascii="Arial Narrow" w:hAnsi="Arial Narrow"/>
          <w:b/>
          <w:sz w:val="20"/>
        </w:rPr>
        <w:tab/>
        <w:t>Balance of clinical benefits and harms of TMVr, relative to OMT, and as measured by the critical patient-relevant outcomes in the key studies: Population 1: DMR</w:t>
      </w:r>
      <w:bookmarkEnd w:id="14"/>
      <w:r w:rsidRPr="00BE70ED">
        <w:rPr>
          <w:rFonts w:ascii="Arial Narrow" w:hAnsi="Arial Narrow"/>
          <w:b/>
          <w:sz w:val="20"/>
        </w:rPr>
        <w:t xml:space="preserve"> </w:t>
      </w:r>
      <w:bookmarkEnd w:id="15"/>
    </w:p>
    <w:tbl>
      <w:tblPr>
        <w:tblW w:w="0" w:type="auto"/>
        <w:tblLook w:val="04A0" w:firstRow="1" w:lastRow="0" w:firstColumn="1" w:lastColumn="0" w:noHBand="0" w:noVBand="1"/>
        <w:tblDescription w:val="Summary of findings table"/>
      </w:tblPr>
      <w:tblGrid>
        <w:gridCol w:w="1467"/>
        <w:gridCol w:w="1387"/>
        <w:gridCol w:w="1119"/>
        <w:gridCol w:w="1224"/>
        <w:gridCol w:w="1105"/>
        <w:gridCol w:w="1107"/>
        <w:gridCol w:w="1607"/>
      </w:tblGrid>
      <w:tr w:rsidR="00E47DC5" w14:paraId="5A2BF6FE" w14:textId="77777777" w:rsidTr="004030AA">
        <w:trPr>
          <w:tblHeader/>
        </w:trPr>
        <w:tc>
          <w:tcPr>
            <w:tcW w:w="1467" w:type="dxa"/>
            <w:tcBorders>
              <w:top w:val="single" w:sz="4" w:space="0" w:color="auto"/>
              <w:left w:val="single" w:sz="4" w:space="0" w:color="auto"/>
              <w:bottom w:val="single" w:sz="4" w:space="0" w:color="auto"/>
              <w:right w:val="single" w:sz="4" w:space="0" w:color="auto"/>
            </w:tcBorders>
          </w:tcPr>
          <w:p w14:paraId="59C67B02" w14:textId="77777777" w:rsidR="00E47DC5" w:rsidRPr="00E4564B" w:rsidRDefault="00E47DC5" w:rsidP="004030AA">
            <w:pPr>
              <w:pStyle w:val="Tabletext"/>
              <w:rPr>
                <w:b/>
              </w:rPr>
            </w:pPr>
            <w:r w:rsidRPr="00E4564B">
              <w:rPr>
                <w:b/>
              </w:rPr>
              <w:t>Outcomes (units)</w:t>
            </w:r>
          </w:p>
          <w:p w14:paraId="2E69CFB9" w14:textId="77777777" w:rsidR="00E47DC5" w:rsidRPr="00E4564B" w:rsidRDefault="00E47DC5" w:rsidP="004030AA">
            <w:pPr>
              <w:pStyle w:val="Tabletext"/>
              <w:rPr>
                <w:b/>
              </w:rPr>
            </w:pPr>
            <w:r w:rsidRPr="00E4564B">
              <w:rPr>
                <w:b/>
              </w:rPr>
              <w:t>Follow-up</w:t>
            </w:r>
          </w:p>
        </w:tc>
        <w:tc>
          <w:tcPr>
            <w:tcW w:w="1387" w:type="dxa"/>
            <w:tcBorders>
              <w:top w:val="single" w:sz="4" w:space="0" w:color="auto"/>
              <w:left w:val="single" w:sz="4" w:space="0" w:color="auto"/>
              <w:bottom w:val="single" w:sz="4" w:space="0" w:color="auto"/>
              <w:right w:val="single" w:sz="4" w:space="0" w:color="auto"/>
            </w:tcBorders>
          </w:tcPr>
          <w:p w14:paraId="2C52B770" w14:textId="77777777" w:rsidR="00E47DC5" w:rsidRPr="00E4564B" w:rsidRDefault="00E47DC5" w:rsidP="004030AA">
            <w:pPr>
              <w:pStyle w:val="Tabletext"/>
              <w:rPr>
                <w:b/>
              </w:rPr>
            </w:pPr>
            <w:r w:rsidRPr="00E4564B">
              <w:rPr>
                <w:b/>
              </w:rPr>
              <w:t>Participants (studies)</w:t>
            </w:r>
          </w:p>
          <w:p w14:paraId="7C54053F" w14:textId="77777777" w:rsidR="00E47DC5" w:rsidRPr="00E4564B" w:rsidRDefault="00E47DC5" w:rsidP="004030AA">
            <w:pPr>
              <w:pStyle w:val="Tabletext"/>
              <w:rPr>
                <w:b/>
              </w:rPr>
            </w:pPr>
          </w:p>
        </w:tc>
        <w:tc>
          <w:tcPr>
            <w:tcW w:w="1119" w:type="dxa"/>
            <w:tcBorders>
              <w:top w:val="single" w:sz="4" w:space="0" w:color="auto"/>
              <w:left w:val="single" w:sz="4" w:space="0" w:color="auto"/>
              <w:bottom w:val="single" w:sz="4" w:space="0" w:color="auto"/>
              <w:right w:val="single" w:sz="4" w:space="0" w:color="auto"/>
            </w:tcBorders>
          </w:tcPr>
          <w:p w14:paraId="3E5A3F9E" w14:textId="77777777" w:rsidR="00E47DC5" w:rsidRPr="00E4564B" w:rsidRDefault="00E47DC5" w:rsidP="004030AA">
            <w:pPr>
              <w:pStyle w:val="Tabletext"/>
              <w:rPr>
                <w:b/>
              </w:rPr>
            </w:pPr>
            <w:r w:rsidRPr="00E4564B">
              <w:rPr>
                <w:b/>
              </w:rPr>
              <w:t>Quality of evidence (GRADE)a</w:t>
            </w:r>
          </w:p>
        </w:tc>
        <w:tc>
          <w:tcPr>
            <w:tcW w:w="1224" w:type="dxa"/>
            <w:tcBorders>
              <w:top w:val="single" w:sz="4" w:space="0" w:color="auto"/>
              <w:left w:val="single" w:sz="4" w:space="0" w:color="auto"/>
              <w:bottom w:val="single" w:sz="4" w:space="0" w:color="auto"/>
              <w:right w:val="single" w:sz="4" w:space="0" w:color="auto"/>
            </w:tcBorders>
          </w:tcPr>
          <w:p w14:paraId="27476272" w14:textId="77777777" w:rsidR="00E47DC5" w:rsidRPr="00E4564B" w:rsidRDefault="00E47DC5" w:rsidP="004030AA">
            <w:pPr>
              <w:pStyle w:val="Tabletext"/>
              <w:rPr>
                <w:b/>
              </w:rPr>
            </w:pPr>
            <w:r w:rsidRPr="00E4564B">
              <w:rPr>
                <w:b/>
              </w:rPr>
              <w:t>Relative effect (95%CI)</w:t>
            </w:r>
          </w:p>
        </w:tc>
        <w:tc>
          <w:tcPr>
            <w:tcW w:w="1105" w:type="dxa"/>
            <w:tcBorders>
              <w:top w:val="single" w:sz="4" w:space="0" w:color="auto"/>
              <w:left w:val="single" w:sz="4" w:space="0" w:color="auto"/>
              <w:bottom w:val="single" w:sz="4" w:space="0" w:color="auto"/>
              <w:right w:val="single" w:sz="4" w:space="0" w:color="auto"/>
            </w:tcBorders>
          </w:tcPr>
          <w:p w14:paraId="78988547" w14:textId="77777777" w:rsidR="00E47DC5" w:rsidRPr="00E4564B" w:rsidRDefault="00E47DC5" w:rsidP="004030AA">
            <w:pPr>
              <w:pStyle w:val="Tabletext"/>
              <w:rPr>
                <w:b/>
              </w:rPr>
            </w:pPr>
            <w:r w:rsidRPr="00E4564B">
              <w:rPr>
                <w:b/>
              </w:rPr>
              <w:t>Risk with TMVr and OMT n/N (%)</w:t>
            </w:r>
          </w:p>
        </w:tc>
        <w:tc>
          <w:tcPr>
            <w:tcW w:w="1107" w:type="dxa"/>
            <w:tcBorders>
              <w:top w:val="single" w:sz="4" w:space="0" w:color="auto"/>
              <w:left w:val="single" w:sz="4" w:space="0" w:color="auto"/>
              <w:bottom w:val="single" w:sz="4" w:space="0" w:color="auto"/>
              <w:right w:val="single" w:sz="4" w:space="0" w:color="auto"/>
            </w:tcBorders>
          </w:tcPr>
          <w:p w14:paraId="0E3DFB25" w14:textId="77777777" w:rsidR="00E47DC5" w:rsidRPr="00E4564B" w:rsidRDefault="00E47DC5" w:rsidP="004030AA">
            <w:pPr>
              <w:pStyle w:val="Tabletext"/>
              <w:rPr>
                <w:b/>
              </w:rPr>
            </w:pPr>
            <w:r w:rsidRPr="00E4564B">
              <w:rPr>
                <w:b/>
              </w:rPr>
              <w:t>RD / MD (95% CI); NNT</w:t>
            </w:r>
          </w:p>
        </w:tc>
        <w:tc>
          <w:tcPr>
            <w:tcW w:w="1607" w:type="dxa"/>
            <w:tcBorders>
              <w:top w:val="single" w:sz="4" w:space="0" w:color="auto"/>
              <w:left w:val="single" w:sz="4" w:space="0" w:color="auto"/>
              <w:bottom w:val="single" w:sz="4" w:space="0" w:color="auto"/>
              <w:right w:val="single" w:sz="4" w:space="0" w:color="auto"/>
            </w:tcBorders>
          </w:tcPr>
          <w:p w14:paraId="7AD861C7" w14:textId="77777777" w:rsidR="00E47DC5" w:rsidRPr="00E4564B" w:rsidRDefault="00E47DC5" w:rsidP="004030AA">
            <w:pPr>
              <w:pStyle w:val="Tabletext"/>
              <w:rPr>
                <w:b/>
              </w:rPr>
            </w:pPr>
            <w:r w:rsidRPr="00E4564B">
              <w:rPr>
                <w:b/>
              </w:rPr>
              <w:t>Comments</w:t>
            </w:r>
          </w:p>
        </w:tc>
      </w:tr>
      <w:tr w:rsidR="00E47DC5" w:rsidRPr="005465BF" w14:paraId="765131CA" w14:textId="77777777" w:rsidTr="004030AA">
        <w:trPr>
          <w:trHeight w:val="25"/>
        </w:trPr>
        <w:tc>
          <w:tcPr>
            <w:tcW w:w="1467" w:type="dxa"/>
            <w:tcBorders>
              <w:top w:val="single" w:sz="4" w:space="0" w:color="auto"/>
              <w:left w:val="single" w:sz="4" w:space="0" w:color="auto"/>
              <w:bottom w:val="single" w:sz="4" w:space="0" w:color="auto"/>
            </w:tcBorders>
            <w:shd w:val="clear" w:color="auto" w:fill="D9D9D9" w:themeFill="background1" w:themeFillShade="D9"/>
          </w:tcPr>
          <w:p w14:paraId="63AF5719" w14:textId="77777777" w:rsidR="00E47DC5" w:rsidRPr="005465BF" w:rsidRDefault="00E47DC5" w:rsidP="004030AA">
            <w:pPr>
              <w:pStyle w:val="Tabletext"/>
              <w:rPr>
                <w:rFonts w:cs="Arial"/>
                <w:b/>
                <w:bCs/>
                <w:sz w:val="18"/>
                <w:szCs w:val="18"/>
              </w:rPr>
            </w:pPr>
            <w:r w:rsidRPr="005465BF">
              <w:rPr>
                <w:rFonts w:cs="Arial"/>
                <w:b/>
                <w:bCs/>
                <w:sz w:val="18"/>
                <w:szCs w:val="18"/>
              </w:rPr>
              <w:t>Pop 1: DMR</w:t>
            </w:r>
          </w:p>
        </w:tc>
        <w:tc>
          <w:tcPr>
            <w:tcW w:w="1387" w:type="dxa"/>
            <w:tcBorders>
              <w:top w:val="single" w:sz="4" w:space="0" w:color="auto"/>
              <w:bottom w:val="single" w:sz="4" w:space="0" w:color="auto"/>
            </w:tcBorders>
            <w:shd w:val="clear" w:color="auto" w:fill="D9D9D9" w:themeFill="background1" w:themeFillShade="D9"/>
          </w:tcPr>
          <w:p w14:paraId="58AD3857" w14:textId="77777777" w:rsidR="00E47DC5" w:rsidRPr="005465BF" w:rsidRDefault="00E47DC5" w:rsidP="004030AA">
            <w:pPr>
              <w:pStyle w:val="Tabletext"/>
              <w:rPr>
                <w:rFonts w:cs="Arial"/>
                <w:b/>
                <w:bCs/>
                <w:sz w:val="18"/>
                <w:szCs w:val="18"/>
              </w:rPr>
            </w:pPr>
          </w:p>
        </w:tc>
        <w:tc>
          <w:tcPr>
            <w:tcW w:w="1119" w:type="dxa"/>
            <w:tcBorders>
              <w:top w:val="single" w:sz="4" w:space="0" w:color="auto"/>
              <w:bottom w:val="single" w:sz="4" w:space="0" w:color="auto"/>
            </w:tcBorders>
            <w:shd w:val="clear" w:color="auto" w:fill="D9D9D9" w:themeFill="background1" w:themeFillShade="D9"/>
          </w:tcPr>
          <w:p w14:paraId="08574EC8" w14:textId="77777777" w:rsidR="00E47DC5" w:rsidRPr="005465BF" w:rsidRDefault="00E47DC5" w:rsidP="004030AA">
            <w:pPr>
              <w:pStyle w:val="Tabletext"/>
              <w:rPr>
                <w:rFonts w:ascii="Cambria Math" w:hAnsi="Cambria Math"/>
                <w:b/>
                <w:bCs/>
                <w:color w:val="00B050"/>
              </w:rPr>
            </w:pPr>
          </w:p>
        </w:tc>
        <w:tc>
          <w:tcPr>
            <w:tcW w:w="1224" w:type="dxa"/>
            <w:tcBorders>
              <w:top w:val="single" w:sz="4" w:space="0" w:color="auto"/>
              <w:bottom w:val="single" w:sz="4" w:space="0" w:color="auto"/>
            </w:tcBorders>
            <w:shd w:val="clear" w:color="auto" w:fill="D9D9D9" w:themeFill="background1" w:themeFillShade="D9"/>
          </w:tcPr>
          <w:p w14:paraId="1875F4B9" w14:textId="77777777" w:rsidR="00E47DC5" w:rsidRPr="005465BF" w:rsidRDefault="00E47DC5" w:rsidP="004030AA">
            <w:pPr>
              <w:pStyle w:val="Tabletext"/>
              <w:rPr>
                <w:rFonts w:cs="Arial"/>
                <w:b/>
                <w:bCs/>
                <w:sz w:val="18"/>
                <w:szCs w:val="18"/>
              </w:rPr>
            </w:pPr>
          </w:p>
        </w:tc>
        <w:tc>
          <w:tcPr>
            <w:tcW w:w="1105" w:type="dxa"/>
            <w:tcBorders>
              <w:top w:val="single" w:sz="4" w:space="0" w:color="auto"/>
              <w:bottom w:val="single" w:sz="4" w:space="0" w:color="auto"/>
            </w:tcBorders>
            <w:shd w:val="clear" w:color="auto" w:fill="D9D9D9" w:themeFill="background1" w:themeFillShade="D9"/>
          </w:tcPr>
          <w:p w14:paraId="003A1B2D" w14:textId="77777777" w:rsidR="00E47DC5" w:rsidRPr="005465BF" w:rsidRDefault="00E47DC5" w:rsidP="004030AA">
            <w:pPr>
              <w:pStyle w:val="Tabletext"/>
              <w:rPr>
                <w:rFonts w:cs="Arial"/>
                <w:b/>
                <w:bCs/>
                <w:sz w:val="18"/>
                <w:szCs w:val="18"/>
              </w:rPr>
            </w:pPr>
          </w:p>
        </w:tc>
        <w:tc>
          <w:tcPr>
            <w:tcW w:w="1107" w:type="dxa"/>
            <w:tcBorders>
              <w:top w:val="single" w:sz="4" w:space="0" w:color="auto"/>
              <w:bottom w:val="single" w:sz="4" w:space="0" w:color="auto"/>
            </w:tcBorders>
            <w:shd w:val="clear" w:color="auto" w:fill="D9D9D9" w:themeFill="background1" w:themeFillShade="D9"/>
          </w:tcPr>
          <w:p w14:paraId="50314924" w14:textId="77777777" w:rsidR="00E47DC5" w:rsidRPr="005465BF" w:rsidRDefault="00E47DC5" w:rsidP="004030AA">
            <w:pPr>
              <w:pStyle w:val="Tabletext"/>
              <w:rPr>
                <w:rFonts w:cs="Arial"/>
                <w:b/>
                <w:bCs/>
                <w:sz w:val="18"/>
                <w:szCs w:val="18"/>
              </w:rPr>
            </w:pPr>
          </w:p>
        </w:tc>
        <w:tc>
          <w:tcPr>
            <w:tcW w:w="1607" w:type="dxa"/>
            <w:tcBorders>
              <w:top w:val="single" w:sz="4" w:space="0" w:color="auto"/>
              <w:bottom w:val="single" w:sz="4" w:space="0" w:color="auto"/>
              <w:right w:val="single" w:sz="4" w:space="0" w:color="auto"/>
            </w:tcBorders>
            <w:shd w:val="clear" w:color="auto" w:fill="D9D9D9" w:themeFill="background1" w:themeFillShade="D9"/>
          </w:tcPr>
          <w:p w14:paraId="0DCFC1F9" w14:textId="77777777" w:rsidR="00E47DC5" w:rsidRPr="005465BF" w:rsidRDefault="00E47DC5" w:rsidP="004030AA">
            <w:pPr>
              <w:pStyle w:val="Tabletext"/>
              <w:rPr>
                <w:rFonts w:cs="Arial"/>
                <w:b/>
                <w:bCs/>
                <w:sz w:val="18"/>
                <w:szCs w:val="18"/>
              </w:rPr>
            </w:pPr>
          </w:p>
        </w:tc>
      </w:tr>
      <w:tr w:rsidR="00E47DC5" w14:paraId="5992CA0B" w14:textId="77777777" w:rsidTr="004030AA">
        <w:trPr>
          <w:trHeight w:val="25"/>
        </w:trPr>
        <w:tc>
          <w:tcPr>
            <w:tcW w:w="1467" w:type="dxa"/>
            <w:tcBorders>
              <w:top w:val="single" w:sz="4" w:space="0" w:color="auto"/>
              <w:left w:val="single" w:sz="4" w:space="0" w:color="auto"/>
              <w:bottom w:val="single" w:sz="4" w:space="0" w:color="auto"/>
              <w:right w:val="single" w:sz="4" w:space="0" w:color="auto"/>
            </w:tcBorders>
          </w:tcPr>
          <w:p w14:paraId="23F00566" w14:textId="77777777" w:rsidR="00E47DC5" w:rsidRPr="0068510B" w:rsidRDefault="00E47DC5" w:rsidP="004030AA">
            <w:pPr>
              <w:pStyle w:val="Tabletext"/>
              <w:rPr>
                <w:rFonts w:cs="Arial"/>
                <w:sz w:val="18"/>
                <w:szCs w:val="18"/>
              </w:rPr>
            </w:pPr>
            <w:r>
              <w:rPr>
                <w:rFonts w:cs="Arial"/>
                <w:sz w:val="18"/>
                <w:szCs w:val="18"/>
              </w:rPr>
              <w:t>Survival</w:t>
            </w:r>
            <w:r w:rsidRPr="0068510B">
              <w:rPr>
                <w:rFonts w:cs="Arial"/>
                <w:sz w:val="18"/>
                <w:szCs w:val="18"/>
              </w:rPr>
              <w:t xml:space="preserve"> at </w:t>
            </w:r>
            <w:r>
              <w:rPr>
                <w:rFonts w:cs="Arial"/>
                <w:sz w:val="18"/>
                <w:szCs w:val="18"/>
              </w:rPr>
              <w:t>12</w:t>
            </w:r>
            <w:r w:rsidRPr="0068510B">
              <w:rPr>
                <w:rFonts w:cs="Arial"/>
                <w:sz w:val="18"/>
                <w:szCs w:val="18"/>
              </w:rPr>
              <w:t xml:space="preserve"> months </w:t>
            </w:r>
          </w:p>
        </w:tc>
        <w:tc>
          <w:tcPr>
            <w:tcW w:w="1387" w:type="dxa"/>
            <w:tcBorders>
              <w:top w:val="single" w:sz="4" w:space="0" w:color="auto"/>
              <w:left w:val="single" w:sz="4" w:space="0" w:color="auto"/>
              <w:bottom w:val="single" w:sz="4" w:space="0" w:color="auto"/>
              <w:right w:val="single" w:sz="4" w:space="0" w:color="auto"/>
            </w:tcBorders>
          </w:tcPr>
          <w:p w14:paraId="4A0BED00" w14:textId="77777777" w:rsidR="00E47DC5" w:rsidRPr="00FE370D" w:rsidRDefault="00E47DC5" w:rsidP="004030AA">
            <w:pPr>
              <w:pStyle w:val="Tabletext"/>
              <w:rPr>
                <w:rFonts w:cs="Arial"/>
                <w:sz w:val="18"/>
                <w:szCs w:val="18"/>
              </w:rPr>
            </w:pPr>
            <w:r w:rsidRPr="0068510B">
              <w:rPr>
                <w:rFonts w:cs="Arial"/>
                <w:sz w:val="18"/>
                <w:szCs w:val="18"/>
              </w:rPr>
              <w:t>K=</w:t>
            </w:r>
            <w:r>
              <w:rPr>
                <w:rFonts w:cs="Arial"/>
                <w:sz w:val="18"/>
                <w:szCs w:val="18"/>
              </w:rPr>
              <w:t xml:space="preserve">3 </w:t>
            </w:r>
            <w:r w:rsidRPr="00FE370D">
              <w:rPr>
                <w:rFonts w:cs="Arial"/>
                <w:sz w:val="18"/>
                <w:szCs w:val="18"/>
              </w:rPr>
              <w:t>comparative; N=1621</w:t>
            </w:r>
          </w:p>
          <w:p w14:paraId="468FF5C3" w14:textId="77777777" w:rsidR="00E47DC5" w:rsidRPr="0068510B" w:rsidRDefault="00E47DC5" w:rsidP="004030AA">
            <w:pPr>
              <w:pStyle w:val="Tabletext"/>
              <w:rPr>
                <w:rFonts w:cs="Arial"/>
                <w:sz w:val="18"/>
                <w:szCs w:val="18"/>
              </w:rPr>
            </w:pPr>
            <w:r w:rsidRPr="00FE370D">
              <w:rPr>
                <w:rFonts w:cs="Arial"/>
                <w:sz w:val="18"/>
                <w:szCs w:val="18"/>
              </w:rPr>
              <w:t xml:space="preserve">K=1 </w:t>
            </w:r>
            <w:r>
              <w:rPr>
                <w:rFonts w:cs="Arial"/>
                <w:sz w:val="18"/>
                <w:szCs w:val="18"/>
              </w:rPr>
              <w:t xml:space="preserve">TVT </w:t>
            </w:r>
            <w:r w:rsidRPr="00FE370D">
              <w:rPr>
                <w:rFonts w:cs="Arial"/>
                <w:sz w:val="18"/>
                <w:szCs w:val="18"/>
              </w:rPr>
              <w:t>registry, N=1867</w:t>
            </w:r>
          </w:p>
        </w:tc>
        <w:tc>
          <w:tcPr>
            <w:tcW w:w="1119" w:type="dxa"/>
            <w:tcBorders>
              <w:top w:val="single" w:sz="4" w:space="0" w:color="auto"/>
              <w:left w:val="single" w:sz="4" w:space="0" w:color="auto"/>
              <w:bottom w:val="single" w:sz="4" w:space="0" w:color="auto"/>
              <w:right w:val="single" w:sz="4" w:space="0" w:color="auto"/>
            </w:tcBorders>
          </w:tcPr>
          <w:p w14:paraId="1BD40EBC" w14:textId="77777777" w:rsidR="00E47DC5" w:rsidRPr="0068510B" w:rsidRDefault="00E47DC5" w:rsidP="004030AA">
            <w:pPr>
              <w:pStyle w:val="Tabletext"/>
              <w:rPr>
                <w:rFonts w:cs="Arial"/>
                <w:sz w:val="18"/>
                <w:szCs w:val="18"/>
              </w:rPr>
            </w:pPr>
            <w:r w:rsidRPr="00D4733A">
              <w:rPr>
                <w:rFonts w:ascii="Cambria Math" w:hAnsi="Cambria Math"/>
                <w:color w:val="00B050"/>
              </w:rPr>
              <w:t>⨁</w:t>
            </w:r>
            <w:r w:rsidRPr="00D4733A">
              <w:rPr>
                <w:rFonts w:ascii="Cambria Math" w:hAnsi="Cambria Math" w:cs="Cambria Math"/>
                <w:color w:val="C00000"/>
              </w:rPr>
              <w:t>⨀⨀⨀</w:t>
            </w:r>
          </w:p>
        </w:tc>
        <w:tc>
          <w:tcPr>
            <w:tcW w:w="1224" w:type="dxa"/>
            <w:tcBorders>
              <w:top w:val="single" w:sz="4" w:space="0" w:color="auto"/>
              <w:left w:val="single" w:sz="4" w:space="0" w:color="auto"/>
              <w:bottom w:val="single" w:sz="4" w:space="0" w:color="auto"/>
              <w:right w:val="single" w:sz="4" w:space="0" w:color="auto"/>
            </w:tcBorders>
          </w:tcPr>
          <w:p w14:paraId="3146146B" w14:textId="77777777" w:rsidR="00E47DC5" w:rsidRPr="0068510B" w:rsidRDefault="00E47DC5" w:rsidP="004030AA">
            <w:pPr>
              <w:pStyle w:val="Tabletext"/>
              <w:rPr>
                <w:rFonts w:cs="Arial"/>
                <w:sz w:val="18"/>
                <w:szCs w:val="18"/>
              </w:rPr>
            </w:pPr>
            <w:r w:rsidRPr="0068510B">
              <w:rPr>
                <w:rFonts w:cs="Arial"/>
                <w:sz w:val="18"/>
                <w:szCs w:val="18"/>
              </w:rPr>
              <w:t xml:space="preserve">HR: </w:t>
            </w:r>
            <w:r w:rsidRPr="00FE370D">
              <w:rPr>
                <w:rFonts w:cs="Arial"/>
                <w:sz w:val="18"/>
                <w:szCs w:val="18"/>
              </w:rPr>
              <w:t>0.47 (0.24, 0.93)</w:t>
            </w:r>
            <w:r w:rsidRPr="00FE370D">
              <w:rPr>
                <w:rFonts w:cs="Arial"/>
                <w:sz w:val="18"/>
                <w:szCs w:val="18"/>
                <w:vertAlign w:val="superscript"/>
              </w:rPr>
              <w:t>a</w:t>
            </w:r>
          </w:p>
        </w:tc>
        <w:tc>
          <w:tcPr>
            <w:tcW w:w="1105" w:type="dxa"/>
            <w:tcBorders>
              <w:top w:val="single" w:sz="4" w:space="0" w:color="auto"/>
              <w:left w:val="single" w:sz="4" w:space="0" w:color="auto"/>
              <w:bottom w:val="single" w:sz="4" w:space="0" w:color="auto"/>
              <w:right w:val="single" w:sz="4" w:space="0" w:color="auto"/>
            </w:tcBorders>
          </w:tcPr>
          <w:p w14:paraId="688A29B5" w14:textId="77777777" w:rsidR="00E47DC5" w:rsidRDefault="00E47DC5" w:rsidP="004030AA">
            <w:pPr>
              <w:pStyle w:val="Tabletext"/>
              <w:rPr>
                <w:rFonts w:cs="Arial"/>
                <w:sz w:val="18"/>
                <w:szCs w:val="18"/>
              </w:rPr>
            </w:pPr>
            <w:r>
              <w:rPr>
                <w:rFonts w:cs="Arial"/>
                <w:sz w:val="18"/>
                <w:szCs w:val="18"/>
              </w:rPr>
              <w:t>TMVr: range:</w:t>
            </w:r>
            <w:r w:rsidRPr="00FE370D">
              <w:rPr>
                <w:rFonts w:cs="Arial"/>
                <w:sz w:val="18"/>
                <w:szCs w:val="18"/>
              </w:rPr>
              <w:t xml:space="preserve"> 76–86%</w:t>
            </w:r>
            <w:r>
              <w:rPr>
                <w:rFonts w:cs="Arial"/>
                <w:sz w:val="18"/>
                <w:szCs w:val="18"/>
              </w:rPr>
              <w:t xml:space="preserve"> vs OMT: range </w:t>
            </w:r>
            <w:r w:rsidRPr="00060DF7">
              <w:rPr>
                <w:rFonts w:cs="Arial"/>
                <w:sz w:val="18"/>
                <w:szCs w:val="18"/>
              </w:rPr>
              <w:t>55–68%</w:t>
            </w:r>
          </w:p>
          <w:p w14:paraId="176EE09E" w14:textId="77777777" w:rsidR="00E47DC5" w:rsidRPr="0068510B" w:rsidRDefault="00E47DC5" w:rsidP="004030AA">
            <w:pPr>
              <w:pStyle w:val="Tabletext"/>
              <w:rPr>
                <w:rFonts w:cs="Arial"/>
                <w:sz w:val="18"/>
                <w:szCs w:val="18"/>
              </w:rPr>
            </w:pPr>
            <w:r>
              <w:rPr>
                <w:rFonts w:cs="Arial"/>
                <w:sz w:val="18"/>
                <w:szCs w:val="18"/>
              </w:rPr>
              <w:t>TVT: 74.2%</w:t>
            </w:r>
          </w:p>
        </w:tc>
        <w:tc>
          <w:tcPr>
            <w:tcW w:w="1107" w:type="dxa"/>
            <w:tcBorders>
              <w:top w:val="single" w:sz="4" w:space="0" w:color="auto"/>
              <w:left w:val="single" w:sz="4" w:space="0" w:color="auto"/>
              <w:bottom w:val="single" w:sz="4" w:space="0" w:color="auto"/>
              <w:right w:val="single" w:sz="4" w:space="0" w:color="auto"/>
            </w:tcBorders>
          </w:tcPr>
          <w:p w14:paraId="13ABDB67" w14:textId="77777777" w:rsidR="00E47DC5" w:rsidRPr="0068510B" w:rsidRDefault="00E47DC5" w:rsidP="004030AA">
            <w:pPr>
              <w:pStyle w:val="Tabletext"/>
              <w:rPr>
                <w:rFonts w:cs="Arial"/>
                <w:sz w:val="18"/>
                <w:szCs w:val="18"/>
              </w:rPr>
            </w:pPr>
            <w:r w:rsidRPr="00FE370D">
              <w:rPr>
                <w:rFonts w:cs="Arial"/>
                <w:sz w:val="18"/>
                <w:szCs w:val="18"/>
              </w:rPr>
              <w:t>EVERES</w:t>
            </w:r>
            <w:r>
              <w:rPr>
                <w:rFonts w:cs="Arial"/>
                <w:sz w:val="18"/>
                <w:szCs w:val="18"/>
              </w:rPr>
              <w:t>T</w:t>
            </w:r>
            <w:r w:rsidRPr="00FE370D">
              <w:rPr>
                <w:rFonts w:cs="Arial"/>
                <w:sz w:val="18"/>
                <w:szCs w:val="18"/>
              </w:rPr>
              <w:t xml:space="preserve"> II HRR: 20.1%(-0.8, 40.9)</w:t>
            </w:r>
          </w:p>
        </w:tc>
        <w:tc>
          <w:tcPr>
            <w:tcW w:w="1607" w:type="dxa"/>
            <w:tcBorders>
              <w:top w:val="single" w:sz="4" w:space="0" w:color="auto"/>
              <w:left w:val="single" w:sz="4" w:space="0" w:color="auto"/>
              <w:bottom w:val="single" w:sz="4" w:space="0" w:color="auto"/>
              <w:right w:val="single" w:sz="4" w:space="0" w:color="auto"/>
            </w:tcBorders>
          </w:tcPr>
          <w:p w14:paraId="430CB544" w14:textId="77777777" w:rsidR="00E47DC5" w:rsidRPr="0068510B" w:rsidRDefault="00E47DC5" w:rsidP="004030AA">
            <w:pPr>
              <w:pStyle w:val="Tabletext"/>
              <w:rPr>
                <w:rFonts w:cs="Arial"/>
                <w:sz w:val="18"/>
                <w:szCs w:val="18"/>
              </w:rPr>
            </w:pPr>
            <w:r>
              <w:rPr>
                <w:rFonts w:cs="Arial"/>
                <w:sz w:val="18"/>
                <w:szCs w:val="18"/>
              </w:rPr>
              <w:t>Statistically and clinically significant in favour of TMVr, registry survival supports real world effectiveness.</w:t>
            </w:r>
          </w:p>
        </w:tc>
      </w:tr>
      <w:tr w:rsidR="00E47DC5" w14:paraId="337159A7" w14:textId="77777777" w:rsidTr="004030AA">
        <w:tc>
          <w:tcPr>
            <w:tcW w:w="1467" w:type="dxa"/>
            <w:tcBorders>
              <w:top w:val="single" w:sz="4" w:space="0" w:color="auto"/>
              <w:left w:val="single" w:sz="4" w:space="0" w:color="auto"/>
              <w:bottom w:val="single" w:sz="4" w:space="0" w:color="auto"/>
              <w:right w:val="single" w:sz="4" w:space="0" w:color="auto"/>
            </w:tcBorders>
          </w:tcPr>
          <w:p w14:paraId="6F5DE7C0" w14:textId="77777777" w:rsidR="00E47DC5" w:rsidRPr="0068510B" w:rsidRDefault="00E47DC5" w:rsidP="004030AA">
            <w:pPr>
              <w:pStyle w:val="Tabletext"/>
              <w:rPr>
                <w:rFonts w:cs="Arial"/>
                <w:sz w:val="18"/>
                <w:szCs w:val="18"/>
              </w:rPr>
            </w:pPr>
            <w:r>
              <w:rPr>
                <w:rFonts w:cs="Arial"/>
                <w:sz w:val="18"/>
                <w:szCs w:val="18"/>
              </w:rPr>
              <w:t>30-day mortality</w:t>
            </w:r>
          </w:p>
        </w:tc>
        <w:tc>
          <w:tcPr>
            <w:tcW w:w="1387" w:type="dxa"/>
            <w:tcBorders>
              <w:top w:val="single" w:sz="4" w:space="0" w:color="auto"/>
              <w:left w:val="single" w:sz="4" w:space="0" w:color="auto"/>
              <w:bottom w:val="single" w:sz="4" w:space="0" w:color="auto"/>
              <w:right w:val="single" w:sz="4" w:space="0" w:color="auto"/>
            </w:tcBorders>
          </w:tcPr>
          <w:p w14:paraId="0090B634" w14:textId="77777777" w:rsidR="00E47DC5" w:rsidRDefault="00E47DC5" w:rsidP="004030AA">
            <w:pPr>
              <w:pStyle w:val="Tabletext"/>
              <w:rPr>
                <w:rFonts w:cs="Arial"/>
                <w:sz w:val="18"/>
                <w:szCs w:val="18"/>
              </w:rPr>
            </w:pPr>
            <w:r w:rsidRPr="0068510B">
              <w:rPr>
                <w:rFonts w:cs="Arial"/>
                <w:sz w:val="18"/>
                <w:szCs w:val="18"/>
              </w:rPr>
              <w:t>K=</w:t>
            </w:r>
            <w:r>
              <w:rPr>
                <w:rFonts w:cs="Arial"/>
                <w:sz w:val="18"/>
                <w:szCs w:val="18"/>
              </w:rPr>
              <w:t xml:space="preserve">2 comparative; </w:t>
            </w:r>
            <w:r w:rsidRPr="0068510B">
              <w:rPr>
                <w:rFonts w:cs="Arial"/>
                <w:sz w:val="18"/>
                <w:szCs w:val="18"/>
              </w:rPr>
              <w:t>N=</w:t>
            </w:r>
            <w:r>
              <w:rPr>
                <w:rFonts w:cs="Arial"/>
                <w:sz w:val="18"/>
                <w:szCs w:val="18"/>
              </w:rPr>
              <w:t>1418</w:t>
            </w:r>
          </w:p>
          <w:p w14:paraId="4AAA8956" w14:textId="77777777" w:rsidR="00E47DC5" w:rsidRPr="0068510B" w:rsidRDefault="00E47DC5" w:rsidP="004030AA">
            <w:pPr>
              <w:pStyle w:val="Tabletext"/>
              <w:rPr>
                <w:rFonts w:cs="Arial"/>
                <w:sz w:val="18"/>
                <w:szCs w:val="18"/>
              </w:rPr>
            </w:pPr>
            <w:r w:rsidRPr="00FE370D">
              <w:rPr>
                <w:rFonts w:cs="Arial"/>
                <w:sz w:val="18"/>
                <w:szCs w:val="18"/>
              </w:rPr>
              <w:t xml:space="preserve">K=1 </w:t>
            </w:r>
            <w:r>
              <w:rPr>
                <w:rFonts w:cs="Arial"/>
                <w:sz w:val="18"/>
                <w:szCs w:val="18"/>
              </w:rPr>
              <w:t xml:space="preserve">TVT </w:t>
            </w:r>
            <w:r w:rsidRPr="00FE370D">
              <w:rPr>
                <w:rFonts w:cs="Arial"/>
                <w:sz w:val="18"/>
                <w:szCs w:val="18"/>
              </w:rPr>
              <w:t>registry</w:t>
            </w:r>
            <w:r>
              <w:rPr>
                <w:rFonts w:cs="Arial"/>
                <w:sz w:val="18"/>
                <w:szCs w:val="18"/>
              </w:rPr>
              <w:t xml:space="preserve"> N=1867</w:t>
            </w:r>
          </w:p>
        </w:tc>
        <w:tc>
          <w:tcPr>
            <w:tcW w:w="1119" w:type="dxa"/>
            <w:tcBorders>
              <w:top w:val="single" w:sz="4" w:space="0" w:color="auto"/>
              <w:left w:val="single" w:sz="4" w:space="0" w:color="auto"/>
              <w:bottom w:val="single" w:sz="4" w:space="0" w:color="auto"/>
              <w:right w:val="single" w:sz="4" w:space="0" w:color="auto"/>
            </w:tcBorders>
          </w:tcPr>
          <w:p w14:paraId="0B6374AC" w14:textId="77777777" w:rsidR="00E47DC5" w:rsidRPr="0068510B" w:rsidRDefault="00E47DC5" w:rsidP="004030AA">
            <w:pPr>
              <w:pStyle w:val="Tabletext"/>
              <w:rPr>
                <w:rFonts w:cs="Arial"/>
                <w:sz w:val="18"/>
                <w:szCs w:val="18"/>
              </w:rPr>
            </w:pPr>
            <w:r w:rsidRPr="00D4733A">
              <w:rPr>
                <w:rFonts w:ascii="Cambria Math" w:hAnsi="Cambria Math"/>
                <w:color w:val="00B050"/>
              </w:rPr>
              <w:t>⨁</w:t>
            </w:r>
            <w:r w:rsidRPr="00D4733A">
              <w:rPr>
                <w:rFonts w:ascii="Cambria Math" w:hAnsi="Cambria Math" w:cs="Cambria Math"/>
                <w:color w:val="C00000"/>
              </w:rPr>
              <w:t>⨀⨀⨀</w:t>
            </w:r>
          </w:p>
        </w:tc>
        <w:tc>
          <w:tcPr>
            <w:tcW w:w="1224" w:type="dxa"/>
            <w:tcBorders>
              <w:top w:val="single" w:sz="4" w:space="0" w:color="auto"/>
              <w:left w:val="single" w:sz="4" w:space="0" w:color="auto"/>
              <w:bottom w:val="single" w:sz="4" w:space="0" w:color="auto"/>
              <w:right w:val="single" w:sz="4" w:space="0" w:color="auto"/>
            </w:tcBorders>
          </w:tcPr>
          <w:p w14:paraId="017FB3EB" w14:textId="77777777" w:rsidR="00E47DC5" w:rsidRPr="0068510B" w:rsidRDefault="00E47DC5" w:rsidP="004030AA">
            <w:pPr>
              <w:pStyle w:val="Tabletext"/>
              <w:rPr>
                <w:rFonts w:cs="Arial"/>
                <w:sz w:val="18"/>
                <w:szCs w:val="18"/>
              </w:rPr>
            </w:pPr>
            <w:r>
              <w:rPr>
                <w:rFonts w:cs="Arial"/>
                <w:sz w:val="18"/>
                <w:szCs w:val="18"/>
              </w:rPr>
              <w:t>–</w:t>
            </w:r>
          </w:p>
        </w:tc>
        <w:tc>
          <w:tcPr>
            <w:tcW w:w="1105" w:type="dxa"/>
            <w:tcBorders>
              <w:top w:val="single" w:sz="4" w:space="0" w:color="auto"/>
              <w:left w:val="single" w:sz="4" w:space="0" w:color="auto"/>
              <w:bottom w:val="single" w:sz="4" w:space="0" w:color="auto"/>
              <w:right w:val="single" w:sz="4" w:space="0" w:color="auto"/>
            </w:tcBorders>
          </w:tcPr>
          <w:p w14:paraId="1B25F226" w14:textId="77777777" w:rsidR="00E47DC5" w:rsidRDefault="00E47DC5" w:rsidP="004030AA">
            <w:pPr>
              <w:pStyle w:val="Tabletext"/>
              <w:rPr>
                <w:rFonts w:cs="Arial"/>
                <w:sz w:val="18"/>
                <w:szCs w:val="18"/>
              </w:rPr>
            </w:pPr>
            <w:r>
              <w:rPr>
                <w:rFonts w:cs="Arial"/>
                <w:sz w:val="18"/>
                <w:szCs w:val="18"/>
              </w:rPr>
              <w:t>TMVr: r</w:t>
            </w:r>
            <w:r w:rsidRPr="00060DF7">
              <w:rPr>
                <w:rFonts w:cs="Arial"/>
                <w:sz w:val="18"/>
                <w:szCs w:val="18"/>
              </w:rPr>
              <w:t>ange 4.2-7.7%</w:t>
            </w:r>
          </w:p>
          <w:p w14:paraId="19C762FE" w14:textId="77777777" w:rsidR="00E47DC5" w:rsidRDefault="00E47DC5" w:rsidP="004030AA">
            <w:pPr>
              <w:pStyle w:val="Tabletext"/>
              <w:rPr>
                <w:rFonts w:cs="Arial"/>
                <w:sz w:val="18"/>
                <w:szCs w:val="18"/>
              </w:rPr>
            </w:pPr>
            <w:r>
              <w:rPr>
                <w:rFonts w:cs="Arial"/>
                <w:sz w:val="18"/>
                <w:szCs w:val="18"/>
              </w:rPr>
              <w:t>OMT: range 7.2-8.3%</w:t>
            </w:r>
          </w:p>
          <w:p w14:paraId="112D5852" w14:textId="77777777" w:rsidR="00E47DC5" w:rsidRPr="0068510B" w:rsidRDefault="00E47DC5" w:rsidP="004030AA">
            <w:pPr>
              <w:pStyle w:val="Tabletext"/>
              <w:rPr>
                <w:rFonts w:cs="Arial"/>
                <w:sz w:val="18"/>
                <w:szCs w:val="18"/>
              </w:rPr>
            </w:pPr>
            <w:r>
              <w:rPr>
                <w:rFonts w:cs="Arial"/>
                <w:sz w:val="18"/>
                <w:szCs w:val="18"/>
              </w:rPr>
              <w:t>TVT: 5.2%</w:t>
            </w:r>
          </w:p>
        </w:tc>
        <w:tc>
          <w:tcPr>
            <w:tcW w:w="1107" w:type="dxa"/>
            <w:tcBorders>
              <w:top w:val="single" w:sz="4" w:space="0" w:color="auto"/>
              <w:left w:val="single" w:sz="4" w:space="0" w:color="auto"/>
              <w:bottom w:val="single" w:sz="4" w:space="0" w:color="auto"/>
              <w:right w:val="single" w:sz="4" w:space="0" w:color="auto"/>
            </w:tcBorders>
          </w:tcPr>
          <w:p w14:paraId="13A1F9CD" w14:textId="77777777" w:rsidR="00E47DC5" w:rsidRPr="0068510B" w:rsidRDefault="00E47DC5" w:rsidP="004030AA">
            <w:pPr>
              <w:pStyle w:val="Tabletext"/>
              <w:rPr>
                <w:rFonts w:cs="Arial"/>
                <w:sz w:val="18"/>
                <w:szCs w:val="18"/>
              </w:rPr>
            </w:pPr>
            <w:r w:rsidRPr="00060DF7">
              <w:rPr>
                <w:rFonts w:cs="Arial"/>
                <w:sz w:val="18"/>
                <w:szCs w:val="18"/>
              </w:rPr>
              <w:t>EVERES</w:t>
            </w:r>
            <w:r>
              <w:rPr>
                <w:rFonts w:cs="Arial"/>
                <w:sz w:val="18"/>
                <w:szCs w:val="18"/>
              </w:rPr>
              <w:t>T</w:t>
            </w:r>
            <w:r w:rsidRPr="00060DF7">
              <w:rPr>
                <w:rFonts w:cs="Arial"/>
                <w:sz w:val="18"/>
                <w:szCs w:val="18"/>
              </w:rPr>
              <w:t xml:space="preserve"> II HRR: –0.6% (-13.5%, 12.2%)</w:t>
            </w:r>
          </w:p>
        </w:tc>
        <w:tc>
          <w:tcPr>
            <w:tcW w:w="1607" w:type="dxa"/>
            <w:tcBorders>
              <w:top w:val="single" w:sz="4" w:space="0" w:color="auto"/>
              <w:left w:val="single" w:sz="4" w:space="0" w:color="auto"/>
              <w:bottom w:val="single" w:sz="4" w:space="0" w:color="auto"/>
              <w:right w:val="single" w:sz="4" w:space="0" w:color="auto"/>
            </w:tcBorders>
          </w:tcPr>
          <w:p w14:paraId="47F8EB8D" w14:textId="77777777" w:rsidR="00E47DC5" w:rsidRPr="0068510B" w:rsidRDefault="00E47DC5" w:rsidP="004030AA">
            <w:pPr>
              <w:pStyle w:val="Tabletext"/>
              <w:rPr>
                <w:rFonts w:cs="Arial"/>
                <w:sz w:val="18"/>
                <w:szCs w:val="18"/>
              </w:rPr>
            </w:pPr>
            <w:r w:rsidRPr="00060DF7">
              <w:rPr>
                <w:rFonts w:cs="Arial"/>
                <w:sz w:val="18"/>
                <w:szCs w:val="18"/>
              </w:rPr>
              <w:t xml:space="preserve">No significant difference, </w:t>
            </w:r>
            <w:r>
              <w:rPr>
                <w:rFonts w:cs="Arial"/>
                <w:sz w:val="18"/>
                <w:szCs w:val="18"/>
              </w:rPr>
              <w:t>registry supports real world safety</w:t>
            </w:r>
          </w:p>
        </w:tc>
      </w:tr>
      <w:tr w:rsidR="00E47DC5" w14:paraId="717FE0DD" w14:textId="77777777" w:rsidTr="004030AA">
        <w:tc>
          <w:tcPr>
            <w:tcW w:w="1467" w:type="dxa"/>
            <w:tcBorders>
              <w:top w:val="single" w:sz="4" w:space="0" w:color="auto"/>
              <w:left w:val="single" w:sz="4" w:space="0" w:color="auto"/>
              <w:bottom w:val="single" w:sz="4" w:space="0" w:color="auto"/>
              <w:right w:val="single" w:sz="4" w:space="0" w:color="auto"/>
            </w:tcBorders>
          </w:tcPr>
          <w:p w14:paraId="1E891A29" w14:textId="77777777" w:rsidR="00E47DC5" w:rsidRPr="0068510B" w:rsidRDefault="00E47DC5" w:rsidP="004030AA">
            <w:pPr>
              <w:pStyle w:val="Tabletext"/>
              <w:rPr>
                <w:rFonts w:cs="Arial"/>
                <w:sz w:val="18"/>
                <w:szCs w:val="18"/>
              </w:rPr>
            </w:pPr>
            <w:r w:rsidRPr="0068510B">
              <w:rPr>
                <w:rFonts w:cs="Arial"/>
                <w:sz w:val="18"/>
                <w:szCs w:val="18"/>
              </w:rPr>
              <w:t>MR severity ≤2+ at 12 months</w:t>
            </w:r>
          </w:p>
        </w:tc>
        <w:tc>
          <w:tcPr>
            <w:tcW w:w="1387" w:type="dxa"/>
            <w:tcBorders>
              <w:top w:val="single" w:sz="4" w:space="0" w:color="auto"/>
              <w:left w:val="single" w:sz="4" w:space="0" w:color="auto"/>
              <w:bottom w:val="single" w:sz="4" w:space="0" w:color="auto"/>
              <w:right w:val="single" w:sz="4" w:space="0" w:color="auto"/>
            </w:tcBorders>
          </w:tcPr>
          <w:p w14:paraId="0CBD5D1B" w14:textId="77777777" w:rsidR="00E47DC5" w:rsidRPr="0068510B" w:rsidRDefault="00E47DC5" w:rsidP="004030AA">
            <w:pPr>
              <w:pStyle w:val="Tabletext"/>
              <w:rPr>
                <w:rFonts w:cs="Arial"/>
                <w:sz w:val="18"/>
                <w:szCs w:val="18"/>
              </w:rPr>
            </w:pPr>
            <w:r w:rsidRPr="0068510B">
              <w:rPr>
                <w:rFonts w:cs="Arial"/>
                <w:sz w:val="18"/>
                <w:szCs w:val="18"/>
              </w:rPr>
              <w:t>K=1</w:t>
            </w:r>
            <w:r>
              <w:rPr>
                <w:rFonts w:cs="Arial"/>
                <w:sz w:val="18"/>
                <w:szCs w:val="18"/>
              </w:rPr>
              <w:t xml:space="preserve"> [pre-post comparison] N=78</w:t>
            </w:r>
          </w:p>
        </w:tc>
        <w:tc>
          <w:tcPr>
            <w:tcW w:w="1119" w:type="dxa"/>
            <w:tcBorders>
              <w:top w:val="single" w:sz="4" w:space="0" w:color="auto"/>
              <w:left w:val="single" w:sz="4" w:space="0" w:color="auto"/>
              <w:bottom w:val="single" w:sz="4" w:space="0" w:color="auto"/>
              <w:right w:val="single" w:sz="4" w:space="0" w:color="auto"/>
            </w:tcBorders>
          </w:tcPr>
          <w:p w14:paraId="57A98FDA" w14:textId="77777777" w:rsidR="00E47DC5" w:rsidRPr="00594C12" w:rsidRDefault="00E47DC5" w:rsidP="004030AA">
            <w:pPr>
              <w:pStyle w:val="Tabletext"/>
              <w:rPr>
                <w:rFonts w:ascii="Cambria Math" w:hAnsi="Cambria Math" w:cs="Cambria Math"/>
              </w:rPr>
            </w:pPr>
            <w:r w:rsidRPr="00D4733A">
              <w:rPr>
                <w:rFonts w:ascii="Cambria Math" w:hAnsi="Cambria Math"/>
                <w:color w:val="00B050"/>
              </w:rPr>
              <w:t>⨁</w:t>
            </w:r>
            <w:r w:rsidRPr="00D4733A">
              <w:rPr>
                <w:rFonts w:ascii="Cambria Math" w:hAnsi="Cambria Math" w:cs="Cambria Math"/>
                <w:color w:val="C00000"/>
              </w:rPr>
              <w:t>⨀⨀⨀</w:t>
            </w:r>
          </w:p>
        </w:tc>
        <w:tc>
          <w:tcPr>
            <w:tcW w:w="1224" w:type="dxa"/>
            <w:tcBorders>
              <w:top w:val="single" w:sz="4" w:space="0" w:color="auto"/>
              <w:left w:val="single" w:sz="4" w:space="0" w:color="auto"/>
              <w:bottom w:val="single" w:sz="4" w:space="0" w:color="auto"/>
              <w:right w:val="single" w:sz="4" w:space="0" w:color="auto"/>
            </w:tcBorders>
          </w:tcPr>
          <w:p w14:paraId="1F007D22" w14:textId="77777777" w:rsidR="00E47DC5" w:rsidRPr="0068510B" w:rsidRDefault="00E47DC5" w:rsidP="004030AA">
            <w:pPr>
              <w:pStyle w:val="Tabletext"/>
              <w:rPr>
                <w:rFonts w:cs="Arial"/>
                <w:sz w:val="18"/>
                <w:szCs w:val="18"/>
              </w:rPr>
            </w:pPr>
            <w:r>
              <w:rPr>
                <w:rFonts w:cs="Arial"/>
                <w:sz w:val="18"/>
                <w:szCs w:val="18"/>
              </w:rPr>
              <w:t>–</w:t>
            </w:r>
          </w:p>
        </w:tc>
        <w:tc>
          <w:tcPr>
            <w:tcW w:w="1105" w:type="dxa"/>
            <w:tcBorders>
              <w:top w:val="single" w:sz="4" w:space="0" w:color="auto"/>
              <w:left w:val="single" w:sz="4" w:space="0" w:color="auto"/>
              <w:bottom w:val="single" w:sz="4" w:space="0" w:color="auto"/>
              <w:right w:val="single" w:sz="4" w:space="0" w:color="auto"/>
            </w:tcBorders>
          </w:tcPr>
          <w:p w14:paraId="70CD3A25" w14:textId="77777777" w:rsidR="00E47DC5" w:rsidRPr="00AC001D" w:rsidRDefault="00E47DC5" w:rsidP="004030AA">
            <w:pPr>
              <w:pStyle w:val="Tabletext"/>
              <w:rPr>
                <w:szCs w:val="20"/>
              </w:rPr>
            </w:pPr>
            <w:r w:rsidRPr="00AC001D">
              <w:rPr>
                <w:szCs w:val="20"/>
              </w:rPr>
              <w:t>Baseline: 1/78 (1.3%)</w:t>
            </w:r>
          </w:p>
          <w:p w14:paraId="0C3C9182" w14:textId="77777777" w:rsidR="00E47DC5" w:rsidRPr="0068510B" w:rsidRDefault="00E47DC5" w:rsidP="004030AA">
            <w:pPr>
              <w:pStyle w:val="Tabletext"/>
              <w:rPr>
                <w:rFonts w:cs="Arial"/>
                <w:sz w:val="18"/>
                <w:szCs w:val="18"/>
              </w:rPr>
            </w:pPr>
            <w:r w:rsidRPr="00AC001D">
              <w:rPr>
                <w:szCs w:val="20"/>
              </w:rPr>
              <w:t>12 months: 42/54 (77.8)</w:t>
            </w:r>
          </w:p>
        </w:tc>
        <w:tc>
          <w:tcPr>
            <w:tcW w:w="1107" w:type="dxa"/>
            <w:tcBorders>
              <w:top w:val="single" w:sz="4" w:space="0" w:color="auto"/>
              <w:left w:val="single" w:sz="4" w:space="0" w:color="auto"/>
              <w:bottom w:val="single" w:sz="4" w:space="0" w:color="auto"/>
              <w:right w:val="single" w:sz="4" w:space="0" w:color="auto"/>
            </w:tcBorders>
          </w:tcPr>
          <w:p w14:paraId="0AA6E9A4" w14:textId="77777777" w:rsidR="00E47DC5" w:rsidRPr="0068510B" w:rsidRDefault="00E47DC5" w:rsidP="004030AA">
            <w:pPr>
              <w:pStyle w:val="Tabletext"/>
              <w:rPr>
                <w:rFonts w:cs="Arial"/>
                <w:sz w:val="18"/>
                <w:szCs w:val="18"/>
              </w:rPr>
            </w:pPr>
            <w:r>
              <w:rPr>
                <w:rFonts w:cs="Arial"/>
                <w:sz w:val="18"/>
                <w:szCs w:val="18"/>
              </w:rPr>
              <w:t xml:space="preserve">Difference </w:t>
            </w:r>
            <w:r w:rsidRPr="00060DF7">
              <w:rPr>
                <w:rFonts w:cs="Arial"/>
                <w:sz w:val="18"/>
                <w:szCs w:val="18"/>
              </w:rPr>
              <w:t>vs baseline: 76.5%</w:t>
            </w:r>
          </w:p>
        </w:tc>
        <w:tc>
          <w:tcPr>
            <w:tcW w:w="1607" w:type="dxa"/>
            <w:tcBorders>
              <w:top w:val="single" w:sz="4" w:space="0" w:color="auto"/>
              <w:left w:val="single" w:sz="4" w:space="0" w:color="auto"/>
              <w:bottom w:val="single" w:sz="4" w:space="0" w:color="auto"/>
              <w:right w:val="single" w:sz="4" w:space="0" w:color="auto"/>
            </w:tcBorders>
          </w:tcPr>
          <w:p w14:paraId="405E0202" w14:textId="77777777" w:rsidR="00E47DC5" w:rsidRPr="0068510B" w:rsidRDefault="00E47DC5" w:rsidP="004030AA">
            <w:pPr>
              <w:pStyle w:val="Tabletext"/>
              <w:rPr>
                <w:rFonts w:cs="Arial"/>
                <w:sz w:val="18"/>
                <w:szCs w:val="18"/>
              </w:rPr>
            </w:pPr>
            <w:r w:rsidRPr="00AC001D">
              <w:rPr>
                <w:szCs w:val="20"/>
              </w:rPr>
              <w:t>The majority of TMVr patients had clinical improvement</w:t>
            </w:r>
            <w:r>
              <w:rPr>
                <w:szCs w:val="20"/>
              </w:rPr>
              <w:t>s</w:t>
            </w:r>
            <w:r w:rsidRPr="00AC001D">
              <w:rPr>
                <w:szCs w:val="20"/>
              </w:rPr>
              <w:t xml:space="preserve"> in MR severity</w:t>
            </w:r>
            <w:r>
              <w:rPr>
                <w:szCs w:val="20"/>
              </w:rPr>
              <w:t xml:space="preserve"> at 12 mts</w:t>
            </w:r>
          </w:p>
        </w:tc>
      </w:tr>
      <w:tr w:rsidR="00E47DC5" w14:paraId="3B3BFDBA" w14:textId="77777777" w:rsidTr="004030AA">
        <w:tc>
          <w:tcPr>
            <w:tcW w:w="1467" w:type="dxa"/>
            <w:tcBorders>
              <w:top w:val="single" w:sz="4" w:space="0" w:color="auto"/>
              <w:left w:val="single" w:sz="4" w:space="0" w:color="auto"/>
              <w:bottom w:val="single" w:sz="4" w:space="0" w:color="auto"/>
              <w:right w:val="single" w:sz="4" w:space="0" w:color="auto"/>
            </w:tcBorders>
          </w:tcPr>
          <w:p w14:paraId="51E26BD4" w14:textId="77777777" w:rsidR="00E47DC5" w:rsidRPr="0068510B" w:rsidRDefault="00E47DC5" w:rsidP="004030AA">
            <w:pPr>
              <w:pStyle w:val="Tabletext"/>
              <w:rPr>
                <w:rFonts w:cs="Arial"/>
                <w:sz w:val="18"/>
                <w:szCs w:val="18"/>
              </w:rPr>
            </w:pPr>
            <w:r w:rsidRPr="00AC001D">
              <w:rPr>
                <w:szCs w:val="20"/>
              </w:rPr>
              <w:t>Rehospitalisation for HF at 12 months relative to 12 months prior TMVr</w:t>
            </w:r>
          </w:p>
        </w:tc>
        <w:tc>
          <w:tcPr>
            <w:tcW w:w="1387" w:type="dxa"/>
            <w:tcBorders>
              <w:top w:val="single" w:sz="4" w:space="0" w:color="auto"/>
              <w:left w:val="single" w:sz="4" w:space="0" w:color="auto"/>
              <w:bottom w:val="single" w:sz="4" w:space="0" w:color="auto"/>
              <w:right w:val="single" w:sz="4" w:space="0" w:color="auto"/>
            </w:tcBorders>
          </w:tcPr>
          <w:p w14:paraId="764F936E" w14:textId="77777777" w:rsidR="00E47DC5" w:rsidRPr="0068510B" w:rsidRDefault="00E47DC5" w:rsidP="004030AA">
            <w:pPr>
              <w:pStyle w:val="Tabletext"/>
              <w:rPr>
                <w:rFonts w:cs="Arial"/>
                <w:sz w:val="18"/>
                <w:szCs w:val="18"/>
              </w:rPr>
            </w:pPr>
            <w:r w:rsidRPr="0068510B">
              <w:rPr>
                <w:rFonts w:cs="Arial"/>
                <w:sz w:val="18"/>
                <w:szCs w:val="18"/>
              </w:rPr>
              <w:t>K=1</w:t>
            </w:r>
            <w:r>
              <w:rPr>
                <w:rFonts w:cs="Arial"/>
                <w:sz w:val="18"/>
                <w:szCs w:val="18"/>
              </w:rPr>
              <w:t xml:space="preserve"> [pre-post comparison] N=78</w:t>
            </w:r>
          </w:p>
        </w:tc>
        <w:tc>
          <w:tcPr>
            <w:tcW w:w="1119" w:type="dxa"/>
            <w:tcBorders>
              <w:top w:val="single" w:sz="4" w:space="0" w:color="auto"/>
              <w:left w:val="single" w:sz="4" w:space="0" w:color="auto"/>
              <w:bottom w:val="single" w:sz="4" w:space="0" w:color="auto"/>
              <w:right w:val="single" w:sz="4" w:space="0" w:color="auto"/>
            </w:tcBorders>
          </w:tcPr>
          <w:p w14:paraId="65D7E6FC" w14:textId="77777777" w:rsidR="00E47DC5" w:rsidRPr="00D4733A" w:rsidRDefault="00E47DC5" w:rsidP="004030AA">
            <w:pPr>
              <w:pStyle w:val="Tabletext"/>
              <w:rPr>
                <w:rFonts w:ascii="Cambria Math" w:hAnsi="Cambria Math"/>
                <w:color w:val="00B050"/>
              </w:rPr>
            </w:pPr>
            <w:r w:rsidRPr="00D4733A">
              <w:rPr>
                <w:rFonts w:ascii="Cambria Math" w:hAnsi="Cambria Math"/>
                <w:color w:val="00B050"/>
              </w:rPr>
              <w:t>⨁</w:t>
            </w:r>
            <w:r w:rsidRPr="00D4733A">
              <w:rPr>
                <w:rFonts w:ascii="Cambria Math" w:hAnsi="Cambria Math" w:cs="Cambria Math"/>
                <w:color w:val="C00000"/>
              </w:rPr>
              <w:t>⨀⨀⨀</w:t>
            </w:r>
          </w:p>
        </w:tc>
        <w:tc>
          <w:tcPr>
            <w:tcW w:w="1224" w:type="dxa"/>
            <w:tcBorders>
              <w:top w:val="single" w:sz="4" w:space="0" w:color="auto"/>
              <w:left w:val="single" w:sz="4" w:space="0" w:color="auto"/>
              <w:bottom w:val="single" w:sz="4" w:space="0" w:color="auto"/>
              <w:right w:val="single" w:sz="4" w:space="0" w:color="auto"/>
            </w:tcBorders>
          </w:tcPr>
          <w:p w14:paraId="26C52D7C" w14:textId="77777777" w:rsidR="00E47DC5" w:rsidRDefault="00E47DC5" w:rsidP="004030AA">
            <w:pPr>
              <w:pStyle w:val="Tabletext"/>
              <w:rPr>
                <w:rFonts w:cs="Arial"/>
                <w:sz w:val="18"/>
                <w:szCs w:val="18"/>
              </w:rPr>
            </w:pPr>
            <w:r>
              <w:rPr>
                <w:rFonts w:cs="Arial"/>
                <w:sz w:val="18"/>
                <w:szCs w:val="18"/>
              </w:rPr>
              <w:t>–</w:t>
            </w:r>
          </w:p>
        </w:tc>
        <w:tc>
          <w:tcPr>
            <w:tcW w:w="1105" w:type="dxa"/>
            <w:tcBorders>
              <w:top w:val="single" w:sz="4" w:space="0" w:color="auto"/>
              <w:left w:val="single" w:sz="4" w:space="0" w:color="auto"/>
              <w:bottom w:val="single" w:sz="4" w:space="0" w:color="auto"/>
              <w:right w:val="single" w:sz="4" w:space="0" w:color="auto"/>
            </w:tcBorders>
          </w:tcPr>
          <w:p w14:paraId="756EC303" w14:textId="77777777" w:rsidR="00E47DC5" w:rsidRDefault="00E47DC5" w:rsidP="004030AA">
            <w:pPr>
              <w:pStyle w:val="Tabletext"/>
              <w:rPr>
                <w:rFonts w:cs="Arial"/>
                <w:sz w:val="18"/>
                <w:szCs w:val="18"/>
              </w:rPr>
            </w:pPr>
            <w:r w:rsidRPr="00060DF7">
              <w:rPr>
                <w:rFonts w:cs="Arial"/>
                <w:sz w:val="18"/>
                <w:szCs w:val="18"/>
              </w:rPr>
              <w:t>12 mts prior TMVr: 33/78 (42%) vs 12 mts post TMVr: 12/75 (16%)</w:t>
            </w:r>
          </w:p>
        </w:tc>
        <w:tc>
          <w:tcPr>
            <w:tcW w:w="1107" w:type="dxa"/>
            <w:tcBorders>
              <w:top w:val="single" w:sz="4" w:space="0" w:color="auto"/>
              <w:left w:val="single" w:sz="4" w:space="0" w:color="auto"/>
              <w:bottom w:val="single" w:sz="4" w:space="0" w:color="auto"/>
              <w:right w:val="single" w:sz="4" w:space="0" w:color="auto"/>
            </w:tcBorders>
          </w:tcPr>
          <w:p w14:paraId="353C498B" w14:textId="77777777" w:rsidR="00E47DC5" w:rsidRPr="0068510B" w:rsidRDefault="00E47DC5" w:rsidP="004030AA">
            <w:pPr>
              <w:pStyle w:val="Tabletext"/>
              <w:rPr>
                <w:rFonts w:cs="Arial"/>
                <w:sz w:val="18"/>
                <w:szCs w:val="18"/>
              </w:rPr>
            </w:pPr>
            <w:r>
              <w:rPr>
                <w:rFonts w:cs="Arial"/>
                <w:sz w:val="18"/>
                <w:szCs w:val="18"/>
              </w:rPr>
              <w:t xml:space="preserve">Difference </w:t>
            </w:r>
            <w:r w:rsidRPr="00AC001D">
              <w:rPr>
                <w:szCs w:val="20"/>
              </w:rPr>
              <w:t>vs 12 mts prior TMVr: 26%</w:t>
            </w:r>
          </w:p>
        </w:tc>
        <w:tc>
          <w:tcPr>
            <w:tcW w:w="1607" w:type="dxa"/>
            <w:tcBorders>
              <w:top w:val="single" w:sz="4" w:space="0" w:color="auto"/>
              <w:left w:val="single" w:sz="4" w:space="0" w:color="auto"/>
              <w:bottom w:val="single" w:sz="4" w:space="0" w:color="auto"/>
              <w:right w:val="single" w:sz="4" w:space="0" w:color="auto"/>
            </w:tcBorders>
          </w:tcPr>
          <w:p w14:paraId="64DE3249" w14:textId="77777777" w:rsidR="00E47DC5" w:rsidRDefault="00E47DC5" w:rsidP="004030AA">
            <w:pPr>
              <w:pStyle w:val="Tabletext"/>
              <w:rPr>
                <w:rFonts w:cs="Arial"/>
                <w:sz w:val="18"/>
                <w:szCs w:val="18"/>
              </w:rPr>
            </w:pPr>
            <w:r w:rsidRPr="00C27C77">
              <w:rPr>
                <w:rFonts w:cs="Arial"/>
                <w:sz w:val="18"/>
                <w:szCs w:val="18"/>
              </w:rPr>
              <w:t xml:space="preserve">The rate of rehospitalisation in EVEREST II HRR at 12 mts, 16%, similar to </w:t>
            </w:r>
            <w:r>
              <w:rPr>
                <w:rFonts w:cs="Arial"/>
                <w:sz w:val="18"/>
                <w:szCs w:val="18"/>
              </w:rPr>
              <w:t>registry</w:t>
            </w:r>
            <w:r w:rsidRPr="00C27C77">
              <w:rPr>
                <w:rFonts w:cs="Arial"/>
                <w:sz w:val="18"/>
                <w:szCs w:val="18"/>
              </w:rPr>
              <w:t>, 20.2%</w:t>
            </w:r>
          </w:p>
        </w:tc>
      </w:tr>
    </w:tbl>
    <w:p w14:paraId="07818EEF" w14:textId="77777777" w:rsidR="00E47DC5" w:rsidRPr="00183E4D" w:rsidRDefault="00E47DC5" w:rsidP="00E47DC5">
      <w:pPr>
        <w:jc w:val="both"/>
      </w:pPr>
      <w:r>
        <w:rPr>
          <w:rFonts w:ascii="Arial Narrow" w:hAnsi="Arial Narrow" w:cs="Arial"/>
          <w:sz w:val="18"/>
          <w:szCs w:val="18"/>
        </w:rPr>
        <w:t>NYHA=New York Heart Association; KCCQ=</w:t>
      </w:r>
      <w:r w:rsidRPr="00134488">
        <w:rPr>
          <w:rFonts w:ascii="Arial Narrow" w:hAnsi="Arial Narrow" w:cs="Arial"/>
          <w:sz w:val="18"/>
          <w:szCs w:val="18"/>
        </w:rPr>
        <w:t>Kansas City Cardiomyopathy Questionnaire</w:t>
      </w:r>
      <w:r>
        <w:rPr>
          <w:rFonts w:ascii="Arial Narrow" w:hAnsi="Arial Narrow" w:cs="Arial"/>
          <w:sz w:val="18"/>
          <w:szCs w:val="18"/>
        </w:rPr>
        <w:t xml:space="preserve">; TMVr=transcatheter mitral valve repair; OMT=optimal medical management; NNT=number needed to treat; CI=confidence interval; RD=risk difference; RRR=relative risk reduction; OR=odds ratio; MD=mean difference; K=number of studies; N=number of participants; MR=mitral regurgitation; HF=heart failure; NR=not reported. </w:t>
      </w:r>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sidRPr="00D27B45">
        <w:t xml:space="preserve"> </w:t>
      </w:r>
      <w:r>
        <w:rPr>
          <w:rFonts w:ascii="Arial Narrow" w:hAnsi="Arial Narrow" w:cs="Arial"/>
          <w:sz w:val="18"/>
          <w:szCs w:val="18"/>
        </w:rPr>
        <w:fldChar w:fldCharType="begin">
          <w:fldData xml:space="preserve">PEVuZE5vdGU+PENpdGU+PEF1dGhvcj5HdXlhdHQ8L0F1dGhvcj48WWVhcj4yMDEzPC9ZZWFyPjxS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</w:fldData>
        </w:fldChar>
      </w:r>
      <w:r>
        <w:rPr>
          <w:rFonts w:ascii="Arial Narrow" w:hAnsi="Arial Narrow" w:cs="Arial"/>
          <w:sz w:val="18"/>
          <w:szCs w:val="18"/>
        </w:rPr>
        <w:instrText xml:space="preserve"> ADDIN EN.CITE </w:instrText>
      </w:r>
      <w:r>
        <w:rPr>
          <w:rFonts w:ascii="Arial Narrow" w:hAnsi="Arial Narrow" w:cs="Arial"/>
          <w:sz w:val="18"/>
          <w:szCs w:val="18"/>
        </w:rPr>
        <w:fldChar w:fldCharType="begin">
          <w:fldData xml:space="preserve">PEVuZE5vdGU+PENpdGU+PEF1dGhvcj5HdXlhdHQ8L0F1dGhvcj48WWVhcj4yMDEzPC9ZZWFyPjxS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</w:fldData>
        </w:fldChar>
      </w:r>
      <w:r>
        <w:rPr>
          <w:rFonts w:ascii="Arial Narrow" w:hAnsi="Arial Narrow" w:cs="Arial"/>
          <w:sz w:val="18"/>
          <w:szCs w:val="18"/>
        </w:rPr>
        <w:instrText xml:space="preserve"> ADDIN EN.CITE.DATA </w:instrText>
      </w:r>
      <w:r>
        <w:rPr>
          <w:rFonts w:ascii="Arial Narrow" w:hAnsi="Arial Narrow" w:cs="Arial"/>
          <w:sz w:val="18"/>
          <w:szCs w:val="18"/>
        </w:rPr>
      </w:r>
      <w:r>
        <w:rPr>
          <w:rFonts w:ascii="Arial Narrow" w:hAnsi="Arial Narrow" w:cs="Arial"/>
          <w:sz w:val="18"/>
          <w:szCs w:val="18"/>
        </w:rPr>
        <w:fldChar w:fldCharType="end"/>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w:t>
      </w:r>
      <w:hyperlink w:anchor="_ENREF_21" w:tooltip="Guyatt, 2013 #21" w:history="1">
        <w:r>
          <w:rPr>
            <w:rFonts w:ascii="Arial Narrow" w:hAnsi="Arial Narrow" w:cs="Arial"/>
            <w:noProof/>
            <w:sz w:val="18"/>
            <w:szCs w:val="18"/>
          </w:rPr>
          <w:t>Guyatt et al. 2013</w:t>
        </w:r>
      </w:hyperlink>
      <w:r>
        <w:rPr>
          <w:rFonts w:ascii="Arial Narrow" w:hAnsi="Arial Narrow" w:cs="Arial"/>
          <w:noProof/>
          <w:sz w:val="18"/>
          <w:szCs w:val="18"/>
        </w:rPr>
        <w:t>)</w:t>
      </w:r>
      <w:r>
        <w:rPr>
          <w:rFonts w:ascii="Arial Narrow" w:hAnsi="Arial Narrow" w:cs="Arial"/>
          <w:sz w:val="18"/>
          <w:szCs w:val="18"/>
        </w:rPr>
        <w:fldChar w:fldCharType="end"/>
      </w:r>
      <w:r>
        <w:rPr>
          <w:rFonts w:ascii="Arial Narrow" w:hAnsi="Arial Narrow" w:cs="Arial"/>
          <w:sz w:val="18"/>
          <w:szCs w:val="18"/>
        </w:rPr>
        <w:t xml:space="preserve">; </w:t>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 xml:space="preserve">We have very little confidence in the effect estimate: The true effect is likely to be substantially different from the estimate of effect. </w:t>
      </w:r>
      <w:r>
        <w:rPr>
          <w:rFonts w:ascii="Arial Narrow" w:hAnsi="Arial Narrow" w:cs="Arial"/>
          <w:sz w:val="18"/>
          <w:szCs w:val="18"/>
          <w:vertAlign w:val="superscript"/>
        </w:rPr>
        <w:t>b</w:t>
      </w:r>
      <w:r>
        <w:rPr>
          <w:rFonts w:ascii="Arial Narrow" w:hAnsi="Arial Narrow" w:cs="Arial"/>
          <w:sz w:val="18"/>
          <w:szCs w:val="18"/>
        </w:rPr>
        <w:t xml:space="preserve">Not down graded despite open label nature of design and subjective outcome, because outcomes assessors were blinded to treatment assignment. </w:t>
      </w:r>
      <w:r w:rsidRPr="005623E9">
        <w:rPr>
          <w:rFonts w:ascii="Arial Narrow" w:hAnsi="Arial Narrow" w:cs="Arial"/>
          <w:sz w:val="18"/>
          <w:szCs w:val="18"/>
          <w:vertAlign w:val="superscript"/>
        </w:rPr>
        <w:t>C</w:t>
      </w:r>
      <w:r>
        <w:rPr>
          <w:rFonts w:ascii="Arial Narrow" w:hAnsi="Arial Narrow" w:cs="Arial"/>
          <w:sz w:val="18"/>
          <w:szCs w:val="18"/>
        </w:rPr>
        <w:t xml:space="preserve">58 OMT patients received TMVr after 24 months and were included in the OMT arm of the ITT analysis, thus potentially biasing against TMVr. </w:t>
      </w:r>
    </w:p>
    <w:p w14:paraId="10550972" w14:textId="77777777" w:rsidR="00E47DC5" w:rsidRPr="00214F43" w:rsidRDefault="00683623" w:rsidP="00683623">
      <w:pPr>
        <w:pStyle w:val="TableNote"/>
      </w:pPr>
      <w:r>
        <w:t>Source: Table 2, p28 of ADAR.</w:t>
      </w:r>
    </w:p>
    <w:p w14:paraId="29580ABF" w14:textId="77777777" w:rsidR="00E47DC5" w:rsidRDefault="00E47DC5" w:rsidP="00683623">
      <w:pPr>
        <w:keepNext/>
        <w:spacing w:before="240"/>
      </w:pPr>
      <w:r>
        <w:t>The commentary noted that:</w:t>
      </w:r>
    </w:p>
    <w:p w14:paraId="31A0FAEF" w14:textId="77777777" w:rsidR="00E47DC5" w:rsidRPr="00E464CF" w:rsidRDefault="00E47DC5" w:rsidP="00E47DC5">
      <w:pPr>
        <w:pStyle w:val="ListParagraph"/>
        <w:numPr>
          <w:ilvl w:val="0"/>
          <w:numId w:val="5"/>
        </w:numPr>
      </w:pPr>
      <w:r>
        <w:t xml:space="preserve">The comparative data </w:t>
      </w:r>
      <w:r>
        <w:rPr>
          <w:iCs/>
        </w:rPr>
        <w:t>(</w:t>
      </w:r>
      <w:hyperlink w:anchor="_ENREF_35" w:tooltip="Whitlow, 2012 #51" w:history="1">
        <w:r>
          <w:fldChar w:fldCharType="begin">
            <w:fldData xml:space="preserve">PEVuZE5vdGU+PENpdGUgQXV0aG9yWWVhcj0iMSI+PEF1dGhvcj5XaGl0bG93PC9BdXRob3I+PFll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</w:fldData>
          </w:fldChar>
        </w:r>
        <w:r>
          <w:instrText xml:space="preserve"> ADDIN EN.CITE </w:instrText>
        </w:r>
        <w:r>
          <w:fldChar w:fldCharType="begin">
            <w:fldData xml:space="preserve">PEVuZE5vdGU+PENpdGUgQXV0aG9yWWVhcj0iMSI+PEF1dGhvcj5XaGl0bG93PC9BdXRob3I+PFll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</w:fldData>
          </w:fldChar>
        </w:r>
        <w:r>
          <w:instrText xml:space="preserve"> ADDIN EN.CITE.DATA </w:instrText>
        </w:r>
        <w:r>
          <w:fldChar w:fldCharType="end"/>
        </w:r>
        <w:r>
          <w:fldChar w:fldCharType="separate"/>
        </w:r>
        <w:r>
          <w:rPr>
            <w:noProof/>
          </w:rPr>
          <w:t>Whitlow et al. 2012</w:t>
        </w:r>
        <w:r>
          <w:fldChar w:fldCharType="end"/>
        </w:r>
      </w:hyperlink>
      <w:r w:rsidRPr="00274C6E">
        <w:rPr>
          <w:i/>
          <w:iCs/>
        </w:rPr>
        <w:t xml:space="preserve">, </w:t>
      </w:r>
      <w:hyperlink w:anchor="_ENREF_33" w:tooltip="Velazquez, 2015 #7" w:history="1">
        <w:r>
          <w:fldChar w:fldCharType="begin">
            <w:fldData xml:space="preserve">PEVuZE5vdGU+PENpdGUgQXV0aG9yWWVhcj0iMSI+PEF1dGhvcj5WZWxhenF1ZXo8L0F1dGhvcj48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</w:fldData>
          </w:fldChar>
        </w:r>
        <w:r>
          <w:instrText xml:space="preserve"> ADDIN EN.CITE </w:instrText>
        </w:r>
        <w:r>
          <w:fldChar w:fldCharType="begin">
            <w:fldData xml:space="preserve">PEVuZE5vdGU+PENpdGUgQXV0aG9yWWVhcj0iMSI+PEF1dGhvcj5WZWxhenF1ZXo8L0F1dGhvcj48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</w:fldData>
          </w:fldChar>
        </w:r>
        <w:r>
          <w:instrText xml:space="preserve"> ADDIN EN.CITE.DATA </w:instrText>
        </w:r>
        <w:r>
          <w:fldChar w:fldCharType="end"/>
        </w:r>
        <w:r>
          <w:fldChar w:fldCharType="separate"/>
        </w:r>
        <w:r>
          <w:rPr>
            <w:noProof/>
          </w:rPr>
          <w:t>Velazquez et al. 2015</w:t>
        </w:r>
        <w:r>
          <w:fldChar w:fldCharType="end"/>
        </w:r>
      </w:hyperlink>
      <w:r w:rsidRPr="00E464CF">
        <w:t xml:space="preserve"> </w:t>
      </w:r>
      <w:r w:rsidRPr="00E464CF">
        <w:rPr>
          <w:iCs/>
        </w:rPr>
        <w:t xml:space="preserve">and </w:t>
      </w:r>
      <w:hyperlink w:anchor="_ENREF_32" w:tooltip="Swaans, 2014 #8" w:history="1">
        <w:r w:rsidRPr="00E464CF">
          <w:rPr>
            <w:iCs/>
          </w:rPr>
          <w:fldChar w:fldCharType="begin">
            <w:fldData xml:space="preserve">PEVuZE5vdGU+PENpdGUgQXV0aG9yWWVhcj0iMSI+PEF1dGhvcj5Td2FhbnM8L0F1dGhvcj48WWVh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</w:fldData>
          </w:fldChar>
        </w:r>
        <w:r w:rsidRPr="00E464CF">
          <w:rPr>
            <w:iCs/>
          </w:rPr>
          <w:instrText xml:space="preserve"> ADDIN EN.CITE </w:instrText>
        </w:r>
        <w:r w:rsidRPr="00E464CF">
          <w:rPr>
            <w:iCs/>
          </w:rPr>
          <w:fldChar w:fldCharType="begin">
            <w:fldData xml:space="preserve">PEVuZE5vdGU+PENpdGUgQXV0aG9yWWVhcj0iMSI+PEF1dGhvcj5Td2FhbnM8L0F1dGhvcj48WWVh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</w:fldData>
          </w:fldChar>
        </w:r>
        <w:r w:rsidRPr="00E464CF">
          <w:rPr>
            <w:iCs/>
          </w:rPr>
          <w:instrText xml:space="preserve"> ADDIN EN.CITE.DATA </w:instrText>
        </w:r>
        <w:r w:rsidRPr="00E464CF">
          <w:rPr>
            <w:iCs/>
          </w:rPr>
        </w:r>
        <w:r w:rsidRPr="00E464CF">
          <w:rPr>
            <w:iCs/>
          </w:rPr>
          <w:fldChar w:fldCharType="end"/>
        </w:r>
        <w:r w:rsidRPr="00E464CF">
          <w:rPr>
            <w:iCs/>
          </w:rPr>
        </w:r>
        <w:r w:rsidRPr="00E464CF">
          <w:rPr>
            <w:iCs/>
          </w:rPr>
          <w:fldChar w:fldCharType="separate"/>
        </w:r>
        <w:r w:rsidRPr="00E464CF">
          <w:rPr>
            <w:iCs/>
            <w:noProof/>
          </w:rPr>
          <w:t>Swaans et al. 2014)</w:t>
        </w:r>
        <w:r w:rsidRPr="00E464CF">
          <w:rPr>
            <w:iCs/>
          </w:rPr>
          <w:fldChar w:fldCharType="end"/>
        </w:r>
      </w:hyperlink>
      <w:r w:rsidRPr="00E464CF">
        <w:rPr>
          <w:iCs/>
        </w:rPr>
        <w:t xml:space="preserve"> </w:t>
      </w:r>
      <w:r w:rsidRPr="00E464CF">
        <w:t>is limited and was presented in the previous resubmission (Application 1192.2).</w:t>
      </w:r>
    </w:p>
    <w:p w14:paraId="07C7697C" w14:textId="77777777" w:rsidR="00E47DC5" w:rsidRDefault="00E47DC5" w:rsidP="00E47DC5">
      <w:pPr>
        <w:pStyle w:val="ListParagraph"/>
        <w:numPr>
          <w:ilvl w:val="0"/>
          <w:numId w:val="5"/>
        </w:numPr>
      </w:pPr>
      <w:r>
        <w:t xml:space="preserve">The comparative evidence came from a mixed population of DMR and FMR, including primarily those with FMR. </w:t>
      </w:r>
    </w:p>
    <w:p w14:paraId="0826788A" w14:textId="77777777" w:rsidR="00E47DC5" w:rsidRPr="00A70E20" w:rsidRDefault="00E47DC5" w:rsidP="00E47DC5">
      <w:pPr>
        <w:pStyle w:val="ListParagraph"/>
        <w:numPr>
          <w:ilvl w:val="0"/>
          <w:numId w:val="5"/>
        </w:numPr>
      </w:pPr>
      <w:r w:rsidRPr="00A70E20">
        <w:t xml:space="preserve">Survival at 12 months was marginally significant in favour of TMVr in the EVEREST II HRR trial, </w:t>
      </w:r>
      <w:r w:rsidRPr="00A70E20">
        <w:rPr>
          <w:iCs/>
        </w:rPr>
        <w:t>however this trial included primarily FMR patients</w:t>
      </w:r>
      <w:r w:rsidRPr="00A70E20">
        <w:rPr>
          <w:color w:val="0070C0"/>
        </w:rPr>
        <w:t>.</w:t>
      </w:r>
    </w:p>
    <w:p w14:paraId="46EB0C57" w14:textId="77777777" w:rsidR="00E47DC5" w:rsidRPr="00646976" w:rsidRDefault="00E47DC5" w:rsidP="00683623">
      <w:pPr>
        <w:pStyle w:val="ListParagraph"/>
        <w:numPr>
          <w:ilvl w:val="0"/>
          <w:numId w:val="5"/>
        </w:numPr>
      </w:pPr>
      <w:r>
        <w:t>New data was presented in this resubmission. However, this data was from a single arm retrospective study</w:t>
      </w:r>
      <w:r w:rsidRPr="00274C6E">
        <w:rPr>
          <w:color w:val="0070C0"/>
        </w:rPr>
        <w:t>.</w:t>
      </w:r>
    </w:p>
    <w:p w14:paraId="42454703" w14:textId="77777777" w:rsidR="00E47DC5" w:rsidRDefault="00E47DC5" w:rsidP="00683623">
      <w:pPr>
        <w:spacing w:before="240" w:after="240"/>
      </w:pPr>
      <w:r>
        <w:t xml:space="preserve">The commentary considered based on the comparative effectiveness evidence presented TMVr has </w:t>
      </w:r>
      <w:r w:rsidRPr="00F03B7C">
        <w:t xml:space="preserve">uncertain effectiveness in the </w:t>
      </w:r>
      <w:r>
        <w:t>DMR</w:t>
      </w:r>
      <w:r w:rsidRPr="00F03B7C">
        <w:t xml:space="preserve"> population, relative to OMT.</w:t>
      </w:r>
    </w:p>
    <w:p w14:paraId="76C21D05" w14:textId="77777777" w:rsidR="00E47DC5" w:rsidRDefault="00E47DC5" w:rsidP="00683623">
      <w:pPr>
        <w:spacing w:after="240"/>
      </w:pPr>
      <w:r>
        <w:lastRenderedPageBreak/>
        <w:t>Overall, the commentary disagreed with the ADAR and considered, o</w:t>
      </w:r>
      <w:r w:rsidRPr="00B4690E">
        <w:t xml:space="preserve">n the basis of the benefits and harms reported in the evidence base, TMVr has </w:t>
      </w:r>
      <w:r>
        <w:t>uncertain</w:t>
      </w:r>
      <w:r w:rsidRPr="00B4690E">
        <w:t xml:space="preserve"> safety and </w:t>
      </w:r>
      <w:r>
        <w:t>uncertain effectiveness in the D</w:t>
      </w:r>
      <w:r w:rsidRPr="00B4690E">
        <w:t>MR population, relative to OMT.</w:t>
      </w:r>
    </w:p>
    <w:p w14:paraId="0FE04E58" w14:textId="77777777" w:rsidR="00E47DC5" w:rsidRDefault="00E47DC5" w:rsidP="00683623">
      <w:pPr>
        <w:spacing w:after="240"/>
      </w:pPr>
      <w:r>
        <w:t xml:space="preserve">In the pre-ESC response, the applicant stated that the </w:t>
      </w:r>
      <w:r w:rsidRPr="00F06ABE">
        <w:t xml:space="preserve">new evidence presented in the ADAR for the DMR population (TVT registry) represents the largest reported experience in transcatheter treatment of DMR. Including almost 1500 patients with DMR of similar characteristics to those for whom listing is sought, </w:t>
      </w:r>
      <w:r>
        <w:t>the</w:t>
      </w:r>
      <w:r w:rsidRPr="00F06ABE">
        <w:t xml:space="preserve"> evidence provide</w:t>
      </w:r>
      <w:r>
        <w:t>d</w:t>
      </w:r>
      <w:r w:rsidRPr="00F06ABE">
        <w:t xml:space="preserve"> a robust representation of the magnitude of absolute effect that can be expected with TMVr in these patients in the Australian clinical setting. The</w:t>
      </w:r>
      <w:r>
        <w:t xml:space="preserve"> applicant claimed that the</w:t>
      </w:r>
      <w:r w:rsidRPr="00F06ABE">
        <w:t xml:space="preserve"> similarity in the rates of safety and effectiveness outcomes observed in the TMVr arm of the pivotal evidence (EVEREST II HRR) and the TVT registry (Sorajja et al 2017) support the reliability of this evidence base. </w:t>
      </w:r>
      <w:r>
        <w:t>Overall, t</w:t>
      </w:r>
      <w:r w:rsidRPr="00F06ABE">
        <w:t>he</w:t>
      </w:r>
      <w:r>
        <w:t xml:space="preserve"> applicant maintained</w:t>
      </w:r>
      <w:r w:rsidRPr="00F06ABE">
        <w:t xml:space="preserve"> that the ADAR provided sufficient evidence to support a conclusion of non-inferior safety and superior effectiveness of TMVr versus OMT in the DMR</w:t>
      </w:r>
      <w:r w:rsidR="00683623">
        <w:t xml:space="preserve"> population.</w:t>
      </w:r>
    </w:p>
    <w:p w14:paraId="2B2A2D75" w14:textId="77777777" w:rsidR="00BD3BE9" w:rsidRDefault="00BD3BE9" w:rsidP="00683623">
      <w:pPr>
        <w:spacing w:after="240"/>
      </w:pPr>
      <w:r>
        <w:t xml:space="preserve">In the pre-MSAC response, the applicant reiterated </w:t>
      </w:r>
      <w:r w:rsidR="00CE4C72">
        <w:t xml:space="preserve">its </w:t>
      </w:r>
      <w:r>
        <w:t>claim and stated t</w:t>
      </w:r>
      <w:r w:rsidRPr="00B46CFC">
        <w:t>here is no evidence to suggest that TMVr is non-inferior to OMT in these patients.</w:t>
      </w:r>
      <w:r>
        <w:t xml:space="preserve"> The applicant proposed that</w:t>
      </w:r>
      <w:r w:rsidRPr="002554AF">
        <w:t xml:space="preserve"> the results of superiority </w:t>
      </w:r>
      <w:r>
        <w:t xml:space="preserve">of TMVr versus OMT </w:t>
      </w:r>
      <w:r w:rsidRPr="002554AF">
        <w:t xml:space="preserve">be considered in context of the wider body of evidence, the </w:t>
      </w:r>
      <w:r w:rsidRPr="003F3CC6">
        <w:t>biological plausible mechanism of the TMVr procedure in the DMR population and the high clinical need for an intervention directed at fixing</w:t>
      </w:r>
      <w:r w:rsidRPr="00276E69">
        <w:t xml:space="preserve"> the valve itself in patients ineligible for surgery.</w:t>
      </w:r>
      <w:r>
        <w:t xml:space="preserve"> The applicant acknowledged that </w:t>
      </w:r>
      <w:r w:rsidRPr="00BD3BE9">
        <w:t>there is an RCT planned in the DMR popula</w:t>
      </w:r>
      <w:r>
        <w:t xml:space="preserve">tion (REPAIR-MR) however, the applicant claimed that </w:t>
      </w:r>
      <w:r w:rsidRPr="00BD3BE9">
        <w:t>the RCT is in the wrong population (DMR patients eligible for surgery) and versus the wrong comparator (mitral valve surgery)</w:t>
      </w:r>
      <w:r>
        <w:t xml:space="preserve">. Therefore, </w:t>
      </w:r>
      <w:r w:rsidRPr="00BD3BE9">
        <w:t>th</w:t>
      </w:r>
      <w:r>
        <w:t>e</w:t>
      </w:r>
      <w:r w:rsidRPr="00BD3BE9">
        <w:t xml:space="preserve"> study is not directly informative to the research question framed by the PICO in this </w:t>
      </w:r>
      <w:r w:rsidR="00E9109E">
        <w:t>a</w:t>
      </w:r>
      <w:r w:rsidR="00683623">
        <w:t>ssessment.</w:t>
      </w:r>
    </w:p>
    <w:p w14:paraId="0C1EB0C8" w14:textId="77777777" w:rsidR="00E47DC5" w:rsidRPr="00E47DC5" w:rsidRDefault="00E47DC5" w:rsidP="00E47DC5">
      <w:pPr>
        <w:pStyle w:val="Heading2"/>
        <w:rPr>
          <w:b w:val="0"/>
          <w:i/>
          <w:u w:val="single"/>
        </w:rPr>
      </w:pPr>
      <w:r w:rsidRPr="00E47DC5">
        <w:rPr>
          <w:b w:val="0"/>
          <w:i/>
          <w:u w:val="single"/>
        </w:rPr>
        <w:t>Population 2: FMR</w:t>
      </w:r>
    </w:p>
    <w:p w14:paraId="1070A2E1" w14:textId="77777777" w:rsidR="00E47DC5" w:rsidRDefault="00E47DC5" w:rsidP="00683623">
      <w:pPr>
        <w:spacing w:after="240"/>
      </w:pPr>
      <w:r>
        <w:t>The ADAR reported the COAPT trial demonstrated that TMVr was statistically significantly superior to OMT with respect to all primary and secondary effectiveness outcomes. The COAPT trial reported that 30.5% of TMVr group subjects experienced at least 1 HF hospitalisation through 24-month follow-up, compared with 48.4% in the OMT group and a significant 47.5% reduction in the risk of recurrent HF hospitalisation in favour of TMVr (p&lt;0.0001). This difference was maintained over 36 months (HR [95%CI]: 0.49 [0.37, 0.63]; p&lt; 0.0001). All-cause mortality within 24 months was significantly lower with TMVr than with OMT alone (29.1% vs. 46.1%; HR [95% CI] 0.62 [0.46 to 0.82]; p&lt;0.001). The number needed to treat to save one life within 24 months was 5.9. The survival benefit was maintained over 36 months, based on the intention to treat (ITT) population, despite including cross overs (58 OMT patients received TMVr (HR</w:t>
      </w:r>
      <w:r w:rsidR="00683623">
        <w:t xml:space="preserve"> [95% CI]: 0.67 [0.52, 0.85]). </w:t>
      </w:r>
    </w:p>
    <w:p w14:paraId="4C254A62" w14:textId="1EF04D38" w:rsidR="00E47DC5" w:rsidRDefault="00E47DC5" w:rsidP="00683623">
      <w:pPr>
        <w:spacing w:after="240"/>
      </w:pPr>
      <w:r>
        <w:t>The ADAR stated quality of life (Kansas City Cardiomyopathy Questionnaire [KCCQ] and NYHA functional class) was significantly better, functional capacity (6-min walk test [6MWT]) was more preserved and mitral regurgitation and left ventricular remodelling (MR grade and LVEDV) were less severe with TMVr than with OMT alone. The differences in KCCQ and 6MWT exceeded minimally clinically important differences (MCIDs) of five points and 24 met</w:t>
      </w:r>
      <w:r w:rsidR="00683623">
        <w:t xml:space="preserve">res respectively at 24 months. </w:t>
      </w:r>
    </w:p>
    <w:p w14:paraId="4DA377BA" w14:textId="57603B91" w:rsidR="00E47DC5" w:rsidRPr="00683623" w:rsidRDefault="00E47DC5" w:rsidP="00683623">
      <w:pPr>
        <w:spacing w:after="240"/>
        <w:rPr>
          <w:i/>
          <w:iCs/>
        </w:rPr>
      </w:pPr>
      <w:r>
        <w:t xml:space="preserve">The ADAR noted that the </w:t>
      </w:r>
      <w:r w:rsidR="00A92E3B">
        <w:t>MITRA-FR</w:t>
      </w:r>
      <w:r>
        <w:t xml:space="preserve"> trial showed </w:t>
      </w:r>
      <w:r w:rsidRPr="00F95B83">
        <w:t>no significant differences in effectiveness o</w:t>
      </w:r>
      <w:r>
        <w:t xml:space="preserve">utcomes of TMVr relative to OMT. </w:t>
      </w:r>
      <w:r w:rsidRPr="00C807FA">
        <w:t>At 12 months</w:t>
      </w:r>
      <w:r>
        <w:t xml:space="preserve"> and 24 months, MITRA-FR reported no significant differences for death, </w:t>
      </w:r>
      <w:r w:rsidRPr="00C807FA">
        <w:t>hospitalis</w:t>
      </w:r>
      <w:r>
        <w:t xml:space="preserve">ation </w:t>
      </w:r>
      <w:r w:rsidRPr="00C807FA">
        <w:t>due to HF</w:t>
      </w:r>
      <w:r>
        <w:t xml:space="preserve"> and </w:t>
      </w:r>
      <w:r w:rsidRPr="00C807FA">
        <w:t>major adverse cardiovascular events</w:t>
      </w:r>
      <w:r>
        <w:t xml:space="preserve"> (Obadia et al. 2018). The ADAR claimed this is </w:t>
      </w:r>
      <w:r w:rsidRPr="00F95B83">
        <w:t xml:space="preserve">consistent with recruitment of patients in whom the MR is proportionately severe to the degree of left ventricular dilation and in </w:t>
      </w:r>
      <w:r w:rsidRPr="00F95B83">
        <w:lastRenderedPageBreak/>
        <w:t>whom an effect is not expected based on the framework by Grayburn et al</w:t>
      </w:r>
      <w:r>
        <w:t>.</w:t>
      </w:r>
      <w:r w:rsidRPr="00F95B83">
        <w:t xml:space="preserve"> </w:t>
      </w:r>
      <w:r>
        <w:t>(</w:t>
      </w:r>
      <w:r w:rsidRPr="00F95B83">
        <w:t>201</w:t>
      </w:r>
      <w:r>
        <w:t xml:space="preserve">9). The ADAR did not include the </w:t>
      </w:r>
      <w:r w:rsidR="00A92E3B">
        <w:t>MITRA-FR</w:t>
      </w:r>
      <w:r>
        <w:t xml:space="preserve"> trial in the clinical claim. Instead, the ADAR claimed that the results from </w:t>
      </w:r>
      <w:r w:rsidR="00A92E3B">
        <w:t>MITRA-FR</w:t>
      </w:r>
      <w:r>
        <w:t xml:space="preserve"> indicate which patients should not be eligible for TMVr on the MBS (i.e. those with MR proportionally severe to the degree of </w:t>
      </w:r>
      <w:r w:rsidR="00683623">
        <w:t>left ventricular dysfunction).</w:t>
      </w:r>
    </w:p>
    <w:p w14:paraId="13350A84" w14:textId="01CE58D5" w:rsidR="00E47DC5" w:rsidRDefault="00E47DC5" w:rsidP="00E47DC5">
      <w:r w:rsidRPr="00C454E3">
        <w:t>On the basis of the benefits and harms reported in the</w:t>
      </w:r>
      <w:r>
        <w:t xml:space="preserve"> COAPT (summarised below in </w:t>
      </w:r>
      <w:r>
        <w:fldChar w:fldCharType="begin"/>
      </w:r>
      <w:r>
        <w:instrText xml:space="preserve"> REF _Ref31550362 \h </w:instrText>
      </w:r>
      <w:r>
        <w:fldChar w:fldCharType="separate"/>
      </w:r>
      <w:r w:rsidRPr="00B375C7">
        <w:t>Table</w:t>
      </w:r>
      <w:r w:rsidR="00BE70ED">
        <w:t> </w:t>
      </w:r>
      <w:r>
        <w:rPr>
          <w:noProof/>
        </w:rPr>
        <w:t>4</w:t>
      </w:r>
      <w:r>
        <w:fldChar w:fldCharType="end"/>
      </w:r>
      <w:r w:rsidRPr="00C454E3">
        <w:t xml:space="preserve">), </w:t>
      </w:r>
      <w:r>
        <w:t xml:space="preserve">the ADAR claimed </w:t>
      </w:r>
      <w:r w:rsidRPr="004C44D0">
        <w:t xml:space="preserve">that, relative to OMT, TMVr has </w:t>
      </w:r>
      <w:r>
        <w:t xml:space="preserve">non-inferior safety and </w:t>
      </w:r>
      <w:r w:rsidRPr="004C44D0">
        <w:t>superior effectiveness in the FMR population.</w:t>
      </w:r>
    </w:p>
    <w:p w14:paraId="74E12BAA" w14:textId="77777777" w:rsidR="00E47DC5" w:rsidRPr="00BE70ED" w:rsidRDefault="00E47DC5" w:rsidP="00BE70ED">
      <w:pPr>
        <w:spacing w:before="240"/>
        <w:rPr>
          <w:rFonts w:ascii="Arial Narrow" w:hAnsi="Arial Narrow"/>
          <w:b/>
          <w:sz w:val="20"/>
        </w:rPr>
      </w:pPr>
      <w:bookmarkStart w:id="16" w:name="_Ref31550362"/>
      <w:r w:rsidRPr="00BE70ED">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4</w:t>
      </w:r>
      <w:r w:rsidRPr="00BE70ED">
        <w:rPr>
          <w:rFonts w:ascii="Arial Narrow" w:hAnsi="Arial Narrow"/>
          <w:b/>
          <w:sz w:val="20"/>
        </w:rPr>
        <w:fldChar w:fldCharType="end"/>
      </w:r>
      <w:bookmarkEnd w:id="16"/>
      <w:r w:rsidRPr="00BE70ED">
        <w:rPr>
          <w:rFonts w:ascii="Arial Narrow" w:hAnsi="Arial Narrow"/>
          <w:b/>
          <w:sz w:val="20"/>
        </w:rPr>
        <w:tab/>
        <w:t>Balance of clinical benefits and harms of TMVr, relative to OMT, and as measured by the critical patient-relevant outcomes in the key studies: Population 2: FMR</w:t>
      </w:r>
    </w:p>
    <w:tbl>
      <w:tblPr>
        <w:tblW w:w="0" w:type="auto"/>
        <w:tblLook w:val="04A0" w:firstRow="1" w:lastRow="0" w:firstColumn="1" w:lastColumn="0" w:noHBand="0" w:noVBand="1"/>
        <w:tblDescription w:val="Summary of findings table"/>
      </w:tblPr>
      <w:tblGrid>
        <w:gridCol w:w="1297"/>
        <w:gridCol w:w="1155"/>
        <w:gridCol w:w="1087"/>
        <w:gridCol w:w="992"/>
        <w:gridCol w:w="1276"/>
        <w:gridCol w:w="992"/>
        <w:gridCol w:w="2217"/>
      </w:tblGrid>
      <w:tr w:rsidR="00E47DC5" w14:paraId="7A6942C8" w14:textId="77777777" w:rsidTr="004030AA">
        <w:trPr>
          <w:tblHeader/>
        </w:trPr>
        <w:tc>
          <w:tcPr>
            <w:tcW w:w="1297" w:type="dxa"/>
            <w:tcBorders>
              <w:top w:val="single" w:sz="4" w:space="0" w:color="auto"/>
              <w:left w:val="single" w:sz="4" w:space="0" w:color="auto"/>
              <w:bottom w:val="single" w:sz="4" w:space="0" w:color="auto"/>
              <w:right w:val="single" w:sz="4" w:space="0" w:color="auto"/>
            </w:tcBorders>
          </w:tcPr>
          <w:p w14:paraId="7D54FE0F" w14:textId="77777777" w:rsidR="00E47DC5" w:rsidRPr="00221002" w:rsidRDefault="00E47DC5" w:rsidP="004030AA">
            <w:pPr>
              <w:pStyle w:val="Tabletext"/>
              <w:rPr>
                <w:b/>
              </w:rPr>
            </w:pPr>
            <w:r w:rsidRPr="00221002">
              <w:rPr>
                <w:b/>
              </w:rPr>
              <w:t>Outcomes (units)</w:t>
            </w:r>
          </w:p>
          <w:p w14:paraId="40A37578" w14:textId="77777777" w:rsidR="00E47DC5" w:rsidRPr="00221002" w:rsidRDefault="00E47DC5" w:rsidP="004030AA">
            <w:pPr>
              <w:pStyle w:val="Tabletext"/>
              <w:rPr>
                <w:b/>
              </w:rPr>
            </w:pPr>
            <w:r w:rsidRPr="00221002">
              <w:rPr>
                <w:b/>
              </w:rPr>
              <w:t>Follow-up</w:t>
            </w:r>
          </w:p>
        </w:tc>
        <w:tc>
          <w:tcPr>
            <w:tcW w:w="1155" w:type="dxa"/>
            <w:tcBorders>
              <w:top w:val="single" w:sz="4" w:space="0" w:color="auto"/>
              <w:left w:val="single" w:sz="4" w:space="0" w:color="auto"/>
              <w:bottom w:val="single" w:sz="4" w:space="0" w:color="auto"/>
              <w:right w:val="single" w:sz="4" w:space="0" w:color="auto"/>
            </w:tcBorders>
          </w:tcPr>
          <w:p w14:paraId="59DE4559" w14:textId="77777777" w:rsidR="00E47DC5" w:rsidRPr="00221002" w:rsidRDefault="00E47DC5" w:rsidP="004030AA">
            <w:pPr>
              <w:pStyle w:val="Tabletext"/>
              <w:rPr>
                <w:b/>
              </w:rPr>
            </w:pPr>
            <w:r w:rsidRPr="00221002">
              <w:rPr>
                <w:b/>
              </w:rPr>
              <w:t>Participants (studies)</w:t>
            </w:r>
          </w:p>
          <w:p w14:paraId="3F174F7C" w14:textId="77777777" w:rsidR="00E47DC5" w:rsidRPr="00221002" w:rsidRDefault="00E47DC5" w:rsidP="004030AA">
            <w:pPr>
              <w:pStyle w:val="Tabletext"/>
              <w:rPr>
                <w:b/>
              </w:rPr>
            </w:pPr>
          </w:p>
        </w:tc>
        <w:tc>
          <w:tcPr>
            <w:tcW w:w="1087" w:type="dxa"/>
            <w:tcBorders>
              <w:top w:val="single" w:sz="4" w:space="0" w:color="auto"/>
              <w:left w:val="single" w:sz="4" w:space="0" w:color="auto"/>
              <w:bottom w:val="single" w:sz="4" w:space="0" w:color="auto"/>
              <w:right w:val="single" w:sz="4" w:space="0" w:color="auto"/>
            </w:tcBorders>
          </w:tcPr>
          <w:p w14:paraId="7C510DF4" w14:textId="77777777" w:rsidR="00E47DC5" w:rsidRPr="00221002" w:rsidRDefault="00E47DC5" w:rsidP="004030AA">
            <w:pPr>
              <w:pStyle w:val="Tabletext"/>
              <w:rPr>
                <w:b/>
              </w:rPr>
            </w:pPr>
            <w:r w:rsidRPr="00221002">
              <w:rPr>
                <w:b/>
              </w:rPr>
              <w:t>Quality of evidence (GRADE)a</w:t>
            </w:r>
          </w:p>
        </w:tc>
        <w:tc>
          <w:tcPr>
            <w:tcW w:w="992" w:type="dxa"/>
            <w:tcBorders>
              <w:top w:val="single" w:sz="4" w:space="0" w:color="auto"/>
              <w:left w:val="single" w:sz="4" w:space="0" w:color="auto"/>
              <w:bottom w:val="single" w:sz="4" w:space="0" w:color="auto"/>
              <w:right w:val="single" w:sz="4" w:space="0" w:color="auto"/>
            </w:tcBorders>
          </w:tcPr>
          <w:p w14:paraId="4C913589" w14:textId="77777777" w:rsidR="00E47DC5" w:rsidRPr="00221002" w:rsidRDefault="00E47DC5" w:rsidP="004030AA">
            <w:pPr>
              <w:pStyle w:val="Tabletext"/>
              <w:rPr>
                <w:b/>
              </w:rPr>
            </w:pPr>
            <w:r w:rsidRPr="00221002">
              <w:rPr>
                <w:b/>
              </w:rPr>
              <w:t>Relative effect (95%CI)</w:t>
            </w:r>
          </w:p>
        </w:tc>
        <w:tc>
          <w:tcPr>
            <w:tcW w:w="1276" w:type="dxa"/>
            <w:tcBorders>
              <w:top w:val="single" w:sz="4" w:space="0" w:color="auto"/>
              <w:left w:val="single" w:sz="4" w:space="0" w:color="auto"/>
              <w:bottom w:val="single" w:sz="4" w:space="0" w:color="auto"/>
              <w:right w:val="single" w:sz="4" w:space="0" w:color="auto"/>
            </w:tcBorders>
          </w:tcPr>
          <w:p w14:paraId="79BFB82F" w14:textId="77777777" w:rsidR="00E47DC5" w:rsidRPr="00221002" w:rsidRDefault="00E47DC5" w:rsidP="004030AA">
            <w:pPr>
              <w:pStyle w:val="Tabletext"/>
              <w:rPr>
                <w:b/>
              </w:rPr>
            </w:pPr>
            <w:r w:rsidRPr="00221002">
              <w:rPr>
                <w:b/>
              </w:rPr>
              <w:t>Risk with TMVr and OMT n/N (%)</w:t>
            </w:r>
          </w:p>
        </w:tc>
        <w:tc>
          <w:tcPr>
            <w:tcW w:w="992" w:type="dxa"/>
            <w:tcBorders>
              <w:top w:val="single" w:sz="4" w:space="0" w:color="auto"/>
              <w:left w:val="single" w:sz="4" w:space="0" w:color="auto"/>
              <w:bottom w:val="single" w:sz="4" w:space="0" w:color="auto"/>
              <w:right w:val="single" w:sz="4" w:space="0" w:color="auto"/>
            </w:tcBorders>
          </w:tcPr>
          <w:p w14:paraId="4B09E719" w14:textId="77777777" w:rsidR="00E47DC5" w:rsidRPr="00221002" w:rsidRDefault="00E47DC5" w:rsidP="004030AA">
            <w:pPr>
              <w:pStyle w:val="Tabletext"/>
              <w:rPr>
                <w:b/>
              </w:rPr>
            </w:pPr>
            <w:r w:rsidRPr="00221002">
              <w:rPr>
                <w:b/>
              </w:rPr>
              <w:t>RD / MD (95% CI); NNT</w:t>
            </w:r>
          </w:p>
        </w:tc>
        <w:tc>
          <w:tcPr>
            <w:tcW w:w="2217" w:type="dxa"/>
            <w:tcBorders>
              <w:top w:val="single" w:sz="4" w:space="0" w:color="auto"/>
              <w:left w:val="single" w:sz="4" w:space="0" w:color="auto"/>
              <w:bottom w:val="single" w:sz="4" w:space="0" w:color="auto"/>
              <w:right w:val="single" w:sz="4" w:space="0" w:color="auto"/>
            </w:tcBorders>
          </w:tcPr>
          <w:p w14:paraId="55F38605" w14:textId="77777777" w:rsidR="00E47DC5" w:rsidRPr="00221002" w:rsidRDefault="00E47DC5" w:rsidP="004030AA">
            <w:pPr>
              <w:pStyle w:val="Tabletext"/>
              <w:rPr>
                <w:b/>
              </w:rPr>
            </w:pPr>
            <w:r w:rsidRPr="00221002">
              <w:rPr>
                <w:b/>
              </w:rPr>
              <w:t>Comments</w:t>
            </w:r>
          </w:p>
        </w:tc>
      </w:tr>
      <w:tr w:rsidR="00E47DC5" w14:paraId="4B9FDC3F" w14:textId="77777777" w:rsidTr="004030AA">
        <w:trPr>
          <w:trHeight w:val="263"/>
        </w:trPr>
        <w:tc>
          <w:tcPr>
            <w:tcW w:w="1297" w:type="dxa"/>
            <w:tcBorders>
              <w:top w:val="single" w:sz="4" w:space="0" w:color="auto"/>
              <w:left w:val="single" w:sz="4" w:space="0" w:color="auto"/>
              <w:bottom w:val="single" w:sz="4" w:space="0" w:color="auto"/>
            </w:tcBorders>
            <w:shd w:val="clear" w:color="auto" w:fill="D9D9D9" w:themeFill="background1" w:themeFillShade="D9"/>
          </w:tcPr>
          <w:p w14:paraId="3333F21C" w14:textId="77777777" w:rsidR="00E47DC5" w:rsidRPr="005465BF" w:rsidRDefault="00E47DC5" w:rsidP="004030AA">
            <w:pPr>
              <w:pStyle w:val="Tabletext"/>
              <w:rPr>
                <w:rFonts w:cs="Arial"/>
                <w:b/>
                <w:bCs/>
                <w:sz w:val="18"/>
                <w:szCs w:val="18"/>
              </w:rPr>
            </w:pPr>
            <w:r w:rsidRPr="005465BF">
              <w:rPr>
                <w:rFonts w:cs="Arial"/>
                <w:b/>
                <w:bCs/>
                <w:sz w:val="18"/>
                <w:szCs w:val="18"/>
              </w:rPr>
              <w:t>Pop 2: FMR</w:t>
            </w:r>
          </w:p>
        </w:tc>
        <w:tc>
          <w:tcPr>
            <w:tcW w:w="1155" w:type="dxa"/>
            <w:tcBorders>
              <w:top w:val="single" w:sz="4" w:space="0" w:color="auto"/>
              <w:bottom w:val="single" w:sz="4" w:space="0" w:color="auto"/>
            </w:tcBorders>
            <w:shd w:val="clear" w:color="auto" w:fill="D9D9D9" w:themeFill="background1" w:themeFillShade="D9"/>
          </w:tcPr>
          <w:p w14:paraId="6ADBF4F6" w14:textId="77777777" w:rsidR="00E47DC5" w:rsidRPr="005465BF" w:rsidRDefault="00E47DC5" w:rsidP="004030AA">
            <w:pPr>
              <w:pStyle w:val="Tabletext"/>
              <w:rPr>
                <w:rFonts w:cs="Arial"/>
                <w:b/>
                <w:bCs/>
                <w:sz w:val="18"/>
                <w:szCs w:val="18"/>
              </w:rPr>
            </w:pPr>
          </w:p>
        </w:tc>
        <w:tc>
          <w:tcPr>
            <w:tcW w:w="1087" w:type="dxa"/>
            <w:tcBorders>
              <w:top w:val="single" w:sz="4" w:space="0" w:color="auto"/>
              <w:bottom w:val="single" w:sz="4" w:space="0" w:color="auto"/>
            </w:tcBorders>
            <w:shd w:val="clear" w:color="auto" w:fill="D9D9D9" w:themeFill="background1" w:themeFillShade="D9"/>
          </w:tcPr>
          <w:p w14:paraId="13516493" w14:textId="77777777" w:rsidR="00E47DC5" w:rsidRPr="005465BF" w:rsidRDefault="00E47DC5" w:rsidP="004030AA">
            <w:pPr>
              <w:pStyle w:val="Tabletext"/>
              <w:rPr>
                <w:rFonts w:ascii="Cambria Math" w:hAnsi="Cambria Math"/>
                <w:b/>
                <w:bCs/>
                <w:color w:val="00B050"/>
              </w:rPr>
            </w:pPr>
          </w:p>
        </w:tc>
        <w:tc>
          <w:tcPr>
            <w:tcW w:w="992" w:type="dxa"/>
            <w:tcBorders>
              <w:top w:val="single" w:sz="4" w:space="0" w:color="auto"/>
              <w:bottom w:val="single" w:sz="4" w:space="0" w:color="auto"/>
            </w:tcBorders>
            <w:shd w:val="clear" w:color="auto" w:fill="D9D9D9" w:themeFill="background1" w:themeFillShade="D9"/>
          </w:tcPr>
          <w:p w14:paraId="348C21C3" w14:textId="77777777" w:rsidR="00E47DC5" w:rsidRPr="005465BF" w:rsidRDefault="00E47DC5" w:rsidP="004030AA">
            <w:pPr>
              <w:pStyle w:val="Tabletext"/>
              <w:rPr>
                <w:rFonts w:cs="Arial"/>
                <w:b/>
                <w:bCs/>
                <w:sz w:val="18"/>
                <w:szCs w:val="18"/>
              </w:rPr>
            </w:pPr>
          </w:p>
        </w:tc>
        <w:tc>
          <w:tcPr>
            <w:tcW w:w="1276" w:type="dxa"/>
            <w:tcBorders>
              <w:top w:val="single" w:sz="4" w:space="0" w:color="auto"/>
              <w:bottom w:val="single" w:sz="4" w:space="0" w:color="auto"/>
            </w:tcBorders>
            <w:shd w:val="clear" w:color="auto" w:fill="D9D9D9" w:themeFill="background1" w:themeFillShade="D9"/>
          </w:tcPr>
          <w:p w14:paraId="7EF7FED1" w14:textId="77777777" w:rsidR="00E47DC5" w:rsidRPr="005465BF" w:rsidRDefault="00E47DC5" w:rsidP="004030AA">
            <w:pPr>
              <w:pStyle w:val="Tabletext"/>
              <w:rPr>
                <w:rFonts w:cs="Arial"/>
                <w:b/>
                <w:bCs/>
                <w:sz w:val="18"/>
                <w:szCs w:val="18"/>
              </w:rPr>
            </w:pPr>
          </w:p>
        </w:tc>
        <w:tc>
          <w:tcPr>
            <w:tcW w:w="992" w:type="dxa"/>
            <w:tcBorders>
              <w:top w:val="single" w:sz="4" w:space="0" w:color="auto"/>
              <w:bottom w:val="single" w:sz="4" w:space="0" w:color="auto"/>
            </w:tcBorders>
            <w:shd w:val="clear" w:color="auto" w:fill="D9D9D9" w:themeFill="background1" w:themeFillShade="D9"/>
          </w:tcPr>
          <w:p w14:paraId="0AF794FC" w14:textId="77777777" w:rsidR="00E47DC5" w:rsidRPr="005465BF" w:rsidRDefault="00E47DC5" w:rsidP="004030AA">
            <w:pPr>
              <w:pStyle w:val="Tabletext"/>
              <w:rPr>
                <w:rFonts w:cs="Arial"/>
                <w:b/>
                <w:bCs/>
                <w:sz w:val="18"/>
                <w:szCs w:val="18"/>
              </w:rPr>
            </w:pPr>
          </w:p>
        </w:tc>
        <w:tc>
          <w:tcPr>
            <w:tcW w:w="2217" w:type="dxa"/>
            <w:tcBorders>
              <w:top w:val="single" w:sz="4" w:space="0" w:color="auto"/>
              <w:bottom w:val="single" w:sz="4" w:space="0" w:color="auto"/>
              <w:right w:val="single" w:sz="4" w:space="0" w:color="auto"/>
            </w:tcBorders>
            <w:shd w:val="clear" w:color="auto" w:fill="D9D9D9" w:themeFill="background1" w:themeFillShade="D9"/>
          </w:tcPr>
          <w:p w14:paraId="571B412A" w14:textId="77777777" w:rsidR="00E47DC5" w:rsidRPr="005465BF" w:rsidRDefault="00E47DC5" w:rsidP="004030AA">
            <w:pPr>
              <w:pStyle w:val="Tabletext"/>
              <w:rPr>
                <w:rFonts w:cs="Arial"/>
                <w:b/>
                <w:bCs/>
                <w:sz w:val="18"/>
                <w:szCs w:val="18"/>
              </w:rPr>
            </w:pPr>
          </w:p>
        </w:tc>
      </w:tr>
      <w:tr w:rsidR="00E47DC5" w14:paraId="53D7B4CD" w14:textId="77777777" w:rsidTr="004030AA">
        <w:trPr>
          <w:trHeight w:val="263"/>
        </w:trPr>
        <w:tc>
          <w:tcPr>
            <w:tcW w:w="1297" w:type="dxa"/>
            <w:tcBorders>
              <w:top w:val="single" w:sz="4" w:space="0" w:color="auto"/>
              <w:left w:val="single" w:sz="4" w:space="0" w:color="auto"/>
              <w:bottom w:val="single" w:sz="4" w:space="0" w:color="auto"/>
              <w:right w:val="single" w:sz="4" w:space="0" w:color="auto"/>
            </w:tcBorders>
          </w:tcPr>
          <w:p w14:paraId="4ED13D9E" w14:textId="77777777" w:rsidR="00E47DC5" w:rsidRPr="0068510B" w:rsidRDefault="00E47DC5" w:rsidP="004030AA">
            <w:pPr>
              <w:pStyle w:val="Tabletext"/>
              <w:rPr>
                <w:rFonts w:cs="Arial"/>
                <w:sz w:val="18"/>
                <w:szCs w:val="18"/>
              </w:rPr>
            </w:pPr>
            <w:bookmarkStart w:id="17" w:name="_Hlk20844586"/>
            <w:r w:rsidRPr="0068510B">
              <w:rPr>
                <w:rFonts w:cs="Arial"/>
                <w:sz w:val="18"/>
                <w:szCs w:val="18"/>
              </w:rPr>
              <w:t>Recurrent hospitalisation for HF at 24 mts</w:t>
            </w:r>
          </w:p>
        </w:tc>
        <w:tc>
          <w:tcPr>
            <w:tcW w:w="1155" w:type="dxa"/>
            <w:tcBorders>
              <w:top w:val="single" w:sz="4" w:space="0" w:color="auto"/>
              <w:left w:val="single" w:sz="4" w:space="0" w:color="auto"/>
              <w:bottom w:val="single" w:sz="4" w:space="0" w:color="auto"/>
              <w:right w:val="single" w:sz="4" w:space="0" w:color="auto"/>
            </w:tcBorders>
          </w:tcPr>
          <w:p w14:paraId="4C35C358" w14:textId="77777777" w:rsidR="00E47DC5" w:rsidRPr="0068510B" w:rsidRDefault="00E47DC5" w:rsidP="004030AA">
            <w:pPr>
              <w:pStyle w:val="Tabletext"/>
              <w:rPr>
                <w:rFonts w:cs="Arial"/>
                <w:sz w:val="18"/>
                <w:szCs w:val="18"/>
              </w:rPr>
            </w:pPr>
            <w:r w:rsidRPr="0068510B">
              <w:rPr>
                <w:rFonts w:cs="Arial"/>
                <w:sz w:val="18"/>
                <w:szCs w:val="18"/>
              </w:rPr>
              <w:t>K=1</w:t>
            </w:r>
            <w:r>
              <w:rPr>
                <w:rFonts w:cs="Arial"/>
                <w:sz w:val="18"/>
                <w:szCs w:val="18"/>
              </w:rPr>
              <w:t xml:space="preserve">; </w:t>
            </w:r>
            <w:r w:rsidRPr="0068510B">
              <w:rPr>
                <w:rFonts w:cs="Arial"/>
                <w:sz w:val="18"/>
                <w:szCs w:val="18"/>
              </w:rPr>
              <w:t>N=614</w:t>
            </w:r>
          </w:p>
        </w:tc>
        <w:tc>
          <w:tcPr>
            <w:tcW w:w="1087" w:type="dxa"/>
            <w:tcBorders>
              <w:top w:val="single" w:sz="4" w:space="0" w:color="auto"/>
              <w:left w:val="single" w:sz="4" w:space="0" w:color="auto"/>
              <w:bottom w:val="single" w:sz="4" w:space="0" w:color="auto"/>
              <w:right w:val="single" w:sz="4" w:space="0" w:color="auto"/>
            </w:tcBorders>
          </w:tcPr>
          <w:p w14:paraId="4593E4DB" w14:textId="77777777" w:rsidR="00E47DC5" w:rsidRPr="00594C12" w:rsidRDefault="00E47DC5" w:rsidP="004030AA">
            <w:pPr>
              <w:pStyle w:val="Tabletext"/>
              <w:rPr>
                <w:rFonts w:ascii="Cambria Math" w:hAnsi="Cambria Math" w:cs="Cambria Math"/>
                <w:color w:val="C00000"/>
              </w:rPr>
            </w:pPr>
            <w:r w:rsidRPr="00D4733A">
              <w:rPr>
                <w:rFonts w:ascii="Cambria Math" w:hAnsi="Cambria Math"/>
                <w:color w:val="00B050"/>
              </w:rPr>
              <w:t>⨁⨁⨁⨁</w:t>
            </w:r>
          </w:p>
        </w:tc>
        <w:tc>
          <w:tcPr>
            <w:tcW w:w="992" w:type="dxa"/>
            <w:tcBorders>
              <w:top w:val="single" w:sz="4" w:space="0" w:color="auto"/>
              <w:left w:val="single" w:sz="4" w:space="0" w:color="auto"/>
              <w:bottom w:val="single" w:sz="4" w:space="0" w:color="auto"/>
              <w:right w:val="single" w:sz="4" w:space="0" w:color="auto"/>
            </w:tcBorders>
          </w:tcPr>
          <w:p w14:paraId="55BF6FE3" w14:textId="77777777" w:rsidR="00E47DC5" w:rsidRPr="0068510B" w:rsidRDefault="00E47DC5" w:rsidP="004030AA">
            <w:pPr>
              <w:pStyle w:val="Tabletext"/>
              <w:rPr>
                <w:rFonts w:cs="Arial"/>
                <w:sz w:val="18"/>
                <w:szCs w:val="18"/>
              </w:rPr>
            </w:pPr>
            <w:r w:rsidRPr="0068510B">
              <w:rPr>
                <w:rFonts w:cs="Arial"/>
                <w:sz w:val="18"/>
                <w:szCs w:val="18"/>
              </w:rPr>
              <w:t>HR: 0.525 (0.40, 0.70)</w:t>
            </w:r>
          </w:p>
        </w:tc>
        <w:tc>
          <w:tcPr>
            <w:tcW w:w="1276" w:type="dxa"/>
            <w:tcBorders>
              <w:top w:val="single" w:sz="4" w:space="0" w:color="auto"/>
              <w:left w:val="single" w:sz="4" w:space="0" w:color="auto"/>
              <w:bottom w:val="single" w:sz="4" w:space="0" w:color="auto"/>
              <w:right w:val="single" w:sz="4" w:space="0" w:color="auto"/>
            </w:tcBorders>
          </w:tcPr>
          <w:p w14:paraId="2C343880" w14:textId="77777777" w:rsidR="00E47DC5" w:rsidRPr="0068510B" w:rsidRDefault="00E47DC5" w:rsidP="004030AA">
            <w:pPr>
              <w:pStyle w:val="Tabletext"/>
              <w:rPr>
                <w:rFonts w:cs="Arial"/>
                <w:sz w:val="18"/>
                <w:szCs w:val="18"/>
              </w:rPr>
            </w:pPr>
            <w:r w:rsidRPr="00D938C7">
              <w:rPr>
                <w:rFonts w:cs="Arial"/>
                <w:sz w:val="18"/>
                <w:szCs w:val="18"/>
              </w:rPr>
              <w:t>48.4%</w:t>
            </w:r>
          </w:p>
        </w:tc>
        <w:tc>
          <w:tcPr>
            <w:tcW w:w="992" w:type="dxa"/>
            <w:tcBorders>
              <w:top w:val="single" w:sz="4" w:space="0" w:color="auto"/>
              <w:left w:val="single" w:sz="4" w:space="0" w:color="auto"/>
              <w:bottom w:val="single" w:sz="4" w:space="0" w:color="auto"/>
              <w:right w:val="single" w:sz="4" w:space="0" w:color="auto"/>
            </w:tcBorders>
          </w:tcPr>
          <w:p w14:paraId="6A684297" w14:textId="77777777" w:rsidR="00E47DC5" w:rsidRDefault="00E47DC5" w:rsidP="004030AA">
            <w:pPr>
              <w:pStyle w:val="Tabletext"/>
              <w:rPr>
                <w:rFonts w:cs="Arial"/>
                <w:sz w:val="18"/>
                <w:szCs w:val="18"/>
              </w:rPr>
            </w:pPr>
            <w:r>
              <w:rPr>
                <w:rFonts w:cs="Arial"/>
                <w:sz w:val="18"/>
                <w:szCs w:val="18"/>
              </w:rPr>
              <w:t>RD: 17.9%</w:t>
            </w:r>
          </w:p>
          <w:p w14:paraId="3CCF8E9F" w14:textId="77777777" w:rsidR="00E47DC5" w:rsidRPr="0068510B" w:rsidRDefault="00E47DC5" w:rsidP="004030AA">
            <w:pPr>
              <w:pStyle w:val="Tabletext"/>
              <w:rPr>
                <w:rFonts w:cs="Arial"/>
                <w:sz w:val="18"/>
                <w:szCs w:val="18"/>
              </w:rPr>
            </w:pPr>
            <w:r>
              <w:rPr>
                <w:rFonts w:cs="Arial"/>
                <w:sz w:val="18"/>
                <w:szCs w:val="18"/>
              </w:rPr>
              <w:t>NNT=5.9</w:t>
            </w:r>
          </w:p>
        </w:tc>
        <w:tc>
          <w:tcPr>
            <w:tcW w:w="2217" w:type="dxa"/>
            <w:tcBorders>
              <w:top w:val="single" w:sz="4" w:space="0" w:color="auto"/>
              <w:left w:val="single" w:sz="4" w:space="0" w:color="auto"/>
              <w:bottom w:val="single" w:sz="4" w:space="0" w:color="auto"/>
              <w:right w:val="single" w:sz="4" w:space="0" w:color="auto"/>
            </w:tcBorders>
          </w:tcPr>
          <w:p w14:paraId="019F3598" w14:textId="77777777" w:rsidR="00E47DC5" w:rsidRPr="0068510B" w:rsidRDefault="00E47DC5" w:rsidP="004030AA">
            <w:pPr>
              <w:pStyle w:val="Tabletext"/>
              <w:rPr>
                <w:rFonts w:cs="Arial"/>
                <w:sz w:val="18"/>
                <w:szCs w:val="18"/>
              </w:rPr>
            </w:pPr>
            <w:r>
              <w:rPr>
                <w:rFonts w:cs="Arial"/>
                <w:sz w:val="18"/>
                <w:szCs w:val="18"/>
              </w:rPr>
              <w:t>RRR of TMVr vs OMT is 48.5%, statistically and clinically significant; treatment effect maintained at 36 mts</w:t>
            </w:r>
          </w:p>
        </w:tc>
      </w:tr>
      <w:tr w:rsidR="00E47DC5" w14:paraId="300A9759" w14:textId="77777777" w:rsidTr="004030AA">
        <w:trPr>
          <w:trHeight w:val="25"/>
        </w:trPr>
        <w:tc>
          <w:tcPr>
            <w:tcW w:w="1297" w:type="dxa"/>
            <w:tcBorders>
              <w:top w:val="single" w:sz="4" w:space="0" w:color="auto"/>
              <w:left w:val="single" w:sz="4" w:space="0" w:color="auto"/>
              <w:bottom w:val="single" w:sz="4" w:space="0" w:color="auto"/>
              <w:right w:val="single" w:sz="4" w:space="0" w:color="auto"/>
            </w:tcBorders>
          </w:tcPr>
          <w:p w14:paraId="153FF93D" w14:textId="77777777" w:rsidR="00E47DC5" w:rsidRPr="0068510B" w:rsidRDefault="00E47DC5" w:rsidP="004030AA">
            <w:pPr>
              <w:pStyle w:val="Tabletext"/>
              <w:rPr>
                <w:rFonts w:cs="Arial"/>
                <w:sz w:val="18"/>
                <w:szCs w:val="18"/>
              </w:rPr>
            </w:pPr>
            <w:r w:rsidRPr="0068510B">
              <w:rPr>
                <w:rFonts w:cs="Arial"/>
                <w:sz w:val="18"/>
                <w:szCs w:val="18"/>
              </w:rPr>
              <w:t>All</w:t>
            </w:r>
            <w:r>
              <w:rPr>
                <w:rFonts w:cs="Arial"/>
                <w:sz w:val="18"/>
                <w:szCs w:val="18"/>
              </w:rPr>
              <w:t>-</w:t>
            </w:r>
            <w:r w:rsidRPr="0068510B">
              <w:rPr>
                <w:rFonts w:cs="Arial"/>
                <w:sz w:val="18"/>
                <w:szCs w:val="18"/>
              </w:rPr>
              <w:t xml:space="preserve">cause mortality at 24 months </w:t>
            </w:r>
          </w:p>
        </w:tc>
        <w:tc>
          <w:tcPr>
            <w:tcW w:w="1155" w:type="dxa"/>
            <w:tcBorders>
              <w:top w:val="single" w:sz="4" w:space="0" w:color="auto"/>
              <w:left w:val="single" w:sz="4" w:space="0" w:color="auto"/>
              <w:bottom w:val="single" w:sz="4" w:space="0" w:color="auto"/>
              <w:right w:val="single" w:sz="4" w:space="0" w:color="auto"/>
            </w:tcBorders>
          </w:tcPr>
          <w:p w14:paraId="52495327" w14:textId="77777777" w:rsidR="00E47DC5" w:rsidRPr="0068510B" w:rsidRDefault="00E47DC5" w:rsidP="004030AA">
            <w:pPr>
              <w:pStyle w:val="Tabletext"/>
              <w:rPr>
                <w:rFonts w:cs="Arial"/>
                <w:sz w:val="18"/>
                <w:szCs w:val="18"/>
              </w:rPr>
            </w:pPr>
            <w:r w:rsidRPr="0068510B">
              <w:rPr>
                <w:rFonts w:cs="Arial"/>
                <w:sz w:val="18"/>
                <w:szCs w:val="18"/>
              </w:rPr>
              <w:t>K=1</w:t>
            </w:r>
          </w:p>
          <w:p w14:paraId="6207EFA2" w14:textId="77777777" w:rsidR="00E47DC5" w:rsidRPr="0068510B" w:rsidRDefault="00E47DC5" w:rsidP="004030AA">
            <w:pPr>
              <w:pStyle w:val="Tabletext"/>
              <w:rPr>
                <w:rFonts w:cs="Arial"/>
                <w:sz w:val="18"/>
                <w:szCs w:val="18"/>
              </w:rPr>
            </w:pPr>
            <w:r w:rsidRPr="0068510B">
              <w:rPr>
                <w:rFonts w:cs="Arial"/>
                <w:sz w:val="18"/>
                <w:szCs w:val="18"/>
              </w:rPr>
              <w:t>N=</w:t>
            </w:r>
            <w:r>
              <w:rPr>
                <w:rFonts w:cs="Arial"/>
                <w:sz w:val="18"/>
                <w:szCs w:val="18"/>
              </w:rPr>
              <w:t>614</w:t>
            </w:r>
          </w:p>
        </w:tc>
        <w:tc>
          <w:tcPr>
            <w:tcW w:w="1087" w:type="dxa"/>
            <w:tcBorders>
              <w:top w:val="single" w:sz="4" w:space="0" w:color="auto"/>
              <w:left w:val="single" w:sz="4" w:space="0" w:color="auto"/>
              <w:bottom w:val="single" w:sz="4" w:space="0" w:color="auto"/>
              <w:right w:val="single" w:sz="4" w:space="0" w:color="auto"/>
            </w:tcBorders>
          </w:tcPr>
          <w:p w14:paraId="65810C57" w14:textId="77777777" w:rsidR="00E47DC5" w:rsidRPr="0068510B" w:rsidRDefault="00E47DC5" w:rsidP="004030AA">
            <w:pPr>
              <w:pStyle w:val="Tabletext"/>
              <w:rPr>
                <w:rFonts w:cs="Arial"/>
                <w:sz w:val="18"/>
                <w:szCs w:val="18"/>
              </w:rPr>
            </w:pPr>
            <w:r w:rsidRPr="00D4733A">
              <w:rPr>
                <w:rFonts w:ascii="Cambria Math" w:hAnsi="Cambria Math"/>
                <w:color w:val="00B050"/>
              </w:rPr>
              <w:t>⨁⨁⨁⨁</w:t>
            </w:r>
          </w:p>
        </w:tc>
        <w:tc>
          <w:tcPr>
            <w:tcW w:w="992" w:type="dxa"/>
            <w:tcBorders>
              <w:top w:val="single" w:sz="4" w:space="0" w:color="auto"/>
              <w:left w:val="single" w:sz="4" w:space="0" w:color="auto"/>
              <w:bottom w:val="single" w:sz="4" w:space="0" w:color="auto"/>
              <w:right w:val="single" w:sz="4" w:space="0" w:color="auto"/>
            </w:tcBorders>
          </w:tcPr>
          <w:p w14:paraId="22C3546D" w14:textId="77777777" w:rsidR="00E47DC5" w:rsidRPr="0068510B" w:rsidRDefault="00E47DC5" w:rsidP="004030AA">
            <w:pPr>
              <w:pStyle w:val="Tabletext"/>
              <w:rPr>
                <w:rFonts w:cs="Arial"/>
                <w:sz w:val="18"/>
                <w:szCs w:val="18"/>
              </w:rPr>
            </w:pPr>
            <w:r w:rsidRPr="0068510B">
              <w:rPr>
                <w:rFonts w:cs="Arial"/>
                <w:sz w:val="18"/>
                <w:szCs w:val="18"/>
              </w:rPr>
              <w:t>HR: 0.62 (0.46, 0.82)</w:t>
            </w:r>
          </w:p>
        </w:tc>
        <w:tc>
          <w:tcPr>
            <w:tcW w:w="1276" w:type="dxa"/>
            <w:tcBorders>
              <w:top w:val="single" w:sz="4" w:space="0" w:color="auto"/>
              <w:left w:val="single" w:sz="4" w:space="0" w:color="auto"/>
              <w:bottom w:val="single" w:sz="4" w:space="0" w:color="auto"/>
              <w:right w:val="single" w:sz="4" w:space="0" w:color="auto"/>
            </w:tcBorders>
          </w:tcPr>
          <w:p w14:paraId="3A8AA5E0" w14:textId="77777777" w:rsidR="00E47DC5" w:rsidRPr="0068510B" w:rsidRDefault="00E47DC5" w:rsidP="004030AA">
            <w:pPr>
              <w:pStyle w:val="Tabletext"/>
              <w:rPr>
                <w:rFonts w:cs="Arial"/>
                <w:sz w:val="18"/>
                <w:szCs w:val="18"/>
              </w:rPr>
            </w:pPr>
            <w:r w:rsidRPr="008C5105">
              <w:rPr>
                <w:rFonts w:cs="Arial"/>
                <w:sz w:val="18"/>
                <w:szCs w:val="18"/>
              </w:rPr>
              <w:t>46.1%</w:t>
            </w:r>
          </w:p>
        </w:tc>
        <w:tc>
          <w:tcPr>
            <w:tcW w:w="992" w:type="dxa"/>
            <w:tcBorders>
              <w:top w:val="single" w:sz="4" w:space="0" w:color="auto"/>
              <w:left w:val="single" w:sz="4" w:space="0" w:color="auto"/>
              <w:bottom w:val="single" w:sz="4" w:space="0" w:color="auto"/>
              <w:right w:val="single" w:sz="4" w:space="0" w:color="auto"/>
            </w:tcBorders>
          </w:tcPr>
          <w:p w14:paraId="740A58C4" w14:textId="77777777" w:rsidR="00E47DC5" w:rsidRDefault="00E47DC5" w:rsidP="004030AA">
            <w:pPr>
              <w:pStyle w:val="Tabletext"/>
              <w:rPr>
                <w:rFonts w:cs="Arial"/>
                <w:sz w:val="18"/>
                <w:szCs w:val="18"/>
              </w:rPr>
            </w:pPr>
            <w:r>
              <w:rPr>
                <w:rFonts w:cs="Arial"/>
                <w:sz w:val="18"/>
                <w:szCs w:val="18"/>
              </w:rPr>
              <w:t>RD: 17%</w:t>
            </w:r>
          </w:p>
          <w:p w14:paraId="4BFC419A" w14:textId="77777777" w:rsidR="00E47DC5" w:rsidRPr="0068510B" w:rsidRDefault="00E47DC5" w:rsidP="004030AA">
            <w:pPr>
              <w:pStyle w:val="Tabletext"/>
              <w:rPr>
                <w:rFonts w:cs="Arial"/>
                <w:sz w:val="18"/>
                <w:szCs w:val="18"/>
              </w:rPr>
            </w:pPr>
            <w:r>
              <w:rPr>
                <w:rFonts w:cs="Arial"/>
                <w:sz w:val="18"/>
                <w:szCs w:val="18"/>
              </w:rPr>
              <w:t>NNT=5.9</w:t>
            </w:r>
          </w:p>
        </w:tc>
        <w:tc>
          <w:tcPr>
            <w:tcW w:w="2217" w:type="dxa"/>
            <w:tcBorders>
              <w:top w:val="single" w:sz="4" w:space="0" w:color="auto"/>
              <w:left w:val="single" w:sz="4" w:space="0" w:color="auto"/>
              <w:bottom w:val="single" w:sz="4" w:space="0" w:color="auto"/>
              <w:right w:val="single" w:sz="4" w:space="0" w:color="auto"/>
            </w:tcBorders>
          </w:tcPr>
          <w:p w14:paraId="276D8817" w14:textId="77777777" w:rsidR="00E47DC5" w:rsidRPr="0068510B" w:rsidRDefault="00E47DC5" w:rsidP="004030AA">
            <w:pPr>
              <w:pStyle w:val="Tabletext"/>
              <w:rPr>
                <w:rFonts w:cs="Arial"/>
                <w:sz w:val="18"/>
                <w:szCs w:val="18"/>
              </w:rPr>
            </w:pPr>
            <w:r>
              <w:rPr>
                <w:rFonts w:cs="Arial"/>
                <w:sz w:val="18"/>
                <w:szCs w:val="18"/>
              </w:rPr>
              <w:t>RRR of TMVr vs OMT is 38%, statistically and clinically significant</w:t>
            </w:r>
          </w:p>
        </w:tc>
      </w:tr>
      <w:tr w:rsidR="00E47DC5" w14:paraId="79BD5F70" w14:textId="77777777" w:rsidTr="004030AA">
        <w:trPr>
          <w:trHeight w:val="25"/>
        </w:trPr>
        <w:tc>
          <w:tcPr>
            <w:tcW w:w="1297" w:type="dxa"/>
            <w:tcBorders>
              <w:top w:val="single" w:sz="4" w:space="0" w:color="auto"/>
              <w:left w:val="single" w:sz="4" w:space="0" w:color="auto"/>
              <w:bottom w:val="single" w:sz="4" w:space="0" w:color="auto"/>
              <w:right w:val="single" w:sz="4" w:space="0" w:color="auto"/>
            </w:tcBorders>
          </w:tcPr>
          <w:p w14:paraId="215D05A1" w14:textId="77777777" w:rsidR="00E47DC5" w:rsidRPr="0068510B" w:rsidRDefault="00E47DC5" w:rsidP="004030AA">
            <w:pPr>
              <w:pStyle w:val="Tabletext"/>
              <w:rPr>
                <w:rFonts w:cs="Arial"/>
                <w:sz w:val="18"/>
                <w:szCs w:val="18"/>
              </w:rPr>
            </w:pPr>
            <w:r w:rsidRPr="0068510B">
              <w:rPr>
                <w:rFonts w:cs="Arial"/>
                <w:sz w:val="18"/>
                <w:szCs w:val="18"/>
              </w:rPr>
              <w:t>All</w:t>
            </w:r>
            <w:r>
              <w:rPr>
                <w:rFonts w:cs="Arial"/>
                <w:sz w:val="18"/>
                <w:szCs w:val="18"/>
              </w:rPr>
              <w:t>-</w:t>
            </w:r>
            <w:r w:rsidRPr="0068510B">
              <w:rPr>
                <w:rFonts w:cs="Arial"/>
                <w:sz w:val="18"/>
                <w:szCs w:val="18"/>
              </w:rPr>
              <w:t xml:space="preserve">cause mortality at </w:t>
            </w:r>
            <w:r>
              <w:rPr>
                <w:rFonts w:cs="Arial"/>
                <w:sz w:val="18"/>
                <w:szCs w:val="18"/>
              </w:rPr>
              <w:t xml:space="preserve">36 </w:t>
            </w:r>
            <w:r w:rsidRPr="0068510B">
              <w:rPr>
                <w:rFonts w:cs="Arial"/>
                <w:sz w:val="18"/>
                <w:szCs w:val="18"/>
              </w:rPr>
              <w:t>months</w:t>
            </w:r>
          </w:p>
        </w:tc>
        <w:tc>
          <w:tcPr>
            <w:tcW w:w="1155" w:type="dxa"/>
            <w:tcBorders>
              <w:top w:val="single" w:sz="4" w:space="0" w:color="auto"/>
              <w:left w:val="single" w:sz="4" w:space="0" w:color="auto"/>
              <w:bottom w:val="single" w:sz="4" w:space="0" w:color="auto"/>
              <w:right w:val="single" w:sz="4" w:space="0" w:color="auto"/>
            </w:tcBorders>
          </w:tcPr>
          <w:p w14:paraId="08ADB23B" w14:textId="77777777" w:rsidR="00E47DC5" w:rsidRDefault="00E47DC5" w:rsidP="004030AA">
            <w:pPr>
              <w:pStyle w:val="Tabletext"/>
              <w:rPr>
                <w:rFonts w:cs="Arial"/>
                <w:sz w:val="18"/>
                <w:szCs w:val="18"/>
              </w:rPr>
            </w:pPr>
            <w:r>
              <w:rPr>
                <w:rFonts w:cs="Arial"/>
                <w:sz w:val="18"/>
                <w:szCs w:val="18"/>
              </w:rPr>
              <w:t>K=1</w:t>
            </w:r>
          </w:p>
          <w:p w14:paraId="0A9B3284" w14:textId="77777777" w:rsidR="00E47DC5" w:rsidRPr="0068510B" w:rsidRDefault="00E47DC5" w:rsidP="004030AA">
            <w:pPr>
              <w:pStyle w:val="Tabletext"/>
              <w:rPr>
                <w:rFonts w:cs="Arial"/>
                <w:sz w:val="18"/>
                <w:szCs w:val="18"/>
              </w:rPr>
            </w:pPr>
            <w:r w:rsidRPr="0068510B">
              <w:rPr>
                <w:rFonts w:cs="Arial"/>
                <w:sz w:val="18"/>
                <w:szCs w:val="18"/>
              </w:rPr>
              <w:t>N=</w:t>
            </w:r>
            <w:r>
              <w:rPr>
                <w:rFonts w:cs="Arial"/>
                <w:sz w:val="18"/>
                <w:szCs w:val="18"/>
              </w:rPr>
              <w:t>614</w:t>
            </w:r>
          </w:p>
        </w:tc>
        <w:tc>
          <w:tcPr>
            <w:tcW w:w="1087" w:type="dxa"/>
            <w:tcBorders>
              <w:top w:val="single" w:sz="4" w:space="0" w:color="auto"/>
              <w:left w:val="single" w:sz="4" w:space="0" w:color="auto"/>
              <w:bottom w:val="single" w:sz="4" w:space="0" w:color="auto"/>
              <w:right w:val="single" w:sz="4" w:space="0" w:color="auto"/>
            </w:tcBorders>
          </w:tcPr>
          <w:p w14:paraId="7EEDA474" w14:textId="77777777" w:rsidR="00E47DC5" w:rsidRPr="00D4733A" w:rsidRDefault="00E47DC5" w:rsidP="004030AA">
            <w:pPr>
              <w:pStyle w:val="Tabletext"/>
              <w:rPr>
                <w:rFonts w:ascii="Cambria Math" w:hAnsi="Cambria Math"/>
                <w:color w:val="00B050"/>
              </w:rPr>
            </w:pPr>
            <w:r w:rsidRPr="00D4733A">
              <w:rPr>
                <w:rFonts w:ascii="Cambria Math" w:hAnsi="Cambria Math"/>
                <w:color w:val="00B050"/>
              </w:rPr>
              <w:t>⨁⨁⨁⨁</w:t>
            </w:r>
          </w:p>
        </w:tc>
        <w:tc>
          <w:tcPr>
            <w:tcW w:w="992" w:type="dxa"/>
            <w:tcBorders>
              <w:top w:val="single" w:sz="4" w:space="0" w:color="auto"/>
              <w:left w:val="single" w:sz="4" w:space="0" w:color="auto"/>
              <w:bottom w:val="single" w:sz="4" w:space="0" w:color="auto"/>
              <w:right w:val="single" w:sz="4" w:space="0" w:color="auto"/>
            </w:tcBorders>
          </w:tcPr>
          <w:p w14:paraId="7DCAE050" w14:textId="77777777" w:rsidR="00E47DC5" w:rsidRPr="0068510B" w:rsidRDefault="00E47DC5" w:rsidP="004030AA">
            <w:pPr>
              <w:pStyle w:val="Tabletext"/>
              <w:rPr>
                <w:rFonts w:cs="Arial"/>
                <w:sz w:val="18"/>
                <w:szCs w:val="18"/>
              </w:rPr>
            </w:pPr>
            <w:r>
              <w:rPr>
                <w:rFonts w:cs="Arial"/>
                <w:sz w:val="18"/>
                <w:szCs w:val="18"/>
              </w:rPr>
              <w:t>HR: 0.67 (0.52, 0.85)</w:t>
            </w:r>
          </w:p>
        </w:tc>
        <w:tc>
          <w:tcPr>
            <w:tcW w:w="1276" w:type="dxa"/>
            <w:tcBorders>
              <w:top w:val="single" w:sz="4" w:space="0" w:color="auto"/>
              <w:left w:val="single" w:sz="4" w:space="0" w:color="auto"/>
              <w:bottom w:val="single" w:sz="4" w:space="0" w:color="auto"/>
              <w:right w:val="single" w:sz="4" w:space="0" w:color="auto"/>
            </w:tcBorders>
          </w:tcPr>
          <w:p w14:paraId="6B0C45BC" w14:textId="77777777" w:rsidR="00E47DC5" w:rsidRDefault="00E47DC5" w:rsidP="004030AA">
            <w:pPr>
              <w:pStyle w:val="Tabletext"/>
              <w:rPr>
                <w:rFonts w:cs="Arial"/>
                <w:sz w:val="18"/>
                <w:szCs w:val="18"/>
              </w:rPr>
            </w:pPr>
            <w:r>
              <w:rPr>
                <w:rFonts w:cs="Arial"/>
                <w:sz w:val="18"/>
                <w:szCs w:val="18"/>
              </w:rPr>
              <w:t>42.8%</w:t>
            </w:r>
          </w:p>
        </w:tc>
        <w:tc>
          <w:tcPr>
            <w:tcW w:w="992" w:type="dxa"/>
            <w:tcBorders>
              <w:top w:val="single" w:sz="4" w:space="0" w:color="auto"/>
              <w:left w:val="single" w:sz="4" w:space="0" w:color="auto"/>
              <w:bottom w:val="single" w:sz="4" w:space="0" w:color="auto"/>
              <w:right w:val="single" w:sz="4" w:space="0" w:color="auto"/>
            </w:tcBorders>
          </w:tcPr>
          <w:p w14:paraId="50DC340F" w14:textId="77777777" w:rsidR="00E47DC5" w:rsidRDefault="00E47DC5" w:rsidP="004030AA">
            <w:pPr>
              <w:pStyle w:val="Tabletext"/>
              <w:rPr>
                <w:rFonts w:cs="Arial"/>
                <w:sz w:val="18"/>
                <w:szCs w:val="18"/>
              </w:rPr>
            </w:pPr>
            <w:r>
              <w:rPr>
                <w:rFonts w:cs="Arial"/>
                <w:sz w:val="18"/>
                <w:szCs w:val="18"/>
              </w:rPr>
              <w:t>RD: 12.7%</w:t>
            </w:r>
          </w:p>
          <w:p w14:paraId="2AC5F98B" w14:textId="77777777" w:rsidR="00E47DC5" w:rsidRDefault="00E47DC5" w:rsidP="004030AA">
            <w:pPr>
              <w:pStyle w:val="Tabletext"/>
              <w:rPr>
                <w:rFonts w:cs="Arial"/>
                <w:sz w:val="18"/>
                <w:szCs w:val="18"/>
              </w:rPr>
            </w:pPr>
            <w:r>
              <w:rPr>
                <w:rFonts w:cs="Arial"/>
                <w:sz w:val="18"/>
                <w:szCs w:val="18"/>
              </w:rPr>
              <w:t xml:space="preserve">NNT [95% CI]=7.9 [4.6, 26.1] </w:t>
            </w:r>
          </w:p>
        </w:tc>
        <w:tc>
          <w:tcPr>
            <w:tcW w:w="2217" w:type="dxa"/>
            <w:tcBorders>
              <w:top w:val="single" w:sz="4" w:space="0" w:color="auto"/>
              <w:left w:val="single" w:sz="4" w:space="0" w:color="auto"/>
              <w:bottom w:val="single" w:sz="4" w:space="0" w:color="auto"/>
              <w:right w:val="single" w:sz="4" w:space="0" w:color="auto"/>
            </w:tcBorders>
          </w:tcPr>
          <w:p w14:paraId="08031806" w14:textId="77777777" w:rsidR="00E47DC5" w:rsidRDefault="00E47DC5" w:rsidP="004030AA">
            <w:pPr>
              <w:pStyle w:val="Tabletext"/>
              <w:rPr>
                <w:rFonts w:cs="Arial"/>
                <w:sz w:val="18"/>
                <w:szCs w:val="18"/>
              </w:rPr>
            </w:pPr>
            <w:r>
              <w:rPr>
                <w:rFonts w:cs="Arial"/>
                <w:sz w:val="18"/>
                <w:szCs w:val="18"/>
              </w:rPr>
              <w:t>The survival benefit with TMVr was maintained at 36 mts based on the ITT population</w:t>
            </w:r>
            <w:r>
              <w:rPr>
                <w:rFonts w:cs="Arial"/>
                <w:sz w:val="18"/>
                <w:szCs w:val="18"/>
                <w:vertAlign w:val="superscript"/>
              </w:rPr>
              <w:t>c</w:t>
            </w:r>
          </w:p>
        </w:tc>
      </w:tr>
      <w:tr w:rsidR="00E47DC5" w14:paraId="25F189C3" w14:textId="77777777" w:rsidTr="004030AA">
        <w:tc>
          <w:tcPr>
            <w:tcW w:w="1297" w:type="dxa"/>
            <w:tcBorders>
              <w:top w:val="single" w:sz="4" w:space="0" w:color="auto"/>
              <w:left w:val="single" w:sz="4" w:space="0" w:color="auto"/>
              <w:bottom w:val="single" w:sz="4" w:space="0" w:color="auto"/>
              <w:right w:val="single" w:sz="4" w:space="0" w:color="auto"/>
            </w:tcBorders>
          </w:tcPr>
          <w:p w14:paraId="710353E8" w14:textId="77777777" w:rsidR="00E47DC5" w:rsidRPr="0068510B" w:rsidRDefault="00E47DC5" w:rsidP="004030AA">
            <w:pPr>
              <w:pStyle w:val="Tabletext"/>
              <w:rPr>
                <w:rFonts w:cs="Arial"/>
                <w:sz w:val="18"/>
                <w:szCs w:val="18"/>
              </w:rPr>
            </w:pPr>
            <w:r w:rsidRPr="0068510B">
              <w:rPr>
                <w:rFonts w:cs="Arial"/>
                <w:sz w:val="18"/>
                <w:szCs w:val="18"/>
              </w:rPr>
              <w:t>MR severity ≤2+ at 12 months</w:t>
            </w:r>
          </w:p>
        </w:tc>
        <w:tc>
          <w:tcPr>
            <w:tcW w:w="1155" w:type="dxa"/>
            <w:tcBorders>
              <w:top w:val="single" w:sz="4" w:space="0" w:color="auto"/>
              <w:left w:val="single" w:sz="4" w:space="0" w:color="auto"/>
              <w:bottom w:val="single" w:sz="4" w:space="0" w:color="auto"/>
              <w:right w:val="single" w:sz="4" w:space="0" w:color="auto"/>
            </w:tcBorders>
          </w:tcPr>
          <w:p w14:paraId="27B6CDD0" w14:textId="77777777" w:rsidR="00E47DC5" w:rsidRPr="0068510B" w:rsidRDefault="00E47DC5" w:rsidP="004030AA">
            <w:pPr>
              <w:pStyle w:val="Tabletext"/>
              <w:rPr>
                <w:rFonts w:cs="Arial"/>
                <w:sz w:val="18"/>
                <w:szCs w:val="18"/>
              </w:rPr>
            </w:pPr>
            <w:r w:rsidRPr="0068510B">
              <w:rPr>
                <w:rFonts w:cs="Arial"/>
                <w:sz w:val="18"/>
                <w:szCs w:val="18"/>
              </w:rPr>
              <w:t>K=1</w:t>
            </w:r>
          </w:p>
          <w:p w14:paraId="2B027902" w14:textId="77777777" w:rsidR="00E47DC5" w:rsidRPr="0068510B" w:rsidRDefault="00E47DC5" w:rsidP="004030AA">
            <w:pPr>
              <w:pStyle w:val="Tabletext"/>
              <w:rPr>
                <w:rFonts w:cs="Arial"/>
                <w:sz w:val="18"/>
                <w:szCs w:val="18"/>
              </w:rPr>
            </w:pPr>
            <w:r w:rsidRPr="0068510B">
              <w:rPr>
                <w:rFonts w:cs="Arial"/>
                <w:sz w:val="18"/>
                <w:szCs w:val="18"/>
              </w:rPr>
              <w:t>N=614</w:t>
            </w:r>
          </w:p>
        </w:tc>
        <w:tc>
          <w:tcPr>
            <w:tcW w:w="1087" w:type="dxa"/>
            <w:tcBorders>
              <w:top w:val="single" w:sz="4" w:space="0" w:color="auto"/>
              <w:left w:val="single" w:sz="4" w:space="0" w:color="auto"/>
              <w:bottom w:val="single" w:sz="4" w:space="0" w:color="auto"/>
              <w:right w:val="single" w:sz="4" w:space="0" w:color="auto"/>
            </w:tcBorders>
          </w:tcPr>
          <w:p w14:paraId="18E91067" w14:textId="77777777" w:rsidR="00E47DC5" w:rsidRPr="0068510B" w:rsidRDefault="00E47DC5" w:rsidP="004030AA">
            <w:pPr>
              <w:pStyle w:val="Tabletext"/>
              <w:rPr>
                <w:rFonts w:cs="Arial"/>
                <w:sz w:val="18"/>
                <w:szCs w:val="18"/>
              </w:rPr>
            </w:pPr>
            <w:r w:rsidRPr="00D4733A">
              <w:rPr>
                <w:rFonts w:ascii="Cambria Math" w:hAnsi="Cambria Math"/>
                <w:color w:val="00B050"/>
              </w:rPr>
              <w:t>⨁⨁⨁⨁</w:t>
            </w:r>
          </w:p>
        </w:tc>
        <w:tc>
          <w:tcPr>
            <w:tcW w:w="992" w:type="dxa"/>
            <w:tcBorders>
              <w:top w:val="single" w:sz="4" w:space="0" w:color="auto"/>
              <w:left w:val="single" w:sz="4" w:space="0" w:color="auto"/>
              <w:bottom w:val="single" w:sz="4" w:space="0" w:color="auto"/>
              <w:right w:val="single" w:sz="4" w:space="0" w:color="auto"/>
            </w:tcBorders>
          </w:tcPr>
          <w:p w14:paraId="40270E9E" w14:textId="77777777" w:rsidR="00E47DC5" w:rsidRPr="0068510B" w:rsidRDefault="00E47DC5" w:rsidP="004030AA">
            <w:pPr>
              <w:pStyle w:val="Tabletext"/>
              <w:rPr>
                <w:rFonts w:cs="Arial"/>
                <w:sz w:val="18"/>
                <w:szCs w:val="18"/>
              </w:rPr>
            </w:pPr>
            <w:r>
              <w:rPr>
                <w:rFonts w:cs="Arial"/>
                <w:sz w:val="18"/>
                <w:szCs w:val="18"/>
              </w:rPr>
              <w:t xml:space="preserve">OR: </w:t>
            </w:r>
            <w:r w:rsidRPr="0068510B">
              <w:rPr>
                <w:rFonts w:cs="Arial"/>
                <w:sz w:val="18"/>
                <w:szCs w:val="18"/>
              </w:rPr>
              <w:t xml:space="preserve">20.52 </w:t>
            </w:r>
            <w:r>
              <w:rPr>
                <w:rFonts w:cs="Arial"/>
                <w:sz w:val="18"/>
                <w:szCs w:val="18"/>
              </w:rPr>
              <w:t>(</w:t>
            </w:r>
            <w:r w:rsidRPr="0068510B">
              <w:rPr>
                <w:rFonts w:cs="Arial"/>
                <w:sz w:val="18"/>
                <w:szCs w:val="18"/>
              </w:rPr>
              <w:t>10.44, 40.33</w:t>
            </w:r>
            <w:r>
              <w:rPr>
                <w:rFonts w:cs="Arial"/>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35689D03" w14:textId="77777777" w:rsidR="00E47DC5" w:rsidRDefault="00E47DC5" w:rsidP="004030AA">
            <w:pPr>
              <w:pStyle w:val="Tabletext"/>
              <w:rPr>
                <w:rFonts w:cs="Arial"/>
                <w:sz w:val="18"/>
                <w:szCs w:val="18"/>
              </w:rPr>
            </w:pPr>
            <w:r w:rsidRPr="00B375C7">
              <w:rPr>
                <w:rFonts w:cs="Arial"/>
                <w:sz w:val="18"/>
                <w:szCs w:val="18"/>
              </w:rPr>
              <w:t>46.9</w:t>
            </w:r>
            <w:r>
              <w:rPr>
                <w:rFonts w:cs="Arial"/>
                <w:sz w:val="18"/>
                <w:szCs w:val="18"/>
              </w:rPr>
              <w:t>%</w:t>
            </w:r>
          </w:p>
          <w:p w14:paraId="095C5F39" w14:textId="77777777" w:rsidR="00E47DC5" w:rsidRPr="0068510B" w:rsidRDefault="00E47DC5" w:rsidP="004030AA">
            <w:pPr>
              <w:pStyle w:val="Tabletext"/>
              <w:rPr>
                <w:rFonts w:cs="Arial"/>
                <w:sz w:val="18"/>
                <w:szCs w:val="18"/>
              </w:rPr>
            </w:pPr>
          </w:p>
        </w:tc>
        <w:tc>
          <w:tcPr>
            <w:tcW w:w="992" w:type="dxa"/>
            <w:tcBorders>
              <w:top w:val="single" w:sz="4" w:space="0" w:color="auto"/>
              <w:left w:val="single" w:sz="4" w:space="0" w:color="auto"/>
              <w:bottom w:val="single" w:sz="4" w:space="0" w:color="auto"/>
              <w:right w:val="single" w:sz="4" w:space="0" w:color="auto"/>
            </w:tcBorders>
          </w:tcPr>
          <w:p w14:paraId="37BDCD19" w14:textId="77777777" w:rsidR="00E47DC5" w:rsidRDefault="00E47DC5" w:rsidP="004030AA">
            <w:pPr>
              <w:pStyle w:val="Tabletext"/>
              <w:rPr>
                <w:rFonts w:cs="Arial"/>
                <w:sz w:val="18"/>
                <w:szCs w:val="18"/>
              </w:rPr>
            </w:pPr>
            <w:r>
              <w:rPr>
                <w:rFonts w:cs="Arial"/>
                <w:sz w:val="18"/>
                <w:szCs w:val="18"/>
              </w:rPr>
              <w:t xml:space="preserve">RD: 48% </w:t>
            </w:r>
            <w:r w:rsidRPr="0068510B">
              <w:rPr>
                <w:rFonts w:cs="Arial"/>
                <w:sz w:val="18"/>
                <w:szCs w:val="18"/>
              </w:rPr>
              <w:t xml:space="preserve">(40, 56) </w:t>
            </w:r>
          </w:p>
          <w:p w14:paraId="07720530" w14:textId="77777777" w:rsidR="00E47DC5" w:rsidRPr="0068510B" w:rsidRDefault="00E47DC5" w:rsidP="004030AA">
            <w:pPr>
              <w:pStyle w:val="Tabletext"/>
              <w:rPr>
                <w:rFonts w:cs="Arial"/>
                <w:sz w:val="18"/>
                <w:szCs w:val="18"/>
              </w:rPr>
            </w:pPr>
            <w:r>
              <w:rPr>
                <w:rFonts w:cs="Arial"/>
                <w:sz w:val="18"/>
                <w:szCs w:val="18"/>
              </w:rPr>
              <w:t>NNT: 2</w:t>
            </w:r>
          </w:p>
        </w:tc>
        <w:tc>
          <w:tcPr>
            <w:tcW w:w="2217" w:type="dxa"/>
            <w:tcBorders>
              <w:top w:val="single" w:sz="4" w:space="0" w:color="auto"/>
              <w:left w:val="single" w:sz="4" w:space="0" w:color="auto"/>
              <w:bottom w:val="single" w:sz="4" w:space="0" w:color="auto"/>
              <w:right w:val="single" w:sz="4" w:space="0" w:color="auto"/>
            </w:tcBorders>
          </w:tcPr>
          <w:p w14:paraId="3C3DB264" w14:textId="77777777" w:rsidR="00E47DC5" w:rsidRPr="0068510B" w:rsidRDefault="00E47DC5" w:rsidP="004030AA">
            <w:pPr>
              <w:pStyle w:val="Tabletext"/>
              <w:rPr>
                <w:rFonts w:cs="Arial"/>
                <w:sz w:val="18"/>
                <w:szCs w:val="18"/>
              </w:rPr>
            </w:pPr>
            <w:r>
              <w:rPr>
                <w:rFonts w:cs="Arial"/>
                <w:sz w:val="18"/>
                <w:szCs w:val="18"/>
              </w:rPr>
              <w:t xml:space="preserve">Statistically and clinically significant in favour of TMVr; </w:t>
            </w:r>
            <w:r w:rsidRPr="00B375C7">
              <w:rPr>
                <w:rFonts w:cs="Arial"/>
                <w:sz w:val="18"/>
                <w:szCs w:val="18"/>
              </w:rPr>
              <w:t xml:space="preserve">5.2% of TMVr </w:t>
            </w:r>
            <w:r>
              <w:rPr>
                <w:rFonts w:cs="Arial"/>
                <w:sz w:val="18"/>
                <w:szCs w:val="18"/>
              </w:rPr>
              <w:t xml:space="preserve">pts </w:t>
            </w:r>
            <w:r w:rsidRPr="00B375C7">
              <w:rPr>
                <w:rFonts w:cs="Arial"/>
                <w:sz w:val="18"/>
                <w:szCs w:val="18"/>
              </w:rPr>
              <w:t>remained MR 3+/ 4+</w:t>
            </w:r>
          </w:p>
        </w:tc>
      </w:tr>
      <w:tr w:rsidR="00E47DC5" w14:paraId="3C22AE9A" w14:textId="77777777" w:rsidTr="004030AA">
        <w:tc>
          <w:tcPr>
            <w:tcW w:w="1297" w:type="dxa"/>
            <w:tcBorders>
              <w:top w:val="single" w:sz="4" w:space="0" w:color="auto"/>
              <w:left w:val="single" w:sz="4" w:space="0" w:color="auto"/>
              <w:bottom w:val="single" w:sz="4" w:space="0" w:color="auto"/>
              <w:right w:val="single" w:sz="4" w:space="0" w:color="auto"/>
            </w:tcBorders>
          </w:tcPr>
          <w:p w14:paraId="3E3EB2BD" w14:textId="77777777" w:rsidR="00E47DC5" w:rsidRPr="0068510B" w:rsidRDefault="00E47DC5" w:rsidP="004030AA">
            <w:pPr>
              <w:pStyle w:val="Tabletext"/>
              <w:rPr>
                <w:rFonts w:cs="Arial"/>
                <w:sz w:val="18"/>
                <w:szCs w:val="18"/>
              </w:rPr>
            </w:pPr>
            <w:r w:rsidRPr="0068510B">
              <w:rPr>
                <w:rFonts w:cs="Arial"/>
                <w:sz w:val="18"/>
                <w:szCs w:val="18"/>
              </w:rPr>
              <w:t>KCCQ change at 12 months</w:t>
            </w:r>
          </w:p>
        </w:tc>
        <w:tc>
          <w:tcPr>
            <w:tcW w:w="1155" w:type="dxa"/>
            <w:tcBorders>
              <w:top w:val="single" w:sz="4" w:space="0" w:color="auto"/>
              <w:left w:val="single" w:sz="4" w:space="0" w:color="auto"/>
              <w:bottom w:val="single" w:sz="4" w:space="0" w:color="auto"/>
              <w:right w:val="single" w:sz="4" w:space="0" w:color="auto"/>
            </w:tcBorders>
          </w:tcPr>
          <w:p w14:paraId="065BDFA5" w14:textId="77777777" w:rsidR="00E47DC5" w:rsidRPr="0068510B" w:rsidRDefault="00E47DC5" w:rsidP="004030AA">
            <w:pPr>
              <w:pStyle w:val="Tabletext"/>
              <w:rPr>
                <w:rFonts w:cs="Arial"/>
                <w:sz w:val="18"/>
                <w:szCs w:val="18"/>
              </w:rPr>
            </w:pPr>
            <w:r w:rsidRPr="0068510B">
              <w:rPr>
                <w:rFonts w:cs="Arial"/>
                <w:sz w:val="18"/>
                <w:szCs w:val="18"/>
              </w:rPr>
              <w:t>K=1</w:t>
            </w:r>
          </w:p>
          <w:p w14:paraId="0D9F6E66" w14:textId="77777777" w:rsidR="00E47DC5" w:rsidRPr="0068510B" w:rsidRDefault="00E47DC5" w:rsidP="004030AA">
            <w:pPr>
              <w:pStyle w:val="Tabletext"/>
              <w:rPr>
                <w:rFonts w:cs="Arial"/>
                <w:sz w:val="18"/>
                <w:szCs w:val="18"/>
              </w:rPr>
            </w:pPr>
            <w:r w:rsidRPr="0068510B">
              <w:rPr>
                <w:rFonts w:cs="Arial"/>
                <w:sz w:val="18"/>
                <w:szCs w:val="18"/>
              </w:rPr>
              <w:t>N=465</w:t>
            </w:r>
          </w:p>
        </w:tc>
        <w:tc>
          <w:tcPr>
            <w:tcW w:w="1087" w:type="dxa"/>
            <w:tcBorders>
              <w:top w:val="single" w:sz="4" w:space="0" w:color="auto"/>
              <w:left w:val="single" w:sz="4" w:space="0" w:color="auto"/>
              <w:bottom w:val="single" w:sz="4" w:space="0" w:color="auto"/>
              <w:right w:val="single" w:sz="4" w:space="0" w:color="auto"/>
            </w:tcBorders>
          </w:tcPr>
          <w:p w14:paraId="385AEE09" w14:textId="77777777" w:rsidR="00E47DC5" w:rsidRPr="00594C12" w:rsidRDefault="00E47DC5" w:rsidP="004030AA">
            <w:pPr>
              <w:pStyle w:val="Tabletext"/>
              <w:rPr>
                <w:rFonts w:ascii="Cambria Math" w:hAnsi="Cambria Math" w:cs="Cambria Math"/>
              </w:rPr>
            </w:pPr>
            <w:r w:rsidRPr="00D4733A">
              <w:rPr>
                <w:rFonts w:ascii="Cambria Math" w:hAnsi="Cambria Math"/>
                <w:color w:val="00B050"/>
              </w:rPr>
              <w:t>⨁⨁⨁⨁</w:t>
            </w:r>
            <w:r>
              <w:rPr>
                <w:rFonts w:ascii="Cambria Math" w:hAnsi="Cambria Math" w:cs="Cambria Math"/>
                <w:vertAlign w:val="superscript"/>
              </w:rPr>
              <w:t>b</w:t>
            </w:r>
          </w:p>
        </w:tc>
        <w:tc>
          <w:tcPr>
            <w:tcW w:w="992" w:type="dxa"/>
            <w:tcBorders>
              <w:top w:val="single" w:sz="4" w:space="0" w:color="auto"/>
              <w:left w:val="single" w:sz="4" w:space="0" w:color="auto"/>
              <w:bottom w:val="single" w:sz="4" w:space="0" w:color="auto"/>
              <w:right w:val="single" w:sz="4" w:space="0" w:color="auto"/>
            </w:tcBorders>
          </w:tcPr>
          <w:p w14:paraId="136AA4D7" w14:textId="77777777" w:rsidR="00E47DC5" w:rsidRPr="0068510B" w:rsidRDefault="00E47DC5" w:rsidP="004030AA">
            <w:pPr>
              <w:pStyle w:val="Tabletext"/>
              <w:rPr>
                <w:rFonts w:cs="Arial"/>
                <w:sz w:val="18"/>
                <w:szCs w:val="18"/>
              </w:rPr>
            </w:pPr>
            <w:r>
              <w:rPr>
                <w:rFonts w:cs="Arial"/>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7D429036" w14:textId="77777777" w:rsidR="00E47DC5" w:rsidRPr="0068510B" w:rsidRDefault="00E47DC5" w:rsidP="004030AA">
            <w:pPr>
              <w:pStyle w:val="Tabletext"/>
              <w:rPr>
                <w:rFonts w:cs="Arial"/>
                <w:sz w:val="18"/>
                <w:szCs w:val="18"/>
              </w:rPr>
            </w:pPr>
            <w:r>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DA36C16" w14:textId="77777777" w:rsidR="00E47DC5" w:rsidRPr="0068510B" w:rsidRDefault="00E47DC5" w:rsidP="004030AA">
            <w:pPr>
              <w:pStyle w:val="Tabletext"/>
              <w:rPr>
                <w:rFonts w:cs="Arial"/>
                <w:sz w:val="18"/>
                <w:szCs w:val="18"/>
              </w:rPr>
            </w:pPr>
            <w:r w:rsidRPr="0068510B">
              <w:rPr>
                <w:rFonts w:cs="Arial"/>
                <w:sz w:val="18"/>
                <w:szCs w:val="18"/>
              </w:rPr>
              <w:t>MD: 16.1 (11.0 to 21.2</w:t>
            </w:r>
            <w:r>
              <w:rPr>
                <w:rFonts w:cs="Arial"/>
                <w:sz w:val="18"/>
                <w:szCs w:val="18"/>
              </w:rPr>
              <w:t>)</w:t>
            </w:r>
          </w:p>
        </w:tc>
        <w:tc>
          <w:tcPr>
            <w:tcW w:w="2217" w:type="dxa"/>
            <w:tcBorders>
              <w:top w:val="single" w:sz="4" w:space="0" w:color="auto"/>
              <w:left w:val="single" w:sz="4" w:space="0" w:color="auto"/>
              <w:bottom w:val="single" w:sz="4" w:space="0" w:color="auto"/>
              <w:right w:val="single" w:sz="4" w:space="0" w:color="auto"/>
            </w:tcBorders>
          </w:tcPr>
          <w:p w14:paraId="01768D98" w14:textId="77777777" w:rsidR="00E47DC5" w:rsidRPr="0068510B" w:rsidRDefault="00E47DC5" w:rsidP="004030AA">
            <w:pPr>
              <w:pStyle w:val="Tabletext"/>
              <w:rPr>
                <w:rFonts w:cs="Arial"/>
                <w:sz w:val="18"/>
                <w:szCs w:val="18"/>
              </w:rPr>
            </w:pPr>
            <w:r w:rsidRPr="00B375C7">
              <w:rPr>
                <w:rFonts w:cs="Arial"/>
                <w:sz w:val="18"/>
                <w:szCs w:val="18"/>
              </w:rPr>
              <w:t>Statistically and clinically significant</w:t>
            </w:r>
            <w:r>
              <w:rPr>
                <w:rFonts w:cs="Arial"/>
                <w:sz w:val="18"/>
                <w:szCs w:val="18"/>
              </w:rPr>
              <w:t>; treatment effect maintained at 24 mts MD</w:t>
            </w:r>
            <w:r w:rsidRPr="00B375C7">
              <w:rPr>
                <w:rFonts w:cs="Arial"/>
                <w:sz w:val="18"/>
                <w:szCs w:val="18"/>
              </w:rPr>
              <w:t xml:space="preserve"> &gt; 5 po</w:t>
            </w:r>
            <w:r>
              <w:rPr>
                <w:rFonts w:cs="Arial"/>
                <w:sz w:val="18"/>
                <w:szCs w:val="18"/>
              </w:rPr>
              <w:t>i</w:t>
            </w:r>
            <w:r w:rsidRPr="00B375C7">
              <w:rPr>
                <w:rFonts w:cs="Arial"/>
                <w:sz w:val="18"/>
                <w:szCs w:val="18"/>
              </w:rPr>
              <w:t>nts</w:t>
            </w:r>
            <w:r>
              <w:rPr>
                <w:rFonts w:cs="Arial"/>
                <w:sz w:val="18"/>
                <w:szCs w:val="18"/>
              </w:rPr>
              <w:t xml:space="preserve"> (MCID)</w:t>
            </w:r>
          </w:p>
        </w:tc>
      </w:tr>
      <w:tr w:rsidR="00E47DC5" w14:paraId="2BB89C1F" w14:textId="77777777" w:rsidTr="004030AA">
        <w:tc>
          <w:tcPr>
            <w:tcW w:w="1297" w:type="dxa"/>
            <w:tcBorders>
              <w:top w:val="single" w:sz="4" w:space="0" w:color="auto"/>
              <w:left w:val="single" w:sz="4" w:space="0" w:color="auto"/>
              <w:bottom w:val="single" w:sz="4" w:space="0" w:color="auto"/>
              <w:right w:val="single" w:sz="4" w:space="0" w:color="auto"/>
            </w:tcBorders>
          </w:tcPr>
          <w:p w14:paraId="19910E22" w14:textId="77777777" w:rsidR="00E47DC5" w:rsidRPr="0068510B" w:rsidRDefault="00E47DC5" w:rsidP="004030AA">
            <w:pPr>
              <w:pStyle w:val="Tabletext"/>
              <w:rPr>
                <w:rFonts w:cs="Arial"/>
                <w:sz w:val="18"/>
                <w:szCs w:val="18"/>
              </w:rPr>
            </w:pPr>
            <w:r>
              <w:rPr>
                <w:rFonts w:cs="Arial"/>
                <w:sz w:val="18"/>
                <w:szCs w:val="18"/>
              </w:rPr>
              <w:t>NYHA class I or II at 12 months</w:t>
            </w:r>
          </w:p>
        </w:tc>
        <w:tc>
          <w:tcPr>
            <w:tcW w:w="1155" w:type="dxa"/>
            <w:tcBorders>
              <w:top w:val="single" w:sz="4" w:space="0" w:color="auto"/>
              <w:left w:val="single" w:sz="4" w:space="0" w:color="auto"/>
              <w:bottom w:val="single" w:sz="4" w:space="0" w:color="auto"/>
              <w:right w:val="single" w:sz="4" w:space="0" w:color="auto"/>
            </w:tcBorders>
          </w:tcPr>
          <w:p w14:paraId="6CD7F887" w14:textId="77777777" w:rsidR="00E47DC5" w:rsidRPr="0068510B" w:rsidRDefault="00E47DC5" w:rsidP="004030AA">
            <w:pPr>
              <w:pStyle w:val="Tabletext"/>
              <w:rPr>
                <w:rFonts w:cs="Arial"/>
                <w:sz w:val="18"/>
                <w:szCs w:val="18"/>
              </w:rPr>
            </w:pPr>
            <w:r w:rsidRPr="00B375C7">
              <w:rPr>
                <w:rFonts w:cs="Arial"/>
                <w:sz w:val="18"/>
                <w:szCs w:val="18"/>
              </w:rPr>
              <w:t>K=1</w:t>
            </w:r>
            <w:r>
              <w:rPr>
                <w:rFonts w:cs="Arial"/>
                <w:sz w:val="18"/>
                <w:szCs w:val="18"/>
              </w:rPr>
              <w:t xml:space="preserve">, </w:t>
            </w:r>
            <w:r w:rsidRPr="00B375C7">
              <w:rPr>
                <w:rFonts w:cs="Arial"/>
                <w:sz w:val="18"/>
                <w:szCs w:val="18"/>
              </w:rPr>
              <w:t>N=469</w:t>
            </w:r>
          </w:p>
        </w:tc>
        <w:tc>
          <w:tcPr>
            <w:tcW w:w="1087" w:type="dxa"/>
            <w:tcBorders>
              <w:top w:val="single" w:sz="4" w:space="0" w:color="auto"/>
              <w:left w:val="single" w:sz="4" w:space="0" w:color="auto"/>
              <w:bottom w:val="single" w:sz="4" w:space="0" w:color="auto"/>
              <w:right w:val="single" w:sz="4" w:space="0" w:color="auto"/>
            </w:tcBorders>
          </w:tcPr>
          <w:p w14:paraId="34664C81" w14:textId="77777777" w:rsidR="00E47DC5" w:rsidRPr="00D4733A" w:rsidRDefault="00E47DC5" w:rsidP="004030AA">
            <w:pPr>
              <w:pStyle w:val="Tabletext"/>
              <w:rPr>
                <w:rFonts w:ascii="Cambria Math" w:hAnsi="Cambria Math"/>
                <w:color w:val="00B050"/>
              </w:rPr>
            </w:pPr>
            <w:r w:rsidRPr="00D4733A">
              <w:rPr>
                <w:rFonts w:ascii="Cambria Math" w:hAnsi="Cambria Math"/>
                <w:color w:val="00B050"/>
              </w:rPr>
              <w:t>⨁⨁⨁⨁</w:t>
            </w:r>
            <w:r>
              <w:rPr>
                <w:rFonts w:ascii="Cambria Math" w:hAnsi="Cambria Math" w:cs="Cambria Math"/>
                <w:vertAlign w:val="superscript"/>
              </w:rPr>
              <w:t>b</w:t>
            </w:r>
          </w:p>
        </w:tc>
        <w:tc>
          <w:tcPr>
            <w:tcW w:w="992" w:type="dxa"/>
            <w:tcBorders>
              <w:top w:val="single" w:sz="4" w:space="0" w:color="auto"/>
              <w:left w:val="single" w:sz="4" w:space="0" w:color="auto"/>
              <w:bottom w:val="single" w:sz="4" w:space="0" w:color="auto"/>
              <w:right w:val="single" w:sz="4" w:space="0" w:color="auto"/>
            </w:tcBorders>
          </w:tcPr>
          <w:p w14:paraId="5391B546" w14:textId="77777777" w:rsidR="00E47DC5" w:rsidRDefault="00E47DC5" w:rsidP="004030AA">
            <w:pPr>
              <w:pStyle w:val="Tabletext"/>
              <w:rPr>
                <w:rFonts w:cs="Arial"/>
                <w:sz w:val="18"/>
                <w:szCs w:val="18"/>
              </w:rPr>
            </w:pPr>
            <w:r w:rsidRPr="00B375C7">
              <w:rPr>
                <w:rFonts w:cs="Arial"/>
                <w:sz w:val="18"/>
                <w:szCs w:val="18"/>
              </w:rPr>
              <w:t xml:space="preserve">OR: 2.64 </w:t>
            </w:r>
            <w:r>
              <w:rPr>
                <w:rFonts w:cs="Arial"/>
                <w:sz w:val="18"/>
                <w:szCs w:val="18"/>
              </w:rPr>
              <w:t>(</w:t>
            </w:r>
            <w:r w:rsidRPr="00B375C7">
              <w:rPr>
                <w:rFonts w:cs="Arial"/>
                <w:sz w:val="18"/>
                <w:szCs w:val="18"/>
              </w:rPr>
              <w:t>1.80, 3.87</w:t>
            </w:r>
            <w:r>
              <w:rPr>
                <w:rFonts w:cs="Arial"/>
                <w:sz w:val="18"/>
                <w:szCs w:val="18"/>
              </w:rPr>
              <w:t>)</w:t>
            </w:r>
          </w:p>
        </w:tc>
        <w:tc>
          <w:tcPr>
            <w:tcW w:w="1276" w:type="dxa"/>
            <w:tcBorders>
              <w:top w:val="single" w:sz="4" w:space="0" w:color="auto"/>
              <w:left w:val="single" w:sz="4" w:space="0" w:color="auto"/>
              <w:bottom w:val="single" w:sz="4" w:space="0" w:color="auto"/>
              <w:right w:val="single" w:sz="4" w:space="0" w:color="auto"/>
            </w:tcBorders>
          </w:tcPr>
          <w:p w14:paraId="17E4120D" w14:textId="77777777" w:rsidR="00E47DC5" w:rsidRDefault="00E47DC5" w:rsidP="004030AA">
            <w:pPr>
              <w:pStyle w:val="Tabletext"/>
              <w:rPr>
                <w:rFonts w:cs="Arial"/>
                <w:sz w:val="18"/>
                <w:szCs w:val="18"/>
              </w:rPr>
            </w:pPr>
            <w:r w:rsidRPr="00B375C7">
              <w:rPr>
                <w:rFonts w:cs="Arial"/>
                <w:sz w:val="18"/>
                <w:szCs w:val="18"/>
              </w:rPr>
              <w:t>49.6</w:t>
            </w:r>
            <w:r>
              <w:rPr>
                <w:rFonts w:cs="Arial"/>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3954B79" w14:textId="77777777" w:rsidR="00E47DC5" w:rsidRPr="0068510B" w:rsidRDefault="00E47DC5" w:rsidP="004030AA">
            <w:pPr>
              <w:pStyle w:val="Tabletext"/>
              <w:rPr>
                <w:rFonts w:cs="Arial"/>
                <w:sz w:val="18"/>
                <w:szCs w:val="18"/>
              </w:rPr>
            </w:pPr>
            <w:r w:rsidRPr="00B375C7">
              <w:rPr>
                <w:rFonts w:cs="Arial"/>
                <w:sz w:val="18"/>
                <w:szCs w:val="18"/>
              </w:rPr>
              <w:t>RD: 23</w:t>
            </w:r>
            <w:r>
              <w:rPr>
                <w:rFonts w:cs="Arial"/>
                <w:sz w:val="18"/>
                <w:szCs w:val="18"/>
              </w:rPr>
              <w:t>%</w:t>
            </w:r>
            <w:r w:rsidRPr="00B375C7">
              <w:rPr>
                <w:rFonts w:cs="Arial"/>
                <w:sz w:val="18"/>
                <w:szCs w:val="18"/>
              </w:rPr>
              <w:t xml:space="preserve"> [14, 31]</w:t>
            </w:r>
          </w:p>
        </w:tc>
        <w:tc>
          <w:tcPr>
            <w:tcW w:w="2217" w:type="dxa"/>
            <w:tcBorders>
              <w:top w:val="single" w:sz="4" w:space="0" w:color="auto"/>
              <w:left w:val="single" w:sz="4" w:space="0" w:color="auto"/>
              <w:bottom w:val="single" w:sz="4" w:space="0" w:color="auto"/>
              <w:right w:val="single" w:sz="4" w:space="0" w:color="auto"/>
            </w:tcBorders>
          </w:tcPr>
          <w:p w14:paraId="317D3720" w14:textId="77777777" w:rsidR="00E47DC5" w:rsidRDefault="00E47DC5" w:rsidP="004030AA">
            <w:pPr>
              <w:pStyle w:val="Tabletext"/>
              <w:rPr>
                <w:rFonts w:cs="Arial"/>
                <w:sz w:val="18"/>
                <w:szCs w:val="18"/>
              </w:rPr>
            </w:pPr>
            <w:r>
              <w:rPr>
                <w:rFonts w:cs="Arial"/>
                <w:sz w:val="18"/>
                <w:szCs w:val="18"/>
              </w:rPr>
              <w:t>S</w:t>
            </w:r>
            <w:r w:rsidRPr="00B375C7">
              <w:rPr>
                <w:rFonts w:cs="Arial"/>
                <w:sz w:val="18"/>
                <w:szCs w:val="18"/>
              </w:rPr>
              <w:t>tatistically and clinically significant</w:t>
            </w:r>
            <w:r>
              <w:rPr>
                <w:rFonts w:cs="Arial"/>
                <w:sz w:val="18"/>
                <w:szCs w:val="18"/>
              </w:rPr>
              <w:t>. NB groups not balanced at baseline</w:t>
            </w:r>
          </w:p>
        </w:tc>
      </w:tr>
      <w:tr w:rsidR="00E47DC5" w14:paraId="441C0335" w14:textId="77777777" w:rsidTr="004030AA">
        <w:tc>
          <w:tcPr>
            <w:tcW w:w="1297" w:type="dxa"/>
            <w:tcBorders>
              <w:top w:val="single" w:sz="4" w:space="0" w:color="auto"/>
              <w:left w:val="single" w:sz="4" w:space="0" w:color="auto"/>
              <w:bottom w:val="single" w:sz="4" w:space="0" w:color="auto"/>
              <w:right w:val="single" w:sz="4" w:space="0" w:color="auto"/>
            </w:tcBorders>
          </w:tcPr>
          <w:p w14:paraId="644A0E67" w14:textId="77777777" w:rsidR="00E47DC5" w:rsidRDefault="00E47DC5" w:rsidP="004030AA">
            <w:pPr>
              <w:pStyle w:val="Tabletext"/>
              <w:rPr>
                <w:rFonts w:cs="Arial"/>
                <w:sz w:val="18"/>
                <w:szCs w:val="18"/>
              </w:rPr>
            </w:pPr>
            <w:r w:rsidRPr="00DA084A">
              <w:rPr>
                <w:rFonts w:cs="Arial"/>
                <w:sz w:val="18"/>
                <w:szCs w:val="18"/>
              </w:rPr>
              <w:t>LVAD or heart transplantation at 36 months</w:t>
            </w:r>
          </w:p>
        </w:tc>
        <w:tc>
          <w:tcPr>
            <w:tcW w:w="1155" w:type="dxa"/>
            <w:tcBorders>
              <w:top w:val="single" w:sz="4" w:space="0" w:color="auto"/>
              <w:left w:val="single" w:sz="4" w:space="0" w:color="auto"/>
              <w:bottom w:val="single" w:sz="4" w:space="0" w:color="auto"/>
              <w:right w:val="single" w:sz="4" w:space="0" w:color="auto"/>
            </w:tcBorders>
          </w:tcPr>
          <w:p w14:paraId="081767A7" w14:textId="77777777" w:rsidR="00E47DC5" w:rsidRDefault="00E47DC5" w:rsidP="004030AA">
            <w:pPr>
              <w:pStyle w:val="Tabletext"/>
              <w:rPr>
                <w:rFonts w:cs="Arial"/>
                <w:sz w:val="18"/>
                <w:szCs w:val="18"/>
              </w:rPr>
            </w:pPr>
            <w:r>
              <w:rPr>
                <w:rFonts w:cs="Arial"/>
                <w:sz w:val="18"/>
                <w:szCs w:val="18"/>
              </w:rPr>
              <w:t>K=1</w:t>
            </w:r>
          </w:p>
          <w:p w14:paraId="04F02A2B" w14:textId="77777777" w:rsidR="00E47DC5" w:rsidRPr="00B375C7" w:rsidRDefault="00E47DC5" w:rsidP="004030AA">
            <w:pPr>
              <w:pStyle w:val="Tabletext"/>
              <w:rPr>
                <w:rFonts w:cs="Arial"/>
                <w:sz w:val="18"/>
                <w:szCs w:val="18"/>
              </w:rPr>
            </w:pPr>
            <w:r>
              <w:rPr>
                <w:rFonts w:cs="Arial"/>
                <w:sz w:val="18"/>
                <w:szCs w:val="18"/>
              </w:rPr>
              <w:t>N=NR</w:t>
            </w:r>
          </w:p>
        </w:tc>
        <w:tc>
          <w:tcPr>
            <w:tcW w:w="1087" w:type="dxa"/>
            <w:tcBorders>
              <w:top w:val="single" w:sz="4" w:space="0" w:color="auto"/>
              <w:left w:val="single" w:sz="4" w:space="0" w:color="auto"/>
              <w:bottom w:val="single" w:sz="4" w:space="0" w:color="auto"/>
              <w:right w:val="single" w:sz="4" w:space="0" w:color="auto"/>
            </w:tcBorders>
          </w:tcPr>
          <w:p w14:paraId="0C8E6574" w14:textId="77777777" w:rsidR="00E47DC5" w:rsidRPr="00D4733A" w:rsidRDefault="00E47DC5" w:rsidP="004030AA">
            <w:pPr>
              <w:pStyle w:val="Tabletext"/>
              <w:rPr>
                <w:rFonts w:ascii="Cambria Math" w:hAnsi="Cambria Math"/>
                <w:color w:val="00B050"/>
              </w:rPr>
            </w:pPr>
            <w:r w:rsidRPr="00D4733A">
              <w:rPr>
                <w:rFonts w:ascii="Cambria Math" w:hAnsi="Cambria Math"/>
                <w:color w:val="00B050"/>
              </w:rPr>
              <w:t>⨁⨁⨁⨁</w:t>
            </w:r>
          </w:p>
        </w:tc>
        <w:tc>
          <w:tcPr>
            <w:tcW w:w="992" w:type="dxa"/>
            <w:tcBorders>
              <w:top w:val="single" w:sz="4" w:space="0" w:color="auto"/>
              <w:left w:val="single" w:sz="4" w:space="0" w:color="auto"/>
              <w:bottom w:val="single" w:sz="4" w:space="0" w:color="auto"/>
              <w:right w:val="single" w:sz="4" w:space="0" w:color="auto"/>
            </w:tcBorders>
          </w:tcPr>
          <w:p w14:paraId="4DD6BE99" w14:textId="77777777" w:rsidR="00E47DC5" w:rsidRPr="00B375C7" w:rsidRDefault="00E47DC5" w:rsidP="004030AA">
            <w:pPr>
              <w:pStyle w:val="Tabletext"/>
              <w:rPr>
                <w:rFonts w:cs="Arial"/>
                <w:sz w:val="18"/>
                <w:szCs w:val="18"/>
              </w:rPr>
            </w:pPr>
            <w:r>
              <w:rPr>
                <w:rFonts w:cs="Arial"/>
                <w:sz w:val="18"/>
                <w:szCs w:val="18"/>
              </w:rPr>
              <w:t>0.49 (0.25, 0.94)</w:t>
            </w:r>
          </w:p>
        </w:tc>
        <w:tc>
          <w:tcPr>
            <w:tcW w:w="1276" w:type="dxa"/>
            <w:tcBorders>
              <w:top w:val="single" w:sz="4" w:space="0" w:color="auto"/>
              <w:left w:val="single" w:sz="4" w:space="0" w:color="auto"/>
              <w:bottom w:val="single" w:sz="4" w:space="0" w:color="auto"/>
              <w:right w:val="single" w:sz="4" w:space="0" w:color="auto"/>
            </w:tcBorders>
          </w:tcPr>
          <w:p w14:paraId="425ADAE9" w14:textId="77777777" w:rsidR="00E47DC5" w:rsidRPr="00B375C7" w:rsidRDefault="00E47DC5" w:rsidP="004030AA">
            <w:pPr>
              <w:pStyle w:val="Tabletext"/>
              <w:rPr>
                <w:rFonts w:cs="Arial"/>
                <w:sz w:val="18"/>
                <w:szCs w:val="18"/>
              </w:rPr>
            </w:pPr>
            <w:r>
              <w:rPr>
                <w:rFonts w:cs="Arial"/>
                <w:sz w:val="18"/>
                <w:szCs w:val="18"/>
              </w:rPr>
              <w:t>11.4%</w:t>
            </w:r>
          </w:p>
        </w:tc>
        <w:tc>
          <w:tcPr>
            <w:tcW w:w="992" w:type="dxa"/>
            <w:tcBorders>
              <w:top w:val="single" w:sz="4" w:space="0" w:color="auto"/>
              <w:left w:val="single" w:sz="4" w:space="0" w:color="auto"/>
              <w:bottom w:val="single" w:sz="4" w:space="0" w:color="auto"/>
              <w:right w:val="single" w:sz="4" w:space="0" w:color="auto"/>
            </w:tcBorders>
          </w:tcPr>
          <w:p w14:paraId="328CE2A1" w14:textId="77777777" w:rsidR="00E47DC5" w:rsidRPr="00B375C7" w:rsidRDefault="00E47DC5" w:rsidP="004030AA">
            <w:pPr>
              <w:pStyle w:val="Tabletext"/>
              <w:rPr>
                <w:rFonts w:cs="Arial"/>
                <w:sz w:val="18"/>
                <w:szCs w:val="18"/>
              </w:rPr>
            </w:pPr>
            <w:r>
              <w:rPr>
                <w:rFonts w:cs="Arial"/>
                <w:sz w:val="18"/>
                <w:szCs w:val="18"/>
              </w:rPr>
              <w:t>RD: 4.1%</w:t>
            </w:r>
          </w:p>
        </w:tc>
        <w:tc>
          <w:tcPr>
            <w:tcW w:w="2217" w:type="dxa"/>
            <w:tcBorders>
              <w:top w:val="single" w:sz="4" w:space="0" w:color="auto"/>
              <w:left w:val="single" w:sz="4" w:space="0" w:color="auto"/>
              <w:bottom w:val="single" w:sz="4" w:space="0" w:color="auto"/>
              <w:right w:val="single" w:sz="4" w:space="0" w:color="auto"/>
            </w:tcBorders>
          </w:tcPr>
          <w:p w14:paraId="61DF06FD" w14:textId="77777777" w:rsidR="00E47DC5" w:rsidRPr="00B375C7" w:rsidRDefault="00E47DC5" w:rsidP="004030AA">
            <w:pPr>
              <w:pStyle w:val="Tabletext"/>
              <w:rPr>
                <w:rFonts w:cs="Arial"/>
                <w:sz w:val="18"/>
                <w:szCs w:val="18"/>
              </w:rPr>
            </w:pPr>
            <w:r>
              <w:rPr>
                <w:rFonts w:cs="Arial"/>
                <w:sz w:val="18"/>
                <w:szCs w:val="18"/>
              </w:rPr>
              <w:t>Statistically and significantly relevant outcome in the context of the proposed population</w:t>
            </w:r>
          </w:p>
        </w:tc>
      </w:tr>
    </w:tbl>
    <w:p w14:paraId="01B3E64B" w14:textId="77777777" w:rsidR="00E47DC5" w:rsidRPr="00183E4D" w:rsidRDefault="00E47DC5" w:rsidP="00E47DC5">
      <w:pPr>
        <w:contextualSpacing/>
      </w:pPr>
      <w:r>
        <w:rPr>
          <w:rFonts w:ascii="Arial Narrow" w:hAnsi="Arial Narrow" w:cs="Arial"/>
          <w:sz w:val="18"/>
          <w:szCs w:val="18"/>
        </w:rPr>
        <w:t>NYHA=New York Heart Association; KCCQ=</w:t>
      </w:r>
      <w:r w:rsidRPr="00134488">
        <w:rPr>
          <w:rFonts w:ascii="Arial Narrow" w:hAnsi="Arial Narrow" w:cs="Arial"/>
          <w:sz w:val="18"/>
          <w:szCs w:val="18"/>
        </w:rPr>
        <w:t>Kansas City Cardiomyopathy Questionnaire</w:t>
      </w:r>
      <w:r>
        <w:rPr>
          <w:rFonts w:ascii="Arial Narrow" w:hAnsi="Arial Narrow" w:cs="Arial"/>
          <w:sz w:val="18"/>
          <w:szCs w:val="18"/>
        </w:rPr>
        <w:t xml:space="preserve">; TMVr=transcatheter mitral valve repair; OMT=optimal medical management; NNT=number needed to treat; CI=confidence interval; RD=risk difference; RRR=relative risk reduction; OR=odds ratio; MD=mean difference; K=number of studies; N=number of participants; MR=mitral regurgitation; HF=heart failure; NR=not reported. </w:t>
      </w:r>
      <w:bookmarkEnd w:id="17"/>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sidRPr="00D27B45">
        <w:t xml:space="preserve"> </w:t>
      </w:r>
      <w:r>
        <w:rPr>
          <w:rFonts w:ascii="Arial Narrow" w:hAnsi="Arial Narrow" w:cs="Arial"/>
          <w:sz w:val="18"/>
          <w:szCs w:val="18"/>
        </w:rPr>
        <w:fldChar w:fldCharType="begin">
          <w:fldData xml:space="preserve">PEVuZE5vdGU+PENpdGU+PEF1dGhvcj5HdXlhdHQ8L0F1dGhvcj48WWVhcj4yMDEzPC9ZZWFyPjxS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</w:fldData>
        </w:fldChar>
      </w:r>
      <w:r>
        <w:rPr>
          <w:rFonts w:ascii="Arial Narrow" w:hAnsi="Arial Narrow" w:cs="Arial"/>
          <w:sz w:val="18"/>
          <w:szCs w:val="18"/>
        </w:rPr>
        <w:instrText xml:space="preserve"> ADDIN EN.CITE </w:instrText>
      </w:r>
      <w:r>
        <w:rPr>
          <w:rFonts w:ascii="Arial Narrow" w:hAnsi="Arial Narrow" w:cs="Arial"/>
          <w:sz w:val="18"/>
          <w:szCs w:val="18"/>
        </w:rPr>
        <w:fldChar w:fldCharType="begin">
          <w:fldData xml:space="preserve">PEVuZE5vdGU+PENpdGU+PEF1dGhvcj5HdXlhdHQ8L0F1dGhvcj48WWVhcj4yMDEzPC9ZZWFyPjxS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</w:fldData>
        </w:fldChar>
      </w:r>
      <w:r>
        <w:rPr>
          <w:rFonts w:ascii="Arial Narrow" w:hAnsi="Arial Narrow" w:cs="Arial"/>
          <w:sz w:val="18"/>
          <w:szCs w:val="18"/>
        </w:rPr>
        <w:instrText xml:space="preserve"> ADDIN EN.CITE.DATA </w:instrText>
      </w:r>
      <w:r>
        <w:rPr>
          <w:rFonts w:ascii="Arial Narrow" w:hAnsi="Arial Narrow" w:cs="Arial"/>
          <w:sz w:val="18"/>
          <w:szCs w:val="18"/>
        </w:rPr>
      </w:r>
      <w:r>
        <w:rPr>
          <w:rFonts w:ascii="Arial Narrow" w:hAnsi="Arial Narrow" w:cs="Arial"/>
          <w:sz w:val="18"/>
          <w:szCs w:val="18"/>
        </w:rPr>
        <w:fldChar w:fldCharType="end"/>
      </w:r>
      <w:r>
        <w:rPr>
          <w:rFonts w:ascii="Arial Narrow" w:hAnsi="Arial Narrow" w:cs="Arial"/>
          <w:sz w:val="18"/>
          <w:szCs w:val="18"/>
        </w:rPr>
      </w:r>
      <w:r>
        <w:rPr>
          <w:rFonts w:ascii="Arial Narrow" w:hAnsi="Arial Narrow" w:cs="Arial"/>
          <w:sz w:val="18"/>
          <w:szCs w:val="18"/>
        </w:rPr>
        <w:fldChar w:fldCharType="separate"/>
      </w:r>
      <w:r>
        <w:rPr>
          <w:rFonts w:ascii="Arial Narrow" w:hAnsi="Arial Narrow" w:cs="Arial"/>
          <w:noProof/>
          <w:sz w:val="18"/>
          <w:szCs w:val="18"/>
        </w:rPr>
        <w:t>(</w:t>
      </w:r>
      <w:hyperlink w:anchor="_ENREF_21" w:tooltip="Guyatt, 2013 #21" w:history="1">
        <w:r>
          <w:rPr>
            <w:rFonts w:ascii="Arial Narrow" w:hAnsi="Arial Narrow" w:cs="Arial"/>
            <w:noProof/>
            <w:sz w:val="18"/>
            <w:szCs w:val="18"/>
          </w:rPr>
          <w:t>Guyatt et al. 2013</w:t>
        </w:r>
      </w:hyperlink>
      <w:r>
        <w:rPr>
          <w:rFonts w:ascii="Arial Narrow" w:hAnsi="Arial Narrow" w:cs="Arial"/>
          <w:noProof/>
          <w:sz w:val="18"/>
          <w:szCs w:val="18"/>
        </w:rPr>
        <w:t>)</w:t>
      </w:r>
      <w:r>
        <w:rPr>
          <w:rFonts w:ascii="Arial Narrow" w:hAnsi="Arial Narrow" w:cs="Arial"/>
          <w:sz w:val="18"/>
          <w:szCs w:val="18"/>
        </w:rPr>
        <w:fldChar w:fldCharType="end"/>
      </w:r>
      <w:r>
        <w:rPr>
          <w:rFonts w:ascii="Arial Narrow" w:hAnsi="Arial Narrow" w:cs="Arial"/>
          <w:sz w:val="18"/>
          <w:szCs w:val="18"/>
        </w:rPr>
        <w:t xml:space="preserve">; </w:t>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 xml:space="preserve">We have very little confidence in the effect estimate: The true effect is likely to be substantially different from the estimate of effect. </w:t>
      </w:r>
      <w:r>
        <w:rPr>
          <w:rFonts w:ascii="Arial Narrow" w:hAnsi="Arial Narrow" w:cs="Arial"/>
          <w:sz w:val="18"/>
          <w:szCs w:val="18"/>
          <w:vertAlign w:val="superscript"/>
        </w:rPr>
        <w:t>b</w:t>
      </w:r>
      <w:r>
        <w:rPr>
          <w:rFonts w:ascii="Arial Narrow" w:hAnsi="Arial Narrow" w:cs="Arial"/>
          <w:sz w:val="18"/>
          <w:szCs w:val="18"/>
        </w:rPr>
        <w:t xml:space="preserve">Not down graded despite open label nature of design and subjective outcome, because outcomes assessors were blinded to treatment assignment. </w:t>
      </w:r>
      <w:r w:rsidRPr="005623E9">
        <w:rPr>
          <w:rFonts w:ascii="Arial Narrow" w:hAnsi="Arial Narrow" w:cs="Arial"/>
          <w:sz w:val="18"/>
          <w:szCs w:val="18"/>
          <w:vertAlign w:val="superscript"/>
        </w:rPr>
        <w:t>C</w:t>
      </w:r>
      <w:r>
        <w:rPr>
          <w:rFonts w:ascii="Arial Narrow" w:hAnsi="Arial Narrow" w:cs="Arial"/>
          <w:sz w:val="18"/>
          <w:szCs w:val="18"/>
        </w:rPr>
        <w:t xml:space="preserve">58 OMT patients received TMVr after 24 months and were included in the OMT arm of the ITT analysis, thus potentially biasing against TMVr. </w:t>
      </w:r>
    </w:p>
    <w:p w14:paraId="6D967D25" w14:textId="77777777" w:rsidR="00E47DC5" w:rsidRDefault="00E47DC5" w:rsidP="00F657E0">
      <w:pPr>
        <w:pStyle w:val="Tablenotes"/>
      </w:pPr>
      <w:r>
        <w:t>Source: Table 2, p28 of ADAR</w:t>
      </w:r>
    </w:p>
    <w:p w14:paraId="414BF399" w14:textId="58D8EDAA" w:rsidR="00E47DC5" w:rsidRDefault="00E47DC5" w:rsidP="00683623">
      <w:pPr>
        <w:spacing w:after="240"/>
      </w:pPr>
      <w:r>
        <w:t xml:space="preserve">The commentary noted that </w:t>
      </w:r>
      <w:r w:rsidRPr="008858CB">
        <w:t xml:space="preserve">the </w:t>
      </w:r>
      <w:r>
        <w:t xml:space="preserve">COAPT and </w:t>
      </w:r>
      <w:r w:rsidR="00A92E3B">
        <w:t>MITRA-FR</w:t>
      </w:r>
      <w:r>
        <w:t xml:space="preserve"> trials</w:t>
      </w:r>
      <w:r w:rsidRPr="008858CB">
        <w:t xml:space="preserve"> report</w:t>
      </w:r>
      <w:r>
        <w:t>ed</w:t>
      </w:r>
      <w:r w:rsidRPr="008858CB">
        <w:t xml:space="preserve"> different results</w:t>
      </w:r>
      <w:r>
        <w:t>. A</w:t>
      </w:r>
      <w:r w:rsidRPr="008858CB">
        <w:t>t 12 months and 24 months, MITRA-FR reported no significant differences for death, hospitalisation due to HF and major adverse cardiovascular events</w:t>
      </w:r>
      <w:r>
        <w:t>; while</w:t>
      </w:r>
      <w:r w:rsidRPr="008858CB">
        <w:t xml:space="preserve"> COAPT reported </w:t>
      </w:r>
      <w:r w:rsidRPr="008858CB">
        <w:lastRenderedPageBreak/>
        <w:t xml:space="preserve">differences in favour of TMVr, for all-cause mortality and hospitalisation due to HF at 24 and 36 months </w:t>
      </w:r>
      <w:r>
        <w:t xml:space="preserve">(Obadia et al. 2018, Stone et al. 2018). The commentary considered based on the evidence presented TMVr has </w:t>
      </w:r>
      <w:r w:rsidRPr="00F03B7C">
        <w:t>uncertain effectiveness in the FMR population, relative to OMT.</w:t>
      </w:r>
    </w:p>
    <w:p w14:paraId="19CD086E" w14:textId="72124EBE" w:rsidR="00683623" w:rsidRDefault="00E47DC5" w:rsidP="00683623">
      <w:pPr>
        <w:spacing w:after="240"/>
      </w:pPr>
      <w:r>
        <w:t>Overall, the commentary disagreed with the ADAR and considered, o</w:t>
      </w:r>
      <w:r w:rsidRPr="00B4690E">
        <w:t xml:space="preserve">n the basis of the benefits and harms reported </w:t>
      </w:r>
      <w:r>
        <w:t xml:space="preserve">in the COAPT and </w:t>
      </w:r>
      <w:r w:rsidR="00A92E3B">
        <w:t>MITRA-FR</w:t>
      </w:r>
      <w:r>
        <w:t xml:space="preserve"> trials</w:t>
      </w:r>
      <w:r w:rsidRPr="00B4690E">
        <w:t>, TMVr has at least non-inferior safety and uncertain effectiveness in the FMR population, relative to OMT.</w:t>
      </w:r>
    </w:p>
    <w:p w14:paraId="69C92140" w14:textId="77777777" w:rsidR="00E47DC5" w:rsidRDefault="00E47DC5" w:rsidP="00E47DC5">
      <w:r>
        <w:t xml:space="preserve">In the pre-ESC response, </w:t>
      </w:r>
      <w:r w:rsidRPr="00CE214A">
        <w:t>the applicant reiterated that</w:t>
      </w:r>
      <w:r>
        <w:t>:</w:t>
      </w:r>
    </w:p>
    <w:p w14:paraId="640D846A" w14:textId="77777777" w:rsidR="00E47DC5" w:rsidRDefault="00E47DC5" w:rsidP="00E47DC5">
      <w:pPr>
        <w:pStyle w:val="ListParagraph"/>
        <w:numPr>
          <w:ilvl w:val="0"/>
          <w:numId w:val="7"/>
        </w:numPr>
      </w:pPr>
      <w:r>
        <w:t>The COAPT trial supports the claim of non-inferior safety and superior effectiveness of TMVr versus OMT in the FMR population.</w:t>
      </w:r>
      <w:r w:rsidRPr="00CE214A">
        <w:t xml:space="preserve"> </w:t>
      </w:r>
    </w:p>
    <w:p w14:paraId="759DD37C" w14:textId="29BCB190" w:rsidR="00E9109E" w:rsidRPr="00683623" w:rsidRDefault="00E47DC5" w:rsidP="00683623">
      <w:pPr>
        <w:pStyle w:val="ListParagraph"/>
        <w:numPr>
          <w:ilvl w:val="0"/>
          <w:numId w:val="7"/>
        </w:numPr>
      </w:pPr>
      <w:r>
        <w:t>T</w:t>
      </w:r>
      <w:r w:rsidRPr="00971175">
        <w:t xml:space="preserve">he results from the </w:t>
      </w:r>
      <w:r w:rsidR="00A92E3B">
        <w:t>MITRA-FR</w:t>
      </w:r>
      <w:r w:rsidRPr="00971175">
        <w:t xml:space="preserve"> study do not corroborate those of the COAPT study</w:t>
      </w:r>
      <w:r>
        <w:t>, the</w:t>
      </w:r>
      <w:r w:rsidRPr="00516578">
        <w:t xml:space="preserve"> results from the MITRA-FR study are explained by patient selection</w:t>
      </w:r>
      <w:r>
        <w:t xml:space="preserve"> </w:t>
      </w:r>
      <w:r w:rsidRPr="00971175">
        <w:t xml:space="preserve">and </w:t>
      </w:r>
      <w:r>
        <w:t>therefore,</w:t>
      </w:r>
      <w:r w:rsidRPr="00971175">
        <w:t xml:space="preserve"> these patients should not be eligible for TMVr on the MBS.</w:t>
      </w:r>
    </w:p>
    <w:p w14:paraId="42C73B5A" w14:textId="77777777" w:rsidR="00E47DC5" w:rsidRPr="00E9109E" w:rsidRDefault="00E9109E" w:rsidP="00683623">
      <w:pPr>
        <w:tabs>
          <w:tab w:val="left" w:pos="720"/>
          <w:tab w:val="left" w:pos="1140"/>
        </w:tabs>
        <w:spacing w:before="240" w:after="240"/>
        <w:rPr>
          <w:szCs w:val="24"/>
        </w:rPr>
      </w:pPr>
      <w:r>
        <w:rPr>
          <w:szCs w:val="24"/>
        </w:rPr>
        <w:t>In the pre-MSAC response, the applica</w:t>
      </w:r>
      <w:r w:rsidR="00683623">
        <w:rPr>
          <w:szCs w:val="24"/>
        </w:rPr>
        <w:t>nt</w:t>
      </w:r>
      <w:r>
        <w:rPr>
          <w:szCs w:val="24"/>
        </w:rPr>
        <w:t xml:space="preserve"> acknowledged there are</w:t>
      </w:r>
      <w:r w:rsidRPr="00E9109E">
        <w:rPr>
          <w:szCs w:val="24"/>
        </w:rPr>
        <w:t xml:space="preserve"> further clinical trials planned, EVOLVE-MR and RESHAPE-HF2. </w:t>
      </w:r>
      <w:r>
        <w:rPr>
          <w:szCs w:val="24"/>
        </w:rPr>
        <w:t xml:space="preserve">However, the applicant claimed that the </w:t>
      </w:r>
      <w:r w:rsidRPr="00E9109E">
        <w:rPr>
          <w:szCs w:val="24"/>
        </w:rPr>
        <w:t>EVOLVE-MR is not likely to be informative given that the trial includes moderate severe MR patients (2+ and 2-3+) and explicitly excludes severe MR patients.</w:t>
      </w:r>
      <w:r>
        <w:rPr>
          <w:szCs w:val="24"/>
        </w:rPr>
        <w:t xml:space="preserve"> In regards to the</w:t>
      </w:r>
      <w:r w:rsidRPr="00E9109E">
        <w:rPr>
          <w:szCs w:val="24"/>
        </w:rPr>
        <w:t xml:space="preserve"> RESHAPE-HF-2</w:t>
      </w:r>
      <w:r>
        <w:rPr>
          <w:szCs w:val="24"/>
        </w:rPr>
        <w:t xml:space="preserve"> study, the applicant stated that </w:t>
      </w:r>
      <w:r w:rsidRPr="00E9109E">
        <w:rPr>
          <w:szCs w:val="24"/>
        </w:rPr>
        <w:t xml:space="preserve">whilst </w:t>
      </w:r>
      <w:r>
        <w:rPr>
          <w:szCs w:val="24"/>
        </w:rPr>
        <w:t>this study stipulates</w:t>
      </w:r>
      <w:r w:rsidRPr="00E9109E">
        <w:rPr>
          <w:szCs w:val="24"/>
        </w:rPr>
        <w:t xml:space="preserve"> the inclusion of patients with moderate-to-severe or severe MR, eligibility is not limited to those with disproportionate MR applicable to the ADAR. </w:t>
      </w:r>
      <w:r>
        <w:rPr>
          <w:szCs w:val="24"/>
        </w:rPr>
        <w:t>As such, the applicant claimed</w:t>
      </w:r>
      <w:r w:rsidRPr="00E9109E">
        <w:rPr>
          <w:szCs w:val="24"/>
        </w:rPr>
        <w:t xml:space="preserve"> these trials are lik</w:t>
      </w:r>
      <w:r>
        <w:rPr>
          <w:szCs w:val="24"/>
        </w:rPr>
        <w:t xml:space="preserve">ely to be largely uninformative. Further, the applicant claimed that </w:t>
      </w:r>
      <w:r w:rsidRPr="00E9109E">
        <w:rPr>
          <w:szCs w:val="24"/>
        </w:rPr>
        <w:t>the compelling results from the COAPT study, where patients were carefully selected, it would be counterintuitive to delay access to TMVr in these patients on the MBS.</w:t>
      </w:r>
    </w:p>
    <w:p w14:paraId="703CB68C" w14:textId="77777777" w:rsidR="00E57DB1" w:rsidRDefault="00E57DB1" w:rsidP="00683623">
      <w:pPr>
        <w:pStyle w:val="Heading2"/>
        <w:spacing w:before="0" w:after="120"/>
      </w:pPr>
      <w:r>
        <w:t>Clinical c</w:t>
      </w:r>
      <w:r w:rsidRPr="00F37B9C">
        <w:t>laim</w:t>
      </w:r>
    </w:p>
    <w:p w14:paraId="6434044E" w14:textId="77777777" w:rsidR="00E47DC5" w:rsidRDefault="00E47DC5" w:rsidP="00683623">
      <w:pPr>
        <w:spacing w:after="240"/>
      </w:pPr>
      <w:r w:rsidRPr="002D2819">
        <w:t xml:space="preserve">The </w:t>
      </w:r>
      <w:r w:rsidR="00CE4C72">
        <w:t xml:space="preserve">applicant </w:t>
      </w:r>
      <w:r w:rsidRPr="002D2819">
        <w:t>claim</w:t>
      </w:r>
      <w:r w:rsidR="00CE4C72">
        <w:t>s</w:t>
      </w:r>
      <w:r w:rsidRPr="002D2819">
        <w:t xml:space="preserve"> that TMVr is non-inferior in safety and superior in clinical effectiveness compared to OMT in patients with DMR and at least non-inferior in safety and superior in clinical effectiveness compared to OMT in FMR.</w:t>
      </w:r>
    </w:p>
    <w:p w14:paraId="3A961075" w14:textId="77777777" w:rsidR="00CE4C72" w:rsidRPr="00683623" w:rsidRDefault="00CE4C72" w:rsidP="00683623">
      <w:pPr>
        <w:spacing w:after="240"/>
      </w:pPr>
      <w:r>
        <w:t xml:space="preserve">As described in Section 3 of this PSD, the MSAC considered this claim to be uncertain for the DMR indication but reasonable for the FMR indication. </w:t>
      </w:r>
    </w:p>
    <w:p w14:paraId="2A023677" w14:textId="77777777" w:rsidR="00E57DB1" w:rsidRPr="00F715D1" w:rsidRDefault="00E57DB1" w:rsidP="00E57DB1">
      <w:pPr>
        <w:pStyle w:val="Heading1"/>
      </w:pPr>
      <w:r w:rsidRPr="00F715D1">
        <w:t>Economic evaluation</w:t>
      </w:r>
    </w:p>
    <w:p w14:paraId="31F04487" w14:textId="3170D4D4" w:rsidR="00C24FF8" w:rsidRDefault="00C24FF8" w:rsidP="00683623">
      <w:pPr>
        <w:spacing w:after="240"/>
      </w:pPr>
      <w:r>
        <w:t xml:space="preserve">The ADAR requested an MBS fee of $1748.45 for the MitraClip insertion procedure and </w:t>
      </w:r>
      <w:r w:rsidR="000E669E">
        <w:t>$</w:t>
      </w:r>
      <w:r w:rsidR="00ED24C6" w:rsidRPr="00ED24C6">
        <w:rPr>
          <w:b/>
          <w:szCs w:val="24"/>
        </w:rPr>
        <w:t>redacted</w:t>
      </w:r>
      <w:r w:rsidR="00ED24C6">
        <w:t xml:space="preserve"> </w:t>
      </w:r>
      <w:r>
        <w:t>for the MitraClip device.  The total cost of the MitraClip procedure (</w:t>
      </w:r>
      <w:r w:rsidRPr="00C24FF8">
        <w:t>Pre-procedural heart team assessment</w:t>
      </w:r>
      <w:r>
        <w:t>,</w:t>
      </w:r>
      <w:r w:rsidRPr="00C24FF8">
        <w:t xml:space="preserve"> </w:t>
      </w:r>
      <w:r>
        <w:t xml:space="preserve">MBS insertion fee, hospitalisation fees, </w:t>
      </w:r>
      <w:r w:rsidRPr="00C24FF8">
        <w:t>Post</w:t>
      </w:r>
      <w:r w:rsidR="00CD186E">
        <w:t>-</w:t>
      </w:r>
      <w:r w:rsidRPr="00C24FF8">
        <w:t>procedural/Pre</w:t>
      </w:r>
      <w:r w:rsidR="00CD186E">
        <w:t>-</w:t>
      </w:r>
      <w:r w:rsidRPr="00C24FF8">
        <w:t>discharge TTE</w:t>
      </w:r>
      <w:r>
        <w:t xml:space="preserve">) was estimated by the ADAR as </w:t>
      </w:r>
      <w:r w:rsidRPr="00C24FF8">
        <w:t>$13,663.22</w:t>
      </w:r>
      <w:r w:rsidR="00E91E06">
        <w:t xml:space="preserve"> (without device) or </w:t>
      </w:r>
      <w:r w:rsidR="000E669E">
        <w:t>$</w:t>
      </w:r>
      <w:r w:rsidR="000E669E" w:rsidRPr="00ED24C6">
        <w:rPr>
          <w:b/>
          <w:szCs w:val="24"/>
        </w:rPr>
        <w:t>redacted</w:t>
      </w:r>
      <w:r w:rsidR="000E669E">
        <w:rPr>
          <w:b/>
          <w:szCs w:val="24"/>
        </w:rPr>
        <w:t xml:space="preserve"> </w:t>
      </w:r>
      <w:r w:rsidR="000E669E" w:rsidRPr="000E669E">
        <w:rPr>
          <w:szCs w:val="24"/>
        </w:rPr>
        <w:t>(with device)</w:t>
      </w:r>
      <w:r>
        <w:t>.</w:t>
      </w:r>
      <w:r w:rsidR="00E91E06">
        <w:t xml:space="preserve"> </w:t>
      </w:r>
    </w:p>
    <w:p w14:paraId="6981CBF4" w14:textId="77777777" w:rsidR="00300A53" w:rsidRDefault="00300A53" w:rsidP="00683623">
      <w:pPr>
        <w:spacing w:after="240"/>
      </w:pPr>
      <w:r>
        <w:t>The ADAR presented a</w:t>
      </w:r>
      <w:r w:rsidR="00E47DC5">
        <w:t xml:space="preserve"> cost-utility analysis, using a Markov partitioned survival model, </w:t>
      </w:r>
      <w:r>
        <w:t xml:space="preserve">to </w:t>
      </w:r>
      <w:r w:rsidR="00E47DC5" w:rsidRPr="00B915EF">
        <w:t xml:space="preserve">estimate the cost-effectiveness of TMVr compared to </w:t>
      </w:r>
      <w:r w:rsidR="00E47DC5">
        <w:t>OMT. The ADAR presented separate models for the DMR population (Population</w:t>
      </w:r>
      <w:r>
        <w:t xml:space="preserve"> 1</w:t>
      </w:r>
      <w:r w:rsidR="00E47DC5">
        <w:t>) and FMR population (Population</w:t>
      </w:r>
      <w:r w:rsidR="00683623">
        <w:t xml:space="preserve"> 2).</w:t>
      </w:r>
    </w:p>
    <w:p w14:paraId="337A3279" w14:textId="71673C86" w:rsidR="00E47DC5" w:rsidRDefault="00300A53" w:rsidP="00683623">
      <w:pPr>
        <w:spacing w:after="240"/>
      </w:pPr>
      <w:r w:rsidRPr="00CE4C72">
        <w:t>The applicant did not present a cost-minimisation analysis for the DMR Population 1 as requested by the MSAC at its last consideration (PSD 1192.2, page 3).</w:t>
      </w:r>
    </w:p>
    <w:p w14:paraId="71EF15D5" w14:textId="77777777" w:rsidR="00E47DC5" w:rsidRDefault="00E47DC5" w:rsidP="00683623">
      <w:pPr>
        <w:spacing w:after="240"/>
      </w:pPr>
      <w:r>
        <w:t>The commentary noted that the structure of the DMR model has n</w:t>
      </w:r>
      <w:r w:rsidR="00683623">
        <w:t xml:space="preserve">ot changed since the previous </w:t>
      </w:r>
      <w:r>
        <w:t>submission (1192.2), and the FMR model (not presented previously), use</w:t>
      </w:r>
      <w:r w:rsidR="00683623">
        <w:t>d</w:t>
      </w:r>
      <w:r>
        <w:t xml:space="preserve"> the same </w:t>
      </w:r>
      <w:r>
        <w:lastRenderedPageBreak/>
        <w:t xml:space="preserve">structure and methods as the DMR model. The key difference between the previous model and the current model is the use of </w:t>
      </w:r>
      <w:r w:rsidR="00683623">
        <w:t>FMR data from the COAPT trial.</w:t>
      </w:r>
    </w:p>
    <w:p w14:paraId="7C259053" w14:textId="77777777" w:rsidR="00E47DC5" w:rsidRDefault="00E47DC5" w:rsidP="00683623">
      <w:pPr>
        <w:spacing w:after="240"/>
      </w:pPr>
      <w:r>
        <w:t xml:space="preserve">A summary of the characteristics of the economic evaluation is presented in </w:t>
      </w:r>
      <w:r>
        <w:fldChar w:fldCharType="begin"/>
      </w:r>
      <w:r>
        <w:instrText xml:space="preserve"> REF _Ref379483368 \h </w:instrText>
      </w:r>
      <w:r>
        <w:fldChar w:fldCharType="separate"/>
      </w:r>
      <w:r w:rsidRPr="009F01CD">
        <w:t xml:space="preserve">Table </w:t>
      </w:r>
      <w:r>
        <w:rPr>
          <w:noProof/>
        </w:rPr>
        <w:t>5</w:t>
      </w:r>
      <w:r>
        <w:fldChar w:fldCharType="end"/>
      </w:r>
      <w:r w:rsidR="00683623">
        <w:t>.</w:t>
      </w:r>
    </w:p>
    <w:p w14:paraId="481EBB69" w14:textId="77777777" w:rsidR="00E47DC5" w:rsidRPr="00BE70ED" w:rsidRDefault="00E47DC5" w:rsidP="00BE70ED">
      <w:pPr>
        <w:rPr>
          <w:rFonts w:ascii="Arial Narrow" w:hAnsi="Arial Narrow"/>
          <w:b/>
          <w:sz w:val="20"/>
        </w:rPr>
      </w:pPr>
      <w:bookmarkStart w:id="18" w:name="_Ref31312530"/>
      <w:bookmarkStart w:id="19" w:name="_Toc31308443"/>
      <w:bookmarkStart w:id="20" w:name="_Toc31314985"/>
      <w:r w:rsidRPr="00BE70ED">
        <w:rPr>
          <w:rFonts w:ascii="Arial Narrow" w:hAnsi="Arial Narrow"/>
          <w:b/>
          <w:sz w:val="20"/>
        </w:rPr>
        <w:t xml:space="preserve">Table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Table \* ARABIC </w:instrText>
      </w:r>
      <w:r w:rsidR="00ED24C6" w:rsidRPr="00BE70ED">
        <w:rPr>
          <w:rFonts w:ascii="Arial Narrow" w:hAnsi="Arial Narrow"/>
          <w:b/>
          <w:sz w:val="20"/>
        </w:rPr>
        <w:fldChar w:fldCharType="separate"/>
      </w:r>
      <w:r w:rsidRPr="00BE70ED">
        <w:rPr>
          <w:rFonts w:ascii="Arial Narrow" w:hAnsi="Arial Narrow"/>
          <w:b/>
          <w:sz w:val="20"/>
        </w:rPr>
        <w:t>5</w:t>
      </w:r>
      <w:r w:rsidR="00ED24C6" w:rsidRPr="00BE70ED">
        <w:rPr>
          <w:rFonts w:ascii="Arial Narrow" w:hAnsi="Arial Narrow"/>
          <w:b/>
          <w:sz w:val="20"/>
        </w:rPr>
        <w:fldChar w:fldCharType="end"/>
      </w:r>
      <w:bookmarkEnd w:id="18"/>
      <w:r w:rsidRPr="00BE70ED">
        <w:rPr>
          <w:rFonts w:ascii="Arial Narrow" w:hAnsi="Arial Narrow"/>
          <w:b/>
          <w:sz w:val="20"/>
        </w:rPr>
        <w:tab/>
        <w:t>Summary of the economic evaluation</w:t>
      </w:r>
      <w:bookmarkEnd w:id="19"/>
      <w:bookmarkEnd w:id="20"/>
      <w:r w:rsidRPr="00BE70ED">
        <w:rPr>
          <w:rFonts w:ascii="Arial Narrow" w:hAnsi="Arial Narrow"/>
          <w:b/>
          <w:sz w:val="20"/>
        </w:rPr>
        <w:t xml:space="preserve"> </w:t>
      </w:r>
    </w:p>
    <w:tbl>
      <w:tblPr>
        <w:tblStyle w:val="TableGrid"/>
        <w:tblW w:w="4793" w:type="pct"/>
        <w:tblLook w:val="01E0" w:firstRow="1" w:lastRow="1" w:firstColumn="1" w:lastColumn="1" w:noHBand="0" w:noVBand="0"/>
        <w:tblCaption w:val="Table 35 "/>
        <w:tblDescription w:val="Summary of the economic evaluation "/>
      </w:tblPr>
      <w:tblGrid>
        <w:gridCol w:w="2263"/>
        <w:gridCol w:w="3262"/>
        <w:gridCol w:w="3118"/>
      </w:tblGrid>
      <w:tr w:rsidR="00E47DC5" w:rsidRPr="00A65FE4" w14:paraId="6F88BFD6" w14:textId="77777777" w:rsidTr="005462CA">
        <w:trPr>
          <w:trHeight w:val="20"/>
          <w:tblHeader/>
        </w:trPr>
        <w:tc>
          <w:tcPr>
            <w:tcW w:w="1309" w:type="pct"/>
          </w:tcPr>
          <w:p w14:paraId="5E087D57" w14:textId="77777777" w:rsidR="00E47DC5" w:rsidRPr="00127392" w:rsidRDefault="00E47DC5" w:rsidP="004030AA">
            <w:pPr>
              <w:pStyle w:val="Tabletext"/>
              <w:keepNext/>
              <w:ind w:left="22"/>
              <w:rPr>
                <w:b/>
                <w:bCs/>
              </w:rPr>
            </w:pPr>
          </w:p>
        </w:tc>
        <w:tc>
          <w:tcPr>
            <w:tcW w:w="1887" w:type="pct"/>
          </w:tcPr>
          <w:p w14:paraId="06BD566A" w14:textId="77777777" w:rsidR="00E47DC5" w:rsidRPr="00127392" w:rsidRDefault="00E47DC5" w:rsidP="004030AA">
            <w:pPr>
              <w:pStyle w:val="Tabletext"/>
              <w:keepNext/>
              <w:ind w:left="22"/>
              <w:jc w:val="center"/>
              <w:rPr>
                <w:b/>
                <w:bCs/>
              </w:rPr>
            </w:pPr>
            <w:r>
              <w:rPr>
                <w:b/>
                <w:bCs/>
              </w:rPr>
              <w:t>ADAR 1192.3</w:t>
            </w:r>
          </w:p>
        </w:tc>
        <w:tc>
          <w:tcPr>
            <w:tcW w:w="1804" w:type="pct"/>
          </w:tcPr>
          <w:p w14:paraId="28A8D1E3" w14:textId="77777777" w:rsidR="00E47DC5" w:rsidRPr="00127392" w:rsidRDefault="00E47DC5" w:rsidP="004030AA">
            <w:pPr>
              <w:pStyle w:val="Tabletext"/>
              <w:keepNext/>
              <w:ind w:left="22"/>
              <w:jc w:val="center"/>
              <w:rPr>
                <w:b/>
                <w:bCs/>
              </w:rPr>
            </w:pPr>
            <w:r>
              <w:rPr>
                <w:b/>
                <w:bCs/>
              </w:rPr>
              <w:t>Previous submission 1192.2 (2016)</w:t>
            </w:r>
          </w:p>
        </w:tc>
      </w:tr>
      <w:tr w:rsidR="00E47DC5" w:rsidRPr="00183E4D" w14:paraId="11B73DB0" w14:textId="77777777" w:rsidTr="005462CA">
        <w:trPr>
          <w:trHeight w:val="20"/>
        </w:trPr>
        <w:tc>
          <w:tcPr>
            <w:tcW w:w="1309" w:type="pct"/>
          </w:tcPr>
          <w:p w14:paraId="6C3474CB" w14:textId="77777777" w:rsidR="00E47DC5" w:rsidRPr="00183E4D" w:rsidRDefault="00E47DC5" w:rsidP="004030AA">
            <w:pPr>
              <w:pStyle w:val="Tabletext"/>
              <w:keepNext/>
              <w:ind w:left="22"/>
            </w:pPr>
            <w:r w:rsidRPr="00183E4D">
              <w:t>Perspective</w:t>
            </w:r>
          </w:p>
        </w:tc>
        <w:tc>
          <w:tcPr>
            <w:tcW w:w="1887" w:type="pct"/>
          </w:tcPr>
          <w:p w14:paraId="337179EC" w14:textId="77777777" w:rsidR="00E47DC5" w:rsidRPr="00183E4D" w:rsidRDefault="00E47DC5" w:rsidP="004030AA">
            <w:pPr>
              <w:pStyle w:val="Tabletext"/>
              <w:keepNext/>
              <w:ind w:left="22"/>
            </w:pPr>
            <w:r w:rsidRPr="00B915EF">
              <w:t>Health care sector</w:t>
            </w:r>
          </w:p>
        </w:tc>
        <w:tc>
          <w:tcPr>
            <w:tcW w:w="1804" w:type="pct"/>
          </w:tcPr>
          <w:p w14:paraId="235F150C" w14:textId="77777777" w:rsidR="00E47DC5" w:rsidRPr="00B915EF" w:rsidRDefault="00E47DC5" w:rsidP="004030AA">
            <w:pPr>
              <w:pStyle w:val="Tabletext"/>
              <w:keepNext/>
              <w:ind w:left="22"/>
            </w:pPr>
            <w:r w:rsidRPr="00B915EF">
              <w:t>Health care sector</w:t>
            </w:r>
          </w:p>
        </w:tc>
      </w:tr>
      <w:tr w:rsidR="00E47DC5" w:rsidRPr="00183E4D" w14:paraId="52B01C8C" w14:textId="77777777" w:rsidTr="005462CA">
        <w:trPr>
          <w:trHeight w:val="20"/>
        </w:trPr>
        <w:tc>
          <w:tcPr>
            <w:tcW w:w="1309" w:type="pct"/>
          </w:tcPr>
          <w:p w14:paraId="3DC631A0" w14:textId="77777777" w:rsidR="00E47DC5" w:rsidRPr="00183E4D" w:rsidRDefault="00E47DC5" w:rsidP="004030AA">
            <w:pPr>
              <w:pStyle w:val="Tabletext"/>
              <w:ind w:left="22"/>
            </w:pPr>
            <w:r w:rsidRPr="00183E4D">
              <w:t>Comparator</w:t>
            </w:r>
          </w:p>
        </w:tc>
        <w:tc>
          <w:tcPr>
            <w:tcW w:w="1887" w:type="pct"/>
          </w:tcPr>
          <w:p w14:paraId="776A92CD" w14:textId="77777777" w:rsidR="00E47DC5" w:rsidRPr="00183E4D" w:rsidRDefault="00E47DC5" w:rsidP="004030AA">
            <w:pPr>
              <w:pStyle w:val="Tabletext"/>
              <w:ind w:left="22"/>
            </w:pPr>
            <w:r w:rsidRPr="00B915EF">
              <w:t>Optimal medical therapy (OMT)</w:t>
            </w:r>
          </w:p>
        </w:tc>
        <w:tc>
          <w:tcPr>
            <w:tcW w:w="1804" w:type="pct"/>
          </w:tcPr>
          <w:p w14:paraId="4E8EADD8" w14:textId="77777777" w:rsidR="00E47DC5" w:rsidRPr="00B915EF" w:rsidRDefault="00E47DC5" w:rsidP="004030AA">
            <w:pPr>
              <w:pStyle w:val="Tabletext"/>
              <w:ind w:left="22"/>
            </w:pPr>
            <w:r w:rsidRPr="00B915EF">
              <w:t>Optimal medical therapy (OMT)</w:t>
            </w:r>
          </w:p>
        </w:tc>
      </w:tr>
      <w:tr w:rsidR="00E47DC5" w:rsidRPr="00183E4D" w14:paraId="14A76A8C" w14:textId="77777777" w:rsidTr="005462CA">
        <w:trPr>
          <w:trHeight w:val="20"/>
        </w:trPr>
        <w:tc>
          <w:tcPr>
            <w:tcW w:w="1309" w:type="pct"/>
          </w:tcPr>
          <w:p w14:paraId="494401F9" w14:textId="77777777" w:rsidR="00E47DC5" w:rsidRPr="00183E4D" w:rsidRDefault="00E47DC5" w:rsidP="004030AA">
            <w:pPr>
              <w:pStyle w:val="Tabletext"/>
              <w:ind w:left="22"/>
            </w:pPr>
            <w:r w:rsidRPr="00183E4D">
              <w:t>Type of economic evaluation</w:t>
            </w:r>
          </w:p>
        </w:tc>
        <w:tc>
          <w:tcPr>
            <w:tcW w:w="1887" w:type="pct"/>
          </w:tcPr>
          <w:p w14:paraId="510C8280" w14:textId="77777777" w:rsidR="00E47DC5" w:rsidRPr="00183E4D" w:rsidRDefault="00E47DC5" w:rsidP="004030AA">
            <w:pPr>
              <w:pStyle w:val="Tabletext"/>
              <w:ind w:left="22"/>
            </w:pPr>
            <w:r w:rsidRPr="00B915EF">
              <w:t>Cost</w:t>
            </w:r>
            <w:r>
              <w:t>-</w:t>
            </w:r>
            <w:r w:rsidRPr="00B915EF">
              <w:t>utility analysis (CUA), partitioned survival analysis</w:t>
            </w:r>
          </w:p>
        </w:tc>
        <w:tc>
          <w:tcPr>
            <w:tcW w:w="1804" w:type="pct"/>
          </w:tcPr>
          <w:p w14:paraId="67F7488E" w14:textId="77777777" w:rsidR="00E47DC5" w:rsidRPr="00B915EF" w:rsidRDefault="00E47DC5" w:rsidP="004030AA">
            <w:pPr>
              <w:pStyle w:val="Tabletext"/>
              <w:ind w:left="22"/>
            </w:pPr>
            <w:r w:rsidRPr="00B915EF">
              <w:t>Cost</w:t>
            </w:r>
            <w:r>
              <w:t>-</w:t>
            </w:r>
            <w:r w:rsidRPr="00B915EF">
              <w:t>utility analysis (CUA), partitioned survival analysis</w:t>
            </w:r>
          </w:p>
        </w:tc>
      </w:tr>
      <w:tr w:rsidR="00E47DC5" w:rsidRPr="00183E4D" w14:paraId="5948D4A7" w14:textId="77777777" w:rsidTr="005462CA">
        <w:trPr>
          <w:trHeight w:val="20"/>
        </w:trPr>
        <w:tc>
          <w:tcPr>
            <w:tcW w:w="1309" w:type="pct"/>
          </w:tcPr>
          <w:p w14:paraId="75AF331B" w14:textId="77777777" w:rsidR="00E47DC5" w:rsidRPr="00183E4D" w:rsidRDefault="00E47DC5" w:rsidP="004030AA">
            <w:pPr>
              <w:pStyle w:val="Tabletext"/>
              <w:ind w:left="22"/>
            </w:pPr>
            <w:r w:rsidRPr="00183E4D">
              <w:t>Sources of evidence</w:t>
            </w:r>
          </w:p>
        </w:tc>
        <w:tc>
          <w:tcPr>
            <w:tcW w:w="1887" w:type="pct"/>
          </w:tcPr>
          <w:p w14:paraId="5D488021" w14:textId="77777777" w:rsidR="00E47DC5" w:rsidRPr="00183E4D" w:rsidRDefault="00E47DC5" w:rsidP="004030AA">
            <w:pPr>
              <w:pStyle w:val="Tabletext"/>
              <w:ind w:left="22"/>
            </w:pPr>
            <w:r w:rsidRPr="00B915EF">
              <w:t>COAPT, EVEREST II HRR</w:t>
            </w:r>
          </w:p>
        </w:tc>
        <w:tc>
          <w:tcPr>
            <w:tcW w:w="1804" w:type="pct"/>
          </w:tcPr>
          <w:p w14:paraId="41684C6D" w14:textId="77777777" w:rsidR="00E47DC5" w:rsidRPr="00B915EF" w:rsidRDefault="00E47DC5" w:rsidP="004030AA">
            <w:pPr>
              <w:pStyle w:val="Tabletext"/>
              <w:ind w:left="22"/>
            </w:pPr>
            <w:r w:rsidRPr="00B915EF">
              <w:t>EVEREST II HRR</w:t>
            </w:r>
          </w:p>
        </w:tc>
      </w:tr>
      <w:tr w:rsidR="00E47DC5" w:rsidRPr="00183E4D" w14:paraId="23E3EF86" w14:textId="77777777" w:rsidTr="005462CA">
        <w:trPr>
          <w:trHeight w:val="20"/>
        </w:trPr>
        <w:tc>
          <w:tcPr>
            <w:tcW w:w="1309" w:type="pct"/>
            <w:hideMark/>
          </w:tcPr>
          <w:p w14:paraId="5A12E973" w14:textId="77777777" w:rsidR="00E47DC5" w:rsidRPr="00183E4D" w:rsidRDefault="00E47DC5" w:rsidP="004030AA">
            <w:pPr>
              <w:pStyle w:val="Tabletext"/>
              <w:ind w:left="22"/>
            </w:pPr>
            <w:r w:rsidRPr="00183E4D">
              <w:t>Time horizon</w:t>
            </w:r>
          </w:p>
        </w:tc>
        <w:tc>
          <w:tcPr>
            <w:tcW w:w="1887" w:type="pct"/>
          </w:tcPr>
          <w:p w14:paraId="2292D85D" w14:textId="77777777" w:rsidR="00E47DC5" w:rsidRPr="00183E4D" w:rsidRDefault="00E47DC5" w:rsidP="004030AA">
            <w:pPr>
              <w:pStyle w:val="Tabletext"/>
              <w:ind w:left="22"/>
            </w:pPr>
            <w:r w:rsidRPr="00B915EF">
              <w:t>10 years</w:t>
            </w:r>
          </w:p>
        </w:tc>
        <w:tc>
          <w:tcPr>
            <w:tcW w:w="1804" w:type="pct"/>
          </w:tcPr>
          <w:p w14:paraId="76833DBA" w14:textId="77777777" w:rsidR="00E47DC5" w:rsidRPr="00B915EF" w:rsidRDefault="00E47DC5" w:rsidP="004030AA">
            <w:pPr>
              <w:pStyle w:val="Tabletext"/>
              <w:ind w:left="22"/>
            </w:pPr>
            <w:r w:rsidRPr="00B915EF">
              <w:t>10 years</w:t>
            </w:r>
          </w:p>
        </w:tc>
      </w:tr>
      <w:tr w:rsidR="00E47DC5" w:rsidRPr="00183E4D" w14:paraId="05A9FF25" w14:textId="77777777" w:rsidTr="005462CA">
        <w:trPr>
          <w:trHeight w:val="20"/>
        </w:trPr>
        <w:tc>
          <w:tcPr>
            <w:tcW w:w="1309" w:type="pct"/>
            <w:hideMark/>
          </w:tcPr>
          <w:p w14:paraId="7A68B155" w14:textId="77777777" w:rsidR="00E47DC5" w:rsidRPr="00183E4D" w:rsidRDefault="00E47DC5" w:rsidP="004030AA">
            <w:pPr>
              <w:pStyle w:val="Tabletext"/>
              <w:ind w:left="22"/>
            </w:pPr>
            <w:r w:rsidRPr="00183E4D">
              <w:t>Outcomes</w:t>
            </w:r>
          </w:p>
        </w:tc>
        <w:tc>
          <w:tcPr>
            <w:tcW w:w="1887" w:type="pct"/>
          </w:tcPr>
          <w:p w14:paraId="1D67F8ED" w14:textId="77777777" w:rsidR="00E47DC5" w:rsidRPr="00183E4D" w:rsidRDefault="00E47DC5" w:rsidP="004030AA">
            <w:pPr>
              <w:pStyle w:val="Tabletext"/>
              <w:ind w:left="22"/>
            </w:pPr>
            <w:r>
              <w:t xml:space="preserve">LYs and </w:t>
            </w:r>
            <w:r w:rsidRPr="00B915EF">
              <w:t>QALYs</w:t>
            </w:r>
          </w:p>
        </w:tc>
        <w:tc>
          <w:tcPr>
            <w:tcW w:w="1804" w:type="pct"/>
          </w:tcPr>
          <w:p w14:paraId="38C55711" w14:textId="77777777" w:rsidR="00E47DC5" w:rsidRPr="00B915EF" w:rsidRDefault="00E47DC5" w:rsidP="004030AA">
            <w:pPr>
              <w:pStyle w:val="Tabletext"/>
              <w:ind w:left="22"/>
            </w:pPr>
            <w:r>
              <w:t xml:space="preserve">LYS and </w:t>
            </w:r>
            <w:r w:rsidRPr="00B915EF">
              <w:t>QALYs</w:t>
            </w:r>
          </w:p>
        </w:tc>
      </w:tr>
      <w:tr w:rsidR="00E47DC5" w:rsidRPr="00183E4D" w14:paraId="0352B6BE" w14:textId="77777777" w:rsidTr="005462CA">
        <w:trPr>
          <w:trHeight w:val="20"/>
        </w:trPr>
        <w:tc>
          <w:tcPr>
            <w:tcW w:w="1309" w:type="pct"/>
            <w:hideMark/>
          </w:tcPr>
          <w:p w14:paraId="65ADEB5B" w14:textId="77777777" w:rsidR="00E47DC5" w:rsidRPr="00183E4D" w:rsidRDefault="00E47DC5" w:rsidP="004030AA">
            <w:pPr>
              <w:pStyle w:val="Tabletext"/>
              <w:ind w:left="22"/>
            </w:pPr>
            <w:r w:rsidRPr="00183E4D">
              <w:t>Methods used to generate results</w:t>
            </w:r>
          </w:p>
        </w:tc>
        <w:tc>
          <w:tcPr>
            <w:tcW w:w="1887" w:type="pct"/>
          </w:tcPr>
          <w:p w14:paraId="5C2AF5BF" w14:textId="77777777" w:rsidR="00E47DC5" w:rsidRPr="00183E4D" w:rsidRDefault="00E47DC5" w:rsidP="004030AA">
            <w:pPr>
              <w:pStyle w:val="Tabletext"/>
              <w:ind w:left="22"/>
            </w:pPr>
            <w:r>
              <w:t>Markov p</w:t>
            </w:r>
            <w:r w:rsidRPr="00B915EF">
              <w:t>artitioned survival / area under the curve</w:t>
            </w:r>
          </w:p>
        </w:tc>
        <w:tc>
          <w:tcPr>
            <w:tcW w:w="1804" w:type="pct"/>
          </w:tcPr>
          <w:p w14:paraId="77228B9B" w14:textId="77777777" w:rsidR="00E47DC5" w:rsidRPr="00B915EF" w:rsidRDefault="00E47DC5" w:rsidP="004030AA">
            <w:pPr>
              <w:pStyle w:val="Tabletext"/>
              <w:ind w:left="22"/>
            </w:pPr>
            <w:r>
              <w:t>Markov p</w:t>
            </w:r>
            <w:r w:rsidRPr="00B915EF">
              <w:t>artitioned survival / area under the curve</w:t>
            </w:r>
          </w:p>
        </w:tc>
      </w:tr>
      <w:tr w:rsidR="00E47DC5" w:rsidRPr="00183E4D" w14:paraId="6E2D6FB2" w14:textId="77777777" w:rsidTr="005462CA">
        <w:trPr>
          <w:trHeight w:val="20"/>
        </w:trPr>
        <w:tc>
          <w:tcPr>
            <w:tcW w:w="1309" w:type="pct"/>
          </w:tcPr>
          <w:p w14:paraId="17394D33" w14:textId="77777777" w:rsidR="00E47DC5" w:rsidRPr="00183E4D" w:rsidRDefault="00E47DC5" w:rsidP="004030AA">
            <w:pPr>
              <w:pStyle w:val="Tabletext"/>
              <w:ind w:left="22"/>
            </w:pPr>
            <w:r w:rsidRPr="00183E4D">
              <w:t>Health states</w:t>
            </w:r>
          </w:p>
        </w:tc>
        <w:tc>
          <w:tcPr>
            <w:tcW w:w="1887" w:type="pct"/>
          </w:tcPr>
          <w:p w14:paraId="0C535D86" w14:textId="77777777" w:rsidR="00E47DC5" w:rsidRPr="00183E4D" w:rsidRDefault="00E47DC5" w:rsidP="004030AA">
            <w:pPr>
              <w:pStyle w:val="Tabletext"/>
              <w:ind w:left="22"/>
            </w:pPr>
            <w:r w:rsidRPr="00B915EF">
              <w:t>Alive (stratified by NYHA class); dead</w:t>
            </w:r>
          </w:p>
        </w:tc>
        <w:tc>
          <w:tcPr>
            <w:tcW w:w="1804" w:type="pct"/>
          </w:tcPr>
          <w:p w14:paraId="75378670" w14:textId="77777777" w:rsidR="00E47DC5" w:rsidRPr="00B915EF" w:rsidRDefault="00E47DC5" w:rsidP="004030AA">
            <w:pPr>
              <w:pStyle w:val="Tabletext"/>
              <w:ind w:left="22"/>
            </w:pPr>
            <w:r w:rsidRPr="00B915EF">
              <w:t>Alive (stratified by NYHA class); dead</w:t>
            </w:r>
          </w:p>
        </w:tc>
      </w:tr>
      <w:tr w:rsidR="00E47DC5" w:rsidRPr="00183E4D" w14:paraId="020A1183" w14:textId="77777777" w:rsidTr="005462CA">
        <w:trPr>
          <w:trHeight w:val="20"/>
        </w:trPr>
        <w:tc>
          <w:tcPr>
            <w:tcW w:w="1309" w:type="pct"/>
            <w:hideMark/>
          </w:tcPr>
          <w:p w14:paraId="6022E6FD" w14:textId="77777777" w:rsidR="00E47DC5" w:rsidRPr="00183E4D" w:rsidRDefault="00E47DC5" w:rsidP="004030AA">
            <w:pPr>
              <w:pStyle w:val="Tabletext"/>
              <w:ind w:left="22"/>
            </w:pPr>
            <w:r w:rsidRPr="00183E4D">
              <w:t>Cycle length</w:t>
            </w:r>
          </w:p>
        </w:tc>
        <w:tc>
          <w:tcPr>
            <w:tcW w:w="1887" w:type="pct"/>
          </w:tcPr>
          <w:p w14:paraId="36046455" w14:textId="77777777" w:rsidR="00E47DC5" w:rsidRPr="00183E4D" w:rsidRDefault="00E47DC5" w:rsidP="004030AA">
            <w:pPr>
              <w:pStyle w:val="Tabletext"/>
              <w:ind w:left="22"/>
            </w:pPr>
            <w:r w:rsidRPr="00B915EF">
              <w:t>One month</w:t>
            </w:r>
          </w:p>
        </w:tc>
        <w:tc>
          <w:tcPr>
            <w:tcW w:w="1804" w:type="pct"/>
          </w:tcPr>
          <w:p w14:paraId="6189E459" w14:textId="77777777" w:rsidR="00E47DC5" w:rsidRPr="00B915EF" w:rsidRDefault="00E47DC5" w:rsidP="004030AA">
            <w:pPr>
              <w:pStyle w:val="Tabletext"/>
              <w:ind w:left="22"/>
            </w:pPr>
            <w:r w:rsidRPr="00B915EF">
              <w:t>One month</w:t>
            </w:r>
          </w:p>
        </w:tc>
      </w:tr>
      <w:tr w:rsidR="00E47DC5" w:rsidRPr="00183E4D" w14:paraId="2CF7A2AD" w14:textId="77777777" w:rsidTr="005462CA">
        <w:trPr>
          <w:trHeight w:val="20"/>
        </w:trPr>
        <w:tc>
          <w:tcPr>
            <w:tcW w:w="1309" w:type="pct"/>
            <w:hideMark/>
          </w:tcPr>
          <w:p w14:paraId="574E86A3" w14:textId="77777777" w:rsidR="00E47DC5" w:rsidRPr="00183E4D" w:rsidRDefault="00E47DC5" w:rsidP="004030AA">
            <w:pPr>
              <w:pStyle w:val="Tabletext"/>
              <w:ind w:left="22"/>
            </w:pPr>
            <w:r w:rsidRPr="00183E4D">
              <w:t>Discount rate</w:t>
            </w:r>
          </w:p>
        </w:tc>
        <w:tc>
          <w:tcPr>
            <w:tcW w:w="1887" w:type="pct"/>
          </w:tcPr>
          <w:p w14:paraId="7A8FEFF5" w14:textId="77777777" w:rsidR="00E47DC5" w:rsidRPr="00183E4D" w:rsidRDefault="00E47DC5" w:rsidP="004030AA">
            <w:pPr>
              <w:pStyle w:val="Tabletext"/>
              <w:ind w:left="22"/>
            </w:pPr>
            <w:r w:rsidRPr="00B915EF">
              <w:t>5% p.a.</w:t>
            </w:r>
          </w:p>
        </w:tc>
        <w:tc>
          <w:tcPr>
            <w:tcW w:w="1804" w:type="pct"/>
          </w:tcPr>
          <w:p w14:paraId="7EF58B8D" w14:textId="77777777" w:rsidR="00E47DC5" w:rsidRPr="00B915EF" w:rsidRDefault="00E47DC5" w:rsidP="004030AA">
            <w:pPr>
              <w:pStyle w:val="Tabletext"/>
              <w:ind w:left="22"/>
            </w:pPr>
            <w:r w:rsidRPr="00B915EF">
              <w:t>5% p.a.</w:t>
            </w:r>
          </w:p>
        </w:tc>
      </w:tr>
      <w:tr w:rsidR="00E47DC5" w:rsidRPr="00183E4D" w14:paraId="3E4FAFF6" w14:textId="77777777" w:rsidTr="005462CA">
        <w:trPr>
          <w:trHeight w:val="20"/>
        </w:trPr>
        <w:tc>
          <w:tcPr>
            <w:tcW w:w="1309" w:type="pct"/>
            <w:hideMark/>
          </w:tcPr>
          <w:p w14:paraId="33288377" w14:textId="77777777" w:rsidR="00E47DC5" w:rsidRPr="00183E4D" w:rsidRDefault="00E47DC5" w:rsidP="004030AA">
            <w:pPr>
              <w:pStyle w:val="Tabletext"/>
              <w:ind w:left="22"/>
            </w:pPr>
            <w:r w:rsidRPr="00183E4D">
              <w:t>Software packages used</w:t>
            </w:r>
          </w:p>
        </w:tc>
        <w:tc>
          <w:tcPr>
            <w:tcW w:w="1887" w:type="pct"/>
          </w:tcPr>
          <w:p w14:paraId="3448440C" w14:textId="77777777" w:rsidR="00E47DC5" w:rsidRPr="00183E4D" w:rsidRDefault="00E47DC5" w:rsidP="004030AA">
            <w:pPr>
              <w:pStyle w:val="Tabletext"/>
              <w:ind w:left="22"/>
            </w:pPr>
            <w:r w:rsidRPr="00B915EF">
              <w:t>Microsoft Excel</w:t>
            </w:r>
          </w:p>
        </w:tc>
        <w:tc>
          <w:tcPr>
            <w:tcW w:w="1804" w:type="pct"/>
          </w:tcPr>
          <w:p w14:paraId="536755B4" w14:textId="77777777" w:rsidR="00E47DC5" w:rsidRPr="00B915EF" w:rsidRDefault="00E47DC5" w:rsidP="004030AA">
            <w:pPr>
              <w:pStyle w:val="Tabletext"/>
              <w:ind w:left="22"/>
            </w:pPr>
            <w:r w:rsidRPr="00B915EF">
              <w:t>Microsoft Excel</w:t>
            </w:r>
          </w:p>
        </w:tc>
      </w:tr>
    </w:tbl>
    <w:p w14:paraId="121E347B" w14:textId="77777777" w:rsidR="00E47DC5" w:rsidRPr="00B23815" w:rsidRDefault="00E47DC5" w:rsidP="00E47DC5">
      <w:pPr>
        <w:rPr>
          <w:rFonts w:ascii="Arial Narrow" w:hAnsi="Arial Narrow" w:cs="Arial"/>
          <w:snapToGrid w:val="0"/>
          <w:sz w:val="18"/>
          <w:szCs w:val="18"/>
          <w:lang w:eastAsia="en-US"/>
        </w:rPr>
      </w:pPr>
      <w:r w:rsidRPr="00B23815">
        <w:rPr>
          <w:rFonts w:ascii="Arial Narrow" w:hAnsi="Arial Narrow" w:cs="Arial"/>
          <w:snapToGrid w:val="0"/>
          <w:sz w:val="18"/>
          <w:szCs w:val="18"/>
          <w:lang w:eastAsia="en-US"/>
        </w:rPr>
        <w:t>CUA= cost-utility analysis, NYHA= New York Heart Association, OMT= Optimal medical therapy, QALY=Quality adjusted life year</w:t>
      </w:r>
    </w:p>
    <w:p w14:paraId="2BD00A6F" w14:textId="77777777" w:rsidR="00E47DC5" w:rsidRPr="00683623" w:rsidRDefault="00E47DC5" w:rsidP="00683623">
      <w:pPr>
        <w:spacing w:after="240"/>
        <w:rPr>
          <w:rFonts w:ascii="Arial Narrow" w:hAnsi="Arial Narrow" w:cs="Arial"/>
          <w:snapToGrid w:val="0"/>
          <w:sz w:val="18"/>
          <w:szCs w:val="18"/>
          <w:lang w:eastAsia="en-US"/>
        </w:rPr>
      </w:pPr>
      <w:r>
        <w:rPr>
          <w:rFonts w:ascii="Arial Narrow" w:hAnsi="Arial Narrow" w:cs="Arial"/>
          <w:snapToGrid w:val="0"/>
          <w:sz w:val="18"/>
          <w:szCs w:val="18"/>
          <w:lang w:eastAsia="en-US"/>
        </w:rPr>
        <w:t xml:space="preserve">Source: </w:t>
      </w:r>
      <w:r w:rsidR="00683623">
        <w:rPr>
          <w:rFonts w:ascii="Arial Narrow" w:hAnsi="Arial Narrow" w:cs="Arial"/>
          <w:snapToGrid w:val="0"/>
          <w:sz w:val="18"/>
          <w:szCs w:val="18"/>
          <w:lang w:eastAsia="en-US"/>
        </w:rPr>
        <w:t>Table 34, p57 of the commentary</w:t>
      </w:r>
    </w:p>
    <w:p w14:paraId="672CFD31" w14:textId="77777777" w:rsidR="00E47DC5" w:rsidRPr="00F46382" w:rsidRDefault="00E47DC5" w:rsidP="00E47DC5">
      <w:pPr>
        <w:tabs>
          <w:tab w:val="left" w:pos="720"/>
        </w:tabs>
      </w:pPr>
      <w:r w:rsidRPr="00F46382">
        <w:t xml:space="preserve">The ADAR stated </w:t>
      </w:r>
      <w:r w:rsidR="00683623">
        <w:t xml:space="preserve">that </w:t>
      </w:r>
      <w:r w:rsidRPr="00F46382">
        <w:t>the key assumptions included:</w:t>
      </w:r>
    </w:p>
    <w:p w14:paraId="43FA3BD5" w14:textId="77777777" w:rsidR="00E47DC5" w:rsidRPr="00F46382" w:rsidRDefault="00E47DC5" w:rsidP="00E47DC5">
      <w:pPr>
        <w:pStyle w:val="ListParagraph"/>
        <w:numPr>
          <w:ilvl w:val="0"/>
          <w:numId w:val="8"/>
        </w:numPr>
        <w:tabs>
          <w:tab w:val="clear" w:pos="1080"/>
          <w:tab w:val="num" w:pos="709"/>
        </w:tabs>
        <w:ind w:left="709" w:hanging="349"/>
      </w:pPr>
      <w:r w:rsidRPr="00F46382">
        <w:t>The economic model is a partitioned survival or ‘area under the curve’ analysis, where the overall survival curves for TMVr and the comparator – OMT determine the comparative effectiveness of the analysis. Population specific probabilities of treatment efficacy, overall survival, and resource utilisation including adverse events are utilised.</w:t>
      </w:r>
    </w:p>
    <w:p w14:paraId="71D63DF5" w14:textId="77777777" w:rsidR="00E47DC5" w:rsidRPr="00F46382" w:rsidRDefault="00E47DC5" w:rsidP="00E47DC5">
      <w:pPr>
        <w:pStyle w:val="ListParagraph"/>
        <w:numPr>
          <w:ilvl w:val="0"/>
          <w:numId w:val="8"/>
        </w:numPr>
        <w:tabs>
          <w:tab w:val="clear" w:pos="1080"/>
          <w:tab w:val="num" w:pos="709"/>
        </w:tabs>
        <w:ind w:left="709" w:hanging="349"/>
      </w:pPr>
      <w:r w:rsidRPr="00F46382">
        <w:t>Trial reported Kaplan-Meier curves are used to model overall survival during the within trial period of the models for Population 1 (DMR: 12 months) and Population 2 (FMR: 24 months).</w:t>
      </w:r>
    </w:p>
    <w:p w14:paraId="4313C934" w14:textId="77777777" w:rsidR="00E47DC5" w:rsidRPr="00F46382" w:rsidRDefault="00E47DC5" w:rsidP="00E47DC5">
      <w:pPr>
        <w:pStyle w:val="ListParagraph"/>
        <w:numPr>
          <w:ilvl w:val="0"/>
          <w:numId w:val="8"/>
        </w:numPr>
        <w:tabs>
          <w:tab w:val="clear" w:pos="1080"/>
          <w:tab w:val="num" w:pos="709"/>
        </w:tabs>
        <w:ind w:left="709" w:hanging="349"/>
      </w:pPr>
      <w:r w:rsidRPr="00F46382">
        <w:t>The OMT overall survival curve is extrapolated beyond the trial to a 10-year horizon using fitted parametric curves, with the extrapolated TMVr overall survival curve estimated via a constant hazard ratio applied over time to the OMT curve.</w:t>
      </w:r>
    </w:p>
    <w:p w14:paraId="3F10BB0E" w14:textId="47D80A9C" w:rsidR="00E47DC5" w:rsidRPr="00F46382" w:rsidRDefault="00E47DC5" w:rsidP="00D85498">
      <w:pPr>
        <w:pStyle w:val="ListParagraph"/>
        <w:numPr>
          <w:ilvl w:val="0"/>
          <w:numId w:val="8"/>
        </w:numPr>
        <w:tabs>
          <w:tab w:val="clear" w:pos="1080"/>
          <w:tab w:val="num" w:pos="709"/>
        </w:tabs>
        <w:ind w:left="709" w:hanging="349"/>
      </w:pPr>
      <w:r w:rsidRPr="00F46382">
        <w:t>Estimated overall survival over the 10-year model horizon is ‘partitioned’ according to NYHA class distributions for each treatment arm at 1-month intervals (i.e. cycle length). Trial evidence is used to populate NYHA class distributions for the corresponding period of the economic model (i.e. 12-months for Population 1 and 24-months for Population 2). NYHA class distributions are assumed to be static beyond the trial duration(s).</w:t>
      </w:r>
      <w:r>
        <w:t xml:space="preserve"> </w:t>
      </w:r>
      <w:r w:rsidRPr="00F46382">
        <w:t xml:space="preserve">Utility values </w:t>
      </w:r>
      <w:r>
        <w:t xml:space="preserve">are </w:t>
      </w:r>
      <w:r w:rsidRPr="00F46382">
        <w:t xml:space="preserve">defined on the basis of NYHA class, with the NYHA class distribution determining the average quality of life value (and hence </w:t>
      </w:r>
      <w:r w:rsidRPr="009A6437">
        <w:t xml:space="preserve">Quality adjusted life year </w:t>
      </w:r>
      <w:r>
        <w:t>[</w:t>
      </w:r>
      <w:r w:rsidRPr="00F46382">
        <w:t>QALY</w:t>
      </w:r>
      <w:r>
        <w:t>]</w:t>
      </w:r>
      <w:r w:rsidRPr="00F46382">
        <w:t>) each cycle of t</w:t>
      </w:r>
      <w:r w:rsidR="00D85498">
        <w:t>he model in each treatment arm.</w:t>
      </w:r>
    </w:p>
    <w:p w14:paraId="7FE4D662" w14:textId="77777777" w:rsidR="00E47DC5" w:rsidRDefault="00E47DC5" w:rsidP="00E47DC5">
      <w:pPr>
        <w:ind w:left="360"/>
        <w:jc w:val="both"/>
      </w:pPr>
      <w:r>
        <w:rPr>
          <w:noProof/>
        </w:rPr>
        <w:lastRenderedPageBreak/>
        <w:drawing>
          <wp:inline distT="0" distB="0" distL="0" distR="0" wp14:anchorId="2F0F76D5" wp14:editId="4BE69A6D">
            <wp:extent cx="4867275" cy="2618095"/>
            <wp:effectExtent l="0" t="0" r="0" b="0"/>
            <wp:docPr id="6" name="Picture 6" descr="Model structure of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2276" cy="2626164"/>
                    </a:xfrm>
                    <a:prstGeom prst="rect">
                      <a:avLst/>
                    </a:prstGeom>
                    <a:noFill/>
                    <a:ln>
                      <a:noFill/>
                    </a:ln>
                  </pic:spPr>
                </pic:pic>
              </a:graphicData>
            </a:graphic>
          </wp:inline>
        </w:drawing>
      </w:r>
    </w:p>
    <w:p w14:paraId="090166B0" w14:textId="77777777" w:rsidR="00E47DC5" w:rsidRPr="00BE70ED" w:rsidRDefault="00E47DC5" w:rsidP="00BE70ED">
      <w:pPr>
        <w:rPr>
          <w:rFonts w:ascii="Arial Narrow" w:hAnsi="Arial Narrow"/>
          <w:b/>
          <w:sz w:val="20"/>
        </w:rPr>
      </w:pPr>
      <w:bookmarkStart w:id="21" w:name="_Toc22047221"/>
      <w:r w:rsidRPr="00BE70ED">
        <w:rPr>
          <w:rFonts w:ascii="Arial Narrow" w:hAnsi="Arial Narrow"/>
          <w:b/>
          <w:sz w:val="20"/>
        </w:rPr>
        <w:t xml:space="preserve">Figure </w:t>
      </w:r>
      <w:r w:rsidRPr="00BE70ED">
        <w:rPr>
          <w:rFonts w:ascii="Arial Narrow" w:hAnsi="Arial Narrow"/>
          <w:b/>
          <w:sz w:val="20"/>
        </w:rPr>
        <w:fldChar w:fldCharType="begin"/>
      </w:r>
      <w:r w:rsidRPr="00BE70ED">
        <w:rPr>
          <w:rFonts w:ascii="Arial Narrow" w:hAnsi="Arial Narrow"/>
          <w:b/>
          <w:sz w:val="20"/>
        </w:rPr>
        <w:instrText xml:space="preserve"> SEQ Figure \* ARABIC </w:instrText>
      </w:r>
      <w:r w:rsidRPr="00BE70ED">
        <w:rPr>
          <w:rFonts w:ascii="Arial Narrow" w:hAnsi="Arial Narrow"/>
          <w:b/>
          <w:sz w:val="20"/>
        </w:rPr>
        <w:fldChar w:fldCharType="separate"/>
      </w:r>
      <w:r w:rsidRPr="00BE70ED">
        <w:rPr>
          <w:rFonts w:ascii="Arial Narrow" w:hAnsi="Arial Narrow"/>
          <w:b/>
          <w:sz w:val="20"/>
        </w:rPr>
        <w:t>2</w:t>
      </w:r>
      <w:r w:rsidRPr="00BE70ED">
        <w:rPr>
          <w:rFonts w:ascii="Arial Narrow" w:hAnsi="Arial Narrow"/>
          <w:b/>
          <w:sz w:val="20"/>
        </w:rPr>
        <w:fldChar w:fldCharType="end"/>
      </w:r>
      <w:r w:rsidRPr="00BE70ED">
        <w:rPr>
          <w:rFonts w:ascii="Arial Narrow" w:hAnsi="Arial Narrow"/>
          <w:b/>
          <w:sz w:val="20"/>
        </w:rPr>
        <w:tab/>
        <w:t>Model structure of the economic evaluation</w:t>
      </w:r>
      <w:bookmarkEnd w:id="21"/>
    </w:p>
    <w:p w14:paraId="15CD35CC" w14:textId="77777777" w:rsidR="00E47DC5" w:rsidRPr="00F46382" w:rsidRDefault="00E47DC5" w:rsidP="00683623">
      <w:pPr>
        <w:pStyle w:val="TableNote"/>
      </w:pPr>
      <w:r>
        <w:t>Source: Figure39, p177 of ADAR</w:t>
      </w:r>
    </w:p>
    <w:p w14:paraId="7C958E00" w14:textId="77777777" w:rsidR="00E47DC5" w:rsidRPr="00F46382" w:rsidRDefault="00E47DC5" w:rsidP="00683623">
      <w:pPr>
        <w:tabs>
          <w:tab w:val="left" w:pos="720"/>
        </w:tabs>
        <w:spacing w:before="240"/>
      </w:pPr>
      <w:r w:rsidRPr="00F46382">
        <w:t xml:space="preserve">The commentary highlighted </w:t>
      </w:r>
      <w:r>
        <w:t xml:space="preserve">the following key limitations for the ADAR’s </w:t>
      </w:r>
      <w:r w:rsidRPr="00F46382">
        <w:t>model</w:t>
      </w:r>
      <w:r>
        <w:t>s</w:t>
      </w:r>
      <w:r w:rsidRPr="00F46382">
        <w:t>:</w:t>
      </w:r>
    </w:p>
    <w:p w14:paraId="10758D5D" w14:textId="77777777" w:rsidR="00E47DC5" w:rsidRPr="00AC02A1" w:rsidRDefault="00E47DC5" w:rsidP="00E47DC5">
      <w:pPr>
        <w:pStyle w:val="ListParagraph"/>
        <w:numPr>
          <w:ilvl w:val="0"/>
          <w:numId w:val="9"/>
        </w:numPr>
      </w:pPr>
      <w:r w:rsidRPr="00F46382">
        <w:t>The DMR model still uses data from a heterogeneous population to info</w:t>
      </w:r>
      <w:r w:rsidRPr="00AC02A1">
        <w:t>rm clinical benefit, and therefore introduces uncertainty of the magnitude of clinical benefit.</w:t>
      </w:r>
    </w:p>
    <w:p w14:paraId="5265F079" w14:textId="355F717D" w:rsidR="00E47DC5" w:rsidRDefault="00E47DC5" w:rsidP="00E47DC5">
      <w:pPr>
        <w:pStyle w:val="ListParagraph"/>
        <w:numPr>
          <w:ilvl w:val="0"/>
          <w:numId w:val="9"/>
        </w:numPr>
      </w:pPr>
      <w:r w:rsidRPr="00F46382">
        <w:t>Due to the structural uncertainty of the model, as patients do not move between NYHA classes after 24 months, the impact of any analysis of parameter uncertainty (quantified in the sensitivity analyses) is significantly reduced.</w:t>
      </w:r>
      <w:bookmarkStart w:id="22" w:name="_Ref534185424"/>
      <w:bookmarkStart w:id="23" w:name="_Toc1371963"/>
    </w:p>
    <w:p w14:paraId="2BC73C95" w14:textId="77777777" w:rsidR="00E47DC5" w:rsidRPr="00683623" w:rsidRDefault="00E47DC5" w:rsidP="00D85498">
      <w:pPr>
        <w:spacing w:before="240" w:after="240"/>
      </w:pPr>
      <w:r>
        <w:t>The primary driver of difference in both models is the life years gained due to the continuing benefit accruing to MitraClip for lifetime, this favours the intervention. For the DMR model, there is</w:t>
      </w:r>
      <w:r w:rsidR="001A3974">
        <w:t xml:space="preserve"> also</w:t>
      </w:r>
      <w:r>
        <w:t xml:space="preserve"> a 0.13 difference in utility carried forward past 24 months. This has a moderate effect on the estimates of cost-effectiveness.</w:t>
      </w:r>
    </w:p>
    <w:bookmarkEnd w:id="22"/>
    <w:bookmarkEnd w:id="23"/>
    <w:p w14:paraId="156BE5D1" w14:textId="36BABA32" w:rsidR="00E47DC5" w:rsidRDefault="00E47DC5" w:rsidP="00683623">
      <w:pPr>
        <w:spacing w:after="240"/>
      </w:pPr>
      <w:r w:rsidRPr="00D44A8D">
        <w:t xml:space="preserve">The base-case cost-effectiveness results are presented in </w:t>
      </w:r>
      <w:r w:rsidRPr="00D44A8D">
        <w:fldChar w:fldCharType="begin"/>
      </w:r>
      <w:r w:rsidRPr="00D44A8D">
        <w:instrText xml:space="preserve"> REF _Ref20413689 \h </w:instrText>
      </w:r>
      <w:r>
        <w:instrText xml:space="preserve"> \* MERGEFORMAT </w:instrText>
      </w:r>
      <w:r w:rsidRPr="00D44A8D">
        <w:fldChar w:fldCharType="separate"/>
      </w:r>
      <w:r w:rsidRPr="00D44A8D">
        <w:t>Table 6</w:t>
      </w:r>
      <w:r w:rsidRPr="00D44A8D">
        <w:fldChar w:fldCharType="end"/>
      </w:r>
      <w:r w:rsidRPr="00D44A8D">
        <w:t xml:space="preserve">. The estimated ICERs for TMVr compared to OMT were </w:t>
      </w:r>
      <w:r w:rsidR="00D85498">
        <w:t>$</w:t>
      </w:r>
      <w:r w:rsidR="00D85498" w:rsidRPr="00ED24C6">
        <w:rPr>
          <w:b/>
          <w:szCs w:val="24"/>
        </w:rPr>
        <w:t>redacted</w:t>
      </w:r>
      <w:r w:rsidR="00D85498" w:rsidRPr="00D44A8D">
        <w:t xml:space="preserve"> </w:t>
      </w:r>
      <w:r w:rsidRPr="00D44A8D">
        <w:t xml:space="preserve">and </w:t>
      </w:r>
      <w:r w:rsidR="00D85498">
        <w:t>$</w:t>
      </w:r>
      <w:r w:rsidR="00D85498" w:rsidRPr="00ED24C6">
        <w:rPr>
          <w:b/>
          <w:szCs w:val="24"/>
        </w:rPr>
        <w:t>redacted</w:t>
      </w:r>
      <w:r w:rsidR="00D85498" w:rsidRPr="00D44A8D">
        <w:t xml:space="preserve"> </w:t>
      </w:r>
      <w:r w:rsidRPr="00D44A8D">
        <w:t>respectively for Population 1 (DMR) and Population 2 (FMR)</w:t>
      </w:r>
      <w:r w:rsidR="00683623">
        <w:t>.</w:t>
      </w:r>
    </w:p>
    <w:p w14:paraId="675C338D" w14:textId="77777777" w:rsidR="00E47DC5" w:rsidRPr="00BE70ED" w:rsidRDefault="00E47DC5" w:rsidP="00BE70ED">
      <w:pPr>
        <w:rPr>
          <w:rFonts w:ascii="Arial Narrow" w:hAnsi="Arial Narrow"/>
          <w:b/>
          <w:sz w:val="20"/>
        </w:rPr>
      </w:pPr>
      <w:bookmarkStart w:id="24" w:name="_Ref20413689"/>
      <w:bookmarkStart w:id="25" w:name="_Toc22047106"/>
      <w:r w:rsidRPr="00BE70ED">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6</w:t>
      </w:r>
      <w:r w:rsidRPr="00BE70ED">
        <w:rPr>
          <w:rFonts w:ascii="Arial Narrow" w:hAnsi="Arial Narrow"/>
          <w:b/>
          <w:sz w:val="20"/>
        </w:rPr>
        <w:fldChar w:fldCharType="end"/>
      </w:r>
      <w:bookmarkEnd w:id="24"/>
      <w:r w:rsidRPr="00BE70ED">
        <w:rPr>
          <w:rFonts w:ascii="Arial Narrow" w:hAnsi="Arial Narrow"/>
          <w:b/>
          <w:sz w:val="20"/>
        </w:rPr>
        <w:tab/>
        <w:t>Base-case: Incremental cost-effectiveness</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Base-case: Incremental cost-effectiveness"/>
      </w:tblPr>
      <w:tblGrid>
        <w:gridCol w:w="3075"/>
        <w:gridCol w:w="1981"/>
        <w:gridCol w:w="1980"/>
        <w:gridCol w:w="1980"/>
      </w:tblGrid>
      <w:tr w:rsidR="00E47DC5" w14:paraId="278207EB" w14:textId="77777777" w:rsidTr="00D85498">
        <w:trPr>
          <w:trHeight w:val="20"/>
        </w:trPr>
        <w:tc>
          <w:tcPr>
            <w:tcW w:w="1705" w:type="pct"/>
            <w:tcBorders>
              <w:top w:val="single" w:sz="4" w:space="0" w:color="auto"/>
              <w:left w:val="single" w:sz="4" w:space="0" w:color="auto"/>
              <w:bottom w:val="single" w:sz="4" w:space="0" w:color="auto"/>
              <w:right w:val="single" w:sz="4" w:space="0" w:color="auto"/>
            </w:tcBorders>
          </w:tcPr>
          <w:p w14:paraId="5732A401" w14:textId="77777777" w:rsidR="00E47DC5" w:rsidRPr="00F83AD4" w:rsidRDefault="00E47DC5" w:rsidP="004030AA">
            <w:pPr>
              <w:pStyle w:val="Tabletext"/>
              <w:keepNext/>
              <w:keepLines/>
              <w:rPr>
                <w:b/>
              </w:rPr>
            </w:pPr>
            <w:r>
              <w:rPr>
                <w:b/>
              </w:rPr>
              <w:t>Outcome</w:t>
            </w:r>
          </w:p>
        </w:tc>
        <w:tc>
          <w:tcPr>
            <w:tcW w:w="1098" w:type="pct"/>
            <w:tcBorders>
              <w:top w:val="single" w:sz="4" w:space="0" w:color="auto"/>
              <w:left w:val="single" w:sz="4" w:space="0" w:color="auto"/>
              <w:bottom w:val="single" w:sz="4" w:space="0" w:color="auto"/>
              <w:right w:val="single" w:sz="4" w:space="0" w:color="auto"/>
            </w:tcBorders>
          </w:tcPr>
          <w:p w14:paraId="4CCA96E6" w14:textId="77777777" w:rsidR="00E47DC5" w:rsidRPr="00F83AD4" w:rsidRDefault="00E47DC5" w:rsidP="004030AA">
            <w:pPr>
              <w:pStyle w:val="Tabletext"/>
              <w:keepNext/>
              <w:keepLines/>
              <w:jc w:val="right"/>
              <w:rPr>
                <w:b/>
              </w:rPr>
            </w:pPr>
            <w:r>
              <w:rPr>
                <w:b/>
              </w:rPr>
              <w:t>TMVr</w:t>
            </w:r>
          </w:p>
        </w:tc>
        <w:tc>
          <w:tcPr>
            <w:tcW w:w="1098" w:type="pct"/>
            <w:tcBorders>
              <w:top w:val="single" w:sz="4" w:space="0" w:color="auto"/>
              <w:left w:val="single" w:sz="4" w:space="0" w:color="auto"/>
              <w:bottom w:val="single" w:sz="4" w:space="0" w:color="auto"/>
              <w:right w:val="single" w:sz="4" w:space="0" w:color="auto"/>
            </w:tcBorders>
          </w:tcPr>
          <w:p w14:paraId="130BDBE9" w14:textId="77777777" w:rsidR="00E47DC5" w:rsidRPr="00F83AD4" w:rsidRDefault="00E47DC5" w:rsidP="004030AA">
            <w:pPr>
              <w:pStyle w:val="Tabletext"/>
              <w:keepNext/>
              <w:keepLines/>
              <w:jc w:val="right"/>
              <w:rPr>
                <w:b/>
              </w:rPr>
            </w:pPr>
            <w:r>
              <w:rPr>
                <w:b/>
              </w:rPr>
              <w:t>OMT</w:t>
            </w:r>
          </w:p>
        </w:tc>
        <w:tc>
          <w:tcPr>
            <w:tcW w:w="1098" w:type="pct"/>
            <w:tcBorders>
              <w:top w:val="single" w:sz="4" w:space="0" w:color="auto"/>
              <w:left w:val="single" w:sz="4" w:space="0" w:color="auto"/>
              <w:bottom w:val="single" w:sz="4" w:space="0" w:color="auto"/>
              <w:right w:val="single" w:sz="4" w:space="0" w:color="auto"/>
            </w:tcBorders>
          </w:tcPr>
          <w:p w14:paraId="490031C4" w14:textId="77777777" w:rsidR="00E47DC5" w:rsidRDefault="00E47DC5" w:rsidP="004030AA">
            <w:pPr>
              <w:pStyle w:val="Tabletext"/>
              <w:keepNext/>
              <w:keepLines/>
              <w:jc w:val="right"/>
              <w:rPr>
                <w:b/>
              </w:rPr>
            </w:pPr>
            <w:r>
              <w:rPr>
                <w:b/>
              </w:rPr>
              <w:t>Incremental</w:t>
            </w:r>
          </w:p>
        </w:tc>
      </w:tr>
      <w:tr w:rsidR="00E47DC5" w:rsidRPr="004C44D0" w14:paraId="65A229DA" w14:textId="77777777" w:rsidTr="00D85498">
        <w:trPr>
          <w:trHeight w:val="20"/>
        </w:trPr>
        <w:tc>
          <w:tcPr>
            <w:tcW w:w="1705" w:type="pct"/>
            <w:tcBorders>
              <w:top w:val="single" w:sz="4" w:space="0" w:color="auto"/>
              <w:left w:val="single" w:sz="4" w:space="0" w:color="auto"/>
              <w:bottom w:val="single" w:sz="4" w:space="0" w:color="auto"/>
              <w:right w:val="nil"/>
            </w:tcBorders>
          </w:tcPr>
          <w:p w14:paraId="4276826F" w14:textId="77777777" w:rsidR="00E47DC5" w:rsidRPr="004C44D0" w:rsidRDefault="00E47DC5" w:rsidP="004030AA">
            <w:pPr>
              <w:pStyle w:val="Tabletext"/>
              <w:keepNext/>
              <w:keepLines/>
              <w:rPr>
                <w:b/>
                <w:i/>
                <w:iCs/>
              </w:rPr>
            </w:pPr>
            <w:r w:rsidRPr="004C44D0">
              <w:rPr>
                <w:i/>
                <w:iCs/>
              </w:rPr>
              <w:t>Population 1 (DMR)</w:t>
            </w:r>
          </w:p>
        </w:tc>
        <w:tc>
          <w:tcPr>
            <w:tcW w:w="1098" w:type="pct"/>
            <w:tcBorders>
              <w:top w:val="single" w:sz="4" w:space="0" w:color="auto"/>
              <w:left w:val="nil"/>
              <w:bottom w:val="single" w:sz="4" w:space="0" w:color="auto"/>
              <w:right w:val="nil"/>
            </w:tcBorders>
          </w:tcPr>
          <w:p w14:paraId="5776C1C7" w14:textId="77777777" w:rsidR="00E47DC5" w:rsidRPr="004C44D0" w:rsidRDefault="00E47DC5" w:rsidP="004030AA">
            <w:pPr>
              <w:pStyle w:val="Tabletext"/>
              <w:keepNext/>
              <w:keepLines/>
              <w:jc w:val="right"/>
              <w:rPr>
                <w:b/>
                <w:i/>
                <w:iCs/>
              </w:rPr>
            </w:pPr>
          </w:p>
        </w:tc>
        <w:tc>
          <w:tcPr>
            <w:tcW w:w="1098" w:type="pct"/>
            <w:tcBorders>
              <w:top w:val="single" w:sz="4" w:space="0" w:color="auto"/>
              <w:left w:val="nil"/>
              <w:bottom w:val="single" w:sz="4" w:space="0" w:color="auto"/>
              <w:right w:val="nil"/>
            </w:tcBorders>
          </w:tcPr>
          <w:p w14:paraId="01F4C6E3" w14:textId="77777777" w:rsidR="00E47DC5" w:rsidRPr="004C44D0" w:rsidRDefault="00E47DC5" w:rsidP="004030AA">
            <w:pPr>
              <w:pStyle w:val="Tabletext"/>
              <w:keepNext/>
              <w:keepLines/>
              <w:jc w:val="right"/>
              <w:rPr>
                <w:b/>
                <w:i/>
                <w:iCs/>
              </w:rPr>
            </w:pPr>
          </w:p>
        </w:tc>
        <w:tc>
          <w:tcPr>
            <w:tcW w:w="1098" w:type="pct"/>
            <w:tcBorders>
              <w:top w:val="single" w:sz="4" w:space="0" w:color="auto"/>
              <w:left w:val="nil"/>
              <w:bottom w:val="single" w:sz="4" w:space="0" w:color="auto"/>
              <w:right w:val="single" w:sz="4" w:space="0" w:color="auto"/>
            </w:tcBorders>
          </w:tcPr>
          <w:p w14:paraId="267EB2E8" w14:textId="77777777" w:rsidR="00E47DC5" w:rsidRPr="004C44D0" w:rsidRDefault="00E47DC5" w:rsidP="004030AA">
            <w:pPr>
              <w:pStyle w:val="Tabletext"/>
              <w:keepNext/>
              <w:keepLines/>
              <w:jc w:val="right"/>
              <w:rPr>
                <w:b/>
                <w:i/>
                <w:iCs/>
              </w:rPr>
            </w:pPr>
          </w:p>
        </w:tc>
      </w:tr>
      <w:tr w:rsidR="00D85498" w14:paraId="37222DC9" w14:textId="77777777" w:rsidTr="00D85498">
        <w:trPr>
          <w:trHeight w:val="20"/>
        </w:trPr>
        <w:tc>
          <w:tcPr>
            <w:tcW w:w="1705" w:type="pct"/>
            <w:tcBorders>
              <w:top w:val="single" w:sz="4" w:space="0" w:color="auto"/>
              <w:left w:val="single" w:sz="4" w:space="0" w:color="auto"/>
              <w:bottom w:val="single" w:sz="4" w:space="0" w:color="auto"/>
              <w:right w:val="single" w:sz="4" w:space="0" w:color="auto"/>
            </w:tcBorders>
          </w:tcPr>
          <w:p w14:paraId="192C6A30" w14:textId="77777777" w:rsidR="00D85498" w:rsidRPr="00ED6F55" w:rsidRDefault="00D85498" w:rsidP="004030AA">
            <w:pPr>
              <w:pStyle w:val="Tabletext"/>
              <w:keepNext/>
              <w:keepLines/>
            </w:pPr>
            <w:r>
              <w:t>Costs</w:t>
            </w:r>
          </w:p>
        </w:tc>
        <w:tc>
          <w:tcPr>
            <w:tcW w:w="1098" w:type="pct"/>
            <w:tcBorders>
              <w:top w:val="single" w:sz="4" w:space="0" w:color="auto"/>
              <w:left w:val="single" w:sz="4" w:space="0" w:color="auto"/>
              <w:bottom w:val="single" w:sz="4" w:space="0" w:color="auto"/>
              <w:right w:val="single" w:sz="4" w:space="0" w:color="auto"/>
            </w:tcBorders>
          </w:tcPr>
          <w:p w14:paraId="57F26CAE" w14:textId="1BA4DE5D" w:rsidR="00D85498" w:rsidRPr="00060CAA" w:rsidRDefault="00D85498" w:rsidP="00D85498">
            <w:pPr>
              <w:pStyle w:val="Tabletext"/>
              <w:keepNext/>
              <w:keepLines/>
              <w:jc w:val="right"/>
            </w:pPr>
            <w:r>
              <w:t>$redacted</w:t>
            </w:r>
          </w:p>
        </w:tc>
        <w:tc>
          <w:tcPr>
            <w:tcW w:w="1098" w:type="pct"/>
            <w:tcBorders>
              <w:top w:val="single" w:sz="4" w:space="0" w:color="auto"/>
              <w:left w:val="single" w:sz="4" w:space="0" w:color="auto"/>
              <w:bottom w:val="single" w:sz="4" w:space="0" w:color="auto"/>
              <w:right w:val="single" w:sz="4" w:space="0" w:color="auto"/>
            </w:tcBorders>
          </w:tcPr>
          <w:p w14:paraId="0A4046BA" w14:textId="0A85617B" w:rsidR="00D85498" w:rsidRPr="00060CAA" w:rsidRDefault="00D85498" w:rsidP="004030AA">
            <w:pPr>
              <w:pStyle w:val="Tabletext"/>
              <w:keepNext/>
              <w:keepLines/>
              <w:jc w:val="right"/>
            </w:pPr>
            <w:r w:rsidRPr="00D31BF5">
              <w:t>$redacted</w:t>
            </w:r>
          </w:p>
        </w:tc>
        <w:tc>
          <w:tcPr>
            <w:tcW w:w="1098" w:type="pct"/>
            <w:tcBorders>
              <w:top w:val="single" w:sz="4" w:space="0" w:color="auto"/>
              <w:left w:val="single" w:sz="4" w:space="0" w:color="auto"/>
              <w:bottom w:val="single" w:sz="4" w:space="0" w:color="auto"/>
              <w:right w:val="single" w:sz="4" w:space="0" w:color="auto"/>
            </w:tcBorders>
          </w:tcPr>
          <w:p w14:paraId="5EE5F62E" w14:textId="0187E515" w:rsidR="00D85498" w:rsidRPr="00060CAA" w:rsidRDefault="00D85498" w:rsidP="004030AA">
            <w:pPr>
              <w:pStyle w:val="Tabletext"/>
              <w:keepNext/>
              <w:keepLines/>
              <w:jc w:val="right"/>
            </w:pPr>
            <w:r w:rsidRPr="00D31BF5">
              <w:t>$redacted</w:t>
            </w:r>
          </w:p>
        </w:tc>
      </w:tr>
      <w:tr w:rsidR="00D85498" w14:paraId="35A3CBC3" w14:textId="77777777" w:rsidTr="00D85498">
        <w:trPr>
          <w:trHeight w:val="20"/>
        </w:trPr>
        <w:tc>
          <w:tcPr>
            <w:tcW w:w="1705" w:type="pct"/>
            <w:tcBorders>
              <w:top w:val="single" w:sz="4" w:space="0" w:color="auto"/>
              <w:left w:val="single" w:sz="4" w:space="0" w:color="auto"/>
              <w:bottom w:val="single" w:sz="4" w:space="0" w:color="auto"/>
              <w:right w:val="single" w:sz="4" w:space="0" w:color="auto"/>
            </w:tcBorders>
          </w:tcPr>
          <w:p w14:paraId="35434127" w14:textId="77777777" w:rsidR="00D85498" w:rsidRDefault="00D85498" w:rsidP="004030AA">
            <w:pPr>
              <w:pStyle w:val="Tabletext"/>
              <w:keepNext/>
              <w:keepLines/>
            </w:pPr>
            <w:r>
              <w:t>QALYs</w:t>
            </w:r>
          </w:p>
        </w:tc>
        <w:tc>
          <w:tcPr>
            <w:tcW w:w="1098" w:type="pct"/>
            <w:tcBorders>
              <w:top w:val="single" w:sz="4" w:space="0" w:color="auto"/>
              <w:left w:val="single" w:sz="4" w:space="0" w:color="auto"/>
              <w:bottom w:val="single" w:sz="4" w:space="0" w:color="auto"/>
              <w:right w:val="single" w:sz="4" w:space="0" w:color="auto"/>
            </w:tcBorders>
          </w:tcPr>
          <w:p w14:paraId="7027336E" w14:textId="6CB158D4" w:rsidR="00D85498" w:rsidRPr="00CF3D8B" w:rsidRDefault="00D85498" w:rsidP="004030AA">
            <w:pPr>
              <w:pStyle w:val="Tabletext"/>
              <w:keepNext/>
              <w:keepLines/>
              <w:jc w:val="right"/>
            </w:pPr>
            <w:r>
              <w:t>$redacted</w:t>
            </w:r>
          </w:p>
        </w:tc>
        <w:tc>
          <w:tcPr>
            <w:tcW w:w="1098" w:type="pct"/>
            <w:tcBorders>
              <w:top w:val="single" w:sz="4" w:space="0" w:color="auto"/>
              <w:left w:val="single" w:sz="4" w:space="0" w:color="auto"/>
              <w:bottom w:val="single" w:sz="4" w:space="0" w:color="auto"/>
              <w:right w:val="single" w:sz="4" w:space="0" w:color="auto"/>
            </w:tcBorders>
          </w:tcPr>
          <w:p w14:paraId="2AED00FE" w14:textId="2F14F5F2" w:rsidR="00D85498" w:rsidRPr="00CF3D8B" w:rsidRDefault="00D85498" w:rsidP="004030AA">
            <w:pPr>
              <w:pStyle w:val="Tabletext"/>
              <w:keepNext/>
              <w:keepLines/>
              <w:jc w:val="right"/>
            </w:pPr>
            <w:r w:rsidRPr="00D31BF5">
              <w:t>$redacted</w:t>
            </w:r>
          </w:p>
        </w:tc>
        <w:tc>
          <w:tcPr>
            <w:tcW w:w="1098" w:type="pct"/>
            <w:tcBorders>
              <w:top w:val="single" w:sz="4" w:space="0" w:color="auto"/>
              <w:left w:val="single" w:sz="4" w:space="0" w:color="auto"/>
              <w:bottom w:val="single" w:sz="4" w:space="0" w:color="auto"/>
              <w:right w:val="single" w:sz="4" w:space="0" w:color="auto"/>
            </w:tcBorders>
          </w:tcPr>
          <w:p w14:paraId="614BD7D4" w14:textId="2D287B58" w:rsidR="00D85498" w:rsidRDefault="00D85498" w:rsidP="004030AA">
            <w:pPr>
              <w:pStyle w:val="Tabletext"/>
              <w:keepNext/>
              <w:keepLines/>
              <w:jc w:val="right"/>
            </w:pPr>
            <w:r w:rsidRPr="00D31BF5">
              <w:t>$redacted</w:t>
            </w:r>
          </w:p>
        </w:tc>
      </w:tr>
      <w:tr w:rsidR="00E47DC5" w14:paraId="47BE4F64" w14:textId="77777777" w:rsidTr="00D85498">
        <w:trPr>
          <w:trHeight w:val="20"/>
        </w:trPr>
        <w:tc>
          <w:tcPr>
            <w:tcW w:w="1705" w:type="pct"/>
            <w:tcBorders>
              <w:top w:val="single" w:sz="4" w:space="0" w:color="auto"/>
              <w:left w:val="single" w:sz="4" w:space="0" w:color="auto"/>
              <w:bottom w:val="single" w:sz="4" w:space="0" w:color="auto"/>
              <w:right w:val="nil"/>
            </w:tcBorders>
          </w:tcPr>
          <w:p w14:paraId="67CCD952" w14:textId="77777777" w:rsidR="00E47DC5" w:rsidRPr="00ED6F55" w:rsidRDefault="00E47DC5" w:rsidP="004030AA">
            <w:pPr>
              <w:pStyle w:val="Tabletext"/>
              <w:keepNext/>
              <w:keepLines/>
            </w:pPr>
            <w:r>
              <w:t>ICER</w:t>
            </w:r>
          </w:p>
        </w:tc>
        <w:tc>
          <w:tcPr>
            <w:tcW w:w="1098" w:type="pct"/>
            <w:tcBorders>
              <w:top w:val="single" w:sz="4" w:space="0" w:color="auto"/>
              <w:left w:val="nil"/>
              <w:bottom w:val="single" w:sz="4" w:space="0" w:color="auto"/>
              <w:right w:val="nil"/>
            </w:tcBorders>
          </w:tcPr>
          <w:p w14:paraId="38BA04B1" w14:textId="77777777" w:rsidR="00E47DC5" w:rsidRPr="00CF3D8B" w:rsidRDefault="00E47DC5" w:rsidP="004030AA">
            <w:pPr>
              <w:pStyle w:val="Tabletext"/>
              <w:keepNext/>
              <w:keepLines/>
              <w:jc w:val="right"/>
            </w:pPr>
          </w:p>
        </w:tc>
        <w:tc>
          <w:tcPr>
            <w:tcW w:w="1098" w:type="pct"/>
            <w:tcBorders>
              <w:top w:val="single" w:sz="4" w:space="0" w:color="auto"/>
              <w:left w:val="nil"/>
              <w:bottom w:val="single" w:sz="4" w:space="0" w:color="auto"/>
              <w:right w:val="single" w:sz="4" w:space="0" w:color="auto"/>
            </w:tcBorders>
          </w:tcPr>
          <w:p w14:paraId="5352D556" w14:textId="77777777" w:rsidR="00E47DC5" w:rsidRPr="00CF3D8B" w:rsidRDefault="00E47DC5" w:rsidP="004030AA">
            <w:pPr>
              <w:pStyle w:val="Tabletext"/>
              <w:keepNext/>
              <w:keepLines/>
              <w:jc w:val="right"/>
            </w:pPr>
          </w:p>
        </w:tc>
        <w:tc>
          <w:tcPr>
            <w:tcW w:w="1098" w:type="pct"/>
            <w:tcBorders>
              <w:top w:val="single" w:sz="4" w:space="0" w:color="auto"/>
              <w:left w:val="single" w:sz="4" w:space="0" w:color="auto"/>
              <w:bottom w:val="single" w:sz="4" w:space="0" w:color="auto"/>
              <w:right w:val="single" w:sz="4" w:space="0" w:color="auto"/>
            </w:tcBorders>
          </w:tcPr>
          <w:p w14:paraId="2BCF38AF" w14:textId="088B7009" w:rsidR="00E47DC5" w:rsidRDefault="00D85498" w:rsidP="004030AA">
            <w:pPr>
              <w:pStyle w:val="Tabletext"/>
              <w:keepNext/>
              <w:keepLines/>
              <w:jc w:val="right"/>
            </w:pPr>
            <w:r>
              <w:t>$redacted</w:t>
            </w:r>
          </w:p>
        </w:tc>
      </w:tr>
      <w:tr w:rsidR="00E47DC5" w:rsidRPr="004C44D0" w14:paraId="3473E905" w14:textId="77777777" w:rsidTr="00D85498">
        <w:trPr>
          <w:trHeight w:val="20"/>
        </w:trPr>
        <w:tc>
          <w:tcPr>
            <w:tcW w:w="1705" w:type="pct"/>
            <w:tcBorders>
              <w:top w:val="single" w:sz="4" w:space="0" w:color="auto"/>
              <w:left w:val="single" w:sz="4" w:space="0" w:color="auto"/>
              <w:bottom w:val="single" w:sz="4" w:space="0" w:color="auto"/>
              <w:right w:val="nil"/>
            </w:tcBorders>
          </w:tcPr>
          <w:p w14:paraId="6AF8838C" w14:textId="77777777" w:rsidR="00E47DC5" w:rsidRPr="004C44D0" w:rsidRDefault="00E47DC5" w:rsidP="004030AA">
            <w:pPr>
              <w:pStyle w:val="Tabletext"/>
              <w:keepNext/>
              <w:keepLines/>
              <w:rPr>
                <w:i/>
                <w:iCs/>
              </w:rPr>
            </w:pPr>
            <w:r w:rsidRPr="004C44D0">
              <w:rPr>
                <w:i/>
                <w:iCs/>
              </w:rPr>
              <w:t>Population 2 (FMR)</w:t>
            </w:r>
          </w:p>
        </w:tc>
        <w:tc>
          <w:tcPr>
            <w:tcW w:w="1098" w:type="pct"/>
            <w:tcBorders>
              <w:top w:val="single" w:sz="4" w:space="0" w:color="auto"/>
              <w:left w:val="nil"/>
              <w:bottom w:val="single" w:sz="4" w:space="0" w:color="auto"/>
              <w:right w:val="nil"/>
            </w:tcBorders>
          </w:tcPr>
          <w:p w14:paraId="5ADB71FE" w14:textId="77777777" w:rsidR="00E47DC5" w:rsidRPr="004C44D0" w:rsidRDefault="00E47DC5" w:rsidP="004030AA">
            <w:pPr>
              <w:pStyle w:val="Tabletext"/>
              <w:keepNext/>
              <w:keepLines/>
              <w:jc w:val="right"/>
              <w:rPr>
                <w:i/>
                <w:iCs/>
              </w:rPr>
            </w:pPr>
          </w:p>
        </w:tc>
        <w:tc>
          <w:tcPr>
            <w:tcW w:w="1098" w:type="pct"/>
            <w:tcBorders>
              <w:top w:val="single" w:sz="4" w:space="0" w:color="auto"/>
              <w:left w:val="nil"/>
              <w:bottom w:val="single" w:sz="4" w:space="0" w:color="auto"/>
              <w:right w:val="nil"/>
            </w:tcBorders>
          </w:tcPr>
          <w:p w14:paraId="2FB0F8E9" w14:textId="77777777" w:rsidR="00E47DC5" w:rsidRPr="004C44D0" w:rsidRDefault="00E47DC5" w:rsidP="004030AA">
            <w:pPr>
              <w:pStyle w:val="Tabletext"/>
              <w:keepNext/>
              <w:keepLines/>
              <w:jc w:val="right"/>
              <w:rPr>
                <w:i/>
                <w:iCs/>
              </w:rPr>
            </w:pPr>
          </w:p>
        </w:tc>
        <w:tc>
          <w:tcPr>
            <w:tcW w:w="1098" w:type="pct"/>
            <w:tcBorders>
              <w:top w:val="single" w:sz="4" w:space="0" w:color="auto"/>
              <w:left w:val="nil"/>
              <w:bottom w:val="single" w:sz="4" w:space="0" w:color="auto"/>
              <w:right w:val="single" w:sz="4" w:space="0" w:color="auto"/>
            </w:tcBorders>
          </w:tcPr>
          <w:p w14:paraId="3349E21B" w14:textId="77777777" w:rsidR="00E47DC5" w:rsidRPr="004C44D0" w:rsidRDefault="00E47DC5" w:rsidP="004030AA">
            <w:pPr>
              <w:pStyle w:val="Tabletext"/>
              <w:keepNext/>
              <w:keepLines/>
              <w:jc w:val="right"/>
              <w:rPr>
                <w:i/>
                <w:iCs/>
              </w:rPr>
            </w:pPr>
          </w:p>
        </w:tc>
      </w:tr>
      <w:tr w:rsidR="00D85498" w:rsidRPr="00011322" w14:paraId="1CAE9BF1" w14:textId="77777777" w:rsidTr="00D85498">
        <w:trPr>
          <w:trHeight w:val="20"/>
        </w:trPr>
        <w:tc>
          <w:tcPr>
            <w:tcW w:w="1705" w:type="pct"/>
            <w:tcBorders>
              <w:top w:val="single" w:sz="4" w:space="0" w:color="auto"/>
              <w:left w:val="single" w:sz="4" w:space="0" w:color="auto"/>
              <w:bottom w:val="single" w:sz="4" w:space="0" w:color="auto"/>
              <w:right w:val="single" w:sz="4" w:space="0" w:color="auto"/>
            </w:tcBorders>
          </w:tcPr>
          <w:p w14:paraId="5DBF3C08" w14:textId="77777777" w:rsidR="00D85498" w:rsidRPr="00ED6F55" w:rsidRDefault="00D85498" w:rsidP="004030AA">
            <w:pPr>
              <w:pStyle w:val="Tabletext"/>
              <w:keepNext/>
              <w:keepLines/>
            </w:pPr>
            <w:r>
              <w:t>Costs</w:t>
            </w:r>
          </w:p>
        </w:tc>
        <w:tc>
          <w:tcPr>
            <w:tcW w:w="1098" w:type="pct"/>
            <w:tcBorders>
              <w:top w:val="single" w:sz="4" w:space="0" w:color="auto"/>
              <w:left w:val="single" w:sz="4" w:space="0" w:color="auto"/>
              <w:bottom w:val="single" w:sz="4" w:space="0" w:color="auto"/>
              <w:right w:val="single" w:sz="4" w:space="0" w:color="auto"/>
            </w:tcBorders>
          </w:tcPr>
          <w:p w14:paraId="0C6EE93C" w14:textId="180775EB" w:rsidR="00D85498" w:rsidRPr="00011322" w:rsidRDefault="00D85498" w:rsidP="004030AA">
            <w:pPr>
              <w:pStyle w:val="Tabletext"/>
              <w:keepNext/>
              <w:keepLines/>
              <w:jc w:val="right"/>
            </w:pPr>
            <w:r w:rsidRPr="00EA681F">
              <w:t>$redacted</w:t>
            </w:r>
          </w:p>
        </w:tc>
        <w:tc>
          <w:tcPr>
            <w:tcW w:w="1098" w:type="pct"/>
            <w:tcBorders>
              <w:top w:val="single" w:sz="4" w:space="0" w:color="auto"/>
              <w:left w:val="single" w:sz="4" w:space="0" w:color="auto"/>
              <w:bottom w:val="single" w:sz="4" w:space="0" w:color="auto"/>
              <w:right w:val="single" w:sz="4" w:space="0" w:color="auto"/>
            </w:tcBorders>
          </w:tcPr>
          <w:p w14:paraId="15F64C9C" w14:textId="00AF1229" w:rsidR="00D85498" w:rsidRPr="00011322" w:rsidRDefault="00D85498" w:rsidP="004030AA">
            <w:pPr>
              <w:pStyle w:val="Tabletext"/>
              <w:keepNext/>
              <w:keepLines/>
              <w:jc w:val="right"/>
            </w:pPr>
            <w:r w:rsidRPr="00EA681F">
              <w:t>$redacted</w:t>
            </w:r>
          </w:p>
        </w:tc>
        <w:tc>
          <w:tcPr>
            <w:tcW w:w="1098" w:type="pct"/>
            <w:tcBorders>
              <w:top w:val="single" w:sz="4" w:space="0" w:color="auto"/>
              <w:left w:val="single" w:sz="4" w:space="0" w:color="auto"/>
              <w:bottom w:val="single" w:sz="4" w:space="0" w:color="auto"/>
              <w:right w:val="single" w:sz="4" w:space="0" w:color="auto"/>
            </w:tcBorders>
          </w:tcPr>
          <w:p w14:paraId="24E5BDC9" w14:textId="66688804" w:rsidR="00D85498" w:rsidRPr="00011322" w:rsidRDefault="00D85498" w:rsidP="004030AA">
            <w:pPr>
              <w:pStyle w:val="Tabletext"/>
              <w:keepNext/>
              <w:keepLines/>
              <w:jc w:val="right"/>
            </w:pPr>
            <w:r w:rsidRPr="00EA681F">
              <w:t>$redacted</w:t>
            </w:r>
          </w:p>
        </w:tc>
      </w:tr>
      <w:tr w:rsidR="00D85498" w14:paraId="0E6B8BDA" w14:textId="77777777" w:rsidTr="00D85498">
        <w:trPr>
          <w:trHeight w:val="20"/>
        </w:trPr>
        <w:tc>
          <w:tcPr>
            <w:tcW w:w="1705" w:type="pct"/>
            <w:tcBorders>
              <w:top w:val="single" w:sz="4" w:space="0" w:color="auto"/>
              <w:left w:val="single" w:sz="4" w:space="0" w:color="auto"/>
              <w:bottom w:val="single" w:sz="4" w:space="0" w:color="auto"/>
              <w:right w:val="single" w:sz="4" w:space="0" w:color="auto"/>
            </w:tcBorders>
          </w:tcPr>
          <w:p w14:paraId="71A130CF" w14:textId="77777777" w:rsidR="00D85498" w:rsidRDefault="00D85498" w:rsidP="004030AA">
            <w:pPr>
              <w:pStyle w:val="Tabletext"/>
              <w:keepNext/>
              <w:keepLines/>
            </w:pPr>
            <w:r>
              <w:t>QALYs</w:t>
            </w:r>
          </w:p>
        </w:tc>
        <w:tc>
          <w:tcPr>
            <w:tcW w:w="1098" w:type="pct"/>
            <w:tcBorders>
              <w:top w:val="single" w:sz="4" w:space="0" w:color="auto"/>
              <w:left w:val="single" w:sz="4" w:space="0" w:color="auto"/>
              <w:bottom w:val="single" w:sz="4" w:space="0" w:color="auto"/>
              <w:right w:val="single" w:sz="4" w:space="0" w:color="auto"/>
            </w:tcBorders>
          </w:tcPr>
          <w:p w14:paraId="4FDA613F" w14:textId="42BE134E" w:rsidR="00D85498" w:rsidRPr="009360B9" w:rsidRDefault="00D85498" w:rsidP="004030AA">
            <w:pPr>
              <w:pStyle w:val="Tabletext"/>
              <w:keepNext/>
              <w:keepLines/>
              <w:jc w:val="right"/>
            </w:pPr>
            <w:r w:rsidRPr="00EA681F">
              <w:t>$redacted</w:t>
            </w:r>
          </w:p>
        </w:tc>
        <w:tc>
          <w:tcPr>
            <w:tcW w:w="1098" w:type="pct"/>
            <w:tcBorders>
              <w:top w:val="single" w:sz="4" w:space="0" w:color="auto"/>
              <w:left w:val="single" w:sz="4" w:space="0" w:color="auto"/>
              <w:bottom w:val="single" w:sz="4" w:space="0" w:color="auto"/>
              <w:right w:val="single" w:sz="4" w:space="0" w:color="auto"/>
            </w:tcBorders>
          </w:tcPr>
          <w:p w14:paraId="07D18508" w14:textId="748EEA82" w:rsidR="00D85498" w:rsidRPr="009360B9" w:rsidRDefault="00D85498" w:rsidP="004030AA">
            <w:pPr>
              <w:pStyle w:val="Tabletext"/>
              <w:keepNext/>
              <w:keepLines/>
              <w:jc w:val="right"/>
            </w:pPr>
            <w:r w:rsidRPr="00EA681F">
              <w:t>$redacted</w:t>
            </w:r>
          </w:p>
        </w:tc>
        <w:tc>
          <w:tcPr>
            <w:tcW w:w="1098" w:type="pct"/>
            <w:tcBorders>
              <w:top w:val="single" w:sz="4" w:space="0" w:color="auto"/>
              <w:left w:val="single" w:sz="4" w:space="0" w:color="auto"/>
              <w:bottom w:val="single" w:sz="4" w:space="0" w:color="auto"/>
              <w:right w:val="single" w:sz="4" w:space="0" w:color="auto"/>
            </w:tcBorders>
          </w:tcPr>
          <w:p w14:paraId="0BE940E7" w14:textId="7F6A05A8" w:rsidR="00D85498" w:rsidRDefault="00D85498" w:rsidP="004030AA">
            <w:pPr>
              <w:pStyle w:val="Tabletext"/>
              <w:keepNext/>
              <w:keepLines/>
              <w:jc w:val="right"/>
            </w:pPr>
            <w:r w:rsidRPr="00EA681F">
              <w:t>$redacted</w:t>
            </w:r>
          </w:p>
        </w:tc>
      </w:tr>
      <w:tr w:rsidR="00E47DC5" w14:paraId="3FCE646F" w14:textId="77777777" w:rsidTr="00D85498">
        <w:trPr>
          <w:trHeight w:val="20"/>
        </w:trPr>
        <w:tc>
          <w:tcPr>
            <w:tcW w:w="1705" w:type="pct"/>
            <w:tcBorders>
              <w:top w:val="single" w:sz="4" w:space="0" w:color="auto"/>
              <w:left w:val="single" w:sz="4" w:space="0" w:color="auto"/>
              <w:bottom w:val="single" w:sz="4" w:space="0" w:color="auto"/>
              <w:right w:val="nil"/>
            </w:tcBorders>
          </w:tcPr>
          <w:p w14:paraId="4EE0EAEF" w14:textId="77777777" w:rsidR="00E47DC5" w:rsidRPr="00ED6F55" w:rsidRDefault="00E47DC5" w:rsidP="004030AA">
            <w:pPr>
              <w:pStyle w:val="Tabletext"/>
              <w:keepNext/>
              <w:keepLines/>
            </w:pPr>
            <w:r>
              <w:t>ICER</w:t>
            </w:r>
          </w:p>
        </w:tc>
        <w:tc>
          <w:tcPr>
            <w:tcW w:w="1098" w:type="pct"/>
            <w:tcBorders>
              <w:top w:val="single" w:sz="4" w:space="0" w:color="auto"/>
              <w:left w:val="nil"/>
              <w:bottom w:val="single" w:sz="4" w:space="0" w:color="auto"/>
              <w:right w:val="nil"/>
            </w:tcBorders>
          </w:tcPr>
          <w:p w14:paraId="25A1AA44" w14:textId="77777777" w:rsidR="00E47DC5" w:rsidRPr="009360B9" w:rsidRDefault="00E47DC5" w:rsidP="004030AA">
            <w:pPr>
              <w:pStyle w:val="Tabletext"/>
              <w:keepNext/>
              <w:keepLines/>
              <w:jc w:val="right"/>
            </w:pPr>
          </w:p>
        </w:tc>
        <w:tc>
          <w:tcPr>
            <w:tcW w:w="1098" w:type="pct"/>
            <w:tcBorders>
              <w:top w:val="single" w:sz="4" w:space="0" w:color="auto"/>
              <w:left w:val="nil"/>
              <w:bottom w:val="single" w:sz="4" w:space="0" w:color="auto"/>
              <w:right w:val="single" w:sz="4" w:space="0" w:color="auto"/>
            </w:tcBorders>
          </w:tcPr>
          <w:p w14:paraId="460DCB91" w14:textId="77777777" w:rsidR="00E47DC5" w:rsidRPr="009360B9" w:rsidRDefault="00E47DC5" w:rsidP="004030AA">
            <w:pPr>
              <w:pStyle w:val="Tabletext"/>
              <w:keepNext/>
              <w:keepLines/>
              <w:jc w:val="right"/>
            </w:pPr>
          </w:p>
        </w:tc>
        <w:tc>
          <w:tcPr>
            <w:tcW w:w="1098" w:type="pct"/>
            <w:tcBorders>
              <w:top w:val="single" w:sz="4" w:space="0" w:color="auto"/>
              <w:left w:val="single" w:sz="4" w:space="0" w:color="auto"/>
              <w:bottom w:val="single" w:sz="4" w:space="0" w:color="auto"/>
              <w:right w:val="single" w:sz="4" w:space="0" w:color="auto"/>
            </w:tcBorders>
          </w:tcPr>
          <w:p w14:paraId="1A4763DA" w14:textId="2F0F6445" w:rsidR="00E47DC5" w:rsidRDefault="00D85498" w:rsidP="004030AA">
            <w:pPr>
              <w:pStyle w:val="Tabletext"/>
              <w:keepNext/>
              <w:keepLines/>
              <w:jc w:val="right"/>
            </w:pPr>
            <w:r>
              <w:t>$redacted</w:t>
            </w:r>
          </w:p>
        </w:tc>
      </w:tr>
    </w:tbl>
    <w:p w14:paraId="6BEFBFAD" w14:textId="77777777" w:rsidR="00E47DC5" w:rsidRPr="00183E4D" w:rsidRDefault="00E47DC5" w:rsidP="00F657E0">
      <w:pPr>
        <w:pStyle w:val="Tablenotes"/>
      </w:pPr>
      <w:r>
        <w:t>Source: Table 4, p32 of ADAR</w:t>
      </w:r>
    </w:p>
    <w:p w14:paraId="67994961" w14:textId="1C049630" w:rsidR="001A3974" w:rsidRDefault="001A3974" w:rsidP="001A3974">
      <w:pPr>
        <w:spacing w:after="240"/>
      </w:pPr>
      <w:r>
        <w:t xml:space="preserve">The ADAR claimed, based on the results of the model; for both indications, i.e., DMR (Population 1) and FMR (Population 2), ICERs of </w:t>
      </w:r>
      <w:r w:rsidR="00D85498">
        <w:t>$</w:t>
      </w:r>
      <w:r w:rsidR="00D85498" w:rsidRPr="00ED24C6">
        <w:rPr>
          <w:b/>
          <w:szCs w:val="24"/>
        </w:rPr>
        <w:t>redacted</w:t>
      </w:r>
      <w:r w:rsidR="00D85498" w:rsidRPr="00D44A8D">
        <w:t xml:space="preserve"> </w:t>
      </w:r>
      <w:r>
        <w:t xml:space="preserve">and </w:t>
      </w:r>
      <w:r w:rsidR="00D85498">
        <w:t>$</w:t>
      </w:r>
      <w:r w:rsidR="00D85498" w:rsidRPr="00ED24C6">
        <w:rPr>
          <w:b/>
          <w:szCs w:val="24"/>
        </w:rPr>
        <w:t>redacted</w:t>
      </w:r>
      <w:r w:rsidR="00D85498" w:rsidRPr="00D44A8D">
        <w:t xml:space="preserve"> </w:t>
      </w:r>
      <w:r>
        <w:t xml:space="preserve">respectively for TMVr compared to OMT can be considered </w:t>
      </w:r>
      <w:r w:rsidRPr="002E4719">
        <w:t xml:space="preserve">as </w:t>
      </w:r>
      <w:r w:rsidRPr="002E4719">
        <w:rPr>
          <w:bCs/>
        </w:rPr>
        <w:t>cost-effective</w:t>
      </w:r>
      <w:r>
        <w:t xml:space="preserve"> from the Australian healthcare system perspective.</w:t>
      </w:r>
    </w:p>
    <w:p w14:paraId="7EA1000D" w14:textId="77777777" w:rsidR="00E47DC5" w:rsidRDefault="00E47DC5" w:rsidP="00683623">
      <w:pPr>
        <w:spacing w:after="240"/>
      </w:pPr>
      <w:r>
        <w:lastRenderedPageBreak/>
        <w:t xml:space="preserve">Previously ESC raised four main concerns in regards to MSAC 1192.2 (PSD Application No. 1192.2, p12). These concerns were: utility measures used were not based on </w:t>
      </w:r>
      <w:r w:rsidRPr="005E5D1B">
        <w:t>comparative analysis;</w:t>
      </w:r>
      <w:r>
        <w:t xml:space="preserve"> s</w:t>
      </w:r>
      <w:r w:rsidRPr="005E5D1B">
        <w:t>urvival benefit extrapolated on very short-term data for the comparator group;</w:t>
      </w:r>
      <w:r>
        <w:t xml:space="preserve"> the ICER is potentially underestimated with a greater </w:t>
      </w:r>
      <w:r w:rsidRPr="005E5D1B">
        <w:t>likelihood that it is significantly higher; and</w:t>
      </w:r>
      <w:r>
        <w:t xml:space="preserve"> t</w:t>
      </w:r>
      <w:r w:rsidRPr="005E5D1B">
        <w:t>he ICER is highly sensitive to the hazard ratio.</w:t>
      </w:r>
      <w:r>
        <w:t xml:space="preserve"> The ADAR presented sensitivity analyses testing utility values, and hazard ratios; however, survival benefit over very </w:t>
      </w:r>
      <w:r w:rsidR="00683623">
        <w:t>short-term data was not tested.</w:t>
      </w:r>
    </w:p>
    <w:p w14:paraId="018BEF8F" w14:textId="77777777" w:rsidR="00E47DC5" w:rsidRDefault="00E47DC5" w:rsidP="00683623">
      <w:pPr>
        <w:spacing w:after="240"/>
      </w:pPr>
      <w:r>
        <w:t>The ADAR modelled results were most sensitive to the TMVr hazard ratio for overall survival, and to the model horizon. Also identified as important drivers of the modelled cost-effectiveness of TMVr are the TMVr procedure hospitalisation cost, CHF hospitalisation rates, and selected utility values (</w:t>
      </w:r>
      <w:r>
        <w:fldChar w:fldCharType="begin"/>
      </w:r>
      <w:r>
        <w:instrText xml:space="preserve"> REF _Ref31561059 \h </w:instrText>
      </w:r>
      <w:r>
        <w:fldChar w:fldCharType="separate"/>
      </w:r>
      <w:r w:rsidRPr="004342A0">
        <w:t>Table</w:t>
      </w:r>
      <w:r>
        <w:t>s</w:t>
      </w:r>
      <w:r w:rsidRPr="004342A0">
        <w:t xml:space="preserve"> </w:t>
      </w:r>
      <w:r>
        <w:rPr>
          <w:noProof/>
        </w:rPr>
        <w:t>7</w:t>
      </w:r>
      <w:r>
        <w:fldChar w:fldCharType="end"/>
      </w:r>
      <w:r>
        <w:t>,</w:t>
      </w:r>
      <w:r>
        <w:fldChar w:fldCharType="begin"/>
      </w:r>
      <w:r>
        <w:instrText xml:space="preserve"> REF _Ref34046604 \h </w:instrText>
      </w:r>
      <w:r>
        <w:fldChar w:fldCharType="separate"/>
      </w:r>
      <w:r>
        <w:t xml:space="preserve"> </w:t>
      </w:r>
      <w:r>
        <w:rPr>
          <w:noProof/>
        </w:rPr>
        <w:t>8</w:t>
      </w:r>
      <w:r>
        <w:fldChar w:fldCharType="end"/>
      </w:r>
      <w:r>
        <w:t xml:space="preserve"> and</w:t>
      </w:r>
      <w:r>
        <w:fldChar w:fldCharType="begin"/>
      </w:r>
      <w:r>
        <w:instrText xml:space="preserve"> REF _Ref34046591 \h </w:instrText>
      </w:r>
      <w:r>
        <w:fldChar w:fldCharType="separate"/>
      </w:r>
      <w:r>
        <w:t xml:space="preserve"> </w:t>
      </w:r>
      <w:r>
        <w:rPr>
          <w:noProof/>
        </w:rPr>
        <w:t>9</w:t>
      </w:r>
      <w:r>
        <w:fldChar w:fldCharType="end"/>
      </w:r>
      <w:r w:rsidR="00683623">
        <w:t>).</w:t>
      </w:r>
    </w:p>
    <w:p w14:paraId="7071E5BD" w14:textId="5BA2F457" w:rsidR="00E47DC5" w:rsidRPr="00BE70ED" w:rsidRDefault="00E47DC5" w:rsidP="00BE70ED">
      <w:pPr>
        <w:rPr>
          <w:rFonts w:ascii="Arial Narrow" w:hAnsi="Arial Narrow"/>
          <w:b/>
          <w:sz w:val="20"/>
        </w:rPr>
      </w:pPr>
      <w:bookmarkStart w:id="26" w:name="_Ref31561059"/>
      <w:bookmarkStart w:id="27" w:name="_Toc22047107"/>
      <w:bookmarkStart w:id="28" w:name="_Ref31561052"/>
      <w:r w:rsidRPr="00BE70ED">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Pr="00BE70ED">
        <w:rPr>
          <w:rFonts w:ascii="Arial Narrow" w:hAnsi="Arial Narrow"/>
          <w:b/>
          <w:sz w:val="20"/>
        </w:rPr>
        <w:t>7</w:t>
      </w:r>
      <w:r w:rsidRPr="00BE70ED">
        <w:rPr>
          <w:rFonts w:ascii="Arial Narrow" w:hAnsi="Arial Narrow"/>
          <w:b/>
          <w:sz w:val="20"/>
        </w:rPr>
        <w:fldChar w:fldCharType="end"/>
      </w:r>
      <w:bookmarkEnd w:id="26"/>
      <w:r w:rsidRPr="00BE70ED">
        <w:rPr>
          <w:rFonts w:ascii="Arial Narrow" w:hAnsi="Arial Narrow"/>
          <w:b/>
          <w:sz w:val="20"/>
        </w:rPr>
        <w:tab/>
      </w:r>
      <w:bookmarkEnd w:id="27"/>
      <w:bookmarkEnd w:id="28"/>
      <w:r w:rsidRPr="00BE70ED">
        <w:rPr>
          <w:rFonts w:ascii="Arial Narrow" w:hAnsi="Arial Narrow"/>
          <w:b/>
          <w:sz w:val="20"/>
        </w:rPr>
        <w:t>Key drivers of the economic model</w:t>
      </w:r>
    </w:p>
    <w:tbl>
      <w:tblPr>
        <w:tblStyle w:val="TableGrid"/>
        <w:tblW w:w="5000" w:type="pct"/>
        <w:tblLook w:val="01E0" w:firstRow="1" w:lastRow="1" w:firstColumn="1" w:lastColumn="1" w:noHBand="0" w:noVBand="0"/>
        <w:tblDescription w:val="Key drivers of the economic model"/>
      </w:tblPr>
      <w:tblGrid>
        <w:gridCol w:w="3004"/>
        <w:gridCol w:w="3004"/>
        <w:gridCol w:w="3008"/>
      </w:tblGrid>
      <w:tr w:rsidR="00E47DC5" w14:paraId="060B8587" w14:textId="77777777" w:rsidTr="005462CA">
        <w:trPr>
          <w:trHeight w:val="20"/>
          <w:tblHeader/>
        </w:trPr>
        <w:tc>
          <w:tcPr>
            <w:tcW w:w="1666" w:type="pct"/>
          </w:tcPr>
          <w:p w14:paraId="5C87649E" w14:textId="77777777" w:rsidR="00E47DC5" w:rsidRDefault="00E47DC5" w:rsidP="004030AA">
            <w:pPr>
              <w:pStyle w:val="Tabletext"/>
              <w:keepNext/>
              <w:keepLines/>
              <w:rPr>
                <w:b/>
              </w:rPr>
            </w:pPr>
            <w:r>
              <w:rPr>
                <w:b/>
              </w:rPr>
              <w:t>Description</w:t>
            </w:r>
          </w:p>
        </w:tc>
        <w:tc>
          <w:tcPr>
            <w:tcW w:w="1666" w:type="pct"/>
          </w:tcPr>
          <w:p w14:paraId="512BE86D" w14:textId="77777777" w:rsidR="00E47DC5" w:rsidRPr="00F83AD4" w:rsidRDefault="00E47DC5" w:rsidP="004030AA">
            <w:pPr>
              <w:pStyle w:val="Tabletext"/>
              <w:keepNext/>
              <w:keepLines/>
              <w:rPr>
                <w:b/>
              </w:rPr>
            </w:pPr>
            <w:r>
              <w:rPr>
                <w:b/>
              </w:rPr>
              <w:t>Method/Value</w:t>
            </w:r>
          </w:p>
        </w:tc>
        <w:tc>
          <w:tcPr>
            <w:tcW w:w="1668" w:type="pct"/>
          </w:tcPr>
          <w:p w14:paraId="1C806E13" w14:textId="77777777" w:rsidR="00E47DC5" w:rsidRPr="00F83AD4" w:rsidRDefault="00E47DC5" w:rsidP="004030AA">
            <w:pPr>
              <w:pStyle w:val="Tabletext"/>
              <w:keepNext/>
              <w:keepLines/>
              <w:rPr>
                <w:b/>
              </w:rPr>
            </w:pPr>
            <w:r>
              <w:rPr>
                <w:b/>
              </w:rPr>
              <w:t>Impact</w:t>
            </w:r>
          </w:p>
        </w:tc>
      </w:tr>
      <w:tr w:rsidR="00E47DC5" w:rsidRPr="00463459" w14:paraId="5C323363" w14:textId="77777777" w:rsidTr="005462CA">
        <w:trPr>
          <w:trHeight w:val="20"/>
        </w:trPr>
        <w:tc>
          <w:tcPr>
            <w:tcW w:w="1666" w:type="pct"/>
          </w:tcPr>
          <w:p w14:paraId="030E4F7C" w14:textId="0507693E" w:rsidR="00E47DC5" w:rsidRDefault="00E47DC5" w:rsidP="004030AA">
            <w:pPr>
              <w:pStyle w:val="Tabletext"/>
              <w:keepNext/>
              <w:keepLines/>
            </w:pPr>
            <w:r w:rsidRPr="00F90ED1">
              <w:t xml:space="preserve">TMVr procedure hospitalisation cost – net of prosthesis cost </w:t>
            </w:r>
            <w:r w:rsidR="00D85498">
              <w:t>($redacted)</w:t>
            </w:r>
          </w:p>
        </w:tc>
        <w:tc>
          <w:tcPr>
            <w:tcW w:w="1666" w:type="pct"/>
          </w:tcPr>
          <w:p w14:paraId="570BE771" w14:textId="0FB10A22" w:rsidR="00E47DC5" w:rsidRPr="00484B22" w:rsidRDefault="00D85498" w:rsidP="004030AA">
            <w:pPr>
              <w:pStyle w:val="Tabletext"/>
              <w:keepNext/>
              <w:keepLines/>
              <w:rPr>
                <w:bCs/>
              </w:rPr>
            </w:pPr>
            <w:r>
              <w:rPr>
                <w:bCs/>
              </w:rPr>
              <w:t>$redacted</w:t>
            </w:r>
          </w:p>
        </w:tc>
        <w:tc>
          <w:tcPr>
            <w:tcW w:w="1668" w:type="pct"/>
          </w:tcPr>
          <w:p w14:paraId="7EBAB802" w14:textId="77777777" w:rsidR="00E47DC5" w:rsidRPr="00463459" w:rsidRDefault="00E47DC5" w:rsidP="004030AA">
            <w:pPr>
              <w:pStyle w:val="Tabletext"/>
              <w:keepNext/>
              <w:keepLines/>
              <w:rPr>
                <w:bCs/>
              </w:rPr>
            </w:pPr>
            <w:r>
              <w:rPr>
                <w:bCs/>
              </w:rPr>
              <w:t>Moderate</w:t>
            </w:r>
          </w:p>
        </w:tc>
      </w:tr>
      <w:tr w:rsidR="00E47DC5" w:rsidRPr="00011322" w14:paraId="27C35E49" w14:textId="77777777" w:rsidTr="005462CA">
        <w:trPr>
          <w:trHeight w:val="20"/>
        </w:trPr>
        <w:tc>
          <w:tcPr>
            <w:tcW w:w="1666" w:type="pct"/>
          </w:tcPr>
          <w:p w14:paraId="0CEA572D" w14:textId="77777777" w:rsidR="00E47DC5" w:rsidRDefault="00E47DC5" w:rsidP="004030AA">
            <w:pPr>
              <w:pStyle w:val="Tabletext"/>
              <w:keepNext/>
              <w:keepLines/>
            </w:pPr>
            <w:r>
              <w:t>TMVr overall survival hazard ratio</w:t>
            </w:r>
          </w:p>
          <w:p w14:paraId="151F16A4" w14:textId="77777777" w:rsidR="00E47DC5" w:rsidRDefault="00E47DC5" w:rsidP="004030AA">
            <w:pPr>
              <w:pStyle w:val="Tabletext"/>
              <w:keepNext/>
              <w:keepLines/>
            </w:pPr>
            <w:r>
              <w:t>(DMR: 0.47; FMR: 0.62)</w:t>
            </w:r>
          </w:p>
        </w:tc>
        <w:tc>
          <w:tcPr>
            <w:tcW w:w="1666" w:type="pct"/>
          </w:tcPr>
          <w:p w14:paraId="64B45B61" w14:textId="77777777" w:rsidR="00E47DC5" w:rsidRPr="00484B22" w:rsidRDefault="00E47DC5" w:rsidP="004030AA">
            <w:pPr>
              <w:pStyle w:val="Tabletext"/>
              <w:keepNext/>
              <w:keepLines/>
              <w:rPr>
                <w:bCs/>
              </w:rPr>
            </w:pPr>
            <w:r>
              <w:rPr>
                <w:bCs/>
              </w:rPr>
              <w:t>Population 1 (DMR) = 0.47</w:t>
            </w:r>
            <w:r>
              <w:rPr>
                <w:bCs/>
              </w:rPr>
              <w:br/>
              <w:t>Population 2 (FMR) = 0.62</w:t>
            </w:r>
          </w:p>
        </w:tc>
        <w:tc>
          <w:tcPr>
            <w:tcW w:w="1668" w:type="pct"/>
          </w:tcPr>
          <w:p w14:paraId="76229537" w14:textId="77777777" w:rsidR="00E47DC5" w:rsidRPr="00011322" w:rsidRDefault="00E47DC5" w:rsidP="004030AA">
            <w:pPr>
              <w:pStyle w:val="Tabletext"/>
              <w:keepNext/>
              <w:keepLines/>
            </w:pPr>
            <w:r>
              <w:t>Moderate</w:t>
            </w:r>
          </w:p>
        </w:tc>
      </w:tr>
      <w:tr w:rsidR="00E47DC5" w:rsidRPr="00011322" w14:paraId="4B4324D8" w14:textId="77777777" w:rsidTr="005462CA">
        <w:trPr>
          <w:trHeight w:val="20"/>
        </w:trPr>
        <w:tc>
          <w:tcPr>
            <w:tcW w:w="1666" w:type="pct"/>
          </w:tcPr>
          <w:p w14:paraId="0D04E160" w14:textId="77777777" w:rsidR="00E47DC5" w:rsidRDefault="00E47DC5" w:rsidP="004030AA">
            <w:pPr>
              <w:pStyle w:val="Tabletext"/>
              <w:keepNext/>
              <w:keepLines/>
            </w:pPr>
            <w:r>
              <w:t>Utility values</w:t>
            </w:r>
          </w:p>
        </w:tc>
        <w:tc>
          <w:tcPr>
            <w:tcW w:w="1666" w:type="pct"/>
          </w:tcPr>
          <w:p w14:paraId="0F46E4F6" w14:textId="77777777" w:rsidR="00E47DC5" w:rsidRPr="00484B22" w:rsidRDefault="00E47DC5" w:rsidP="004030AA">
            <w:pPr>
              <w:pStyle w:val="Tabletext"/>
              <w:keepNext/>
              <w:keepLines/>
              <w:rPr>
                <w:bCs/>
              </w:rPr>
            </w:pPr>
            <w:r w:rsidRPr="00484B22">
              <w:rPr>
                <w:bCs/>
              </w:rPr>
              <w:t xml:space="preserve">Gohler et al </w:t>
            </w:r>
            <w:r>
              <w:rPr>
                <w:bCs/>
              </w:rPr>
              <w:t>(</w:t>
            </w:r>
            <w:r w:rsidRPr="00484B22">
              <w:rPr>
                <w:bCs/>
              </w:rPr>
              <w:t>2009</w:t>
            </w:r>
            <w:r>
              <w:rPr>
                <w:bCs/>
              </w:rPr>
              <w:t>)</w:t>
            </w:r>
            <w:r w:rsidRPr="00484B22">
              <w:rPr>
                <w:bCs/>
              </w:rPr>
              <w:t>;</w:t>
            </w:r>
            <w:r>
              <w:rPr>
                <w:bCs/>
              </w:rPr>
              <w:br/>
              <w:t xml:space="preserve">NYHA I = </w:t>
            </w:r>
            <w:r w:rsidRPr="00484B22">
              <w:rPr>
                <w:bCs/>
              </w:rPr>
              <w:t>0.90,</w:t>
            </w:r>
            <w:r>
              <w:rPr>
                <w:bCs/>
              </w:rPr>
              <w:t xml:space="preserve"> NYHA II = </w:t>
            </w:r>
            <w:r w:rsidRPr="00484B22">
              <w:rPr>
                <w:bCs/>
              </w:rPr>
              <w:t>0.83,</w:t>
            </w:r>
            <w:r>
              <w:rPr>
                <w:bCs/>
              </w:rPr>
              <w:t xml:space="preserve"> NYHA III = </w:t>
            </w:r>
            <w:r w:rsidRPr="00484B22">
              <w:rPr>
                <w:bCs/>
              </w:rPr>
              <w:t>0.74,</w:t>
            </w:r>
            <w:r>
              <w:rPr>
                <w:bCs/>
              </w:rPr>
              <w:t xml:space="preserve"> NYHA IV = </w:t>
            </w:r>
            <w:r w:rsidRPr="00484B22">
              <w:rPr>
                <w:bCs/>
              </w:rPr>
              <w:t>0.60)</w:t>
            </w:r>
          </w:p>
        </w:tc>
        <w:tc>
          <w:tcPr>
            <w:tcW w:w="1668" w:type="pct"/>
          </w:tcPr>
          <w:p w14:paraId="2DCA76FA" w14:textId="77777777" w:rsidR="00E47DC5" w:rsidRPr="00011322" w:rsidRDefault="00E47DC5" w:rsidP="004030AA">
            <w:pPr>
              <w:pStyle w:val="Tabletext"/>
              <w:keepNext/>
              <w:keepLines/>
            </w:pPr>
            <w:r>
              <w:t>Moderate</w:t>
            </w:r>
          </w:p>
        </w:tc>
      </w:tr>
      <w:tr w:rsidR="00E47DC5" w:rsidRPr="00011322" w14:paraId="37453055" w14:textId="77777777" w:rsidTr="005462CA">
        <w:trPr>
          <w:trHeight w:val="20"/>
        </w:trPr>
        <w:tc>
          <w:tcPr>
            <w:tcW w:w="1666" w:type="pct"/>
          </w:tcPr>
          <w:p w14:paraId="69E94C01" w14:textId="77777777" w:rsidR="00E47DC5" w:rsidRDefault="00E47DC5" w:rsidP="004030AA">
            <w:pPr>
              <w:pStyle w:val="Tabletext"/>
              <w:keepNext/>
              <w:keepLines/>
            </w:pPr>
            <w:r w:rsidRPr="00F90ED1">
              <w:t>Annual rate of CHF hospitalisation</w:t>
            </w:r>
          </w:p>
        </w:tc>
        <w:tc>
          <w:tcPr>
            <w:tcW w:w="1666" w:type="pct"/>
          </w:tcPr>
          <w:p w14:paraId="3615C4E4" w14:textId="77777777" w:rsidR="00E47DC5" w:rsidRPr="00484B22" w:rsidRDefault="00E47DC5" w:rsidP="004030AA">
            <w:pPr>
              <w:pStyle w:val="Tabletext"/>
              <w:keepNext/>
              <w:keepLines/>
              <w:rPr>
                <w:bCs/>
              </w:rPr>
            </w:pPr>
            <w:r>
              <w:rPr>
                <w:bCs/>
              </w:rPr>
              <w:t>Population 1 (DMR)</w:t>
            </w:r>
            <w:r>
              <w:rPr>
                <w:bCs/>
              </w:rPr>
              <w:br/>
              <w:t>TMVr = 0.36</w:t>
            </w:r>
            <w:r>
              <w:rPr>
                <w:bCs/>
              </w:rPr>
              <w:br/>
              <w:t>OMT = 0.65</w:t>
            </w:r>
            <w:r>
              <w:rPr>
                <w:bCs/>
              </w:rPr>
              <w:br/>
              <w:t>Population 2 (FMR)</w:t>
            </w:r>
            <w:r>
              <w:rPr>
                <w:bCs/>
              </w:rPr>
              <w:br/>
              <w:t>TMVr = 0.358</w:t>
            </w:r>
            <w:r>
              <w:rPr>
                <w:bCs/>
              </w:rPr>
              <w:br/>
              <w:t>OMT = 0.679</w:t>
            </w:r>
          </w:p>
        </w:tc>
        <w:tc>
          <w:tcPr>
            <w:tcW w:w="1668" w:type="pct"/>
          </w:tcPr>
          <w:p w14:paraId="7C2F2256" w14:textId="77777777" w:rsidR="00E47DC5" w:rsidRPr="00011322" w:rsidRDefault="00E47DC5" w:rsidP="004030AA">
            <w:pPr>
              <w:pStyle w:val="Tabletext"/>
              <w:keepNext/>
              <w:keepLines/>
            </w:pPr>
            <w:r>
              <w:t>Moderate, low uncertainty</w:t>
            </w:r>
          </w:p>
        </w:tc>
      </w:tr>
      <w:tr w:rsidR="00E47DC5" w:rsidRPr="00011322" w14:paraId="2AE6DCF0" w14:textId="77777777" w:rsidTr="005462CA">
        <w:trPr>
          <w:trHeight w:val="20"/>
        </w:trPr>
        <w:tc>
          <w:tcPr>
            <w:tcW w:w="1666" w:type="pct"/>
          </w:tcPr>
          <w:p w14:paraId="745C06B7" w14:textId="77777777" w:rsidR="00E47DC5" w:rsidRDefault="00E47DC5" w:rsidP="004030AA">
            <w:pPr>
              <w:pStyle w:val="Tabletext"/>
              <w:keepNext/>
              <w:keepLines/>
            </w:pPr>
            <w:r>
              <w:t>Model horizon</w:t>
            </w:r>
          </w:p>
        </w:tc>
        <w:tc>
          <w:tcPr>
            <w:tcW w:w="1666" w:type="pct"/>
          </w:tcPr>
          <w:p w14:paraId="097A9285" w14:textId="77777777" w:rsidR="00E47DC5" w:rsidRPr="00484B22" w:rsidRDefault="00E47DC5" w:rsidP="004030AA">
            <w:pPr>
              <w:pStyle w:val="Tabletext"/>
              <w:keepNext/>
              <w:keepLines/>
              <w:rPr>
                <w:bCs/>
              </w:rPr>
            </w:pPr>
            <w:r>
              <w:rPr>
                <w:bCs/>
              </w:rPr>
              <w:t>10 years</w:t>
            </w:r>
          </w:p>
        </w:tc>
        <w:tc>
          <w:tcPr>
            <w:tcW w:w="1668" w:type="pct"/>
          </w:tcPr>
          <w:p w14:paraId="3E53AB7E" w14:textId="77777777" w:rsidR="00E47DC5" w:rsidRPr="00011322" w:rsidRDefault="00E47DC5" w:rsidP="004030AA">
            <w:pPr>
              <w:pStyle w:val="Tabletext"/>
              <w:keepNext/>
              <w:keepLines/>
            </w:pPr>
            <w:r>
              <w:t>High</w:t>
            </w:r>
          </w:p>
        </w:tc>
      </w:tr>
    </w:tbl>
    <w:p w14:paraId="75B6A6B2" w14:textId="77777777" w:rsidR="00E47DC5" w:rsidRDefault="00E47DC5" w:rsidP="00F657E0">
      <w:pPr>
        <w:pStyle w:val="Tablenotes"/>
      </w:pPr>
      <w:bookmarkStart w:id="29" w:name="_Hlk22037216"/>
      <w:r>
        <w:t>Source: Table 5, p32 of ADAR</w:t>
      </w:r>
    </w:p>
    <w:bookmarkEnd w:id="29"/>
    <w:p w14:paraId="7BF3DDE4" w14:textId="085D2420" w:rsidR="00134B10" w:rsidRPr="00683623" w:rsidRDefault="00E47DC5" w:rsidP="00683623">
      <w:pPr>
        <w:spacing w:after="240"/>
      </w:pPr>
      <w:r w:rsidRPr="00A755A9">
        <w:t xml:space="preserve">The commentary further tested the variables in the model. The variables which impacted the ICER the most are shown in </w:t>
      </w:r>
      <w:r w:rsidRPr="00A755A9">
        <w:fldChar w:fldCharType="begin"/>
      </w:r>
      <w:r w:rsidRPr="00A755A9">
        <w:instrText xml:space="preserve"> REF _Ref32407897 \h </w:instrText>
      </w:r>
      <w:r>
        <w:rPr>
          <w:highlight w:val="yellow"/>
        </w:rPr>
        <w:instrText xml:space="preserve"> \* MERGEFORMAT </w:instrText>
      </w:r>
      <w:r w:rsidRPr="00A755A9">
        <w:fldChar w:fldCharType="separate"/>
      </w:r>
      <w:r w:rsidRPr="00A755A9">
        <w:t xml:space="preserve">Figure </w:t>
      </w:r>
      <w:r w:rsidRPr="00A755A9">
        <w:rPr>
          <w:noProof/>
        </w:rPr>
        <w:t>6</w:t>
      </w:r>
      <w:r w:rsidRPr="00A755A9">
        <w:fldChar w:fldCharType="end"/>
      </w:r>
      <w:r w:rsidRPr="00A755A9">
        <w:t xml:space="preserve"> and </w:t>
      </w:r>
      <w:r>
        <w:fldChar w:fldCharType="begin"/>
      </w:r>
      <w:r>
        <w:instrText xml:space="preserve"> REF _Ref34046604 \h </w:instrText>
      </w:r>
      <w:r>
        <w:fldChar w:fldCharType="separate"/>
      </w:r>
      <w:r>
        <w:t xml:space="preserve">Table </w:t>
      </w:r>
      <w:r>
        <w:rPr>
          <w:noProof/>
        </w:rPr>
        <w:t>8</w:t>
      </w:r>
      <w:r>
        <w:fldChar w:fldCharType="end"/>
      </w:r>
      <w:r>
        <w:t xml:space="preserve"> </w:t>
      </w:r>
      <w:r w:rsidRPr="00A755A9">
        <w:t xml:space="preserve">for the DMR model and </w:t>
      </w:r>
      <w:r w:rsidRPr="00A755A9">
        <w:fldChar w:fldCharType="begin"/>
      </w:r>
      <w:r w:rsidRPr="00A755A9">
        <w:instrText xml:space="preserve"> REF _Ref31313109 \h </w:instrText>
      </w:r>
      <w:r>
        <w:rPr>
          <w:highlight w:val="yellow"/>
        </w:rPr>
        <w:instrText xml:space="preserve"> \* MERGEFORMAT </w:instrText>
      </w:r>
      <w:r w:rsidRPr="00A755A9">
        <w:fldChar w:fldCharType="separate"/>
      </w:r>
      <w:r w:rsidRPr="00A755A9">
        <w:t xml:space="preserve">Figure </w:t>
      </w:r>
      <w:r w:rsidRPr="00A755A9">
        <w:rPr>
          <w:noProof/>
        </w:rPr>
        <w:t>7</w:t>
      </w:r>
      <w:r w:rsidRPr="00A755A9">
        <w:fldChar w:fldCharType="end"/>
      </w:r>
      <w:r w:rsidRPr="00A755A9">
        <w:t xml:space="preserve"> and </w:t>
      </w:r>
      <w:r>
        <w:fldChar w:fldCharType="begin"/>
      </w:r>
      <w:r>
        <w:instrText xml:space="preserve"> REF _Ref34046591 \h </w:instrText>
      </w:r>
      <w:r>
        <w:fldChar w:fldCharType="separate"/>
      </w:r>
      <w:r>
        <w:t>Table </w:t>
      </w:r>
      <w:r>
        <w:rPr>
          <w:noProof/>
        </w:rPr>
        <w:t>9</w:t>
      </w:r>
      <w:r>
        <w:fldChar w:fldCharType="end"/>
      </w:r>
      <w:r>
        <w:t xml:space="preserve"> </w:t>
      </w:r>
      <w:r w:rsidRPr="00A755A9">
        <w:t>for the FMR model</w:t>
      </w:r>
      <w:r w:rsidRPr="006B2A24">
        <w:t>.</w:t>
      </w:r>
    </w:p>
    <w:p w14:paraId="791EDEF3" w14:textId="0E92B591" w:rsidR="00E47DC5" w:rsidRPr="00D85498" w:rsidRDefault="00D85498" w:rsidP="00E47DC5">
      <w:pPr>
        <w:keepNext/>
        <w:jc w:val="both"/>
        <w:rPr>
          <w:b/>
        </w:rPr>
      </w:pPr>
      <w:r w:rsidRPr="00D85498">
        <w:rPr>
          <w:b/>
        </w:rPr>
        <w:t>Redacted</w:t>
      </w:r>
    </w:p>
    <w:p w14:paraId="305C0864" w14:textId="77777777" w:rsidR="00E47DC5" w:rsidRPr="00BE70ED" w:rsidRDefault="00E47DC5" w:rsidP="00BE70ED">
      <w:pPr>
        <w:rPr>
          <w:rFonts w:ascii="Arial Narrow" w:hAnsi="Arial Narrow"/>
          <w:b/>
          <w:sz w:val="20"/>
        </w:rPr>
      </w:pPr>
      <w:bookmarkStart w:id="30" w:name="_Ref32407897"/>
      <w:r w:rsidRPr="00BE70ED">
        <w:rPr>
          <w:rFonts w:ascii="Arial Narrow" w:hAnsi="Arial Narrow"/>
          <w:b/>
          <w:sz w:val="20"/>
        </w:rPr>
        <w:t xml:space="preserve">Figure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Figure \* ARABIC </w:instrText>
      </w:r>
      <w:r w:rsidR="00ED24C6" w:rsidRPr="00BE70ED">
        <w:rPr>
          <w:rFonts w:ascii="Arial Narrow" w:hAnsi="Arial Narrow"/>
          <w:b/>
          <w:sz w:val="20"/>
        </w:rPr>
        <w:fldChar w:fldCharType="separate"/>
      </w:r>
      <w:r w:rsidRPr="00BE70ED">
        <w:rPr>
          <w:rFonts w:ascii="Arial Narrow" w:hAnsi="Arial Narrow"/>
          <w:b/>
          <w:sz w:val="20"/>
        </w:rPr>
        <w:t>6</w:t>
      </w:r>
      <w:r w:rsidR="00ED24C6" w:rsidRPr="00BE70ED">
        <w:rPr>
          <w:rFonts w:ascii="Arial Narrow" w:hAnsi="Arial Narrow"/>
          <w:b/>
          <w:sz w:val="20"/>
        </w:rPr>
        <w:fldChar w:fldCharType="end"/>
      </w:r>
      <w:bookmarkEnd w:id="30"/>
      <w:r w:rsidRPr="00BE70ED">
        <w:rPr>
          <w:rFonts w:ascii="Arial Narrow" w:hAnsi="Arial Narrow"/>
          <w:b/>
          <w:sz w:val="20"/>
        </w:rPr>
        <w:tab/>
        <w:t>Tornado diagram of key drivers of the DMR model</w:t>
      </w:r>
    </w:p>
    <w:p w14:paraId="55BA9E66" w14:textId="77777777" w:rsidR="00E47DC5" w:rsidRPr="006B2A24" w:rsidRDefault="00E47DC5" w:rsidP="00683623">
      <w:pPr>
        <w:pStyle w:val="TableNote"/>
      </w:pPr>
      <w:r>
        <w:t>Source: F</w:t>
      </w:r>
      <w:r w:rsidR="00683623">
        <w:t>igure 29, p83 of the commentary</w:t>
      </w:r>
    </w:p>
    <w:p w14:paraId="735B8020" w14:textId="5E973E64" w:rsidR="00E47DC5" w:rsidRPr="00D85498" w:rsidRDefault="00D85498" w:rsidP="00D85498">
      <w:pPr>
        <w:keepNext/>
        <w:keepLines/>
        <w:spacing w:before="240"/>
        <w:rPr>
          <w:b/>
        </w:rPr>
      </w:pPr>
      <w:r w:rsidRPr="00D85498">
        <w:rPr>
          <w:b/>
        </w:rPr>
        <w:t>Redacted</w:t>
      </w:r>
    </w:p>
    <w:p w14:paraId="184F39FF" w14:textId="77777777" w:rsidR="00E47DC5" w:rsidRPr="00BE70ED" w:rsidRDefault="00E47DC5" w:rsidP="00BE70ED">
      <w:pPr>
        <w:rPr>
          <w:rFonts w:ascii="Arial Narrow" w:hAnsi="Arial Narrow"/>
          <w:b/>
          <w:sz w:val="20"/>
        </w:rPr>
      </w:pPr>
      <w:bookmarkStart w:id="31" w:name="_Ref31313109"/>
      <w:bookmarkStart w:id="32" w:name="_Toc31308508"/>
      <w:bookmarkStart w:id="33" w:name="_Toc32243729"/>
      <w:bookmarkStart w:id="34" w:name="_Toc31315050"/>
      <w:r w:rsidRPr="00BE70ED">
        <w:rPr>
          <w:rFonts w:ascii="Arial Narrow" w:hAnsi="Arial Narrow"/>
          <w:b/>
          <w:sz w:val="20"/>
        </w:rPr>
        <w:t xml:space="preserve">Figure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Figure \* ARABIC </w:instrText>
      </w:r>
      <w:r w:rsidR="00ED24C6" w:rsidRPr="00BE70ED">
        <w:rPr>
          <w:rFonts w:ascii="Arial Narrow" w:hAnsi="Arial Narrow"/>
          <w:b/>
          <w:sz w:val="20"/>
        </w:rPr>
        <w:fldChar w:fldCharType="separate"/>
      </w:r>
      <w:r w:rsidRPr="00BE70ED">
        <w:rPr>
          <w:rFonts w:ascii="Arial Narrow" w:hAnsi="Arial Narrow"/>
          <w:b/>
          <w:sz w:val="20"/>
        </w:rPr>
        <w:t>7</w:t>
      </w:r>
      <w:r w:rsidR="00ED24C6" w:rsidRPr="00BE70ED">
        <w:rPr>
          <w:rFonts w:ascii="Arial Narrow" w:hAnsi="Arial Narrow"/>
          <w:b/>
          <w:sz w:val="20"/>
        </w:rPr>
        <w:fldChar w:fldCharType="end"/>
      </w:r>
      <w:bookmarkEnd w:id="31"/>
      <w:r w:rsidRPr="00BE70ED">
        <w:rPr>
          <w:rFonts w:ascii="Arial Narrow" w:hAnsi="Arial Narrow"/>
          <w:b/>
          <w:sz w:val="20"/>
        </w:rPr>
        <w:tab/>
        <w:t>Tornado diagram of key drivers for the FMR model</w:t>
      </w:r>
      <w:bookmarkEnd w:id="32"/>
      <w:bookmarkEnd w:id="33"/>
      <w:bookmarkEnd w:id="34"/>
    </w:p>
    <w:p w14:paraId="3270B48B" w14:textId="77777777" w:rsidR="009C5AB3" w:rsidRDefault="00E47DC5" w:rsidP="009C5AB3">
      <w:pPr>
        <w:pStyle w:val="TableNote"/>
      </w:pPr>
      <w:r>
        <w:t xml:space="preserve">Source: Figure 30, p83 of the </w:t>
      </w:r>
      <w:r w:rsidR="00683623">
        <w:t>commentary</w:t>
      </w:r>
      <w:r w:rsidR="009C5AB3">
        <w:br w:type="page"/>
      </w:r>
    </w:p>
    <w:p w14:paraId="28CB0839" w14:textId="77777777" w:rsidR="00E47DC5" w:rsidRPr="00BE70ED" w:rsidRDefault="00E47DC5" w:rsidP="00BE70ED">
      <w:pPr>
        <w:rPr>
          <w:rFonts w:ascii="Arial Narrow" w:hAnsi="Arial Narrow"/>
          <w:b/>
          <w:sz w:val="20"/>
        </w:rPr>
      </w:pPr>
      <w:bookmarkStart w:id="35" w:name="_Ref34046604"/>
      <w:bookmarkStart w:id="36" w:name="_Toc31308458"/>
      <w:bookmarkStart w:id="37" w:name="_Toc32243677"/>
      <w:r w:rsidRPr="00BE70ED">
        <w:rPr>
          <w:rFonts w:ascii="Arial Narrow" w:hAnsi="Arial Narrow"/>
          <w:b/>
          <w:sz w:val="20"/>
        </w:rPr>
        <w:lastRenderedPageBreak/>
        <w:t xml:space="preserve">Table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Table \* ARABIC </w:instrText>
      </w:r>
      <w:r w:rsidR="00ED24C6" w:rsidRPr="00BE70ED">
        <w:rPr>
          <w:rFonts w:ascii="Arial Narrow" w:hAnsi="Arial Narrow"/>
          <w:b/>
          <w:sz w:val="20"/>
        </w:rPr>
        <w:fldChar w:fldCharType="separate"/>
      </w:r>
      <w:r w:rsidRPr="00BE70ED">
        <w:rPr>
          <w:rFonts w:ascii="Arial Narrow" w:hAnsi="Arial Narrow"/>
          <w:b/>
          <w:sz w:val="20"/>
        </w:rPr>
        <w:t>8</w:t>
      </w:r>
      <w:r w:rsidR="00ED24C6" w:rsidRPr="00BE70ED">
        <w:rPr>
          <w:rFonts w:ascii="Arial Narrow" w:hAnsi="Arial Narrow"/>
          <w:b/>
          <w:sz w:val="20"/>
        </w:rPr>
        <w:fldChar w:fldCharType="end"/>
      </w:r>
      <w:bookmarkEnd w:id="35"/>
      <w:r w:rsidRPr="00BE70ED">
        <w:rPr>
          <w:rFonts w:ascii="Arial Narrow" w:hAnsi="Arial Narrow"/>
          <w:b/>
          <w:sz w:val="20"/>
        </w:rPr>
        <w:t xml:space="preserve"> Results of the sensitivity analyses (DMR model)</w:t>
      </w:r>
      <w:bookmarkEnd w:id="36"/>
      <w:bookmarkEnd w:id="37"/>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ults of the sensitivity analyses (DMR model)"/>
      </w:tblPr>
      <w:tblGrid>
        <w:gridCol w:w="3402"/>
        <w:gridCol w:w="1487"/>
        <w:gridCol w:w="1395"/>
        <w:gridCol w:w="1221"/>
        <w:gridCol w:w="1229"/>
      </w:tblGrid>
      <w:tr w:rsidR="00E47DC5" w:rsidRPr="00C30EAD" w14:paraId="3B90C7AF" w14:textId="77777777" w:rsidTr="004030AA">
        <w:trPr>
          <w:cantSplit/>
          <w:tblHeader/>
        </w:trPr>
        <w:tc>
          <w:tcPr>
            <w:tcW w:w="3402" w:type="dxa"/>
            <w:vAlign w:val="center"/>
          </w:tcPr>
          <w:p w14:paraId="10073060" w14:textId="77777777" w:rsidR="00E47DC5" w:rsidRPr="00C30EAD" w:rsidRDefault="00E47DC5" w:rsidP="004030AA">
            <w:pPr>
              <w:widowControl w:val="0"/>
              <w:tabs>
                <w:tab w:val="left" w:pos="248"/>
              </w:tabs>
              <w:spacing w:before="40" w:after="40"/>
              <w:rPr>
                <w:rFonts w:ascii="Arial Narrow" w:hAnsi="Arial Narrow" w:cs="Tahoma"/>
                <w:b/>
                <w:sz w:val="20"/>
              </w:rPr>
            </w:pPr>
            <w:r w:rsidRPr="00C30EAD">
              <w:rPr>
                <w:rFonts w:ascii="Arial Narrow" w:hAnsi="Arial Narrow" w:cs="Tahoma"/>
                <w:b/>
                <w:sz w:val="20"/>
              </w:rPr>
              <w:t>Analyses</w:t>
            </w:r>
          </w:p>
        </w:tc>
        <w:tc>
          <w:tcPr>
            <w:tcW w:w="1487" w:type="dxa"/>
            <w:vAlign w:val="center"/>
          </w:tcPr>
          <w:p w14:paraId="7ED79927" w14:textId="77777777" w:rsidR="00E47DC5" w:rsidRPr="00C30EAD" w:rsidRDefault="00E47DC5" w:rsidP="004030AA">
            <w:pPr>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Incremental cost</w:t>
            </w:r>
          </w:p>
        </w:tc>
        <w:tc>
          <w:tcPr>
            <w:tcW w:w="1395" w:type="dxa"/>
            <w:vAlign w:val="center"/>
          </w:tcPr>
          <w:p w14:paraId="301B7BE8" w14:textId="77777777" w:rsidR="00E47DC5" w:rsidRPr="00C30EAD" w:rsidRDefault="00E47DC5" w:rsidP="004030AA">
            <w:pPr>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Incremental QALY</w:t>
            </w:r>
          </w:p>
        </w:tc>
        <w:tc>
          <w:tcPr>
            <w:tcW w:w="1221" w:type="dxa"/>
            <w:vAlign w:val="center"/>
          </w:tcPr>
          <w:p w14:paraId="296D4E2C" w14:textId="77777777" w:rsidR="00E47DC5" w:rsidRPr="00C30EAD" w:rsidRDefault="00E47DC5" w:rsidP="004030AA">
            <w:pPr>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ICER</w:t>
            </w:r>
          </w:p>
        </w:tc>
        <w:tc>
          <w:tcPr>
            <w:tcW w:w="1229" w:type="dxa"/>
            <w:vAlign w:val="center"/>
          </w:tcPr>
          <w:p w14:paraId="615CAE1F" w14:textId="77777777" w:rsidR="00E47DC5" w:rsidRPr="00C30EAD" w:rsidRDefault="00E47DC5" w:rsidP="004030AA">
            <w:pPr>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 change ICER</w:t>
            </w:r>
          </w:p>
        </w:tc>
      </w:tr>
      <w:tr w:rsidR="00D85498" w:rsidRPr="00C30EAD" w14:paraId="1AB5FE18" w14:textId="77777777" w:rsidTr="004030AA">
        <w:trPr>
          <w:cantSplit/>
        </w:trPr>
        <w:tc>
          <w:tcPr>
            <w:tcW w:w="3402" w:type="dxa"/>
            <w:vAlign w:val="center"/>
          </w:tcPr>
          <w:p w14:paraId="3C49580B" w14:textId="77777777" w:rsidR="00D85498" w:rsidRPr="00C30EAD" w:rsidRDefault="00D85498" w:rsidP="004030AA">
            <w:pPr>
              <w:widowControl w:val="0"/>
              <w:tabs>
                <w:tab w:val="left" w:pos="248"/>
              </w:tabs>
              <w:spacing w:before="40" w:after="40"/>
              <w:rPr>
                <w:rFonts w:ascii="Arial Narrow" w:hAnsi="Arial Narrow" w:cs="Tahoma"/>
                <w:b/>
                <w:sz w:val="20"/>
              </w:rPr>
            </w:pPr>
            <w:r w:rsidRPr="00C30EAD">
              <w:rPr>
                <w:rFonts w:ascii="Arial Narrow" w:hAnsi="Arial Narrow" w:cs="Tahoma"/>
                <w:b/>
                <w:sz w:val="20"/>
              </w:rPr>
              <w:t>DMR population base case</w:t>
            </w:r>
          </w:p>
        </w:tc>
        <w:tc>
          <w:tcPr>
            <w:tcW w:w="1487" w:type="dxa"/>
          </w:tcPr>
          <w:p w14:paraId="64C3852C" w14:textId="1355661D" w:rsidR="00D85498" w:rsidRPr="00C30EAD" w:rsidRDefault="00D85498" w:rsidP="004030AA">
            <w:pPr>
              <w:widowControl w:val="0"/>
              <w:tabs>
                <w:tab w:val="left" w:pos="106"/>
              </w:tabs>
              <w:spacing w:before="40" w:after="40"/>
              <w:ind w:left="176"/>
              <w:jc w:val="center"/>
              <w:rPr>
                <w:rFonts w:ascii="Arial Narrow" w:hAnsi="Arial Narrow" w:cs="Tahoma"/>
                <w:b/>
                <w:bCs/>
                <w:sz w:val="20"/>
              </w:rPr>
            </w:pPr>
            <w:r>
              <w:rPr>
                <w:rFonts w:ascii="Arial Narrow" w:hAnsi="Arial Narrow" w:cs="Tahoma"/>
                <w:b/>
                <w:bCs/>
                <w:sz w:val="20"/>
              </w:rPr>
              <w:t>$redacted</w:t>
            </w:r>
          </w:p>
        </w:tc>
        <w:tc>
          <w:tcPr>
            <w:tcW w:w="1395" w:type="dxa"/>
          </w:tcPr>
          <w:p w14:paraId="3BD8C765" w14:textId="268AED80" w:rsidR="00D85498" w:rsidRPr="00C30EAD" w:rsidRDefault="00D85498" w:rsidP="004030AA">
            <w:pPr>
              <w:widowControl w:val="0"/>
              <w:tabs>
                <w:tab w:val="left" w:pos="106"/>
              </w:tabs>
              <w:spacing w:before="40" w:after="40"/>
              <w:ind w:left="176"/>
              <w:jc w:val="center"/>
              <w:rPr>
                <w:rFonts w:ascii="Arial Narrow" w:hAnsi="Arial Narrow" w:cs="Tahoma"/>
                <w:b/>
                <w:sz w:val="20"/>
              </w:rPr>
            </w:pPr>
            <w:r w:rsidRPr="00EF4B63">
              <w:rPr>
                <w:rFonts w:ascii="Arial Narrow" w:hAnsi="Arial Narrow" w:cs="Tahoma"/>
                <w:b/>
                <w:bCs/>
                <w:sz w:val="20"/>
              </w:rPr>
              <w:t>redacted</w:t>
            </w:r>
          </w:p>
        </w:tc>
        <w:tc>
          <w:tcPr>
            <w:tcW w:w="1221" w:type="dxa"/>
          </w:tcPr>
          <w:p w14:paraId="06664270" w14:textId="03CB3F81" w:rsidR="00D85498" w:rsidRPr="00C30EAD" w:rsidRDefault="00D85498" w:rsidP="004030AA">
            <w:pPr>
              <w:widowControl w:val="0"/>
              <w:tabs>
                <w:tab w:val="left" w:pos="106"/>
              </w:tabs>
              <w:spacing w:before="40" w:after="40"/>
              <w:ind w:left="176"/>
              <w:jc w:val="center"/>
              <w:rPr>
                <w:rFonts w:ascii="Arial Narrow" w:hAnsi="Arial Narrow" w:cs="Tahoma"/>
                <w:b/>
                <w:sz w:val="20"/>
              </w:rPr>
            </w:pPr>
            <w:r w:rsidRPr="00EF4B63">
              <w:rPr>
                <w:rFonts w:ascii="Arial Narrow" w:hAnsi="Arial Narrow" w:cs="Tahoma"/>
                <w:b/>
                <w:bCs/>
                <w:sz w:val="20"/>
              </w:rPr>
              <w:t>$redacted</w:t>
            </w:r>
          </w:p>
        </w:tc>
        <w:tc>
          <w:tcPr>
            <w:tcW w:w="1229" w:type="dxa"/>
            <w:vAlign w:val="center"/>
          </w:tcPr>
          <w:p w14:paraId="1C0F86E0" w14:textId="77777777" w:rsidR="00D85498" w:rsidRPr="00C30EAD" w:rsidRDefault="00D85498" w:rsidP="004030AA">
            <w:pPr>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w:t>
            </w:r>
          </w:p>
        </w:tc>
      </w:tr>
      <w:tr w:rsidR="00E47DC5" w:rsidRPr="00C30EAD" w14:paraId="32E337A3" w14:textId="77777777" w:rsidTr="004030AA">
        <w:trPr>
          <w:cantSplit/>
          <w:trHeight w:val="129"/>
        </w:trPr>
        <w:tc>
          <w:tcPr>
            <w:tcW w:w="8734" w:type="dxa"/>
            <w:gridSpan w:val="5"/>
            <w:vAlign w:val="center"/>
          </w:tcPr>
          <w:p w14:paraId="52E19378"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bCs/>
                <w:sz w:val="20"/>
              </w:rPr>
              <w:t xml:space="preserve">TMVr overall survival hazard ratio </w:t>
            </w:r>
            <w:r w:rsidRPr="00C30EAD">
              <w:rPr>
                <w:rFonts w:ascii="Arial Narrow" w:hAnsi="Arial Narrow" w:cs="Tahoma"/>
                <w:sz w:val="20"/>
              </w:rPr>
              <w:t xml:space="preserve">(base case: </w:t>
            </w:r>
            <w:r w:rsidRPr="00C30EAD">
              <w:rPr>
                <w:rFonts w:ascii="Arial Narrow" w:hAnsi="Arial Narrow" w:cs="Tahoma"/>
                <w:bCs/>
                <w:sz w:val="20"/>
              </w:rPr>
              <w:t>0.47</w:t>
            </w:r>
            <w:r w:rsidRPr="00C30EAD">
              <w:rPr>
                <w:rFonts w:ascii="Arial Narrow" w:hAnsi="Arial Narrow" w:cs="Tahoma"/>
                <w:sz w:val="20"/>
              </w:rPr>
              <w:t>)</w:t>
            </w:r>
          </w:p>
        </w:tc>
      </w:tr>
      <w:tr w:rsidR="00D85498" w:rsidRPr="00C30EAD" w14:paraId="59991533" w14:textId="77777777" w:rsidTr="004030AA">
        <w:trPr>
          <w:cantSplit/>
          <w:trHeight w:val="129"/>
        </w:trPr>
        <w:tc>
          <w:tcPr>
            <w:tcW w:w="3402" w:type="dxa"/>
          </w:tcPr>
          <w:p w14:paraId="51DA4846" w14:textId="77777777" w:rsidR="00D85498" w:rsidRPr="00C30EAD" w:rsidRDefault="00D85498"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b/>
              <w:t>95% LCL 0.24</w:t>
            </w:r>
          </w:p>
        </w:tc>
        <w:tc>
          <w:tcPr>
            <w:tcW w:w="1487" w:type="dxa"/>
          </w:tcPr>
          <w:p w14:paraId="3E137A06" w14:textId="0B285D2B"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395" w:type="dxa"/>
          </w:tcPr>
          <w:p w14:paraId="0C3D14CB" w14:textId="006E34C6"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E5376B5" w14:textId="483C4BBD" w:rsidR="00D85498" w:rsidRPr="00C30EAD" w:rsidRDefault="00D85498" w:rsidP="004030AA">
            <w:pPr>
              <w:widowControl w:val="0"/>
              <w:tabs>
                <w:tab w:val="left" w:pos="106"/>
              </w:tabs>
              <w:spacing w:before="40" w:after="40"/>
              <w:jc w:val="center"/>
              <w:rPr>
                <w:rFonts w:ascii="Arial Narrow" w:hAnsi="Arial Narrow" w:cs="Arial"/>
                <w:sz w:val="20"/>
              </w:rPr>
            </w:pPr>
            <w:r w:rsidRPr="00475A22">
              <w:rPr>
                <w:rFonts w:ascii="Arial Narrow" w:hAnsi="Arial Narrow" w:cs="Tahoma"/>
                <w:sz w:val="20"/>
              </w:rPr>
              <w:t>$redacted</w:t>
            </w:r>
          </w:p>
        </w:tc>
        <w:tc>
          <w:tcPr>
            <w:tcW w:w="1229" w:type="dxa"/>
          </w:tcPr>
          <w:p w14:paraId="02FDB1C2" w14:textId="7777777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-21%</w:t>
            </w:r>
          </w:p>
        </w:tc>
      </w:tr>
      <w:tr w:rsidR="00D85498" w:rsidRPr="00C30EAD" w14:paraId="7340ECFC" w14:textId="77777777" w:rsidTr="004030AA">
        <w:trPr>
          <w:cantSplit/>
          <w:trHeight w:val="129"/>
        </w:trPr>
        <w:tc>
          <w:tcPr>
            <w:tcW w:w="3402" w:type="dxa"/>
          </w:tcPr>
          <w:p w14:paraId="60CF286F" w14:textId="77777777" w:rsidR="00D85498" w:rsidRPr="00C30EAD" w:rsidRDefault="00D85498"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b/>
              <w:t>95% UCL 0.93</w:t>
            </w:r>
          </w:p>
        </w:tc>
        <w:tc>
          <w:tcPr>
            <w:tcW w:w="1487" w:type="dxa"/>
          </w:tcPr>
          <w:p w14:paraId="064F122E" w14:textId="794FDF14"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9F1732">
              <w:rPr>
                <w:rFonts w:ascii="Arial Narrow" w:hAnsi="Arial Narrow" w:cs="Tahoma"/>
                <w:sz w:val="20"/>
              </w:rPr>
              <w:t>$redacted</w:t>
            </w:r>
          </w:p>
        </w:tc>
        <w:tc>
          <w:tcPr>
            <w:tcW w:w="1395" w:type="dxa"/>
          </w:tcPr>
          <w:p w14:paraId="227918BF" w14:textId="40B9D326"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AB72D68" w14:textId="43B7D1AA" w:rsidR="00D85498" w:rsidRPr="00C30EAD" w:rsidRDefault="00D85498" w:rsidP="004030AA">
            <w:pPr>
              <w:widowControl w:val="0"/>
              <w:tabs>
                <w:tab w:val="left" w:pos="106"/>
              </w:tabs>
              <w:spacing w:before="40" w:after="40"/>
              <w:jc w:val="center"/>
              <w:rPr>
                <w:rFonts w:ascii="Arial Narrow" w:hAnsi="Arial Narrow" w:cs="Tahoma"/>
                <w:sz w:val="20"/>
              </w:rPr>
            </w:pPr>
            <w:r w:rsidRPr="00475A22">
              <w:rPr>
                <w:rFonts w:ascii="Arial Narrow" w:hAnsi="Arial Narrow" w:cs="Tahoma"/>
                <w:sz w:val="20"/>
              </w:rPr>
              <w:t>$redacted</w:t>
            </w:r>
          </w:p>
        </w:tc>
        <w:tc>
          <w:tcPr>
            <w:tcW w:w="1229" w:type="dxa"/>
          </w:tcPr>
          <w:p w14:paraId="0055B658" w14:textId="7777777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73%</w:t>
            </w:r>
          </w:p>
        </w:tc>
      </w:tr>
      <w:tr w:rsidR="00D85498" w:rsidRPr="00C30EAD" w14:paraId="14B4406E" w14:textId="77777777" w:rsidTr="004030AA">
        <w:trPr>
          <w:cantSplit/>
          <w:trHeight w:val="129"/>
        </w:trPr>
        <w:tc>
          <w:tcPr>
            <w:tcW w:w="3402" w:type="dxa"/>
          </w:tcPr>
          <w:p w14:paraId="1CD08765" w14:textId="77777777" w:rsidR="00D85498" w:rsidRPr="00C30EAD" w:rsidRDefault="00D85498"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b/>
              <w:t>Same as FMR (0.62)</w:t>
            </w:r>
          </w:p>
        </w:tc>
        <w:tc>
          <w:tcPr>
            <w:tcW w:w="1487" w:type="dxa"/>
          </w:tcPr>
          <w:p w14:paraId="06E6FBB2" w14:textId="6835A65C"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9F1732">
              <w:rPr>
                <w:rFonts w:ascii="Arial Narrow" w:hAnsi="Arial Narrow" w:cs="Tahoma"/>
                <w:sz w:val="20"/>
              </w:rPr>
              <w:t>$redacted</w:t>
            </w:r>
          </w:p>
        </w:tc>
        <w:tc>
          <w:tcPr>
            <w:tcW w:w="1395" w:type="dxa"/>
          </w:tcPr>
          <w:p w14:paraId="66529282" w14:textId="1E2DE861"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08CB83EF" w14:textId="7A04881A" w:rsidR="00D85498" w:rsidRPr="00C30EAD" w:rsidRDefault="00D85498" w:rsidP="004030AA">
            <w:pPr>
              <w:widowControl w:val="0"/>
              <w:tabs>
                <w:tab w:val="left" w:pos="106"/>
              </w:tabs>
              <w:spacing w:before="40" w:after="40"/>
              <w:jc w:val="center"/>
              <w:rPr>
                <w:rFonts w:ascii="Arial Narrow" w:hAnsi="Arial Narrow" w:cs="Tahoma"/>
                <w:sz w:val="20"/>
              </w:rPr>
            </w:pPr>
            <w:r w:rsidRPr="00475A22">
              <w:rPr>
                <w:rFonts w:ascii="Arial Narrow" w:hAnsi="Arial Narrow" w:cs="Tahoma"/>
                <w:sz w:val="20"/>
              </w:rPr>
              <w:t>$redacted</w:t>
            </w:r>
          </w:p>
        </w:tc>
        <w:tc>
          <w:tcPr>
            <w:tcW w:w="1229" w:type="dxa"/>
          </w:tcPr>
          <w:p w14:paraId="02912139" w14:textId="7777777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18%</w:t>
            </w:r>
          </w:p>
        </w:tc>
      </w:tr>
      <w:tr w:rsidR="00E47DC5" w:rsidRPr="00C30EAD" w14:paraId="615AC320" w14:textId="77777777" w:rsidTr="004030AA">
        <w:trPr>
          <w:cantSplit/>
          <w:trHeight w:val="129"/>
        </w:trPr>
        <w:tc>
          <w:tcPr>
            <w:tcW w:w="8734" w:type="dxa"/>
            <w:gridSpan w:val="5"/>
            <w:vAlign w:val="center"/>
          </w:tcPr>
          <w:p w14:paraId="621882B2" w14:textId="0EDEFAD5"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 xml:space="preserve">TMVr procedure hospitalisation cost – net of prosthesis cost (base case: </w:t>
            </w:r>
            <w:r w:rsidR="00D85498">
              <w:rPr>
                <w:rFonts w:ascii="Arial Narrow" w:hAnsi="Arial Narrow" w:cs="Tahoma"/>
                <w:sz w:val="20"/>
              </w:rPr>
              <w:t>$redacted</w:t>
            </w:r>
            <w:r w:rsidRPr="00C30EAD">
              <w:rPr>
                <w:rFonts w:ascii="Arial Narrow" w:hAnsi="Arial Narrow" w:cs="Tahoma"/>
                <w:sz w:val="20"/>
              </w:rPr>
              <w:t>)</w:t>
            </w:r>
          </w:p>
        </w:tc>
      </w:tr>
      <w:tr w:rsidR="00D85498" w:rsidRPr="00C30EAD" w14:paraId="7B3A5449" w14:textId="77777777" w:rsidTr="004030AA">
        <w:trPr>
          <w:cantSplit/>
          <w:trHeight w:val="129"/>
        </w:trPr>
        <w:tc>
          <w:tcPr>
            <w:tcW w:w="3402" w:type="dxa"/>
            <w:vAlign w:val="center"/>
          </w:tcPr>
          <w:p w14:paraId="71FC8202" w14:textId="77777777" w:rsidR="00D85498" w:rsidRPr="00C30EAD" w:rsidRDefault="00D85498"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F19B ($8,317)</w:t>
            </w:r>
          </w:p>
        </w:tc>
        <w:tc>
          <w:tcPr>
            <w:tcW w:w="1487" w:type="dxa"/>
          </w:tcPr>
          <w:p w14:paraId="7F146954" w14:textId="736A47F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FC5850">
              <w:rPr>
                <w:rFonts w:ascii="Arial Narrow" w:hAnsi="Arial Narrow" w:cs="Tahoma"/>
                <w:sz w:val="20"/>
              </w:rPr>
              <w:t>$redacted</w:t>
            </w:r>
          </w:p>
        </w:tc>
        <w:tc>
          <w:tcPr>
            <w:tcW w:w="1395" w:type="dxa"/>
          </w:tcPr>
          <w:p w14:paraId="4D19BD37" w14:textId="5B1FD772"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6F7CD100" w14:textId="03BD0240" w:rsidR="00D85498" w:rsidRPr="00C30EAD" w:rsidRDefault="00D85498" w:rsidP="004030AA">
            <w:pPr>
              <w:widowControl w:val="0"/>
              <w:tabs>
                <w:tab w:val="left" w:pos="106"/>
              </w:tabs>
              <w:spacing w:before="40" w:after="40"/>
              <w:jc w:val="center"/>
              <w:rPr>
                <w:rFonts w:ascii="Arial Narrow" w:hAnsi="Arial Narrow" w:cs="Tahoma"/>
                <w:sz w:val="20"/>
              </w:rPr>
            </w:pPr>
            <w:r w:rsidRPr="007F29E8">
              <w:rPr>
                <w:rFonts w:ascii="Arial Narrow" w:hAnsi="Arial Narrow" w:cs="Tahoma"/>
                <w:sz w:val="20"/>
              </w:rPr>
              <w:t>$redacted</w:t>
            </w:r>
          </w:p>
        </w:tc>
        <w:tc>
          <w:tcPr>
            <w:tcW w:w="1229" w:type="dxa"/>
          </w:tcPr>
          <w:p w14:paraId="226AEE07" w14:textId="7777777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7%</w:t>
            </w:r>
          </w:p>
        </w:tc>
      </w:tr>
      <w:tr w:rsidR="00D85498" w:rsidRPr="00C30EAD" w14:paraId="338D1FA8" w14:textId="77777777" w:rsidTr="004030AA">
        <w:trPr>
          <w:cantSplit/>
          <w:trHeight w:val="129"/>
        </w:trPr>
        <w:tc>
          <w:tcPr>
            <w:tcW w:w="3402" w:type="dxa"/>
            <w:vAlign w:val="center"/>
          </w:tcPr>
          <w:p w14:paraId="07C07B3F" w14:textId="77777777" w:rsidR="00D85498" w:rsidRPr="00C30EAD" w:rsidRDefault="00D85498"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F09B ($22,122)</w:t>
            </w:r>
          </w:p>
        </w:tc>
        <w:tc>
          <w:tcPr>
            <w:tcW w:w="1487" w:type="dxa"/>
          </w:tcPr>
          <w:p w14:paraId="7E44C3C6" w14:textId="75BBE33A"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FC5850">
              <w:rPr>
                <w:rFonts w:ascii="Arial Narrow" w:hAnsi="Arial Narrow" w:cs="Tahoma"/>
                <w:sz w:val="20"/>
              </w:rPr>
              <w:t>$redacted</w:t>
            </w:r>
          </w:p>
        </w:tc>
        <w:tc>
          <w:tcPr>
            <w:tcW w:w="1395" w:type="dxa"/>
          </w:tcPr>
          <w:p w14:paraId="2F17835C" w14:textId="5FB7B3ED" w:rsidR="00D85498"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341720C9" w14:textId="3B31ED51" w:rsidR="00D85498" w:rsidRPr="00C30EAD" w:rsidRDefault="00D85498" w:rsidP="004030AA">
            <w:pPr>
              <w:widowControl w:val="0"/>
              <w:tabs>
                <w:tab w:val="left" w:pos="106"/>
              </w:tabs>
              <w:spacing w:before="40" w:after="40"/>
              <w:jc w:val="center"/>
              <w:rPr>
                <w:rFonts w:ascii="Arial Narrow" w:hAnsi="Arial Narrow" w:cs="Tahoma"/>
                <w:sz w:val="20"/>
              </w:rPr>
            </w:pPr>
            <w:r w:rsidRPr="007F29E8">
              <w:rPr>
                <w:rFonts w:ascii="Arial Narrow" w:hAnsi="Arial Narrow" w:cs="Tahoma"/>
                <w:sz w:val="20"/>
              </w:rPr>
              <w:t>$redacted</w:t>
            </w:r>
          </w:p>
        </w:tc>
        <w:tc>
          <w:tcPr>
            <w:tcW w:w="1229" w:type="dxa"/>
          </w:tcPr>
          <w:p w14:paraId="765199FB" w14:textId="77777777" w:rsidR="00D85498" w:rsidRPr="00C30EAD" w:rsidRDefault="00D85498"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23%</w:t>
            </w:r>
          </w:p>
        </w:tc>
      </w:tr>
      <w:tr w:rsidR="00E47DC5" w:rsidRPr="00C30EAD" w14:paraId="6400AACF" w14:textId="77777777" w:rsidTr="004030AA">
        <w:trPr>
          <w:cantSplit/>
          <w:trHeight w:val="129"/>
        </w:trPr>
        <w:tc>
          <w:tcPr>
            <w:tcW w:w="8734" w:type="dxa"/>
            <w:gridSpan w:val="5"/>
            <w:vAlign w:val="center"/>
          </w:tcPr>
          <w:p w14:paraId="4804320B"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OMT adverse event costs per cycle (base case: $0.00)</w:t>
            </w:r>
          </w:p>
        </w:tc>
      </w:tr>
      <w:tr w:rsidR="00E47DC5" w:rsidRPr="00C30EAD" w14:paraId="7E1D4026" w14:textId="77777777" w:rsidTr="004030AA">
        <w:trPr>
          <w:cantSplit/>
          <w:trHeight w:val="129"/>
        </w:trPr>
        <w:tc>
          <w:tcPr>
            <w:tcW w:w="3402" w:type="dxa"/>
            <w:vAlign w:val="center"/>
          </w:tcPr>
          <w:p w14:paraId="08A5A6BD" w14:textId="77777777" w:rsidR="00E47DC5" w:rsidRPr="00C30EAD" w:rsidRDefault="00E47DC5"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Equal to TMVr post-procedural adverse event cost ($164.41 per cycle)</w:t>
            </w:r>
          </w:p>
        </w:tc>
        <w:tc>
          <w:tcPr>
            <w:tcW w:w="1487" w:type="dxa"/>
          </w:tcPr>
          <w:p w14:paraId="55FA447A" w14:textId="2CD53754" w:rsidR="00E47DC5" w:rsidRPr="00C30EAD" w:rsidRDefault="00D85498"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395" w:type="dxa"/>
          </w:tcPr>
          <w:p w14:paraId="7D21CF6A" w14:textId="2E575090" w:rsidR="00E47DC5"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51F0035" w14:textId="5BDF4310" w:rsidR="00E47DC5" w:rsidRPr="00C30EAD" w:rsidRDefault="00D85498" w:rsidP="004030AA">
            <w:pPr>
              <w:widowControl w:val="0"/>
              <w:tabs>
                <w:tab w:val="left" w:pos="106"/>
              </w:tabs>
              <w:spacing w:before="40" w:after="40"/>
              <w:jc w:val="center"/>
              <w:rPr>
                <w:rFonts w:ascii="Arial Narrow" w:hAnsi="Arial Narrow" w:cs="Tahoma"/>
                <w:sz w:val="20"/>
              </w:rPr>
            </w:pPr>
            <w:r>
              <w:rPr>
                <w:rFonts w:ascii="Arial Narrow" w:hAnsi="Arial Narrow" w:cs="Tahoma"/>
                <w:sz w:val="20"/>
              </w:rPr>
              <w:t>$redacted</w:t>
            </w:r>
          </w:p>
        </w:tc>
        <w:tc>
          <w:tcPr>
            <w:tcW w:w="1229" w:type="dxa"/>
          </w:tcPr>
          <w:p w14:paraId="6157BDE7" w14:textId="77777777" w:rsidR="00E47DC5" w:rsidRPr="00C30EAD" w:rsidRDefault="00E47DC5"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9%</w:t>
            </w:r>
          </w:p>
        </w:tc>
      </w:tr>
      <w:tr w:rsidR="00E47DC5" w:rsidRPr="00C30EAD" w14:paraId="13DFCF76" w14:textId="77777777" w:rsidTr="004030AA">
        <w:trPr>
          <w:cantSplit/>
          <w:trHeight w:val="129"/>
        </w:trPr>
        <w:tc>
          <w:tcPr>
            <w:tcW w:w="8734" w:type="dxa"/>
            <w:gridSpan w:val="5"/>
            <w:vAlign w:val="center"/>
          </w:tcPr>
          <w:p w14:paraId="4332EDF6"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Mitral valve surgery costs (base case: $41,961.89)</w:t>
            </w:r>
          </w:p>
        </w:tc>
      </w:tr>
      <w:tr w:rsidR="009B3B4D" w:rsidRPr="00C30EAD" w14:paraId="0E92EBE1" w14:textId="77777777" w:rsidTr="004030AA">
        <w:trPr>
          <w:cantSplit/>
          <w:trHeight w:val="129"/>
        </w:trPr>
        <w:tc>
          <w:tcPr>
            <w:tcW w:w="3402" w:type="dxa"/>
            <w:vAlign w:val="center"/>
          </w:tcPr>
          <w:p w14:paraId="0C269439"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F08A ($60,406.60)</w:t>
            </w:r>
          </w:p>
        </w:tc>
        <w:tc>
          <w:tcPr>
            <w:tcW w:w="1487" w:type="dxa"/>
          </w:tcPr>
          <w:p w14:paraId="3F110495" w14:textId="72A56BEE"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B010F">
              <w:rPr>
                <w:rFonts w:ascii="Arial Narrow" w:hAnsi="Arial Narrow" w:cs="Tahoma"/>
                <w:sz w:val="20"/>
              </w:rPr>
              <w:t>$redacted</w:t>
            </w:r>
          </w:p>
        </w:tc>
        <w:tc>
          <w:tcPr>
            <w:tcW w:w="1395" w:type="dxa"/>
          </w:tcPr>
          <w:p w14:paraId="0AE9929C" w14:textId="3231B80B"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3DAA3347" w14:textId="6521234D" w:rsidR="009B3B4D" w:rsidRPr="00C30EAD" w:rsidRDefault="009B3B4D" w:rsidP="004030AA">
            <w:pPr>
              <w:widowControl w:val="0"/>
              <w:tabs>
                <w:tab w:val="left" w:pos="106"/>
              </w:tabs>
              <w:spacing w:before="40" w:after="40"/>
              <w:jc w:val="center"/>
              <w:rPr>
                <w:rFonts w:ascii="Arial Narrow" w:hAnsi="Arial Narrow" w:cs="Tahoma"/>
                <w:sz w:val="20"/>
              </w:rPr>
            </w:pPr>
            <w:r w:rsidRPr="00091E3E">
              <w:rPr>
                <w:rFonts w:ascii="Arial Narrow" w:hAnsi="Arial Narrow" w:cs="Tahoma"/>
                <w:sz w:val="20"/>
              </w:rPr>
              <w:t>$redacted</w:t>
            </w:r>
          </w:p>
        </w:tc>
        <w:tc>
          <w:tcPr>
            <w:tcW w:w="1229" w:type="dxa"/>
          </w:tcPr>
          <w:p w14:paraId="457E0502"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13%</w:t>
            </w:r>
          </w:p>
        </w:tc>
      </w:tr>
      <w:tr w:rsidR="009B3B4D" w:rsidRPr="00C30EAD" w14:paraId="2B02ED76" w14:textId="77777777" w:rsidTr="004030AA">
        <w:trPr>
          <w:cantSplit/>
          <w:trHeight w:val="129"/>
        </w:trPr>
        <w:tc>
          <w:tcPr>
            <w:tcW w:w="3402" w:type="dxa"/>
            <w:vAlign w:val="center"/>
          </w:tcPr>
          <w:p w14:paraId="356FDB86"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F08B ($32,075.20)</w:t>
            </w:r>
          </w:p>
        </w:tc>
        <w:tc>
          <w:tcPr>
            <w:tcW w:w="1487" w:type="dxa"/>
          </w:tcPr>
          <w:p w14:paraId="1F4573C8" w14:textId="2D3DD886"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B010F">
              <w:rPr>
                <w:rFonts w:ascii="Arial Narrow" w:hAnsi="Arial Narrow" w:cs="Tahoma"/>
                <w:sz w:val="20"/>
              </w:rPr>
              <w:t>$redacted</w:t>
            </w:r>
          </w:p>
        </w:tc>
        <w:tc>
          <w:tcPr>
            <w:tcW w:w="1395" w:type="dxa"/>
          </w:tcPr>
          <w:p w14:paraId="467779CD" w14:textId="7974DDB5"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70888583" w14:textId="115DF825" w:rsidR="009B3B4D" w:rsidRPr="00C30EAD" w:rsidRDefault="009B3B4D" w:rsidP="004030AA">
            <w:pPr>
              <w:widowControl w:val="0"/>
              <w:tabs>
                <w:tab w:val="left" w:pos="106"/>
              </w:tabs>
              <w:spacing w:before="40" w:after="40"/>
              <w:jc w:val="center"/>
              <w:rPr>
                <w:rFonts w:ascii="Arial Narrow" w:hAnsi="Arial Narrow" w:cs="Tahoma"/>
                <w:sz w:val="20"/>
              </w:rPr>
            </w:pPr>
            <w:r w:rsidRPr="00091E3E">
              <w:rPr>
                <w:rFonts w:ascii="Arial Narrow" w:hAnsi="Arial Narrow" w:cs="Tahoma"/>
                <w:sz w:val="20"/>
              </w:rPr>
              <w:t>$redacted</w:t>
            </w:r>
          </w:p>
        </w:tc>
        <w:tc>
          <w:tcPr>
            <w:tcW w:w="1229" w:type="dxa"/>
          </w:tcPr>
          <w:p w14:paraId="4076DCD7"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7%</w:t>
            </w:r>
          </w:p>
        </w:tc>
      </w:tr>
      <w:tr w:rsidR="00E47DC5" w:rsidRPr="00C30EAD" w14:paraId="3DB499F0" w14:textId="77777777" w:rsidTr="004030AA">
        <w:trPr>
          <w:cantSplit/>
          <w:trHeight w:val="129"/>
        </w:trPr>
        <w:tc>
          <w:tcPr>
            <w:tcW w:w="8734" w:type="dxa"/>
            <w:gridSpan w:val="5"/>
            <w:vAlign w:val="center"/>
          </w:tcPr>
          <w:p w14:paraId="2A5C9B0A"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CHF hospitalisation cost (base case: $8,794.18)</w:t>
            </w:r>
          </w:p>
        </w:tc>
      </w:tr>
      <w:tr w:rsidR="009B3B4D" w:rsidRPr="00C30EAD" w14:paraId="287D2E19" w14:textId="77777777" w:rsidTr="004030AA">
        <w:trPr>
          <w:cantSplit/>
          <w:trHeight w:val="129"/>
        </w:trPr>
        <w:tc>
          <w:tcPr>
            <w:tcW w:w="3402" w:type="dxa"/>
            <w:vAlign w:val="center"/>
          </w:tcPr>
          <w:p w14:paraId="548254B8"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F62A ($12,212.63)</w:t>
            </w:r>
          </w:p>
        </w:tc>
        <w:tc>
          <w:tcPr>
            <w:tcW w:w="1487" w:type="dxa"/>
          </w:tcPr>
          <w:p w14:paraId="26F8EA17" w14:textId="4876A961"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772B13">
              <w:rPr>
                <w:rFonts w:ascii="Arial Narrow" w:hAnsi="Arial Narrow" w:cs="Tahoma"/>
                <w:sz w:val="20"/>
              </w:rPr>
              <w:t>$redacted</w:t>
            </w:r>
          </w:p>
        </w:tc>
        <w:tc>
          <w:tcPr>
            <w:tcW w:w="1395" w:type="dxa"/>
          </w:tcPr>
          <w:p w14:paraId="363946A1" w14:textId="732AE46E"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4E5752E6" w14:textId="0F00B423" w:rsidR="009B3B4D" w:rsidRPr="00C30EAD" w:rsidRDefault="009B3B4D" w:rsidP="004030AA">
            <w:pPr>
              <w:widowControl w:val="0"/>
              <w:tabs>
                <w:tab w:val="left" w:pos="106"/>
              </w:tabs>
              <w:spacing w:before="40" w:after="40"/>
              <w:jc w:val="center"/>
              <w:rPr>
                <w:rFonts w:ascii="Arial Narrow" w:hAnsi="Arial Narrow" w:cs="Tahoma"/>
                <w:sz w:val="20"/>
              </w:rPr>
            </w:pPr>
            <w:r w:rsidRPr="00755546">
              <w:rPr>
                <w:rFonts w:ascii="Arial Narrow" w:hAnsi="Arial Narrow" w:cs="Tahoma"/>
                <w:sz w:val="20"/>
              </w:rPr>
              <w:t>$redacted</w:t>
            </w:r>
          </w:p>
        </w:tc>
        <w:tc>
          <w:tcPr>
            <w:tcW w:w="1229" w:type="dxa"/>
          </w:tcPr>
          <w:p w14:paraId="0714152E"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0%</w:t>
            </w:r>
          </w:p>
        </w:tc>
      </w:tr>
      <w:tr w:rsidR="009B3B4D" w:rsidRPr="00C30EAD" w14:paraId="2C786705" w14:textId="77777777" w:rsidTr="004030AA">
        <w:trPr>
          <w:cantSplit/>
          <w:trHeight w:val="129"/>
        </w:trPr>
        <w:tc>
          <w:tcPr>
            <w:tcW w:w="3402" w:type="dxa"/>
            <w:vAlign w:val="center"/>
          </w:tcPr>
          <w:p w14:paraId="655E4B3F"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F62B ($5,378.45)</w:t>
            </w:r>
          </w:p>
        </w:tc>
        <w:tc>
          <w:tcPr>
            <w:tcW w:w="1487" w:type="dxa"/>
          </w:tcPr>
          <w:p w14:paraId="6D79ABBE" w14:textId="1D70643F"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772B13">
              <w:rPr>
                <w:rFonts w:ascii="Arial Narrow" w:hAnsi="Arial Narrow" w:cs="Tahoma"/>
                <w:sz w:val="20"/>
              </w:rPr>
              <w:t>$redacted</w:t>
            </w:r>
          </w:p>
        </w:tc>
        <w:tc>
          <w:tcPr>
            <w:tcW w:w="1395" w:type="dxa"/>
          </w:tcPr>
          <w:p w14:paraId="6FBE7B87" w14:textId="07E1B0A1"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7995CC45" w14:textId="35D3667F" w:rsidR="009B3B4D" w:rsidRPr="00C30EAD" w:rsidRDefault="009B3B4D" w:rsidP="004030AA">
            <w:pPr>
              <w:widowControl w:val="0"/>
              <w:tabs>
                <w:tab w:val="left" w:pos="106"/>
              </w:tabs>
              <w:spacing w:before="40" w:after="40"/>
              <w:jc w:val="center"/>
              <w:rPr>
                <w:rFonts w:ascii="Arial Narrow" w:hAnsi="Arial Narrow" w:cs="Tahoma"/>
                <w:sz w:val="20"/>
              </w:rPr>
            </w:pPr>
            <w:r w:rsidRPr="00755546">
              <w:rPr>
                <w:rFonts w:ascii="Arial Narrow" w:hAnsi="Arial Narrow" w:cs="Tahoma"/>
                <w:sz w:val="20"/>
              </w:rPr>
              <w:t>$redacted</w:t>
            </w:r>
          </w:p>
        </w:tc>
        <w:tc>
          <w:tcPr>
            <w:tcW w:w="1229" w:type="dxa"/>
          </w:tcPr>
          <w:p w14:paraId="02CA785E"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0%</w:t>
            </w:r>
          </w:p>
        </w:tc>
      </w:tr>
      <w:tr w:rsidR="00E47DC5" w:rsidRPr="00C30EAD" w14:paraId="1A9A32A2" w14:textId="77777777" w:rsidTr="004030AA">
        <w:trPr>
          <w:cantSplit/>
          <w:trHeight w:val="129"/>
        </w:trPr>
        <w:tc>
          <w:tcPr>
            <w:tcW w:w="8734" w:type="dxa"/>
            <w:gridSpan w:val="5"/>
            <w:vAlign w:val="center"/>
          </w:tcPr>
          <w:p w14:paraId="2214FF7D"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Utility values (base case: Gohler et al, 2009; 0.90,0.83,0.74,0.60)</w:t>
            </w:r>
          </w:p>
        </w:tc>
      </w:tr>
      <w:tr w:rsidR="009B3B4D" w:rsidRPr="00C30EAD" w14:paraId="2B08A4CE" w14:textId="77777777" w:rsidTr="004030AA">
        <w:trPr>
          <w:cantSplit/>
          <w:trHeight w:val="129"/>
        </w:trPr>
        <w:tc>
          <w:tcPr>
            <w:tcW w:w="3402" w:type="dxa"/>
            <w:vAlign w:val="center"/>
          </w:tcPr>
          <w:p w14:paraId="28952A9F"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Fox et al 2007 (0.93,0.78,0.61,0.44)</w:t>
            </w:r>
          </w:p>
        </w:tc>
        <w:tc>
          <w:tcPr>
            <w:tcW w:w="1487" w:type="dxa"/>
          </w:tcPr>
          <w:p w14:paraId="7D90F152" w14:textId="443C4ACC"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195450">
              <w:rPr>
                <w:rFonts w:ascii="Arial Narrow" w:hAnsi="Arial Narrow" w:cs="Tahoma"/>
                <w:sz w:val="20"/>
              </w:rPr>
              <w:t>$redacted</w:t>
            </w:r>
          </w:p>
        </w:tc>
        <w:tc>
          <w:tcPr>
            <w:tcW w:w="1395" w:type="dxa"/>
          </w:tcPr>
          <w:p w14:paraId="3C86D5A5" w14:textId="0BBAC509"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BBEE25A" w14:textId="70908507" w:rsidR="009B3B4D" w:rsidRPr="00C30EAD" w:rsidRDefault="009B3B4D" w:rsidP="004030AA">
            <w:pPr>
              <w:widowControl w:val="0"/>
              <w:tabs>
                <w:tab w:val="left" w:pos="106"/>
              </w:tabs>
              <w:spacing w:before="40" w:after="40"/>
              <w:jc w:val="center"/>
              <w:rPr>
                <w:rFonts w:ascii="Arial Narrow" w:hAnsi="Arial Narrow" w:cs="Tahoma"/>
                <w:sz w:val="20"/>
              </w:rPr>
            </w:pPr>
            <w:r w:rsidRPr="00A9728E">
              <w:rPr>
                <w:rFonts w:ascii="Arial Narrow" w:hAnsi="Arial Narrow" w:cs="Tahoma"/>
                <w:sz w:val="20"/>
              </w:rPr>
              <w:t>$redacted</w:t>
            </w:r>
          </w:p>
        </w:tc>
        <w:tc>
          <w:tcPr>
            <w:tcW w:w="1229" w:type="dxa"/>
          </w:tcPr>
          <w:p w14:paraId="04FE4E25"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8%</w:t>
            </w:r>
          </w:p>
        </w:tc>
      </w:tr>
      <w:tr w:rsidR="009B3B4D" w:rsidRPr="00C30EAD" w14:paraId="67EEA3F0" w14:textId="77777777" w:rsidTr="004030AA">
        <w:trPr>
          <w:cantSplit/>
          <w:trHeight w:val="129"/>
        </w:trPr>
        <w:tc>
          <w:tcPr>
            <w:tcW w:w="3402" w:type="dxa"/>
            <w:vAlign w:val="center"/>
          </w:tcPr>
          <w:p w14:paraId="05A731A1"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Lewis et al 2001 (0.97,0.80,0.65,0.30)</w:t>
            </w:r>
          </w:p>
        </w:tc>
        <w:tc>
          <w:tcPr>
            <w:tcW w:w="1487" w:type="dxa"/>
          </w:tcPr>
          <w:p w14:paraId="7A27A934" w14:textId="34EB9651"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195450">
              <w:rPr>
                <w:rFonts w:ascii="Arial Narrow" w:hAnsi="Arial Narrow" w:cs="Tahoma"/>
                <w:sz w:val="20"/>
              </w:rPr>
              <w:t>$redacted</w:t>
            </w:r>
          </w:p>
        </w:tc>
        <w:tc>
          <w:tcPr>
            <w:tcW w:w="1395" w:type="dxa"/>
          </w:tcPr>
          <w:p w14:paraId="5E93272D" w14:textId="1AF3251C"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4E52C9C8" w14:textId="548CD05C" w:rsidR="009B3B4D" w:rsidRPr="00C30EAD" w:rsidRDefault="009B3B4D" w:rsidP="004030AA">
            <w:pPr>
              <w:widowControl w:val="0"/>
              <w:tabs>
                <w:tab w:val="left" w:pos="106"/>
              </w:tabs>
              <w:spacing w:before="40" w:after="40"/>
              <w:jc w:val="center"/>
              <w:rPr>
                <w:rFonts w:ascii="Arial Narrow" w:hAnsi="Arial Narrow" w:cs="Tahoma"/>
                <w:sz w:val="20"/>
              </w:rPr>
            </w:pPr>
            <w:r w:rsidRPr="00A9728E">
              <w:rPr>
                <w:rFonts w:ascii="Arial Narrow" w:hAnsi="Arial Narrow" w:cs="Tahoma"/>
                <w:sz w:val="20"/>
              </w:rPr>
              <w:t>$redacted</w:t>
            </w:r>
          </w:p>
        </w:tc>
        <w:tc>
          <w:tcPr>
            <w:tcW w:w="1229" w:type="dxa"/>
          </w:tcPr>
          <w:p w14:paraId="5913CEBA"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13%</w:t>
            </w:r>
          </w:p>
        </w:tc>
      </w:tr>
      <w:tr w:rsidR="00E47DC5" w:rsidRPr="00C30EAD" w14:paraId="23B8015C" w14:textId="77777777" w:rsidTr="004030AA">
        <w:trPr>
          <w:cantSplit/>
          <w:trHeight w:val="129"/>
        </w:trPr>
        <w:tc>
          <w:tcPr>
            <w:tcW w:w="8734" w:type="dxa"/>
            <w:gridSpan w:val="5"/>
            <w:vAlign w:val="center"/>
          </w:tcPr>
          <w:p w14:paraId="49141D61"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Adjustment of NYHA class distributions for baseline differences (base case: Set baseline OMT values to TMVr distribution, then extrapolation assumptions)</w:t>
            </w:r>
          </w:p>
        </w:tc>
      </w:tr>
      <w:tr w:rsidR="009B3B4D" w:rsidRPr="00C30EAD" w14:paraId="3A028211" w14:textId="77777777" w:rsidTr="004030AA">
        <w:trPr>
          <w:cantSplit/>
          <w:trHeight w:val="129"/>
        </w:trPr>
        <w:tc>
          <w:tcPr>
            <w:tcW w:w="3402" w:type="dxa"/>
          </w:tcPr>
          <w:p w14:paraId="6518E835"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No adjustment</w:t>
            </w:r>
          </w:p>
        </w:tc>
        <w:tc>
          <w:tcPr>
            <w:tcW w:w="1487" w:type="dxa"/>
          </w:tcPr>
          <w:p w14:paraId="07912587" w14:textId="1B53836B"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220A4D">
              <w:rPr>
                <w:rFonts w:ascii="Arial Narrow" w:hAnsi="Arial Narrow" w:cs="Tahoma"/>
                <w:sz w:val="20"/>
              </w:rPr>
              <w:t>$redacted</w:t>
            </w:r>
          </w:p>
        </w:tc>
        <w:tc>
          <w:tcPr>
            <w:tcW w:w="1395" w:type="dxa"/>
          </w:tcPr>
          <w:p w14:paraId="66597193" w14:textId="21443569"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06703D3" w14:textId="781E0054" w:rsidR="009B3B4D" w:rsidRPr="00C30EAD" w:rsidRDefault="009B3B4D" w:rsidP="004030AA">
            <w:pPr>
              <w:widowControl w:val="0"/>
              <w:tabs>
                <w:tab w:val="left" w:pos="106"/>
              </w:tabs>
              <w:spacing w:before="40" w:after="40"/>
              <w:jc w:val="center"/>
              <w:rPr>
                <w:rFonts w:ascii="Arial Narrow" w:hAnsi="Arial Narrow" w:cs="Tahoma"/>
                <w:sz w:val="20"/>
              </w:rPr>
            </w:pPr>
            <w:r w:rsidRPr="00291FFA">
              <w:rPr>
                <w:rFonts w:ascii="Arial Narrow" w:hAnsi="Arial Narrow" w:cs="Tahoma"/>
                <w:sz w:val="20"/>
              </w:rPr>
              <w:t>$redacted</w:t>
            </w:r>
          </w:p>
        </w:tc>
        <w:tc>
          <w:tcPr>
            <w:tcW w:w="1229" w:type="dxa"/>
          </w:tcPr>
          <w:p w14:paraId="5B0A6CF3"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3%</w:t>
            </w:r>
          </w:p>
        </w:tc>
      </w:tr>
      <w:tr w:rsidR="009B3B4D" w:rsidRPr="00C30EAD" w14:paraId="55DB6F31" w14:textId="77777777" w:rsidTr="004030AA">
        <w:trPr>
          <w:cantSplit/>
          <w:trHeight w:val="129"/>
        </w:trPr>
        <w:tc>
          <w:tcPr>
            <w:tcW w:w="3402" w:type="dxa"/>
          </w:tcPr>
          <w:p w14:paraId="0D448D36"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Set baseline and post-baseline OMT values to TMVr distributions</w:t>
            </w:r>
          </w:p>
        </w:tc>
        <w:tc>
          <w:tcPr>
            <w:tcW w:w="1487" w:type="dxa"/>
          </w:tcPr>
          <w:p w14:paraId="19EA0B97" w14:textId="1472EFB6"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220A4D">
              <w:rPr>
                <w:rFonts w:ascii="Arial Narrow" w:hAnsi="Arial Narrow" w:cs="Tahoma"/>
                <w:sz w:val="20"/>
              </w:rPr>
              <w:t>$redacted</w:t>
            </w:r>
          </w:p>
        </w:tc>
        <w:tc>
          <w:tcPr>
            <w:tcW w:w="1395" w:type="dxa"/>
          </w:tcPr>
          <w:p w14:paraId="42CB5175" w14:textId="3408B9C2"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0D00D8CA" w14:textId="35B5FD79" w:rsidR="009B3B4D" w:rsidRPr="00C30EAD" w:rsidRDefault="009B3B4D" w:rsidP="004030AA">
            <w:pPr>
              <w:widowControl w:val="0"/>
              <w:tabs>
                <w:tab w:val="left" w:pos="106"/>
              </w:tabs>
              <w:spacing w:before="40" w:after="40"/>
              <w:jc w:val="center"/>
              <w:rPr>
                <w:rFonts w:ascii="Arial Narrow" w:hAnsi="Arial Narrow" w:cs="Tahoma"/>
                <w:sz w:val="20"/>
              </w:rPr>
            </w:pPr>
            <w:r w:rsidRPr="00291FFA">
              <w:rPr>
                <w:rFonts w:ascii="Arial Narrow" w:hAnsi="Arial Narrow" w:cs="Tahoma"/>
                <w:sz w:val="20"/>
              </w:rPr>
              <w:t>$redacted</w:t>
            </w:r>
          </w:p>
        </w:tc>
        <w:tc>
          <w:tcPr>
            <w:tcW w:w="1229" w:type="dxa"/>
          </w:tcPr>
          <w:p w14:paraId="74896458"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18%</w:t>
            </w:r>
          </w:p>
        </w:tc>
      </w:tr>
      <w:tr w:rsidR="00E47DC5" w:rsidRPr="00C30EAD" w14:paraId="2B96DDE8" w14:textId="77777777" w:rsidTr="004030AA">
        <w:trPr>
          <w:cantSplit/>
          <w:trHeight w:val="129"/>
        </w:trPr>
        <w:tc>
          <w:tcPr>
            <w:tcW w:w="8734" w:type="dxa"/>
            <w:gridSpan w:val="5"/>
            <w:vAlign w:val="center"/>
          </w:tcPr>
          <w:p w14:paraId="5E4581F1"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NYHA class distribution extrapolations – annual probability of class progression (base case: 0% in both treatment arms)</w:t>
            </w:r>
          </w:p>
        </w:tc>
      </w:tr>
      <w:tr w:rsidR="009B3B4D" w:rsidRPr="00C30EAD" w14:paraId="115E59A1" w14:textId="77777777" w:rsidTr="004030AA">
        <w:trPr>
          <w:cantSplit/>
          <w:trHeight w:val="129"/>
        </w:trPr>
        <w:tc>
          <w:tcPr>
            <w:tcW w:w="3402" w:type="dxa"/>
            <w:vAlign w:val="center"/>
          </w:tcPr>
          <w:p w14:paraId="55CBE193"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10% in both treatment arms</w:t>
            </w:r>
          </w:p>
        </w:tc>
        <w:tc>
          <w:tcPr>
            <w:tcW w:w="1487" w:type="dxa"/>
          </w:tcPr>
          <w:p w14:paraId="0999AB82" w14:textId="6D046926"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584EEE">
              <w:rPr>
                <w:rFonts w:ascii="Arial Narrow" w:hAnsi="Arial Narrow" w:cs="Tahoma"/>
                <w:sz w:val="20"/>
              </w:rPr>
              <w:t>$redacted</w:t>
            </w:r>
          </w:p>
        </w:tc>
        <w:tc>
          <w:tcPr>
            <w:tcW w:w="1395" w:type="dxa"/>
          </w:tcPr>
          <w:p w14:paraId="67554B4D" w14:textId="3C962D71"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4E36C833" w14:textId="7FFEE560" w:rsidR="009B3B4D" w:rsidRPr="00C30EAD" w:rsidRDefault="009B3B4D" w:rsidP="004030AA">
            <w:pPr>
              <w:widowControl w:val="0"/>
              <w:tabs>
                <w:tab w:val="left" w:pos="106"/>
              </w:tabs>
              <w:spacing w:before="40" w:after="40"/>
              <w:jc w:val="center"/>
              <w:rPr>
                <w:rFonts w:ascii="Arial Narrow" w:hAnsi="Arial Narrow" w:cs="Tahoma"/>
                <w:sz w:val="20"/>
              </w:rPr>
            </w:pPr>
            <w:r w:rsidRPr="008C6D91">
              <w:rPr>
                <w:rFonts w:ascii="Arial Narrow" w:hAnsi="Arial Narrow" w:cs="Tahoma"/>
                <w:sz w:val="20"/>
              </w:rPr>
              <w:t>$redacted</w:t>
            </w:r>
          </w:p>
        </w:tc>
        <w:tc>
          <w:tcPr>
            <w:tcW w:w="1229" w:type="dxa"/>
          </w:tcPr>
          <w:p w14:paraId="26AB36B4"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w:t>
            </w:r>
          </w:p>
        </w:tc>
      </w:tr>
      <w:tr w:rsidR="009B3B4D" w:rsidRPr="00C30EAD" w14:paraId="05C8F694" w14:textId="77777777" w:rsidTr="004030AA">
        <w:trPr>
          <w:cantSplit/>
          <w:trHeight w:val="129"/>
        </w:trPr>
        <w:tc>
          <w:tcPr>
            <w:tcW w:w="3402" w:type="dxa"/>
            <w:vAlign w:val="center"/>
          </w:tcPr>
          <w:p w14:paraId="6BA13ED7"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20% in both treatment arms</w:t>
            </w:r>
          </w:p>
        </w:tc>
        <w:tc>
          <w:tcPr>
            <w:tcW w:w="1487" w:type="dxa"/>
          </w:tcPr>
          <w:p w14:paraId="23F4B7A4" w14:textId="669E6C26"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584EEE">
              <w:rPr>
                <w:rFonts w:ascii="Arial Narrow" w:hAnsi="Arial Narrow" w:cs="Tahoma"/>
                <w:sz w:val="20"/>
              </w:rPr>
              <w:t>$redacted</w:t>
            </w:r>
          </w:p>
        </w:tc>
        <w:tc>
          <w:tcPr>
            <w:tcW w:w="1395" w:type="dxa"/>
          </w:tcPr>
          <w:p w14:paraId="7E35DA07" w14:textId="6140E2A0"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72FA3B5F" w14:textId="0FE17E41" w:rsidR="009B3B4D" w:rsidRPr="00C30EAD" w:rsidRDefault="009B3B4D" w:rsidP="004030AA">
            <w:pPr>
              <w:widowControl w:val="0"/>
              <w:tabs>
                <w:tab w:val="left" w:pos="106"/>
              </w:tabs>
              <w:spacing w:before="40" w:after="40"/>
              <w:jc w:val="center"/>
              <w:rPr>
                <w:rFonts w:ascii="Arial Narrow" w:hAnsi="Arial Narrow" w:cs="Tahoma"/>
                <w:sz w:val="20"/>
              </w:rPr>
            </w:pPr>
            <w:r w:rsidRPr="008C6D91">
              <w:rPr>
                <w:rFonts w:ascii="Arial Narrow" w:hAnsi="Arial Narrow" w:cs="Tahoma"/>
                <w:sz w:val="20"/>
              </w:rPr>
              <w:t>$redacted</w:t>
            </w:r>
          </w:p>
        </w:tc>
        <w:tc>
          <w:tcPr>
            <w:tcW w:w="1229" w:type="dxa"/>
          </w:tcPr>
          <w:p w14:paraId="04C49D08"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2%</w:t>
            </w:r>
          </w:p>
        </w:tc>
      </w:tr>
      <w:tr w:rsidR="00E47DC5" w:rsidRPr="00C30EAD" w14:paraId="17D99053" w14:textId="77777777" w:rsidTr="004030AA">
        <w:trPr>
          <w:cantSplit/>
          <w:trHeight w:val="129"/>
        </w:trPr>
        <w:tc>
          <w:tcPr>
            <w:tcW w:w="8734" w:type="dxa"/>
            <w:gridSpan w:val="5"/>
            <w:vAlign w:val="center"/>
          </w:tcPr>
          <w:p w14:paraId="09A847DD"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Annual rate of CHF hospitalisation – OMT (base case: 0.65)</w:t>
            </w:r>
          </w:p>
        </w:tc>
      </w:tr>
      <w:tr w:rsidR="00E47DC5" w:rsidRPr="00C30EAD" w14:paraId="31D9016E" w14:textId="77777777" w:rsidTr="004030AA">
        <w:trPr>
          <w:cantSplit/>
          <w:trHeight w:val="129"/>
        </w:trPr>
        <w:tc>
          <w:tcPr>
            <w:tcW w:w="3402" w:type="dxa"/>
            <w:vAlign w:val="center"/>
          </w:tcPr>
          <w:p w14:paraId="10828BFC" w14:textId="77777777" w:rsidR="00E47DC5" w:rsidRPr="00C30EAD" w:rsidRDefault="00E47DC5"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Equal to TMVr (0.36)</w:t>
            </w:r>
          </w:p>
        </w:tc>
        <w:tc>
          <w:tcPr>
            <w:tcW w:w="1487" w:type="dxa"/>
          </w:tcPr>
          <w:p w14:paraId="7B40EF20" w14:textId="508A6493" w:rsidR="00E47DC5"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395" w:type="dxa"/>
          </w:tcPr>
          <w:p w14:paraId="0522A1C1" w14:textId="7251838F" w:rsidR="00E47DC5"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CA417CC" w14:textId="27A1A8D6" w:rsidR="00E47DC5" w:rsidRPr="00C30EAD" w:rsidRDefault="009B3B4D" w:rsidP="004030AA">
            <w:pPr>
              <w:widowControl w:val="0"/>
              <w:tabs>
                <w:tab w:val="left" w:pos="106"/>
              </w:tabs>
              <w:spacing w:before="40" w:after="40"/>
              <w:jc w:val="center"/>
              <w:rPr>
                <w:rFonts w:ascii="Arial Narrow" w:hAnsi="Arial Narrow" w:cs="Tahoma"/>
                <w:sz w:val="20"/>
              </w:rPr>
            </w:pPr>
            <w:r>
              <w:rPr>
                <w:rFonts w:ascii="Arial Narrow" w:hAnsi="Arial Narrow" w:cs="Tahoma"/>
                <w:sz w:val="20"/>
              </w:rPr>
              <w:t>$redacted</w:t>
            </w:r>
          </w:p>
        </w:tc>
        <w:tc>
          <w:tcPr>
            <w:tcW w:w="1229" w:type="dxa"/>
            <w:vAlign w:val="center"/>
          </w:tcPr>
          <w:p w14:paraId="5E31A6CD" w14:textId="77777777" w:rsidR="00E47DC5" w:rsidRPr="00C30EAD" w:rsidRDefault="00E47DC5"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11%</w:t>
            </w:r>
          </w:p>
        </w:tc>
      </w:tr>
      <w:tr w:rsidR="00E47DC5" w:rsidRPr="00C30EAD" w14:paraId="67FA8F5B" w14:textId="77777777" w:rsidTr="004030AA">
        <w:trPr>
          <w:cantSplit/>
          <w:trHeight w:val="129"/>
        </w:trPr>
        <w:tc>
          <w:tcPr>
            <w:tcW w:w="8734" w:type="dxa"/>
            <w:gridSpan w:val="5"/>
            <w:vAlign w:val="center"/>
          </w:tcPr>
          <w:p w14:paraId="6D18B592" w14:textId="77777777" w:rsidR="00E47DC5" w:rsidRPr="00C30EAD" w:rsidRDefault="00E47DC5" w:rsidP="004030AA">
            <w:pPr>
              <w:widowControl w:val="0"/>
              <w:tabs>
                <w:tab w:val="left" w:pos="248"/>
              </w:tabs>
              <w:spacing w:before="40" w:after="40"/>
              <w:rPr>
                <w:rFonts w:ascii="Arial Narrow" w:hAnsi="Arial Narrow" w:cs="Tahoma"/>
                <w:sz w:val="20"/>
              </w:rPr>
            </w:pPr>
            <w:r w:rsidRPr="00C30EAD">
              <w:rPr>
                <w:rFonts w:ascii="Arial Narrow" w:hAnsi="Arial Narrow" w:cs="Tahoma"/>
                <w:sz w:val="20"/>
              </w:rPr>
              <w:t>Annual rate of CHF hospitalisation – TMVr (base case: 0.36)</w:t>
            </w:r>
          </w:p>
        </w:tc>
      </w:tr>
      <w:tr w:rsidR="009B3B4D" w:rsidRPr="00C30EAD" w14:paraId="494E5C49" w14:textId="77777777" w:rsidTr="004030AA">
        <w:trPr>
          <w:cantSplit/>
          <w:trHeight w:val="129"/>
        </w:trPr>
        <w:tc>
          <w:tcPr>
            <w:tcW w:w="3402" w:type="dxa"/>
            <w:vAlign w:val="center"/>
          </w:tcPr>
          <w:p w14:paraId="125A96DD"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LCL (0.24)</w:t>
            </w:r>
          </w:p>
        </w:tc>
        <w:tc>
          <w:tcPr>
            <w:tcW w:w="1487" w:type="dxa"/>
          </w:tcPr>
          <w:p w14:paraId="385A58FA" w14:textId="3C0552C2"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601E7B">
              <w:rPr>
                <w:rFonts w:ascii="Arial Narrow" w:hAnsi="Arial Narrow" w:cs="Tahoma"/>
                <w:sz w:val="20"/>
              </w:rPr>
              <w:t>$redacted</w:t>
            </w:r>
          </w:p>
        </w:tc>
        <w:tc>
          <w:tcPr>
            <w:tcW w:w="1395" w:type="dxa"/>
          </w:tcPr>
          <w:p w14:paraId="7D144D9A" w14:textId="1C66DD10"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0EF20489" w14:textId="3666478E" w:rsidR="009B3B4D" w:rsidRPr="00C30EAD" w:rsidRDefault="009B3B4D" w:rsidP="004030AA">
            <w:pPr>
              <w:widowControl w:val="0"/>
              <w:tabs>
                <w:tab w:val="left" w:pos="106"/>
              </w:tabs>
              <w:spacing w:before="40" w:after="40"/>
              <w:jc w:val="center"/>
              <w:rPr>
                <w:rFonts w:ascii="Arial Narrow" w:hAnsi="Arial Narrow" w:cs="Tahoma"/>
                <w:sz w:val="20"/>
              </w:rPr>
            </w:pPr>
            <w:r w:rsidRPr="003E76B9">
              <w:rPr>
                <w:rFonts w:ascii="Arial Narrow" w:hAnsi="Arial Narrow" w:cs="Tahoma"/>
                <w:sz w:val="20"/>
              </w:rPr>
              <w:t>$redacted</w:t>
            </w:r>
          </w:p>
        </w:tc>
        <w:tc>
          <w:tcPr>
            <w:tcW w:w="1229" w:type="dxa"/>
          </w:tcPr>
          <w:p w14:paraId="75A4AB59"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9%</w:t>
            </w:r>
          </w:p>
        </w:tc>
      </w:tr>
      <w:tr w:rsidR="009B3B4D" w:rsidRPr="00C30EAD" w14:paraId="5AA46462" w14:textId="77777777" w:rsidTr="004030AA">
        <w:trPr>
          <w:cantSplit/>
          <w:trHeight w:val="129"/>
        </w:trPr>
        <w:tc>
          <w:tcPr>
            <w:tcW w:w="3402" w:type="dxa"/>
            <w:vAlign w:val="center"/>
          </w:tcPr>
          <w:p w14:paraId="5E37262C"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UCL (0.54)</w:t>
            </w:r>
          </w:p>
        </w:tc>
        <w:tc>
          <w:tcPr>
            <w:tcW w:w="1487" w:type="dxa"/>
          </w:tcPr>
          <w:p w14:paraId="04C05508" w14:textId="6B1395A0"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601E7B">
              <w:rPr>
                <w:rFonts w:ascii="Arial Narrow" w:hAnsi="Arial Narrow" w:cs="Tahoma"/>
                <w:sz w:val="20"/>
              </w:rPr>
              <w:t>$redacted</w:t>
            </w:r>
          </w:p>
        </w:tc>
        <w:tc>
          <w:tcPr>
            <w:tcW w:w="1395" w:type="dxa"/>
          </w:tcPr>
          <w:p w14:paraId="618ACEB9" w14:textId="4DE0466F"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25297F9A" w14:textId="37BD734F" w:rsidR="009B3B4D" w:rsidRPr="00C30EAD" w:rsidRDefault="009B3B4D" w:rsidP="004030AA">
            <w:pPr>
              <w:widowControl w:val="0"/>
              <w:tabs>
                <w:tab w:val="left" w:pos="106"/>
              </w:tabs>
              <w:spacing w:before="40" w:after="40"/>
              <w:jc w:val="center"/>
              <w:rPr>
                <w:rFonts w:ascii="Arial Narrow" w:hAnsi="Arial Narrow" w:cs="Tahoma"/>
                <w:sz w:val="20"/>
              </w:rPr>
            </w:pPr>
            <w:r w:rsidRPr="003E76B9">
              <w:rPr>
                <w:rFonts w:ascii="Arial Narrow" w:hAnsi="Arial Narrow" w:cs="Tahoma"/>
                <w:sz w:val="20"/>
              </w:rPr>
              <w:t>$redacted</w:t>
            </w:r>
          </w:p>
        </w:tc>
        <w:tc>
          <w:tcPr>
            <w:tcW w:w="1229" w:type="dxa"/>
          </w:tcPr>
          <w:p w14:paraId="4410FC1B"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13%</w:t>
            </w:r>
          </w:p>
        </w:tc>
      </w:tr>
      <w:tr w:rsidR="00E47DC5" w:rsidRPr="00C30EAD" w14:paraId="33041F90" w14:textId="77777777" w:rsidTr="004030AA">
        <w:trPr>
          <w:cantSplit/>
          <w:trHeight w:val="129"/>
        </w:trPr>
        <w:tc>
          <w:tcPr>
            <w:tcW w:w="8734" w:type="dxa"/>
            <w:gridSpan w:val="5"/>
            <w:vAlign w:val="center"/>
          </w:tcPr>
          <w:p w14:paraId="6FABF5DD"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Model horizon (base case: 10 years)</w:t>
            </w:r>
          </w:p>
        </w:tc>
      </w:tr>
      <w:tr w:rsidR="009B3B4D" w:rsidRPr="00C30EAD" w14:paraId="73D56B9B" w14:textId="77777777" w:rsidTr="004030AA">
        <w:trPr>
          <w:cantSplit/>
          <w:trHeight w:val="129"/>
        </w:trPr>
        <w:tc>
          <w:tcPr>
            <w:tcW w:w="3402" w:type="dxa"/>
            <w:vAlign w:val="center"/>
          </w:tcPr>
          <w:p w14:paraId="403BAFF4"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5 years</w:t>
            </w:r>
          </w:p>
        </w:tc>
        <w:tc>
          <w:tcPr>
            <w:tcW w:w="1487" w:type="dxa"/>
          </w:tcPr>
          <w:p w14:paraId="4CD9F8E9" w14:textId="1CCC15B9"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A64341">
              <w:rPr>
                <w:rFonts w:ascii="Arial Narrow" w:hAnsi="Arial Narrow" w:cs="Tahoma"/>
                <w:sz w:val="20"/>
              </w:rPr>
              <w:t>$redacted</w:t>
            </w:r>
          </w:p>
        </w:tc>
        <w:tc>
          <w:tcPr>
            <w:tcW w:w="1395" w:type="dxa"/>
          </w:tcPr>
          <w:p w14:paraId="612ED13E" w14:textId="492C90F6"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5C1E261E" w14:textId="31AB16B2" w:rsidR="009B3B4D" w:rsidRPr="00C30EAD" w:rsidRDefault="009B3B4D" w:rsidP="004030AA">
            <w:pPr>
              <w:widowControl w:val="0"/>
              <w:tabs>
                <w:tab w:val="left" w:pos="106"/>
              </w:tabs>
              <w:spacing w:before="40" w:after="40"/>
              <w:jc w:val="center"/>
              <w:rPr>
                <w:rFonts w:ascii="Arial Narrow" w:hAnsi="Arial Narrow" w:cs="Tahoma"/>
                <w:sz w:val="20"/>
              </w:rPr>
            </w:pPr>
            <w:r w:rsidRPr="00AF2CBB">
              <w:rPr>
                <w:rFonts w:ascii="Arial Narrow" w:hAnsi="Arial Narrow" w:cs="Tahoma"/>
                <w:sz w:val="20"/>
              </w:rPr>
              <w:t>$redacted</w:t>
            </w:r>
          </w:p>
        </w:tc>
        <w:tc>
          <w:tcPr>
            <w:tcW w:w="1229" w:type="dxa"/>
          </w:tcPr>
          <w:p w14:paraId="0BA92AA3"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61%</w:t>
            </w:r>
          </w:p>
        </w:tc>
      </w:tr>
      <w:tr w:rsidR="009B3B4D" w:rsidRPr="00C30EAD" w14:paraId="6B178526" w14:textId="77777777" w:rsidTr="004030AA">
        <w:trPr>
          <w:cantSplit/>
          <w:trHeight w:val="129"/>
        </w:trPr>
        <w:tc>
          <w:tcPr>
            <w:tcW w:w="3402" w:type="dxa"/>
            <w:vAlign w:val="center"/>
          </w:tcPr>
          <w:p w14:paraId="5D8E0295"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15 years</w:t>
            </w:r>
          </w:p>
        </w:tc>
        <w:tc>
          <w:tcPr>
            <w:tcW w:w="1487" w:type="dxa"/>
          </w:tcPr>
          <w:p w14:paraId="2C05EFE9" w14:textId="6E92A21A"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A64341">
              <w:rPr>
                <w:rFonts w:ascii="Arial Narrow" w:hAnsi="Arial Narrow" w:cs="Tahoma"/>
                <w:sz w:val="20"/>
              </w:rPr>
              <w:t>$redacted</w:t>
            </w:r>
          </w:p>
        </w:tc>
        <w:tc>
          <w:tcPr>
            <w:tcW w:w="1395" w:type="dxa"/>
          </w:tcPr>
          <w:p w14:paraId="7AD1990E" w14:textId="29D47452"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55E99F00" w14:textId="0DC4481E" w:rsidR="009B3B4D" w:rsidRPr="00C30EAD" w:rsidRDefault="009B3B4D" w:rsidP="004030AA">
            <w:pPr>
              <w:widowControl w:val="0"/>
              <w:tabs>
                <w:tab w:val="left" w:pos="106"/>
              </w:tabs>
              <w:spacing w:before="40" w:after="40"/>
              <w:jc w:val="center"/>
              <w:rPr>
                <w:rFonts w:ascii="Arial Narrow" w:hAnsi="Arial Narrow" w:cs="Tahoma"/>
                <w:sz w:val="20"/>
              </w:rPr>
            </w:pPr>
            <w:r w:rsidRPr="00AF2CBB">
              <w:rPr>
                <w:rFonts w:ascii="Arial Narrow" w:hAnsi="Arial Narrow" w:cs="Tahoma"/>
                <w:sz w:val="20"/>
              </w:rPr>
              <w:t>$redacted</w:t>
            </w:r>
          </w:p>
        </w:tc>
        <w:tc>
          <w:tcPr>
            <w:tcW w:w="1229" w:type="dxa"/>
          </w:tcPr>
          <w:p w14:paraId="7E85B902"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15%</w:t>
            </w:r>
          </w:p>
        </w:tc>
      </w:tr>
      <w:tr w:rsidR="009B3B4D" w:rsidRPr="00C30EAD" w14:paraId="5C120730" w14:textId="77777777" w:rsidTr="004030AA">
        <w:trPr>
          <w:cantSplit/>
          <w:trHeight w:val="129"/>
        </w:trPr>
        <w:tc>
          <w:tcPr>
            <w:tcW w:w="3402" w:type="dxa"/>
            <w:vAlign w:val="center"/>
          </w:tcPr>
          <w:p w14:paraId="005BF3BA"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20 years</w:t>
            </w:r>
          </w:p>
        </w:tc>
        <w:tc>
          <w:tcPr>
            <w:tcW w:w="1487" w:type="dxa"/>
          </w:tcPr>
          <w:p w14:paraId="62A1CFDB" w14:textId="60DFED9F"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A64341">
              <w:rPr>
                <w:rFonts w:ascii="Arial Narrow" w:hAnsi="Arial Narrow" w:cs="Tahoma"/>
                <w:sz w:val="20"/>
              </w:rPr>
              <w:t>$redacted</w:t>
            </w:r>
          </w:p>
        </w:tc>
        <w:tc>
          <w:tcPr>
            <w:tcW w:w="1395" w:type="dxa"/>
          </w:tcPr>
          <w:p w14:paraId="74AFE19E" w14:textId="6A4DCFC8"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1A6F698E" w14:textId="6F94B4D4" w:rsidR="009B3B4D" w:rsidRPr="00C30EAD" w:rsidRDefault="009B3B4D" w:rsidP="004030AA">
            <w:pPr>
              <w:widowControl w:val="0"/>
              <w:tabs>
                <w:tab w:val="left" w:pos="106"/>
              </w:tabs>
              <w:spacing w:before="40" w:after="40"/>
              <w:jc w:val="center"/>
              <w:rPr>
                <w:rFonts w:ascii="Arial Narrow" w:hAnsi="Arial Narrow" w:cs="Tahoma"/>
                <w:sz w:val="20"/>
              </w:rPr>
            </w:pPr>
            <w:r w:rsidRPr="00AF2CBB">
              <w:rPr>
                <w:rFonts w:ascii="Arial Narrow" w:hAnsi="Arial Narrow" w:cs="Tahoma"/>
                <w:sz w:val="20"/>
              </w:rPr>
              <w:t>$redacted</w:t>
            </w:r>
          </w:p>
        </w:tc>
        <w:tc>
          <w:tcPr>
            <w:tcW w:w="1229" w:type="dxa"/>
          </w:tcPr>
          <w:p w14:paraId="3F312981"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21%</w:t>
            </w:r>
          </w:p>
        </w:tc>
      </w:tr>
      <w:tr w:rsidR="00E47DC5" w:rsidRPr="00C30EAD" w14:paraId="3FEED576" w14:textId="77777777" w:rsidTr="004030AA">
        <w:trPr>
          <w:cantSplit/>
          <w:trHeight w:val="129"/>
        </w:trPr>
        <w:tc>
          <w:tcPr>
            <w:tcW w:w="8734" w:type="dxa"/>
            <w:gridSpan w:val="5"/>
            <w:vAlign w:val="center"/>
          </w:tcPr>
          <w:p w14:paraId="3AAAA7A9"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Discount rate (base case: 5%)</w:t>
            </w:r>
          </w:p>
        </w:tc>
      </w:tr>
      <w:tr w:rsidR="009B3B4D" w:rsidRPr="00C30EAD" w14:paraId="45498A48" w14:textId="77777777" w:rsidTr="004030AA">
        <w:trPr>
          <w:cantSplit/>
          <w:trHeight w:val="129"/>
        </w:trPr>
        <w:tc>
          <w:tcPr>
            <w:tcW w:w="3402" w:type="dxa"/>
            <w:vAlign w:val="center"/>
          </w:tcPr>
          <w:p w14:paraId="487FEC41"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0%</w:t>
            </w:r>
          </w:p>
        </w:tc>
        <w:tc>
          <w:tcPr>
            <w:tcW w:w="1487" w:type="dxa"/>
          </w:tcPr>
          <w:p w14:paraId="6E975207" w14:textId="03034159"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E97626">
              <w:rPr>
                <w:rFonts w:ascii="Arial Narrow" w:hAnsi="Arial Narrow" w:cs="Tahoma"/>
                <w:sz w:val="20"/>
              </w:rPr>
              <w:t>$redacted</w:t>
            </w:r>
          </w:p>
        </w:tc>
        <w:tc>
          <w:tcPr>
            <w:tcW w:w="1395" w:type="dxa"/>
          </w:tcPr>
          <w:p w14:paraId="3E32BD45" w14:textId="31654C8C"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3B93DB1B" w14:textId="2431E0E1" w:rsidR="009B3B4D" w:rsidRPr="00C30EAD" w:rsidRDefault="009B3B4D" w:rsidP="004030AA">
            <w:pPr>
              <w:widowControl w:val="0"/>
              <w:tabs>
                <w:tab w:val="left" w:pos="106"/>
              </w:tabs>
              <w:spacing w:before="40" w:after="40"/>
              <w:jc w:val="center"/>
              <w:rPr>
                <w:rFonts w:ascii="Arial Narrow" w:hAnsi="Arial Narrow" w:cs="Tahoma"/>
                <w:sz w:val="20"/>
              </w:rPr>
            </w:pPr>
            <w:r w:rsidRPr="004C23EA">
              <w:rPr>
                <w:rFonts w:ascii="Arial Narrow" w:hAnsi="Arial Narrow" w:cs="Tahoma"/>
                <w:sz w:val="20"/>
              </w:rPr>
              <w:t>$redacted</w:t>
            </w:r>
          </w:p>
        </w:tc>
        <w:tc>
          <w:tcPr>
            <w:tcW w:w="1229" w:type="dxa"/>
          </w:tcPr>
          <w:p w14:paraId="324968E3"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19%</w:t>
            </w:r>
          </w:p>
        </w:tc>
      </w:tr>
      <w:tr w:rsidR="009B3B4D" w:rsidRPr="00C30EAD" w14:paraId="0558EC1A" w14:textId="77777777" w:rsidTr="004030AA">
        <w:trPr>
          <w:cantSplit/>
          <w:trHeight w:val="129"/>
        </w:trPr>
        <w:tc>
          <w:tcPr>
            <w:tcW w:w="3402" w:type="dxa"/>
            <w:vAlign w:val="center"/>
          </w:tcPr>
          <w:p w14:paraId="314AC060"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3.5%</w:t>
            </w:r>
          </w:p>
        </w:tc>
        <w:tc>
          <w:tcPr>
            <w:tcW w:w="1487" w:type="dxa"/>
          </w:tcPr>
          <w:p w14:paraId="1BC30303" w14:textId="1206E175"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E97626">
              <w:rPr>
                <w:rFonts w:ascii="Arial Narrow" w:hAnsi="Arial Narrow" w:cs="Tahoma"/>
                <w:sz w:val="20"/>
              </w:rPr>
              <w:t>$redacted</w:t>
            </w:r>
          </w:p>
        </w:tc>
        <w:tc>
          <w:tcPr>
            <w:tcW w:w="1395" w:type="dxa"/>
          </w:tcPr>
          <w:p w14:paraId="23573F4A" w14:textId="40B3DE87" w:rsidR="009B3B4D" w:rsidRPr="00C30EAD" w:rsidRDefault="009B3B4D"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1221" w:type="dxa"/>
          </w:tcPr>
          <w:p w14:paraId="6523D25F" w14:textId="3F174F3A" w:rsidR="009B3B4D" w:rsidRPr="00C30EAD" w:rsidRDefault="009B3B4D" w:rsidP="004030AA">
            <w:pPr>
              <w:widowControl w:val="0"/>
              <w:tabs>
                <w:tab w:val="left" w:pos="106"/>
              </w:tabs>
              <w:spacing w:before="40" w:after="40"/>
              <w:jc w:val="center"/>
              <w:rPr>
                <w:rFonts w:ascii="Arial Narrow" w:hAnsi="Arial Narrow" w:cs="Tahoma"/>
                <w:sz w:val="20"/>
              </w:rPr>
            </w:pPr>
            <w:r w:rsidRPr="004C23EA">
              <w:rPr>
                <w:rFonts w:ascii="Arial Narrow" w:hAnsi="Arial Narrow" w:cs="Tahoma"/>
                <w:sz w:val="20"/>
              </w:rPr>
              <w:t>$redacted</w:t>
            </w:r>
          </w:p>
        </w:tc>
        <w:tc>
          <w:tcPr>
            <w:tcW w:w="1229" w:type="dxa"/>
          </w:tcPr>
          <w:p w14:paraId="2A4A7435" w14:textId="77777777"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6%</w:t>
            </w:r>
          </w:p>
        </w:tc>
      </w:tr>
    </w:tbl>
    <w:p w14:paraId="3F664290" w14:textId="77777777" w:rsidR="00E47DC5" w:rsidRPr="00C30EAD" w:rsidRDefault="00E47DC5" w:rsidP="00E47DC5">
      <w:pPr>
        <w:jc w:val="both"/>
        <w:rPr>
          <w:rFonts w:ascii="Arial Narrow" w:hAnsi="Arial Narrow"/>
          <w:sz w:val="18"/>
          <w:szCs w:val="24"/>
          <w:lang w:eastAsia="en-GB"/>
        </w:rPr>
      </w:pPr>
      <w:r w:rsidRPr="00C30EAD">
        <w:rPr>
          <w:rFonts w:ascii="Arial Narrow" w:hAnsi="Arial Narrow"/>
          <w:sz w:val="18"/>
          <w:szCs w:val="24"/>
          <w:lang w:eastAsia="en-GB"/>
        </w:rPr>
        <w:t>CHF=chronic heart failure, DMR= degenerative mitral regurgitation, NYHA, New York Heart Association, OMT= Optimised medical treatment, TMVr, Transcatheter Mitral Valve Repair</w:t>
      </w:r>
    </w:p>
    <w:p w14:paraId="51147317" w14:textId="77777777" w:rsidR="00F75D65" w:rsidRPr="00C30EAD" w:rsidRDefault="00E47DC5" w:rsidP="00F75D65">
      <w:pPr>
        <w:tabs>
          <w:tab w:val="left" w:pos="3072"/>
        </w:tabs>
        <w:jc w:val="both"/>
        <w:rPr>
          <w:rFonts w:ascii="Arial Narrow" w:hAnsi="Arial Narrow"/>
          <w:sz w:val="18"/>
          <w:szCs w:val="24"/>
          <w:lang w:eastAsia="en-GB"/>
        </w:rPr>
      </w:pPr>
      <w:r>
        <w:rPr>
          <w:rFonts w:ascii="Arial Narrow" w:hAnsi="Arial Narrow"/>
          <w:sz w:val="18"/>
          <w:szCs w:val="24"/>
          <w:lang w:eastAsia="en-GB"/>
        </w:rPr>
        <w:t>Source: Table 49, p83 of the commentary</w:t>
      </w:r>
    </w:p>
    <w:p w14:paraId="18901EF6" w14:textId="77777777" w:rsidR="00E47DC5" w:rsidRPr="00BE70ED" w:rsidRDefault="00E47DC5" w:rsidP="00BE70ED">
      <w:pPr>
        <w:keepNext/>
        <w:keepLines/>
        <w:rPr>
          <w:rFonts w:ascii="Arial Narrow" w:hAnsi="Arial Narrow"/>
          <w:b/>
          <w:sz w:val="20"/>
        </w:rPr>
      </w:pPr>
      <w:bookmarkStart w:id="38" w:name="_Ref34046591"/>
      <w:bookmarkStart w:id="39" w:name="_Toc31308459"/>
      <w:bookmarkStart w:id="40" w:name="_Toc32243678"/>
      <w:r w:rsidRPr="00BE70ED">
        <w:rPr>
          <w:rFonts w:ascii="Arial Narrow" w:hAnsi="Arial Narrow"/>
          <w:b/>
          <w:sz w:val="20"/>
        </w:rPr>
        <w:lastRenderedPageBreak/>
        <w:t xml:space="preserve">Table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Table \* ARABIC </w:instrText>
      </w:r>
      <w:r w:rsidR="00ED24C6" w:rsidRPr="00BE70ED">
        <w:rPr>
          <w:rFonts w:ascii="Arial Narrow" w:hAnsi="Arial Narrow"/>
          <w:b/>
          <w:sz w:val="20"/>
        </w:rPr>
        <w:fldChar w:fldCharType="separate"/>
      </w:r>
      <w:r w:rsidRPr="00BE70ED">
        <w:rPr>
          <w:rFonts w:ascii="Arial Narrow" w:hAnsi="Arial Narrow"/>
          <w:b/>
          <w:sz w:val="20"/>
        </w:rPr>
        <w:t>9</w:t>
      </w:r>
      <w:r w:rsidR="00ED24C6" w:rsidRPr="00BE70ED">
        <w:rPr>
          <w:rFonts w:ascii="Arial Narrow" w:hAnsi="Arial Narrow"/>
          <w:b/>
          <w:sz w:val="20"/>
        </w:rPr>
        <w:fldChar w:fldCharType="end"/>
      </w:r>
      <w:bookmarkEnd w:id="38"/>
      <w:r w:rsidRPr="00BE70ED">
        <w:rPr>
          <w:rFonts w:ascii="Arial Narrow" w:hAnsi="Arial Narrow"/>
          <w:b/>
          <w:sz w:val="20"/>
        </w:rPr>
        <w:t xml:space="preserve"> Results of the sensitivity analyses (FMR model)</w:t>
      </w:r>
      <w:bookmarkEnd w:id="39"/>
      <w:bookmarkEnd w:id="40"/>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Results of the sensitivity analyses (FMR model)"/>
      </w:tblPr>
      <w:tblGrid>
        <w:gridCol w:w="2033"/>
        <w:gridCol w:w="2144"/>
        <w:gridCol w:w="2015"/>
        <w:gridCol w:w="2017"/>
        <w:gridCol w:w="807"/>
      </w:tblGrid>
      <w:tr w:rsidR="00E47DC5" w:rsidRPr="00C30EAD" w14:paraId="74CA00C8" w14:textId="77777777" w:rsidTr="00394466">
        <w:trPr>
          <w:cantSplit/>
          <w:tblHeader/>
        </w:trPr>
        <w:tc>
          <w:tcPr>
            <w:tcW w:w="2033" w:type="dxa"/>
            <w:vAlign w:val="center"/>
          </w:tcPr>
          <w:p w14:paraId="6C008288" w14:textId="77777777" w:rsidR="00E47DC5" w:rsidRPr="00C30EAD" w:rsidRDefault="00E47DC5" w:rsidP="00BE70ED">
            <w:pPr>
              <w:keepNext/>
              <w:keepLines/>
              <w:widowControl w:val="0"/>
              <w:tabs>
                <w:tab w:val="left" w:pos="248"/>
              </w:tabs>
              <w:spacing w:before="40" w:after="40"/>
              <w:rPr>
                <w:rFonts w:ascii="Arial Narrow" w:hAnsi="Arial Narrow" w:cs="Tahoma"/>
                <w:b/>
                <w:sz w:val="20"/>
              </w:rPr>
            </w:pPr>
            <w:r w:rsidRPr="00C30EAD">
              <w:rPr>
                <w:rFonts w:ascii="Arial Narrow" w:hAnsi="Arial Narrow" w:cs="Tahoma"/>
                <w:b/>
                <w:sz w:val="20"/>
              </w:rPr>
              <w:t>Analyses</w:t>
            </w:r>
          </w:p>
        </w:tc>
        <w:tc>
          <w:tcPr>
            <w:tcW w:w="2144" w:type="dxa"/>
            <w:vAlign w:val="center"/>
          </w:tcPr>
          <w:p w14:paraId="6A9C79F7" w14:textId="77777777" w:rsidR="00E47DC5" w:rsidRPr="00C30EAD" w:rsidRDefault="00E47DC5" w:rsidP="00BE70ED">
            <w:pPr>
              <w:keepNext/>
              <w:keepLines/>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Incremental cost</w:t>
            </w:r>
          </w:p>
        </w:tc>
        <w:tc>
          <w:tcPr>
            <w:tcW w:w="2015" w:type="dxa"/>
            <w:vAlign w:val="center"/>
          </w:tcPr>
          <w:p w14:paraId="0FFFDB90" w14:textId="77777777" w:rsidR="00E47DC5" w:rsidRPr="00C30EAD" w:rsidRDefault="00E47DC5" w:rsidP="00BE70ED">
            <w:pPr>
              <w:keepNext/>
              <w:keepLines/>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Incremental QALY</w:t>
            </w:r>
          </w:p>
        </w:tc>
        <w:tc>
          <w:tcPr>
            <w:tcW w:w="2017" w:type="dxa"/>
            <w:vAlign w:val="center"/>
          </w:tcPr>
          <w:p w14:paraId="6596ED31" w14:textId="77777777" w:rsidR="00E47DC5" w:rsidRPr="00C30EAD" w:rsidRDefault="00E47DC5" w:rsidP="00BE70ED">
            <w:pPr>
              <w:keepNext/>
              <w:keepLines/>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ICER</w:t>
            </w:r>
          </w:p>
        </w:tc>
        <w:tc>
          <w:tcPr>
            <w:tcW w:w="807" w:type="dxa"/>
            <w:vAlign w:val="center"/>
          </w:tcPr>
          <w:p w14:paraId="6A164E62" w14:textId="77777777" w:rsidR="00E47DC5" w:rsidRPr="00C30EAD" w:rsidRDefault="00E47DC5" w:rsidP="00BE70ED">
            <w:pPr>
              <w:keepNext/>
              <w:keepLines/>
              <w:widowControl w:val="0"/>
              <w:tabs>
                <w:tab w:val="left" w:pos="106"/>
              </w:tabs>
              <w:spacing w:before="40" w:after="40"/>
              <w:ind w:left="176"/>
              <w:jc w:val="center"/>
              <w:rPr>
                <w:rFonts w:ascii="Arial Narrow" w:hAnsi="Arial Narrow" w:cs="Tahoma"/>
                <w:b/>
                <w:sz w:val="20"/>
              </w:rPr>
            </w:pPr>
            <w:r w:rsidRPr="00C30EAD">
              <w:rPr>
                <w:rFonts w:ascii="Arial Narrow" w:hAnsi="Arial Narrow" w:cs="Tahoma"/>
                <w:b/>
                <w:sz w:val="20"/>
              </w:rPr>
              <w:t>% change ICER</w:t>
            </w:r>
          </w:p>
        </w:tc>
      </w:tr>
      <w:tr w:rsidR="00E47DC5" w:rsidRPr="00C30EAD" w14:paraId="347D8662" w14:textId="77777777" w:rsidTr="00394466">
        <w:trPr>
          <w:cantSplit/>
          <w:trHeight w:val="129"/>
        </w:trPr>
        <w:tc>
          <w:tcPr>
            <w:tcW w:w="2033" w:type="dxa"/>
            <w:vAlign w:val="center"/>
          </w:tcPr>
          <w:p w14:paraId="048CEA2D" w14:textId="77777777" w:rsidR="00E47DC5" w:rsidRPr="00C30EAD" w:rsidRDefault="00E47DC5" w:rsidP="00BE70ED">
            <w:pPr>
              <w:keepNext/>
              <w:keepLines/>
              <w:widowControl w:val="0"/>
              <w:tabs>
                <w:tab w:val="left" w:pos="248"/>
              </w:tabs>
              <w:spacing w:before="40" w:after="40"/>
              <w:rPr>
                <w:rFonts w:ascii="Arial Narrow" w:hAnsi="Arial Narrow" w:cs="Tahoma"/>
                <w:sz w:val="20"/>
              </w:rPr>
            </w:pPr>
            <w:r w:rsidRPr="00C30EAD">
              <w:rPr>
                <w:rFonts w:ascii="Arial Narrow" w:hAnsi="Arial Narrow" w:cs="Tahoma"/>
                <w:b/>
                <w:sz w:val="20"/>
              </w:rPr>
              <w:t>FMR population base case</w:t>
            </w:r>
          </w:p>
        </w:tc>
        <w:tc>
          <w:tcPr>
            <w:tcW w:w="2144" w:type="dxa"/>
          </w:tcPr>
          <w:p w14:paraId="2D007B05" w14:textId="1A2A77B0" w:rsidR="00E47DC5" w:rsidRPr="00C30EAD" w:rsidRDefault="009B3B4D" w:rsidP="00BE70ED">
            <w:pPr>
              <w:keepNext/>
              <w:keepLines/>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5" w:type="dxa"/>
          </w:tcPr>
          <w:p w14:paraId="067C2AEA" w14:textId="43EDFFEB" w:rsidR="00E47DC5" w:rsidRPr="00C30EAD" w:rsidRDefault="0073088B" w:rsidP="00BE70ED">
            <w:pPr>
              <w:keepNext/>
              <w:keepLines/>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6486FA0B" w14:textId="76D3E1D4" w:rsidR="00E47DC5" w:rsidRPr="00C30EAD" w:rsidRDefault="009B3B4D" w:rsidP="00BE70ED">
            <w:pPr>
              <w:keepNext/>
              <w:keepLines/>
              <w:widowControl w:val="0"/>
              <w:tabs>
                <w:tab w:val="left" w:pos="106"/>
              </w:tabs>
              <w:spacing w:before="40" w:after="40"/>
              <w:jc w:val="center"/>
              <w:rPr>
                <w:rFonts w:ascii="Arial Narrow" w:hAnsi="Arial Narrow" w:cs="Tahoma"/>
                <w:sz w:val="20"/>
              </w:rPr>
            </w:pPr>
            <w:r>
              <w:rPr>
                <w:rFonts w:ascii="Arial Narrow" w:hAnsi="Arial Narrow" w:cs="Tahoma"/>
                <w:sz w:val="20"/>
              </w:rPr>
              <w:t>$redacted</w:t>
            </w:r>
          </w:p>
        </w:tc>
        <w:tc>
          <w:tcPr>
            <w:tcW w:w="807" w:type="dxa"/>
            <w:vAlign w:val="center"/>
          </w:tcPr>
          <w:p w14:paraId="29336A30" w14:textId="77777777" w:rsidR="00E47DC5" w:rsidRPr="00C30EAD" w:rsidRDefault="00E47DC5" w:rsidP="00BE70ED">
            <w:pPr>
              <w:keepNext/>
              <w:keepLines/>
              <w:widowControl w:val="0"/>
              <w:tabs>
                <w:tab w:val="left" w:pos="106"/>
              </w:tabs>
              <w:spacing w:before="40" w:after="40"/>
              <w:ind w:left="176"/>
              <w:jc w:val="center"/>
              <w:rPr>
                <w:rFonts w:ascii="Arial Narrow" w:hAnsi="Arial Narrow" w:cs="Tahoma"/>
                <w:sz w:val="20"/>
              </w:rPr>
            </w:pPr>
            <w:r w:rsidRPr="00C30EAD">
              <w:rPr>
                <w:rFonts w:ascii="Arial Narrow" w:hAnsi="Arial Narrow" w:cs="Tahoma"/>
                <w:sz w:val="20"/>
              </w:rPr>
              <w:t>-</w:t>
            </w:r>
          </w:p>
        </w:tc>
      </w:tr>
      <w:tr w:rsidR="00E47DC5" w:rsidRPr="00C30EAD" w14:paraId="6760D6AD" w14:textId="77777777" w:rsidTr="004030AA">
        <w:trPr>
          <w:cantSplit/>
          <w:trHeight w:val="129"/>
        </w:trPr>
        <w:tc>
          <w:tcPr>
            <w:tcW w:w="9016" w:type="dxa"/>
            <w:gridSpan w:val="5"/>
            <w:vAlign w:val="center"/>
          </w:tcPr>
          <w:p w14:paraId="4E993A5D" w14:textId="77777777" w:rsidR="00E47DC5" w:rsidRPr="00C30EAD" w:rsidRDefault="00E47DC5" w:rsidP="00BE70ED">
            <w:pPr>
              <w:keepNext/>
              <w:keepLines/>
              <w:widowControl w:val="0"/>
              <w:tabs>
                <w:tab w:val="left" w:pos="106"/>
              </w:tabs>
              <w:spacing w:before="40" w:after="40"/>
              <w:rPr>
                <w:rFonts w:ascii="Arial Narrow" w:hAnsi="Arial Narrow" w:cs="Tahoma"/>
                <w:sz w:val="20"/>
              </w:rPr>
            </w:pPr>
            <w:r w:rsidRPr="00C30EAD">
              <w:rPr>
                <w:rFonts w:ascii="Arial Narrow" w:hAnsi="Arial Narrow" w:cs="Tahoma"/>
                <w:bCs/>
                <w:sz w:val="20"/>
              </w:rPr>
              <w:t xml:space="preserve">TMVr overall survival hazard ratio </w:t>
            </w:r>
            <w:r w:rsidRPr="00C30EAD">
              <w:rPr>
                <w:rFonts w:ascii="Arial Narrow" w:hAnsi="Arial Narrow" w:cs="Tahoma"/>
                <w:sz w:val="20"/>
              </w:rPr>
              <w:t xml:space="preserve">(base case: </w:t>
            </w:r>
            <w:r w:rsidRPr="00C30EAD">
              <w:rPr>
                <w:rFonts w:ascii="Arial Narrow" w:hAnsi="Arial Narrow" w:cs="Tahoma"/>
                <w:bCs/>
                <w:sz w:val="20"/>
              </w:rPr>
              <w:t>0.62</w:t>
            </w:r>
            <w:r w:rsidRPr="00C30EAD">
              <w:rPr>
                <w:rFonts w:ascii="Arial Narrow" w:hAnsi="Arial Narrow" w:cs="Tahoma"/>
                <w:sz w:val="20"/>
              </w:rPr>
              <w:t>)</w:t>
            </w:r>
          </w:p>
        </w:tc>
      </w:tr>
      <w:tr w:rsidR="009B3B4D" w:rsidRPr="00C30EAD" w14:paraId="5580F0AD" w14:textId="77777777" w:rsidTr="00394466">
        <w:trPr>
          <w:cantSplit/>
          <w:trHeight w:val="129"/>
        </w:trPr>
        <w:tc>
          <w:tcPr>
            <w:tcW w:w="2033" w:type="dxa"/>
          </w:tcPr>
          <w:p w14:paraId="0918A356" w14:textId="77777777" w:rsidR="009B3B4D" w:rsidRPr="00C30EAD" w:rsidRDefault="009B3B4D" w:rsidP="00BE70ED">
            <w:pPr>
              <w:keepNext/>
              <w:keepLines/>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LCL 0.46</w:t>
            </w:r>
          </w:p>
        </w:tc>
        <w:tc>
          <w:tcPr>
            <w:tcW w:w="2144" w:type="dxa"/>
          </w:tcPr>
          <w:p w14:paraId="113ED0B8" w14:textId="20F30D73" w:rsidR="009B3B4D" w:rsidRPr="00C30EAD" w:rsidRDefault="009B3B4D" w:rsidP="00BE70ED">
            <w:pPr>
              <w:keepNext/>
              <w:keepLines/>
              <w:widowControl w:val="0"/>
              <w:tabs>
                <w:tab w:val="left" w:pos="106"/>
              </w:tabs>
              <w:spacing w:before="40" w:after="40"/>
              <w:ind w:left="176"/>
              <w:jc w:val="center"/>
              <w:rPr>
                <w:rFonts w:ascii="Arial Narrow" w:hAnsi="Arial Narrow" w:cs="Tahoma"/>
                <w:sz w:val="20"/>
              </w:rPr>
            </w:pPr>
            <w:r w:rsidRPr="00075B93">
              <w:rPr>
                <w:rFonts w:ascii="Arial Narrow" w:hAnsi="Arial Narrow" w:cs="Tahoma"/>
                <w:sz w:val="20"/>
              </w:rPr>
              <w:t>$redacted</w:t>
            </w:r>
          </w:p>
        </w:tc>
        <w:tc>
          <w:tcPr>
            <w:tcW w:w="2015" w:type="dxa"/>
          </w:tcPr>
          <w:p w14:paraId="31D9D858" w14:textId="5C9DD1DD" w:rsidR="009B3B4D" w:rsidRPr="00C30EAD" w:rsidRDefault="0073088B" w:rsidP="00BE70ED">
            <w:pPr>
              <w:keepNext/>
              <w:keepLines/>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0D4D75F9" w14:textId="3D040A53" w:rsidR="009B3B4D" w:rsidRPr="00C30EAD" w:rsidRDefault="009B3B4D" w:rsidP="00BE70ED">
            <w:pPr>
              <w:keepNext/>
              <w:keepLines/>
              <w:widowControl w:val="0"/>
              <w:tabs>
                <w:tab w:val="left" w:pos="106"/>
              </w:tabs>
              <w:spacing w:before="40" w:after="40"/>
              <w:jc w:val="center"/>
              <w:rPr>
                <w:rFonts w:ascii="Arial Narrow" w:hAnsi="Arial Narrow" w:cs="Tahoma"/>
                <w:sz w:val="20"/>
              </w:rPr>
            </w:pPr>
            <w:r w:rsidRPr="007D48D1">
              <w:rPr>
                <w:rFonts w:ascii="Arial Narrow" w:hAnsi="Arial Narrow" w:cs="Tahoma"/>
                <w:sz w:val="20"/>
              </w:rPr>
              <w:t>$redacted</w:t>
            </w:r>
          </w:p>
        </w:tc>
        <w:tc>
          <w:tcPr>
            <w:tcW w:w="807" w:type="dxa"/>
            <w:vAlign w:val="bottom"/>
          </w:tcPr>
          <w:p w14:paraId="6FB3884D" w14:textId="77777777" w:rsidR="009B3B4D" w:rsidRPr="00C30EAD" w:rsidRDefault="009B3B4D" w:rsidP="00BE70ED">
            <w:pPr>
              <w:keepNext/>
              <w:keepLines/>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-20%</w:t>
            </w:r>
          </w:p>
        </w:tc>
      </w:tr>
      <w:tr w:rsidR="009B3B4D" w:rsidRPr="00C30EAD" w14:paraId="22577E76" w14:textId="77777777" w:rsidTr="00394466">
        <w:trPr>
          <w:cantSplit/>
          <w:trHeight w:val="129"/>
        </w:trPr>
        <w:tc>
          <w:tcPr>
            <w:tcW w:w="2033" w:type="dxa"/>
          </w:tcPr>
          <w:p w14:paraId="4E9DFCAE"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UCL 0.82</w:t>
            </w:r>
          </w:p>
        </w:tc>
        <w:tc>
          <w:tcPr>
            <w:tcW w:w="2144" w:type="dxa"/>
          </w:tcPr>
          <w:p w14:paraId="1DF38544" w14:textId="6DAA000F"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075B93">
              <w:rPr>
                <w:rFonts w:ascii="Arial Narrow" w:hAnsi="Arial Narrow" w:cs="Tahoma"/>
                <w:sz w:val="20"/>
              </w:rPr>
              <w:t>$redacted</w:t>
            </w:r>
          </w:p>
        </w:tc>
        <w:tc>
          <w:tcPr>
            <w:tcW w:w="2015" w:type="dxa"/>
          </w:tcPr>
          <w:p w14:paraId="224C4451" w14:textId="7BEC9EB4" w:rsidR="009B3B4D" w:rsidRPr="00C30EAD" w:rsidRDefault="0073088B"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62E59D42" w14:textId="0AD802B4" w:rsidR="009B3B4D" w:rsidRPr="00C30EAD" w:rsidRDefault="009B3B4D" w:rsidP="004030AA">
            <w:pPr>
              <w:widowControl w:val="0"/>
              <w:tabs>
                <w:tab w:val="left" w:pos="106"/>
              </w:tabs>
              <w:spacing w:before="40" w:after="40"/>
              <w:jc w:val="center"/>
              <w:rPr>
                <w:rFonts w:ascii="Arial Narrow" w:hAnsi="Arial Narrow" w:cs="Tahoma"/>
                <w:sz w:val="20"/>
              </w:rPr>
            </w:pPr>
            <w:r w:rsidRPr="007D48D1">
              <w:rPr>
                <w:rFonts w:ascii="Arial Narrow" w:hAnsi="Arial Narrow" w:cs="Tahoma"/>
                <w:sz w:val="20"/>
              </w:rPr>
              <w:t>$redacted</w:t>
            </w:r>
          </w:p>
        </w:tc>
        <w:tc>
          <w:tcPr>
            <w:tcW w:w="807" w:type="dxa"/>
            <w:vAlign w:val="bottom"/>
          </w:tcPr>
          <w:p w14:paraId="1DCED1E8" w14:textId="77777777" w:rsidR="009B3B4D" w:rsidRPr="00C30EAD" w:rsidRDefault="009B3B4D" w:rsidP="004030AA">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36%</w:t>
            </w:r>
          </w:p>
        </w:tc>
      </w:tr>
      <w:tr w:rsidR="00E47DC5" w:rsidRPr="00C30EAD" w14:paraId="08EBC3B2" w14:textId="77777777" w:rsidTr="004030AA">
        <w:trPr>
          <w:cantSplit/>
          <w:trHeight w:val="129"/>
        </w:trPr>
        <w:tc>
          <w:tcPr>
            <w:tcW w:w="9016" w:type="dxa"/>
            <w:gridSpan w:val="5"/>
            <w:vAlign w:val="center"/>
          </w:tcPr>
          <w:p w14:paraId="119B2BCB"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TMVr procedure hospitalisation cost – net of prosthesis cost (base case: $11,396)</w:t>
            </w:r>
          </w:p>
        </w:tc>
      </w:tr>
      <w:tr w:rsidR="009B3B4D" w:rsidRPr="00C30EAD" w14:paraId="6DEEB716" w14:textId="77777777" w:rsidTr="00394466">
        <w:trPr>
          <w:cantSplit/>
          <w:trHeight w:val="129"/>
        </w:trPr>
        <w:tc>
          <w:tcPr>
            <w:tcW w:w="2033" w:type="dxa"/>
            <w:vAlign w:val="center"/>
          </w:tcPr>
          <w:p w14:paraId="57BF38F0"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F19B ($8,317)</w:t>
            </w:r>
          </w:p>
        </w:tc>
        <w:tc>
          <w:tcPr>
            <w:tcW w:w="2144" w:type="dxa"/>
          </w:tcPr>
          <w:p w14:paraId="5DF82EA5" w14:textId="561CDAFB"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976E01">
              <w:rPr>
                <w:rFonts w:ascii="Arial Narrow" w:hAnsi="Arial Narrow" w:cs="Tahoma"/>
                <w:sz w:val="20"/>
              </w:rPr>
              <w:t>$redacted</w:t>
            </w:r>
          </w:p>
        </w:tc>
        <w:tc>
          <w:tcPr>
            <w:tcW w:w="2015" w:type="dxa"/>
          </w:tcPr>
          <w:p w14:paraId="15225985" w14:textId="4944ECC5" w:rsidR="009B3B4D" w:rsidRPr="00C30EAD" w:rsidRDefault="0073088B"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61D0F42B" w14:textId="0C49ADED" w:rsidR="009B3B4D" w:rsidRPr="00C30EAD" w:rsidRDefault="009B3B4D" w:rsidP="004030AA">
            <w:pPr>
              <w:widowControl w:val="0"/>
              <w:tabs>
                <w:tab w:val="left" w:pos="106"/>
              </w:tabs>
              <w:spacing w:before="40" w:after="40"/>
              <w:jc w:val="center"/>
              <w:rPr>
                <w:rFonts w:ascii="Arial Narrow" w:hAnsi="Arial Narrow" w:cs="Tahoma"/>
                <w:sz w:val="20"/>
              </w:rPr>
            </w:pPr>
            <w:r w:rsidRPr="00382425">
              <w:rPr>
                <w:rFonts w:ascii="Arial Narrow" w:hAnsi="Arial Narrow" w:cs="Tahoma"/>
                <w:sz w:val="20"/>
              </w:rPr>
              <w:t>$redacted</w:t>
            </w:r>
          </w:p>
        </w:tc>
        <w:tc>
          <w:tcPr>
            <w:tcW w:w="807" w:type="dxa"/>
            <w:vAlign w:val="bottom"/>
          </w:tcPr>
          <w:p w14:paraId="2833FFF2" w14:textId="77777777" w:rsidR="009B3B4D" w:rsidRPr="00C30EAD" w:rsidRDefault="009B3B4D" w:rsidP="004030AA">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-7%</w:t>
            </w:r>
          </w:p>
        </w:tc>
      </w:tr>
      <w:tr w:rsidR="009B3B4D" w:rsidRPr="00C30EAD" w14:paraId="47C468A1" w14:textId="77777777" w:rsidTr="00394466">
        <w:trPr>
          <w:cantSplit/>
          <w:trHeight w:val="129"/>
        </w:trPr>
        <w:tc>
          <w:tcPr>
            <w:tcW w:w="2033" w:type="dxa"/>
            <w:vAlign w:val="center"/>
          </w:tcPr>
          <w:p w14:paraId="79F2AE77"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F09B ($22,122)</w:t>
            </w:r>
          </w:p>
        </w:tc>
        <w:tc>
          <w:tcPr>
            <w:tcW w:w="2144" w:type="dxa"/>
          </w:tcPr>
          <w:p w14:paraId="6E1C0596" w14:textId="08CBA6AF"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976E01">
              <w:rPr>
                <w:rFonts w:ascii="Arial Narrow" w:hAnsi="Arial Narrow" w:cs="Tahoma"/>
                <w:sz w:val="20"/>
              </w:rPr>
              <w:t>$redacted</w:t>
            </w:r>
          </w:p>
        </w:tc>
        <w:tc>
          <w:tcPr>
            <w:tcW w:w="2015" w:type="dxa"/>
          </w:tcPr>
          <w:p w14:paraId="440F3D29" w14:textId="40CED822" w:rsidR="009B3B4D" w:rsidRPr="00C30EAD" w:rsidRDefault="0073088B"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17AA1681" w14:textId="408DF2A5" w:rsidR="009B3B4D" w:rsidRPr="00C30EAD" w:rsidRDefault="009B3B4D" w:rsidP="004030AA">
            <w:pPr>
              <w:widowControl w:val="0"/>
              <w:tabs>
                <w:tab w:val="left" w:pos="106"/>
              </w:tabs>
              <w:spacing w:before="40" w:after="40"/>
              <w:jc w:val="center"/>
              <w:rPr>
                <w:rFonts w:ascii="Arial Narrow" w:hAnsi="Arial Narrow" w:cs="Tahoma"/>
                <w:sz w:val="20"/>
              </w:rPr>
            </w:pPr>
            <w:r w:rsidRPr="00382425">
              <w:rPr>
                <w:rFonts w:ascii="Arial Narrow" w:hAnsi="Arial Narrow" w:cs="Tahoma"/>
                <w:sz w:val="20"/>
              </w:rPr>
              <w:t>$redacted</w:t>
            </w:r>
          </w:p>
        </w:tc>
        <w:tc>
          <w:tcPr>
            <w:tcW w:w="807" w:type="dxa"/>
            <w:vAlign w:val="bottom"/>
          </w:tcPr>
          <w:p w14:paraId="732E06B6" w14:textId="77777777" w:rsidR="009B3B4D" w:rsidRPr="00C30EAD" w:rsidRDefault="009B3B4D" w:rsidP="004030AA">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25%</w:t>
            </w:r>
          </w:p>
        </w:tc>
      </w:tr>
      <w:tr w:rsidR="00E47DC5" w:rsidRPr="00C30EAD" w14:paraId="693CC42F" w14:textId="77777777" w:rsidTr="004030AA">
        <w:trPr>
          <w:cantSplit/>
          <w:trHeight w:val="129"/>
        </w:trPr>
        <w:tc>
          <w:tcPr>
            <w:tcW w:w="9016" w:type="dxa"/>
            <w:gridSpan w:val="5"/>
            <w:vAlign w:val="center"/>
          </w:tcPr>
          <w:p w14:paraId="54EED3B6"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OMT adverse event costs per cycle (base case: $114)</w:t>
            </w:r>
          </w:p>
        </w:tc>
      </w:tr>
      <w:tr w:rsidR="009B3B4D" w:rsidRPr="00C30EAD" w14:paraId="23B2C075" w14:textId="77777777" w:rsidTr="00394466">
        <w:trPr>
          <w:cantSplit/>
          <w:trHeight w:val="129"/>
        </w:trPr>
        <w:tc>
          <w:tcPr>
            <w:tcW w:w="2033" w:type="dxa"/>
            <w:vAlign w:val="center"/>
          </w:tcPr>
          <w:p w14:paraId="5B3F1B76"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FMR +25% ($142.49 per cycle)</w:t>
            </w:r>
          </w:p>
        </w:tc>
        <w:tc>
          <w:tcPr>
            <w:tcW w:w="2144" w:type="dxa"/>
          </w:tcPr>
          <w:p w14:paraId="1F0D5649" w14:textId="14AD82B1"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0A2979">
              <w:rPr>
                <w:rFonts w:ascii="Arial Narrow" w:hAnsi="Arial Narrow" w:cs="Tahoma"/>
                <w:sz w:val="20"/>
              </w:rPr>
              <w:t>$redacted</w:t>
            </w:r>
          </w:p>
        </w:tc>
        <w:tc>
          <w:tcPr>
            <w:tcW w:w="2015" w:type="dxa"/>
          </w:tcPr>
          <w:p w14:paraId="5DB3EEE2" w14:textId="4A9F10B8" w:rsidR="009B3B4D" w:rsidRPr="00C30EAD" w:rsidRDefault="0073088B"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5AE02F10" w14:textId="3F458D23" w:rsidR="009B3B4D" w:rsidRPr="00C30EAD" w:rsidRDefault="009B3B4D" w:rsidP="004030AA">
            <w:pPr>
              <w:widowControl w:val="0"/>
              <w:tabs>
                <w:tab w:val="left" w:pos="106"/>
              </w:tabs>
              <w:spacing w:before="40" w:after="40"/>
              <w:jc w:val="center"/>
              <w:rPr>
                <w:rFonts w:ascii="Arial Narrow" w:hAnsi="Arial Narrow" w:cs="Tahoma"/>
                <w:sz w:val="20"/>
              </w:rPr>
            </w:pPr>
            <w:r w:rsidRPr="00677600">
              <w:rPr>
                <w:rFonts w:ascii="Arial Narrow" w:hAnsi="Arial Narrow" w:cs="Tahoma"/>
                <w:sz w:val="20"/>
              </w:rPr>
              <w:t>$redacted</w:t>
            </w:r>
          </w:p>
        </w:tc>
        <w:tc>
          <w:tcPr>
            <w:tcW w:w="807" w:type="dxa"/>
            <w:vAlign w:val="bottom"/>
          </w:tcPr>
          <w:p w14:paraId="657A6648" w14:textId="77777777" w:rsidR="009B3B4D" w:rsidRPr="00C30EAD" w:rsidRDefault="009B3B4D" w:rsidP="004030AA">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w:t>
            </w:r>
          </w:p>
        </w:tc>
      </w:tr>
      <w:tr w:rsidR="009B3B4D" w:rsidRPr="00C30EAD" w14:paraId="510577F5" w14:textId="77777777" w:rsidTr="00394466">
        <w:trPr>
          <w:cantSplit/>
          <w:trHeight w:val="129"/>
        </w:trPr>
        <w:tc>
          <w:tcPr>
            <w:tcW w:w="2033" w:type="dxa"/>
            <w:vAlign w:val="center"/>
          </w:tcPr>
          <w:p w14:paraId="1B8E1C5A" w14:textId="77777777" w:rsidR="009B3B4D" w:rsidRPr="00C30EAD" w:rsidRDefault="009B3B4D" w:rsidP="004030AA">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FMR -25% ($85.50)</w:t>
            </w:r>
          </w:p>
        </w:tc>
        <w:tc>
          <w:tcPr>
            <w:tcW w:w="2144" w:type="dxa"/>
          </w:tcPr>
          <w:p w14:paraId="35E265FD" w14:textId="20AD6D18" w:rsidR="009B3B4D" w:rsidRPr="00C30EAD" w:rsidRDefault="009B3B4D" w:rsidP="004030AA">
            <w:pPr>
              <w:widowControl w:val="0"/>
              <w:tabs>
                <w:tab w:val="left" w:pos="106"/>
              </w:tabs>
              <w:spacing w:before="40" w:after="40"/>
              <w:ind w:left="176"/>
              <w:jc w:val="center"/>
              <w:rPr>
                <w:rFonts w:ascii="Arial Narrow" w:hAnsi="Arial Narrow" w:cs="Tahoma"/>
                <w:sz w:val="20"/>
              </w:rPr>
            </w:pPr>
            <w:r w:rsidRPr="000A2979">
              <w:rPr>
                <w:rFonts w:ascii="Arial Narrow" w:hAnsi="Arial Narrow" w:cs="Tahoma"/>
                <w:sz w:val="20"/>
              </w:rPr>
              <w:t>$redacted</w:t>
            </w:r>
          </w:p>
        </w:tc>
        <w:tc>
          <w:tcPr>
            <w:tcW w:w="2015" w:type="dxa"/>
          </w:tcPr>
          <w:p w14:paraId="496F64B7" w14:textId="6FFEE6D2" w:rsidR="009B3B4D" w:rsidRPr="00C30EAD" w:rsidRDefault="0073088B" w:rsidP="004030AA">
            <w:pPr>
              <w:widowControl w:val="0"/>
              <w:tabs>
                <w:tab w:val="left" w:pos="106"/>
              </w:tabs>
              <w:spacing w:before="40" w:after="40"/>
              <w:ind w:left="176"/>
              <w:jc w:val="center"/>
              <w:rPr>
                <w:rFonts w:ascii="Arial Narrow" w:hAnsi="Arial Narrow" w:cs="Tahoma"/>
                <w:sz w:val="20"/>
              </w:rPr>
            </w:pPr>
            <w:r>
              <w:rPr>
                <w:rFonts w:ascii="Arial Narrow" w:hAnsi="Arial Narrow" w:cs="Tahoma"/>
                <w:sz w:val="20"/>
              </w:rPr>
              <w:t>Redacted</w:t>
            </w:r>
          </w:p>
        </w:tc>
        <w:tc>
          <w:tcPr>
            <w:tcW w:w="2017" w:type="dxa"/>
          </w:tcPr>
          <w:p w14:paraId="51779719" w14:textId="58B1D500" w:rsidR="009B3B4D" w:rsidRPr="00C30EAD" w:rsidRDefault="009B3B4D" w:rsidP="004030AA">
            <w:pPr>
              <w:widowControl w:val="0"/>
              <w:tabs>
                <w:tab w:val="left" w:pos="106"/>
              </w:tabs>
              <w:spacing w:before="40" w:after="40"/>
              <w:jc w:val="center"/>
              <w:rPr>
                <w:rFonts w:ascii="Arial Narrow" w:hAnsi="Arial Narrow" w:cs="Tahoma"/>
                <w:sz w:val="20"/>
              </w:rPr>
            </w:pPr>
            <w:r w:rsidRPr="00677600">
              <w:rPr>
                <w:rFonts w:ascii="Arial Narrow" w:hAnsi="Arial Narrow" w:cs="Tahoma"/>
                <w:sz w:val="20"/>
              </w:rPr>
              <w:t>$redacted</w:t>
            </w:r>
          </w:p>
        </w:tc>
        <w:tc>
          <w:tcPr>
            <w:tcW w:w="807" w:type="dxa"/>
            <w:vAlign w:val="bottom"/>
          </w:tcPr>
          <w:p w14:paraId="73EC7305" w14:textId="77777777" w:rsidR="009B3B4D" w:rsidRPr="00C30EAD" w:rsidRDefault="009B3B4D" w:rsidP="004030AA">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w:t>
            </w:r>
          </w:p>
        </w:tc>
      </w:tr>
      <w:tr w:rsidR="00E47DC5" w:rsidRPr="00C30EAD" w14:paraId="4851DC84" w14:textId="77777777" w:rsidTr="004030AA">
        <w:trPr>
          <w:cantSplit/>
          <w:trHeight w:val="129"/>
        </w:trPr>
        <w:tc>
          <w:tcPr>
            <w:tcW w:w="9016" w:type="dxa"/>
            <w:gridSpan w:val="5"/>
            <w:vAlign w:val="center"/>
          </w:tcPr>
          <w:p w14:paraId="59D7D6A2"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Mitral valve surgery costs (base case: $41,961.89)</w:t>
            </w:r>
          </w:p>
        </w:tc>
      </w:tr>
      <w:tr w:rsidR="009B3B4D" w:rsidRPr="00C30EAD" w14:paraId="0D5CD30E" w14:textId="77777777" w:rsidTr="00394466">
        <w:trPr>
          <w:cantSplit/>
          <w:trHeight w:val="129"/>
        </w:trPr>
        <w:tc>
          <w:tcPr>
            <w:tcW w:w="2033" w:type="dxa"/>
            <w:vAlign w:val="center"/>
          </w:tcPr>
          <w:p w14:paraId="0785A1BA"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F08A ($60,406.60)</w:t>
            </w:r>
          </w:p>
        </w:tc>
        <w:tc>
          <w:tcPr>
            <w:tcW w:w="2144" w:type="dxa"/>
          </w:tcPr>
          <w:p w14:paraId="2C9A1405" w14:textId="67736341"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347833">
              <w:rPr>
                <w:rFonts w:ascii="Arial Narrow" w:hAnsi="Arial Narrow" w:cs="Tahoma"/>
                <w:sz w:val="20"/>
              </w:rPr>
              <w:t>$redacted</w:t>
            </w:r>
          </w:p>
        </w:tc>
        <w:tc>
          <w:tcPr>
            <w:tcW w:w="2015" w:type="dxa"/>
          </w:tcPr>
          <w:p w14:paraId="2DFEC72E" w14:textId="475FBD6F"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D22676">
              <w:rPr>
                <w:rFonts w:ascii="Arial Narrow" w:hAnsi="Arial Narrow" w:cs="Tahoma"/>
                <w:sz w:val="20"/>
              </w:rPr>
              <w:t>Redacted</w:t>
            </w:r>
          </w:p>
        </w:tc>
        <w:tc>
          <w:tcPr>
            <w:tcW w:w="2017" w:type="dxa"/>
          </w:tcPr>
          <w:p w14:paraId="222BEE81" w14:textId="3FDE5878" w:rsidR="009B3B4D" w:rsidRPr="00C30EAD" w:rsidRDefault="009B3B4D" w:rsidP="00394466">
            <w:pPr>
              <w:widowControl w:val="0"/>
              <w:tabs>
                <w:tab w:val="left" w:pos="106"/>
              </w:tabs>
              <w:spacing w:before="40" w:after="40"/>
              <w:jc w:val="center"/>
              <w:rPr>
                <w:rFonts w:ascii="Arial Narrow" w:hAnsi="Arial Narrow" w:cs="Tahoma"/>
                <w:sz w:val="20"/>
              </w:rPr>
            </w:pPr>
            <w:r w:rsidRPr="00D07E5C">
              <w:rPr>
                <w:rFonts w:ascii="Arial Narrow" w:hAnsi="Arial Narrow" w:cs="Tahoma"/>
                <w:sz w:val="20"/>
              </w:rPr>
              <w:t>$redacted</w:t>
            </w:r>
          </w:p>
        </w:tc>
        <w:tc>
          <w:tcPr>
            <w:tcW w:w="807" w:type="dxa"/>
            <w:vAlign w:val="bottom"/>
          </w:tcPr>
          <w:p w14:paraId="0A698696"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w:t>
            </w:r>
          </w:p>
        </w:tc>
      </w:tr>
      <w:tr w:rsidR="009B3B4D" w:rsidRPr="00C30EAD" w14:paraId="1DD0B116" w14:textId="77777777" w:rsidTr="00394466">
        <w:trPr>
          <w:cantSplit/>
          <w:trHeight w:val="129"/>
        </w:trPr>
        <w:tc>
          <w:tcPr>
            <w:tcW w:w="2033" w:type="dxa"/>
            <w:vAlign w:val="center"/>
          </w:tcPr>
          <w:p w14:paraId="3D197A28"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F08B ($32,075.20)</w:t>
            </w:r>
          </w:p>
        </w:tc>
        <w:tc>
          <w:tcPr>
            <w:tcW w:w="2144" w:type="dxa"/>
          </w:tcPr>
          <w:p w14:paraId="1570219B" w14:textId="1940A6B2"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347833">
              <w:rPr>
                <w:rFonts w:ascii="Arial Narrow" w:hAnsi="Arial Narrow" w:cs="Tahoma"/>
                <w:sz w:val="20"/>
              </w:rPr>
              <w:t>$redacted</w:t>
            </w:r>
          </w:p>
        </w:tc>
        <w:tc>
          <w:tcPr>
            <w:tcW w:w="2015" w:type="dxa"/>
          </w:tcPr>
          <w:p w14:paraId="09C5FF51" w14:textId="0EDD4557"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D22676">
              <w:rPr>
                <w:rFonts w:ascii="Arial Narrow" w:hAnsi="Arial Narrow" w:cs="Tahoma"/>
                <w:sz w:val="20"/>
              </w:rPr>
              <w:t>Redacted</w:t>
            </w:r>
          </w:p>
        </w:tc>
        <w:tc>
          <w:tcPr>
            <w:tcW w:w="2017" w:type="dxa"/>
          </w:tcPr>
          <w:p w14:paraId="0BE08F42" w14:textId="7C75C8BC" w:rsidR="009B3B4D" w:rsidRPr="00C30EAD" w:rsidRDefault="009B3B4D" w:rsidP="00394466">
            <w:pPr>
              <w:widowControl w:val="0"/>
              <w:tabs>
                <w:tab w:val="left" w:pos="106"/>
              </w:tabs>
              <w:spacing w:before="40" w:after="40"/>
              <w:jc w:val="center"/>
              <w:rPr>
                <w:rFonts w:ascii="Arial Narrow" w:hAnsi="Arial Narrow" w:cs="Tahoma"/>
                <w:sz w:val="20"/>
              </w:rPr>
            </w:pPr>
            <w:r w:rsidRPr="00D07E5C">
              <w:rPr>
                <w:rFonts w:ascii="Arial Narrow" w:hAnsi="Arial Narrow" w:cs="Tahoma"/>
                <w:sz w:val="20"/>
              </w:rPr>
              <w:t>$redacted</w:t>
            </w:r>
          </w:p>
        </w:tc>
        <w:tc>
          <w:tcPr>
            <w:tcW w:w="807" w:type="dxa"/>
            <w:vAlign w:val="bottom"/>
          </w:tcPr>
          <w:p w14:paraId="40E49FBB"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1%</w:t>
            </w:r>
          </w:p>
        </w:tc>
      </w:tr>
      <w:tr w:rsidR="00E47DC5" w:rsidRPr="00C30EAD" w14:paraId="5D138973" w14:textId="77777777" w:rsidTr="004030AA">
        <w:trPr>
          <w:cantSplit/>
          <w:trHeight w:val="129"/>
        </w:trPr>
        <w:tc>
          <w:tcPr>
            <w:tcW w:w="9016" w:type="dxa"/>
            <w:gridSpan w:val="5"/>
            <w:vAlign w:val="center"/>
          </w:tcPr>
          <w:p w14:paraId="6A265EE6"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CHF hospitalisation cost (base case: $8,794.18)</w:t>
            </w:r>
          </w:p>
        </w:tc>
      </w:tr>
      <w:tr w:rsidR="009B3B4D" w:rsidRPr="00C30EAD" w14:paraId="75BDA654" w14:textId="77777777" w:rsidTr="00394466">
        <w:trPr>
          <w:cantSplit/>
          <w:trHeight w:val="129"/>
        </w:trPr>
        <w:tc>
          <w:tcPr>
            <w:tcW w:w="2033" w:type="dxa"/>
            <w:vAlign w:val="center"/>
          </w:tcPr>
          <w:p w14:paraId="518CF032"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F62A ($12,212.63)</w:t>
            </w:r>
          </w:p>
        </w:tc>
        <w:tc>
          <w:tcPr>
            <w:tcW w:w="2144" w:type="dxa"/>
          </w:tcPr>
          <w:p w14:paraId="26E78BD4" w14:textId="5B4EDF6B"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1BEBF971" w14:textId="516FB49E"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96108E">
              <w:rPr>
                <w:rFonts w:ascii="Arial Narrow" w:hAnsi="Arial Narrow" w:cs="Tahoma"/>
                <w:sz w:val="20"/>
              </w:rPr>
              <w:t>Redacted</w:t>
            </w:r>
          </w:p>
        </w:tc>
        <w:tc>
          <w:tcPr>
            <w:tcW w:w="2017" w:type="dxa"/>
          </w:tcPr>
          <w:p w14:paraId="46CD2B15" w14:textId="0E7F0DAB" w:rsidR="009B3B4D" w:rsidRPr="00C30EAD" w:rsidRDefault="009B3B4D" w:rsidP="00394466">
            <w:pPr>
              <w:widowControl w:val="0"/>
              <w:tabs>
                <w:tab w:val="left" w:pos="106"/>
              </w:tabs>
              <w:spacing w:before="40" w:after="40"/>
              <w:jc w:val="center"/>
              <w:rPr>
                <w:rFonts w:ascii="Arial Narrow" w:hAnsi="Arial Narrow" w:cs="Tahoma"/>
                <w:sz w:val="20"/>
              </w:rPr>
            </w:pPr>
            <w:r w:rsidRPr="000453BD">
              <w:rPr>
                <w:rFonts w:ascii="Arial Narrow" w:hAnsi="Arial Narrow" w:cs="Tahoma"/>
                <w:sz w:val="20"/>
              </w:rPr>
              <w:t>$redacted</w:t>
            </w:r>
          </w:p>
        </w:tc>
        <w:tc>
          <w:tcPr>
            <w:tcW w:w="807" w:type="dxa"/>
            <w:vAlign w:val="bottom"/>
          </w:tcPr>
          <w:p w14:paraId="47FAA5F6"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-4%</w:t>
            </w:r>
          </w:p>
        </w:tc>
      </w:tr>
      <w:tr w:rsidR="009B3B4D" w:rsidRPr="00C30EAD" w14:paraId="65269914" w14:textId="77777777" w:rsidTr="00394466">
        <w:trPr>
          <w:cantSplit/>
          <w:trHeight w:val="129"/>
        </w:trPr>
        <w:tc>
          <w:tcPr>
            <w:tcW w:w="2033" w:type="dxa"/>
            <w:vAlign w:val="center"/>
          </w:tcPr>
          <w:p w14:paraId="07A2EE2A"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F62B ($5,378.45)</w:t>
            </w:r>
          </w:p>
        </w:tc>
        <w:tc>
          <w:tcPr>
            <w:tcW w:w="2144" w:type="dxa"/>
          </w:tcPr>
          <w:p w14:paraId="1097684C" w14:textId="0D23AD60"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1B88F770" w14:textId="18F76995"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96108E">
              <w:rPr>
                <w:rFonts w:ascii="Arial Narrow" w:hAnsi="Arial Narrow" w:cs="Tahoma"/>
                <w:sz w:val="20"/>
              </w:rPr>
              <w:t>Redacted</w:t>
            </w:r>
          </w:p>
        </w:tc>
        <w:tc>
          <w:tcPr>
            <w:tcW w:w="2017" w:type="dxa"/>
          </w:tcPr>
          <w:p w14:paraId="708956A1" w14:textId="0C73BBF6" w:rsidR="009B3B4D" w:rsidRPr="00C30EAD" w:rsidRDefault="009B3B4D" w:rsidP="00394466">
            <w:pPr>
              <w:widowControl w:val="0"/>
              <w:tabs>
                <w:tab w:val="left" w:pos="106"/>
              </w:tabs>
              <w:spacing w:before="40" w:after="40"/>
              <w:jc w:val="center"/>
              <w:rPr>
                <w:rFonts w:ascii="Arial Narrow" w:hAnsi="Arial Narrow" w:cs="Tahoma"/>
                <w:sz w:val="20"/>
              </w:rPr>
            </w:pPr>
            <w:r w:rsidRPr="000453BD">
              <w:rPr>
                <w:rFonts w:ascii="Arial Narrow" w:hAnsi="Arial Narrow" w:cs="Tahoma"/>
                <w:sz w:val="20"/>
              </w:rPr>
              <w:t>$redacted</w:t>
            </w:r>
          </w:p>
        </w:tc>
        <w:tc>
          <w:tcPr>
            <w:tcW w:w="807" w:type="dxa"/>
            <w:vAlign w:val="bottom"/>
          </w:tcPr>
          <w:p w14:paraId="5FCD619C"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4%</w:t>
            </w:r>
          </w:p>
        </w:tc>
      </w:tr>
      <w:tr w:rsidR="00E47DC5" w:rsidRPr="00C30EAD" w14:paraId="5C3A68BF" w14:textId="77777777" w:rsidTr="004030AA">
        <w:trPr>
          <w:cantSplit/>
          <w:trHeight w:val="129"/>
        </w:trPr>
        <w:tc>
          <w:tcPr>
            <w:tcW w:w="9016" w:type="dxa"/>
            <w:gridSpan w:val="5"/>
            <w:vAlign w:val="center"/>
          </w:tcPr>
          <w:p w14:paraId="14CB7454"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Utility values (base case: Gohler et al, 2009; 0.90,0.83,0.74,0.60)</w:t>
            </w:r>
          </w:p>
        </w:tc>
      </w:tr>
      <w:tr w:rsidR="009B3B4D" w:rsidRPr="00C30EAD" w14:paraId="0C327B1D" w14:textId="77777777" w:rsidTr="00815302">
        <w:trPr>
          <w:cantSplit/>
          <w:trHeight w:val="129"/>
        </w:trPr>
        <w:tc>
          <w:tcPr>
            <w:tcW w:w="2033" w:type="dxa"/>
            <w:vAlign w:val="center"/>
          </w:tcPr>
          <w:p w14:paraId="47D143FF"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Fox et al 2007 (0.93,0.78,0.61,0.44)</w:t>
            </w:r>
          </w:p>
        </w:tc>
        <w:tc>
          <w:tcPr>
            <w:tcW w:w="2144" w:type="dxa"/>
          </w:tcPr>
          <w:p w14:paraId="422A7AF5" w14:textId="088CC1C4"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72BBE35D" w14:textId="76C8A01C"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6521BF">
              <w:rPr>
                <w:rFonts w:ascii="Arial Narrow" w:hAnsi="Arial Narrow" w:cs="Tahoma"/>
                <w:sz w:val="20"/>
              </w:rPr>
              <w:t>Redacted</w:t>
            </w:r>
          </w:p>
        </w:tc>
        <w:tc>
          <w:tcPr>
            <w:tcW w:w="2017" w:type="dxa"/>
          </w:tcPr>
          <w:p w14:paraId="2D0E693D" w14:textId="0882F57C" w:rsidR="009B3B4D" w:rsidRPr="00C30EAD" w:rsidRDefault="009B3B4D" w:rsidP="00394466">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center"/>
          </w:tcPr>
          <w:p w14:paraId="1CE805C8"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6%</w:t>
            </w:r>
          </w:p>
        </w:tc>
      </w:tr>
      <w:tr w:rsidR="009B3B4D" w:rsidRPr="00C30EAD" w14:paraId="01E69C66" w14:textId="77777777" w:rsidTr="00815302">
        <w:trPr>
          <w:cantSplit/>
          <w:trHeight w:val="129"/>
        </w:trPr>
        <w:tc>
          <w:tcPr>
            <w:tcW w:w="2033" w:type="dxa"/>
            <w:vAlign w:val="center"/>
          </w:tcPr>
          <w:p w14:paraId="07A9B685"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Lewis et al 2001 (0.97,0.80,0.65,0.30)</w:t>
            </w:r>
          </w:p>
        </w:tc>
        <w:tc>
          <w:tcPr>
            <w:tcW w:w="2144" w:type="dxa"/>
          </w:tcPr>
          <w:p w14:paraId="14CBBB86" w14:textId="5B0A3621"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66E5C7CA" w14:textId="3E60AA93"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6521BF">
              <w:rPr>
                <w:rFonts w:ascii="Arial Narrow" w:hAnsi="Arial Narrow" w:cs="Tahoma"/>
                <w:sz w:val="20"/>
              </w:rPr>
              <w:t>Redacted</w:t>
            </w:r>
          </w:p>
        </w:tc>
        <w:tc>
          <w:tcPr>
            <w:tcW w:w="2017" w:type="dxa"/>
          </w:tcPr>
          <w:p w14:paraId="182E6E7F" w14:textId="420CB4EC" w:rsidR="009B3B4D" w:rsidRPr="00C30EAD" w:rsidRDefault="009B3B4D" w:rsidP="00394466">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center"/>
          </w:tcPr>
          <w:p w14:paraId="4851B702"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7%</w:t>
            </w:r>
          </w:p>
        </w:tc>
      </w:tr>
      <w:tr w:rsidR="00E47DC5" w:rsidRPr="00C30EAD" w14:paraId="4065EA45" w14:textId="77777777" w:rsidTr="004030AA">
        <w:trPr>
          <w:cantSplit/>
          <w:trHeight w:val="129"/>
        </w:trPr>
        <w:tc>
          <w:tcPr>
            <w:tcW w:w="9016" w:type="dxa"/>
            <w:gridSpan w:val="5"/>
            <w:vAlign w:val="center"/>
          </w:tcPr>
          <w:p w14:paraId="070AB246"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Adjustment of NYHA class distributions for baseline differences (base case: Set baseline OMT values to TMVr distribution, then extrapolation assumptions)</w:t>
            </w:r>
          </w:p>
        </w:tc>
      </w:tr>
      <w:tr w:rsidR="009B3B4D" w:rsidRPr="00C30EAD" w14:paraId="68E0EBB7" w14:textId="77777777" w:rsidTr="00394466">
        <w:trPr>
          <w:cantSplit/>
          <w:trHeight w:val="129"/>
        </w:trPr>
        <w:tc>
          <w:tcPr>
            <w:tcW w:w="2033" w:type="dxa"/>
          </w:tcPr>
          <w:p w14:paraId="20D92470"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No adjustment</w:t>
            </w:r>
          </w:p>
        </w:tc>
        <w:tc>
          <w:tcPr>
            <w:tcW w:w="2144" w:type="dxa"/>
          </w:tcPr>
          <w:p w14:paraId="45579CE7" w14:textId="14C1AD52"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4D2B16F2" w14:textId="3672B7E1"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B21CB1">
              <w:rPr>
                <w:rFonts w:ascii="Arial Narrow" w:hAnsi="Arial Narrow" w:cs="Tahoma"/>
                <w:sz w:val="20"/>
              </w:rPr>
              <w:t>Redacted</w:t>
            </w:r>
          </w:p>
        </w:tc>
        <w:tc>
          <w:tcPr>
            <w:tcW w:w="2017" w:type="dxa"/>
          </w:tcPr>
          <w:p w14:paraId="091C1144" w14:textId="476E9317" w:rsidR="009B3B4D" w:rsidRPr="00C30EAD" w:rsidRDefault="009B3B4D" w:rsidP="00394466">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14CF1EE5"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-6%</w:t>
            </w:r>
          </w:p>
        </w:tc>
      </w:tr>
      <w:tr w:rsidR="009B3B4D" w:rsidRPr="00C30EAD" w14:paraId="126E651C" w14:textId="77777777" w:rsidTr="00394466">
        <w:trPr>
          <w:cantSplit/>
          <w:trHeight w:val="129"/>
        </w:trPr>
        <w:tc>
          <w:tcPr>
            <w:tcW w:w="2033" w:type="dxa"/>
          </w:tcPr>
          <w:p w14:paraId="17BFB1FC" w14:textId="77777777" w:rsidR="009B3B4D" w:rsidRPr="00C30EAD" w:rsidRDefault="009B3B4D" w:rsidP="00394466">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Set baseline and post-baseline TMVr values to OMT distributions</w:t>
            </w:r>
          </w:p>
        </w:tc>
        <w:tc>
          <w:tcPr>
            <w:tcW w:w="2144" w:type="dxa"/>
          </w:tcPr>
          <w:p w14:paraId="301BD69B" w14:textId="03EA673C" w:rsidR="009B3B4D" w:rsidRPr="00C30EAD" w:rsidRDefault="009B3B4D" w:rsidP="00394466">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3704CBC8" w14:textId="5C679677" w:rsidR="009B3B4D" w:rsidRPr="00C30EAD" w:rsidRDefault="0073088B" w:rsidP="00394466">
            <w:pPr>
              <w:widowControl w:val="0"/>
              <w:tabs>
                <w:tab w:val="left" w:pos="106"/>
              </w:tabs>
              <w:spacing w:before="40" w:after="40"/>
              <w:ind w:left="176"/>
              <w:jc w:val="center"/>
              <w:rPr>
                <w:rFonts w:ascii="Arial Narrow" w:hAnsi="Arial Narrow" w:cs="Tahoma"/>
                <w:sz w:val="20"/>
              </w:rPr>
            </w:pPr>
            <w:r w:rsidRPr="00B21CB1">
              <w:rPr>
                <w:rFonts w:ascii="Arial Narrow" w:hAnsi="Arial Narrow" w:cs="Tahoma"/>
                <w:sz w:val="20"/>
              </w:rPr>
              <w:t>Redacted</w:t>
            </w:r>
          </w:p>
        </w:tc>
        <w:tc>
          <w:tcPr>
            <w:tcW w:w="2017" w:type="dxa"/>
          </w:tcPr>
          <w:p w14:paraId="4E0A7878" w14:textId="3E72AFED" w:rsidR="009B3B4D" w:rsidRPr="00C30EAD" w:rsidRDefault="009B3B4D" w:rsidP="00394466">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02BC7202" w14:textId="77777777" w:rsidR="009B3B4D" w:rsidRPr="00C30EAD" w:rsidRDefault="009B3B4D" w:rsidP="00394466">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w:t>
            </w:r>
          </w:p>
        </w:tc>
      </w:tr>
      <w:tr w:rsidR="00E47DC5" w:rsidRPr="00C30EAD" w14:paraId="49064A24" w14:textId="77777777" w:rsidTr="004030AA">
        <w:trPr>
          <w:cantSplit/>
          <w:trHeight w:val="129"/>
        </w:trPr>
        <w:tc>
          <w:tcPr>
            <w:tcW w:w="9016" w:type="dxa"/>
            <w:gridSpan w:val="5"/>
            <w:vAlign w:val="center"/>
          </w:tcPr>
          <w:p w14:paraId="3029A75C"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NYHA class distribution extrapolations – annual probability of class progression (base case: 0% in both treatment arms)</w:t>
            </w:r>
          </w:p>
        </w:tc>
      </w:tr>
      <w:tr w:rsidR="009B3B4D" w:rsidRPr="00C30EAD" w14:paraId="0860D44C" w14:textId="77777777" w:rsidTr="00394466">
        <w:trPr>
          <w:cantSplit/>
          <w:trHeight w:val="129"/>
        </w:trPr>
        <w:tc>
          <w:tcPr>
            <w:tcW w:w="2033" w:type="dxa"/>
            <w:vAlign w:val="center"/>
          </w:tcPr>
          <w:p w14:paraId="11571921" w14:textId="77777777" w:rsidR="009B3B4D" w:rsidRPr="00C30EAD" w:rsidRDefault="009B3B4D"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10% in both treatment arms</w:t>
            </w:r>
          </w:p>
        </w:tc>
        <w:tc>
          <w:tcPr>
            <w:tcW w:w="2144" w:type="dxa"/>
          </w:tcPr>
          <w:p w14:paraId="556BB67E" w14:textId="61ABF00F"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2044DFC2" w14:textId="18978800" w:rsidR="009B3B4D" w:rsidRPr="00C30EAD" w:rsidRDefault="0073088B" w:rsidP="008C79F2">
            <w:pPr>
              <w:widowControl w:val="0"/>
              <w:tabs>
                <w:tab w:val="left" w:pos="106"/>
              </w:tabs>
              <w:spacing w:before="40" w:after="40"/>
              <w:ind w:left="176"/>
              <w:jc w:val="center"/>
              <w:rPr>
                <w:rFonts w:ascii="Arial Narrow" w:hAnsi="Arial Narrow" w:cs="Tahoma"/>
                <w:sz w:val="20"/>
              </w:rPr>
            </w:pPr>
            <w:r w:rsidRPr="00C12712">
              <w:rPr>
                <w:rFonts w:ascii="Arial Narrow" w:hAnsi="Arial Narrow" w:cs="Tahoma"/>
                <w:sz w:val="20"/>
              </w:rPr>
              <w:t>Redacted</w:t>
            </w:r>
          </w:p>
        </w:tc>
        <w:tc>
          <w:tcPr>
            <w:tcW w:w="2017" w:type="dxa"/>
          </w:tcPr>
          <w:p w14:paraId="0D48E31B" w14:textId="61A7B4A2" w:rsidR="009B3B4D" w:rsidRPr="00C30EAD" w:rsidRDefault="009B3B4D"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403D3D2E" w14:textId="77777777" w:rsidR="009B3B4D" w:rsidRPr="00C30EAD" w:rsidRDefault="009B3B4D"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3%</w:t>
            </w:r>
          </w:p>
        </w:tc>
      </w:tr>
      <w:tr w:rsidR="009B3B4D" w:rsidRPr="00C30EAD" w14:paraId="51D84D52" w14:textId="77777777" w:rsidTr="00394466">
        <w:trPr>
          <w:cantSplit/>
          <w:trHeight w:val="129"/>
        </w:trPr>
        <w:tc>
          <w:tcPr>
            <w:tcW w:w="2033" w:type="dxa"/>
            <w:vAlign w:val="center"/>
          </w:tcPr>
          <w:p w14:paraId="05BD1F23" w14:textId="77777777" w:rsidR="009B3B4D" w:rsidRPr="00C30EAD" w:rsidRDefault="009B3B4D"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20% in both treatment arms</w:t>
            </w:r>
          </w:p>
        </w:tc>
        <w:tc>
          <w:tcPr>
            <w:tcW w:w="2144" w:type="dxa"/>
          </w:tcPr>
          <w:p w14:paraId="436025AE" w14:textId="5EC3FEAE"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5A92653E" w14:textId="7A816887" w:rsidR="009B3B4D" w:rsidRPr="00C30EAD" w:rsidRDefault="0073088B" w:rsidP="008C79F2">
            <w:pPr>
              <w:widowControl w:val="0"/>
              <w:tabs>
                <w:tab w:val="left" w:pos="106"/>
              </w:tabs>
              <w:spacing w:before="40" w:after="40"/>
              <w:ind w:left="176"/>
              <w:jc w:val="center"/>
              <w:rPr>
                <w:rFonts w:ascii="Arial Narrow" w:hAnsi="Arial Narrow" w:cs="Tahoma"/>
                <w:sz w:val="20"/>
              </w:rPr>
            </w:pPr>
            <w:r w:rsidRPr="00C12712">
              <w:rPr>
                <w:rFonts w:ascii="Arial Narrow" w:hAnsi="Arial Narrow" w:cs="Tahoma"/>
                <w:sz w:val="20"/>
              </w:rPr>
              <w:t>Redacted</w:t>
            </w:r>
          </w:p>
        </w:tc>
        <w:tc>
          <w:tcPr>
            <w:tcW w:w="2017" w:type="dxa"/>
          </w:tcPr>
          <w:p w14:paraId="3D42DDFB" w14:textId="4341E87B" w:rsidR="009B3B4D" w:rsidRPr="00C30EAD" w:rsidRDefault="009B3B4D"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494AB396" w14:textId="77777777" w:rsidR="009B3B4D" w:rsidRPr="00C30EAD" w:rsidRDefault="009B3B4D"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7%</w:t>
            </w:r>
          </w:p>
        </w:tc>
      </w:tr>
      <w:tr w:rsidR="00E47DC5" w:rsidRPr="00C30EAD" w14:paraId="141DAA10" w14:textId="77777777" w:rsidTr="004030AA">
        <w:trPr>
          <w:cantSplit/>
          <w:trHeight w:val="129"/>
        </w:trPr>
        <w:tc>
          <w:tcPr>
            <w:tcW w:w="9016" w:type="dxa"/>
            <w:gridSpan w:val="5"/>
            <w:vAlign w:val="center"/>
          </w:tcPr>
          <w:p w14:paraId="721B15BB"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Annual rate of CHF hospitalisation – OMT (base case: 0.679)</w:t>
            </w:r>
          </w:p>
        </w:tc>
      </w:tr>
      <w:tr w:rsidR="008C79F2" w:rsidRPr="00C30EAD" w14:paraId="44A99680" w14:textId="77777777" w:rsidTr="00394466">
        <w:trPr>
          <w:cantSplit/>
          <w:trHeight w:val="129"/>
        </w:trPr>
        <w:tc>
          <w:tcPr>
            <w:tcW w:w="2033" w:type="dxa"/>
            <w:vAlign w:val="center"/>
          </w:tcPr>
          <w:p w14:paraId="5111D67E" w14:textId="77777777" w:rsidR="008C79F2" w:rsidRPr="00C30EAD" w:rsidRDefault="008C79F2"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Equal to TMVr (DMR: 0.358)</w:t>
            </w:r>
          </w:p>
        </w:tc>
        <w:tc>
          <w:tcPr>
            <w:tcW w:w="2144" w:type="dxa"/>
          </w:tcPr>
          <w:p w14:paraId="345E7FD5" w14:textId="624929D0" w:rsidR="008C79F2" w:rsidRPr="00C30EAD" w:rsidRDefault="008C79F2" w:rsidP="008C79F2">
            <w:pPr>
              <w:widowControl w:val="0"/>
              <w:tabs>
                <w:tab w:val="left" w:pos="106"/>
              </w:tabs>
              <w:spacing w:before="40" w:after="40"/>
              <w:ind w:left="176"/>
              <w:jc w:val="center"/>
              <w:rPr>
                <w:rFonts w:ascii="Arial Narrow" w:hAnsi="Arial Narrow" w:cs="Tahoma"/>
                <w:sz w:val="20"/>
              </w:rPr>
            </w:pPr>
            <w:r w:rsidRPr="007519D3">
              <w:rPr>
                <w:rFonts w:ascii="Arial Narrow" w:hAnsi="Arial Narrow" w:cs="Tahoma"/>
                <w:sz w:val="20"/>
              </w:rPr>
              <w:t>REDACTED</w:t>
            </w:r>
          </w:p>
        </w:tc>
        <w:tc>
          <w:tcPr>
            <w:tcW w:w="2015" w:type="dxa"/>
          </w:tcPr>
          <w:p w14:paraId="285AE2FA" w14:textId="17D3B1E6" w:rsidR="008C79F2" w:rsidRPr="00C30EAD" w:rsidRDefault="0073088B" w:rsidP="008C79F2">
            <w:pPr>
              <w:widowControl w:val="0"/>
              <w:tabs>
                <w:tab w:val="left" w:pos="106"/>
              </w:tabs>
              <w:spacing w:before="40" w:after="40"/>
              <w:ind w:left="176"/>
              <w:jc w:val="center"/>
              <w:rPr>
                <w:rFonts w:ascii="Arial Narrow" w:hAnsi="Arial Narrow" w:cs="Tahoma"/>
                <w:sz w:val="20"/>
              </w:rPr>
            </w:pPr>
            <w:r w:rsidRPr="007519D3">
              <w:rPr>
                <w:rFonts w:ascii="Arial Narrow" w:hAnsi="Arial Narrow" w:cs="Tahoma"/>
                <w:sz w:val="20"/>
              </w:rPr>
              <w:t>Redacted</w:t>
            </w:r>
          </w:p>
        </w:tc>
        <w:tc>
          <w:tcPr>
            <w:tcW w:w="2017" w:type="dxa"/>
          </w:tcPr>
          <w:p w14:paraId="41C24712" w14:textId="1AC1E416" w:rsidR="008C79F2" w:rsidRPr="00C30EAD" w:rsidRDefault="009B3B4D" w:rsidP="008C79F2">
            <w:pPr>
              <w:widowControl w:val="0"/>
              <w:tabs>
                <w:tab w:val="left" w:pos="106"/>
              </w:tabs>
              <w:spacing w:before="40" w:after="40"/>
              <w:jc w:val="center"/>
              <w:rPr>
                <w:rFonts w:ascii="Arial Narrow" w:hAnsi="Arial Narrow" w:cs="Tahoma"/>
                <w:sz w:val="20"/>
              </w:rPr>
            </w:pPr>
            <w:r>
              <w:rPr>
                <w:rFonts w:ascii="Arial Narrow" w:hAnsi="Arial Narrow" w:cs="Tahoma"/>
                <w:sz w:val="20"/>
              </w:rPr>
              <w:t>$redacted</w:t>
            </w:r>
          </w:p>
        </w:tc>
        <w:tc>
          <w:tcPr>
            <w:tcW w:w="807" w:type="dxa"/>
            <w:vAlign w:val="center"/>
          </w:tcPr>
          <w:p w14:paraId="552D447F" w14:textId="77777777" w:rsidR="008C79F2" w:rsidRPr="00C30EAD" w:rsidRDefault="008C79F2" w:rsidP="008C79F2">
            <w:pPr>
              <w:widowControl w:val="0"/>
              <w:tabs>
                <w:tab w:val="left" w:pos="106"/>
              </w:tabs>
              <w:spacing w:before="40" w:after="40"/>
              <w:jc w:val="center"/>
              <w:rPr>
                <w:rFonts w:ascii="Calibri" w:hAnsi="Calibri" w:cs="Calibri"/>
                <w:color w:val="000000"/>
                <w:sz w:val="22"/>
                <w:szCs w:val="22"/>
              </w:rPr>
            </w:pPr>
            <w:r w:rsidRPr="00C30EAD">
              <w:rPr>
                <w:rFonts w:ascii="Arial Narrow" w:hAnsi="Arial Narrow" w:cs="Tahoma"/>
                <w:sz w:val="20"/>
              </w:rPr>
              <w:t>18%</w:t>
            </w:r>
          </w:p>
        </w:tc>
      </w:tr>
      <w:tr w:rsidR="00E47DC5" w:rsidRPr="00C30EAD" w14:paraId="3E27C566" w14:textId="77777777" w:rsidTr="004030AA">
        <w:trPr>
          <w:cantSplit/>
          <w:trHeight w:val="129"/>
        </w:trPr>
        <w:tc>
          <w:tcPr>
            <w:tcW w:w="9016" w:type="dxa"/>
            <w:gridSpan w:val="5"/>
            <w:vAlign w:val="center"/>
          </w:tcPr>
          <w:p w14:paraId="38FF8896" w14:textId="77777777" w:rsidR="00E47DC5" w:rsidRPr="00C30EAD" w:rsidRDefault="00E47DC5" w:rsidP="004030AA">
            <w:pPr>
              <w:widowControl w:val="0"/>
              <w:tabs>
                <w:tab w:val="left" w:pos="106"/>
              </w:tabs>
              <w:spacing w:before="40" w:after="40"/>
              <w:rPr>
                <w:rFonts w:ascii="Arial Narrow" w:hAnsi="Arial Narrow" w:cs="Tahoma"/>
                <w:sz w:val="20"/>
              </w:rPr>
            </w:pPr>
            <w:r w:rsidRPr="00C30EAD">
              <w:rPr>
                <w:rFonts w:ascii="Arial Narrow" w:hAnsi="Arial Narrow" w:cs="Tahoma"/>
                <w:sz w:val="20"/>
              </w:rPr>
              <w:t>Annual rate of CHF hospitalisation – TMVr (base case: 0.358)</w:t>
            </w:r>
          </w:p>
        </w:tc>
      </w:tr>
      <w:tr w:rsidR="009B3B4D" w:rsidRPr="00C30EAD" w14:paraId="47B14F3C" w14:textId="77777777" w:rsidTr="00394466">
        <w:trPr>
          <w:cantSplit/>
          <w:trHeight w:val="129"/>
        </w:trPr>
        <w:tc>
          <w:tcPr>
            <w:tcW w:w="2033" w:type="dxa"/>
            <w:vAlign w:val="center"/>
          </w:tcPr>
          <w:p w14:paraId="16CCAAE8" w14:textId="77777777" w:rsidR="009B3B4D" w:rsidRPr="00C30EAD" w:rsidRDefault="009B3B4D"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LCL (0.27)</w:t>
            </w:r>
          </w:p>
        </w:tc>
        <w:tc>
          <w:tcPr>
            <w:tcW w:w="2144" w:type="dxa"/>
          </w:tcPr>
          <w:p w14:paraId="44C53962" w14:textId="0C5BE019"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5D3739CB" w14:textId="214CE75F" w:rsidR="009B3B4D" w:rsidRPr="00C30EAD" w:rsidRDefault="0073088B" w:rsidP="008C79F2">
            <w:pPr>
              <w:widowControl w:val="0"/>
              <w:tabs>
                <w:tab w:val="left" w:pos="106"/>
              </w:tabs>
              <w:spacing w:before="40" w:after="40"/>
              <w:ind w:left="176"/>
              <w:jc w:val="center"/>
              <w:rPr>
                <w:rFonts w:ascii="Arial Narrow" w:hAnsi="Arial Narrow" w:cs="Tahoma"/>
                <w:sz w:val="20"/>
              </w:rPr>
            </w:pPr>
            <w:r w:rsidRPr="00512ED7">
              <w:rPr>
                <w:rFonts w:ascii="Arial Narrow" w:hAnsi="Arial Narrow" w:cs="Tahoma"/>
                <w:sz w:val="20"/>
              </w:rPr>
              <w:t>Redacted</w:t>
            </w:r>
          </w:p>
        </w:tc>
        <w:tc>
          <w:tcPr>
            <w:tcW w:w="2017" w:type="dxa"/>
          </w:tcPr>
          <w:p w14:paraId="2AB10EBE" w14:textId="1868D3D3" w:rsidR="009B3B4D" w:rsidRPr="00C30EAD" w:rsidRDefault="009B3B4D"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658F5B60" w14:textId="77777777" w:rsidR="009B3B4D" w:rsidRPr="00C30EAD" w:rsidRDefault="009B3B4D"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-7%</w:t>
            </w:r>
          </w:p>
        </w:tc>
      </w:tr>
      <w:tr w:rsidR="009B3B4D" w:rsidRPr="00C30EAD" w14:paraId="7C8A645F" w14:textId="77777777" w:rsidTr="00394466">
        <w:trPr>
          <w:cantSplit/>
          <w:trHeight w:val="129"/>
        </w:trPr>
        <w:tc>
          <w:tcPr>
            <w:tcW w:w="2033" w:type="dxa"/>
            <w:vAlign w:val="center"/>
          </w:tcPr>
          <w:p w14:paraId="78399712" w14:textId="77777777" w:rsidR="009B3B4D" w:rsidRPr="00C30EAD" w:rsidRDefault="009B3B4D"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95% UCL (0.48)</w:t>
            </w:r>
          </w:p>
        </w:tc>
        <w:tc>
          <w:tcPr>
            <w:tcW w:w="2144" w:type="dxa"/>
          </w:tcPr>
          <w:p w14:paraId="54658B6B" w14:textId="0B61F46A"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56A267B4" w14:textId="3B72AA47" w:rsidR="009B3B4D" w:rsidRPr="00C30EAD" w:rsidRDefault="0073088B" w:rsidP="008C79F2">
            <w:pPr>
              <w:widowControl w:val="0"/>
              <w:tabs>
                <w:tab w:val="left" w:pos="106"/>
              </w:tabs>
              <w:spacing w:before="40" w:after="40"/>
              <w:ind w:left="176"/>
              <w:jc w:val="center"/>
              <w:rPr>
                <w:rFonts w:ascii="Arial Narrow" w:hAnsi="Arial Narrow" w:cs="Tahoma"/>
                <w:sz w:val="20"/>
              </w:rPr>
            </w:pPr>
            <w:r w:rsidRPr="00512ED7">
              <w:rPr>
                <w:rFonts w:ascii="Arial Narrow" w:hAnsi="Arial Narrow" w:cs="Tahoma"/>
                <w:sz w:val="20"/>
              </w:rPr>
              <w:t>Redacted</w:t>
            </w:r>
          </w:p>
        </w:tc>
        <w:tc>
          <w:tcPr>
            <w:tcW w:w="2017" w:type="dxa"/>
          </w:tcPr>
          <w:p w14:paraId="2F714A72" w14:textId="0C3238B8" w:rsidR="009B3B4D" w:rsidRPr="00C30EAD" w:rsidRDefault="009B3B4D"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2841BA07" w14:textId="77777777" w:rsidR="009B3B4D" w:rsidRPr="00C30EAD" w:rsidRDefault="009B3B4D"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10%</w:t>
            </w:r>
          </w:p>
        </w:tc>
      </w:tr>
      <w:tr w:rsidR="00E47DC5" w:rsidRPr="00C30EAD" w14:paraId="111AFB17" w14:textId="77777777" w:rsidTr="004030AA">
        <w:trPr>
          <w:cantSplit/>
          <w:trHeight w:val="129"/>
        </w:trPr>
        <w:tc>
          <w:tcPr>
            <w:tcW w:w="9016" w:type="dxa"/>
            <w:gridSpan w:val="5"/>
            <w:vAlign w:val="center"/>
          </w:tcPr>
          <w:p w14:paraId="64399BCD" w14:textId="77777777" w:rsidR="00E47DC5" w:rsidRPr="00C30EAD" w:rsidRDefault="00E47DC5" w:rsidP="004030AA">
            <w:pPr>
              <w:keepNext/>
              <w:widowControl w:val="0"/>
              <w:tabs>
                <w:tab w:val="left" w:pos="106"/>
              </w:tabs>
              <w:spacing w:before="40" w:after="40"/>
              <w:rPr>
                <w:rFonts w:ascii="Arial Narrow" w:hAnsi="Arial Narrow" w:cs="Tahoma"/>
                <w:sz w:val="20"/>
              </w:rPr>
            </w:pPr>
            <w:r w:rsidRPr="00C30EAD">
              <w:rPr>
                <w:rFonts w:ascii="Arial Narrow" w:hAnsi="Arial Narrow" w:cs="Tahoma"/>
                <w:sz w:val="20"/>
              </w:rPr>
              <w:t>Model horizon (base case: 10 years)</w:t>
            </w:r>
          </w:p>
        </w:tc>
      </w:tr>
      <w:tr w:rsidR="009B3B4D" w:rsidRPr="00C30EAD" w14:paraId="60F63E31" w14:textId="77777777" w:rsidTr="00394466">
        <w:trPr>
          <w:cantSplit/>
          <w:trHeight w:val="129"/>
        </w:trPr>
        <w:tc>
          <w:tcPr>
            <w:tcW w:w="2033" w:type="dxa"/>
            <w:vAlign w:val="center"/>
          </w:tcPr>
          <w:p w14:paraId="531F5F3F" w14:textId="77777777" w:rsidR="009B3B4D" w:rsidRPr="00C30EAD" w:rsidRDefault="009B3B4D" w:rsidP="008C79F2">
            <w:pPr>
              <w:keepNext/>
              <w:widowControl w:val="0"/>
              <w:tabs>
                <w:tab w:val="left" w:pos="248"/>
              </w:tabs>
              <w:spacing w:before="40" w:after="40"/>
              <w:ind w:left="254"/>
              <w:rPr>
                <w:rFonts w:ascii="Arial Narrow" w:hAnsi="Arial Narrow" w:cs="Tahoma"/>
                <w:sz w:val="20"/>
              </w:rPr>
            </w:pPr>
            <w:r w:rsidRPr="00C30EAD">
              <w:rPr>
                <w:rFonts w:ascii="Arial Narrow" w:hAnsi="Arial Narrow" w:cs="Tahoma"/>
                <w:sz w:val="20"/>
              </w:rPr>
              <w:t>5 years</w:t>
            </w:r>
          </w:p>
        </w:tc>
        <w:tc>
          <w:tcPr>
            <w:tcW w:w="2144" w:type="dxa"/>
          </w:tcPr>
          <w:p w14:paraId="7595CF12" w14:textId="31CBF453" w:rsidR="009B3B4D" w:rsidRPr="00C30EAD" w:rsidRDefault="009B3B4D" w:rsidP="008C79F2">
            <w:pPr>
              <w:keepNext/>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0F35E7EB" w14:textId="4F43F96B" w:rsidR="009B3B4D" w:rsidRPr="00C30EAD" w:rsidRDefault="009B3B4D" w:rsidP="008C79F2">
            <w:pPr>
              <w:keepNext/>
              <w:widowControl w:val="0"/>
              <w:tabs>
                <w:tab w:val="left" w:pos="106"/>
              </w:tabs>
              <w:spacing w:before="40" w:after="40"/>
              <w:ind w:left="176"/>
              <w:jc w:val="center"/>
              <w:rPr>
                <w:rFonts w:ascii="Arial Narrow" w:hAnsi="Arial Narrow" w:cs="Tahoma"/>
                <w:sz w:val="20"/>
              </w:rPr>
            </w:pPr>
            <w:r w:rsidRPr="00B21937">
              <w:rPr>
                <w:rFonts w:ascii="Arial Narrow" w:hAnsi="Arial Narrow" w:cs="Tahoma"/>
                <w:sz w:val="20"/>
              </w:rPr>
              <w:t>Redacted</w:t>
            </w:r>
          </w:p>
        </w:tc>
        <w:tc>
          <w:tcPr>
            <w:tcW w:w="2017" w:type="dxa"/>
          </w:tcPr>
          <w:p w14:paraId="220ED7F2" w14:textId="738A1863" w:rsidR="009B3B4D" w:rsidRPr="00C30EAD" w:rsidRDefault="009B3B4D" w:rsidP="008C79F2">
            <w:pPr>
              <w:keepNext/>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2E7F33E2" w14:textId="77777777" w:rsidR="009B3B4D" w:rsidRPr="00C30EAD" w:rsidRDefault="009B3B4D" w:rsidP="008C79F2">
            <w:pPr>
              <w:keepNext/>
              <w:widowControl w:val="0"/>
              <w:tabs>
                <w:tab w:val="left" w:pos="106"/>
              </w:tabs>
              <w:spacing w:before="40" w:after="40"/>
              <w:jc w:val="center"/>
              <w:rPr>
                <w:rFonts w:ascii="Arial Narrow" w:hAnsi="Arial Narrow" w:cs="Tahoma"/>
                <w:sz w:val="20"/>
              </w:rPr>
            </w:pPr>
            <w:r w:rsidRPr="00C30EAD">
              <w:rPr>
                <w:rFonts w:ascii="Arial Narrow" w:hAnsi="Arial Narrow" w:cs="Tahoma"/>
                <w:sz w:val="20"/>
              </w:rPr>
              <w:t>84%</w:t>
            </w:r>
          </w:p>
        </w:tc>
      </w:tr>
      <w:tr w:rsidR="009B3B4D" w:rsidRPr="00C30EAD" w14:paraId="27687C3D" w14:textId="77777777" w:rsidTr="00394466">
        <w:trPr>
          <w:cantSplit/>
          <w:trHeight w:val="129"/>
        </w:trPr>
        <w:tc>
          <w:tcPr>
            <w:tcW w:w="2033" w:type="dxa"/>
            <w:vAlign w:val="center"/>
          </w:tcPr>
          <w:p w14:paraId="61BCB684" w14:textId="77777777" w:rsidR="009B3B4D" w:rsidRPr="00A25000" w:rsidRDefault="009B3B4D" w:rsidP="008C79F2">
            <w:pPr>
              <w:keepNext/>
              <w:widowControl w:val="0"/>
              <w:tabs>
                <w:tab w:val="left" w:pos="248"/>
              </w:tabs>
              <w:spacing w:before="40" w:after="40"/>
              <w:ind w:left="254"/>
              <w:rPr>
                <w:rFonts w:ascii="Arial Narrow" w:hAnsi="Arial Narrow" w:cs="Tahoma"/>
                <w:color w:val="FF0000"/>
                <w:sz w:val="20"/>
              </w:rPr>
            </w:pPr>
            <w:r w:rsidRPr="00A25000">
              <w:rPr>
                <w:rFonts w:ascii="Arial Narrow" w:hAnsi="Arial Narrow" w:cs="Tahoma"/>
                <w:color w:val="FF0000"/>
                <w:sz w:val="20"/>
              </w:rPr>
              <w:t>7 years</w:t>
            </w:r>
          </w:p>
        </w:tc>
        <w:tc>
          <w:tcPr>
            <w:tcW w:w="2144" w:type="dxa"/>
          </w:tcPr>
          <w:p w14:paraId="1FB2C231" w14:textId="69711E1F" w:rsidR="009B3B4D" w:rsidRPr="00A25000" w:rsidRDefault="009B3B4D" w:rsidP="008C79F2">
            <w:pPr>
              <w:keepNext/>
              <w:widowControl w:val="0"/>
              <w:tabs>
                <w:tab w:val="left" w:pos="106"/>
              </w:tabs>
              <w:spacing w:before="40" w:after="40"/>
              <w:ind w:left="176"/>
              <w:jc w:val="center"/>
              <w:rPr>
                <w:rFonts w:ascii="Arial Narrow" w:hAnsi="Arial Narrow" w:cs="Tahoma"/>
                <w:color w:val="FF0000"/>
                <w:sz w:val="20"/>
              </w:rPr>
            </w:pPr>
            <w:r w:rsidRPr="001726DC">
              <w:rPr>
                <w:rFonts w:ascii="Arial Narrow" w:hAnsi="Arial Narrow" w:cs="Tahoma"/>
                <w:sz w:val="20"/>
              </w:rPr>
              <w:t>$redacted</w:t>
            </w:r>
          </w:p>
        </w:tc>
        <w:tc>
          <w:tcPr>
            <w:tcW w:w="2015" w:type="dxa"/>
          </w:tcPr>
          <w:p w14:paraId="27D09C48" w14:textId="719F04B1" w:rsidR="009B3B4D" w:rsidRPr="00A25000" w:rsidRDefault="009B3B4D" w:rsidP="008C79F2">
            <w:pPr>
              <w:keepNext/>
              <w:widowControl w:val="0"/>
              <w:tabs>
                <w:tab w:val="left" w:pos="106"/>
              </w:tabs>
              <w:spacing w:before="40" w:after="40"/>
              <w:ind w:left="176"/>
              <w:jc w:val="center"/>
              <w:rPr>
                <w:rFonts w:ascii="Arial Narrow" w:hAnsi="Arial Narrow" w:cs="Tahoma"/>
                <w:color w:val="FF0000"/>
                <w:sz w:val="20"/>
              </w:rPr>
            </w:pPr>
            <w:r w:rsidRPr="00B21937">
              <w:rPr>
                <w:rFonts w:ascii="Arial Narrow" w:hAnsi="Arial Narrow" w:cs="Tahoma"/>
                <w:sz w:val="20"/>
              </w:rPr>
              <w:t>Redacted</w:t>
            </w:r>
          </w:p>
        </w:tc>
        <w:tc>
          <w:tcPr>
            <w:tcW w:w="2017" w:type="dxa"/>
          </w:tcPr>
          <w:p w14:paraId="09083EC4" w14:textId="24A0CCD7" w:rsidR="009B3B4D" w:rsidRPr="00A25000" w:rsidRDefault="009B3B4D" w:rsidP="008C79F2">
            <w:pPr>
              <w:keepNext/>
              <w:widowControl w:val="0"/>
              <w:tabs>
                <w:tab w:val="left" w:pos="106"/>
              </w:tabs>
              <w:spacing w:before="40" w:after="40"/>
              <w:jc w:val="center"/>
              <w:rPr>
                <w:rFonts w:ascii="Arial Narrow" w:hAnsi="Arial Narrow" w:cs="Tahoma"/>
                <w:color w:val="FF0000"/>
                <w:sz w:val="20"/>
              </w:rPr>
            </w:pPr>
            <w:r w:rsidRPr="001726DC">
              <w:rPr>
                <w:rFonts w:ascii="Arial Narrow" w:hAnsi="Arial Narrow" w:cs="Tahoma"/>
                <w:sz w:val="20"/>
              </w:rPr>
              <w:t>$redacted</w:t>
            </w:r>
          </w:p>
        </w:tc>
        <w:tc>
          <w:tcPr>
            <w:tcW w:w="807" w:type="dxa"/>
            <w:vAlign w:val="bottom"/>
          </w:tcPr>
          <w:p w14:paraId="1C5C990E" w14:textId="77777777" w:rsidR="009B3B4D" w:rsidRPr="00A25000" w:rsidRDefault="009B3B4D" w:rsidP="008C79F2">
            <w:pPr>
              <w:keepNext/>
              <w:widowControl w:val="0"/>
              <w:tabs>
                <w:tab w:val="left" w:pos="106"/>
              </w:tabs>
              <w:spacing w:before="40" w:after="40"/>
              <w:jc w:val="center"/>
              <w:rPr>
                <w:rFonts w:ascii="Arial Narrow" w:hAnsi="Arial Narrow" w:cs="Tahoma"/>
                <w:color w:val="FF0000"/>
                <w:sz w:val="20"/>
              </w:rPr>
            </w:pPr>
            <w:r w:rsidRPr="00A25000">
              <w:rPr>
                <w:rFonts w:ascii="Arial Narrow" w:hAnsi="Arial Narrow" w:cs="Tahoma"/>
                <w:color w:val="FF0000"/>
                <w:sz w:val="20"/>
              </w:rPr>
              <w:t>30%</w:t>
            </w:r>
          </w:p>
        </w:tc>
      </w:tr>
      <w:tr w:rsidR="009B3B4D" w:rsidRPr="00C30EAD" w14:paraId="70411692" w14:textId="77777777" w:rsidTr="00394466">
        <w:trPr>
          <w:cantSplit/>
          <w:trHeight w:val="129"/>
        </w:trPr>
        <w:tc>
          <w:tcPr>
            <w:tcW w:w="2033" w:type="dxa"/>
            <w:vAlign w:val="center"/>
          </w:tcPr>
          <w:p w14:paraId="6E72F4F1" w14:textId="77777777" w:rsidR="009B3B4D" w:rsidRPr="00C30EAD" w:rsidRDefault="009B3B4D"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t>15 years</w:t>
            </w:r>
          </w:p>
        </w:tc>
        <w:tc>
          <w:tcPr>
            <w:tcW w:w="2144" w:type="dxa"/>
          </w:tcPr>
          <w:p w14:paraId="4B2BB803" w14:textId="396D1A69"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673F2BAC" w14:textId="6A0C2833" w:rsidR="009B3B4D" w:rsidRPr="00C30EAD" w:rsidRDefault="009B3B4D" w:rsidP="008C79F2">
            <w:pPr>
              <w:widowControl w:val="0"/>
              <w:tabs>
                <w:tab w:val="left" w:pos="106"/>
              </w:tabs>
              <w:spacing w:before="40" w:after="40"/>
              <w:ind w:left="176"/>
              <w:jc w:val="center"/>
              <w:rPr>
                <w:rFonts w:ascii="Arial Narrow" w:hAnsi="Arial Narrow" w:cs="Tahoma"/>
                <w:sz w:val="20"/>
              </w:rPr>
            </w:pPr>
            <w:r w:rsidRPr="00B21937">
              <w:rPr>
                <w:rFonts w:ascii="Arial Narrow" w:hAnsi="Arial Narrow" w:cs="Tahoma"/>
                <w:sz w:val="20"/>
              </w:rPr>
              <w:t>Redacted</w:t>
            </w:r>
          </w:p>
        </w:tc>
        <w:tc>
          <w:tcPr>
            <w:tcW w:w="2017" w:type="dxa"/>
          </w:tcPr>
          <w:p w14:paraId="7D7B447D" w14:textId="578253A1" w:rsidR="009B3B4D" w:rsidRPr="00C30EAD" w:rsidRDefault="009B3B4D"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7CFF7BE6" w14:textId="77777777" w:rsidR="009B3B4D" w:rsidRPr="00C30EAD" w:rsidRDefault="009B3B4D"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-16%</w:t>
            </w:r>
          </w:p>
        </w:tc>
      </w:tr>
      <w:tr w:rsidR="008C79F2" w:rsidRPr="00C30EAD" w14:paraId="41FC6A1B" w14:textId="77777777" w:rsidTr="00394466">
        <w:trPr>
          <w:cantSplit/>
          <w:trHeight w:val="129"/>
        </w:trPr>
        <w:tc>
          <w:tcPr>
            <w:tcW w:w="2033" w:type="dxa"/>
            <w:vAlign w:val="center"/>
          </w:tcPr>
          <w:p w14:paraId="0C0BCE29" w14:textId="77777777" w:rsidR="008C79F2" w:rsidRPr="00C30EAD" w:rsidRDefault="008C79F2" w:rsidP="008C79F2">
            <w:pPr>
              <w:widowControl w:val="0"/>
              <w:tabs>
                <w:tab w:val="left" w:pos="248"/>
              </w:tabs>
              <w:spacing w:before="40" w:after="40"/>
              <w:ind w:left="254"/>
              <w:rPr>
                <w:rFonts w:ascii="Arial Narrow" w:hAnsi="Arial Narrow" w:cs="Tahoma"/>
                <w:sz w:val="20"/>
              </w:rPr>
            </w:pPr>
            <w:r w:rsidRPr="00C30EAD">
              <w:rPr>
                <w:rFonts w:ascii="Arial Narrow" w:hAnsi="Arial Narrow" w:cs="Tahoma"/>
                <w:sz w:val="20"/>
              </w:rPr>
              <w:lastRenderedPageBreak/>
              <w:t>20 years</w:t>
            </w:r>
          </w:p>
        </w:tc>
        <w:tc>
          <w:tcPr>
            <w:tcW w:w="2144" w:type="dxa"/>
          </w:tcPr>
          <w:p w14:paraId="3BF0BCC2" w14:textId="798C6016" w:rsidR="008C79F2" w:rsidRPr="00C30EAD" w:rsidRDefault="0073088B" w:rsidP="008C79F2">
            <w:pPr>
              <w:widowControl w:val="0"/>
              <w:tabs>
                <w:tab w:val="left" w:pos="106"/>
              </w:tabs>
              <w:spacing w:before="40" w:after="40"/>
              <w:ind w:left="176"/>
              <w:jc w:val="center"/>
              <w:rPr>
                <w:rFonts w:ascii="Arial Narrow" w:hAnsi="Arial Narrow" w:cs="Tahoma"/>
                <w:sz w:val="20"/>
              </w:rPr>
            </w:pPr>
            <w:r w:rsidRPr="001726DC">
              <w:rPr>
                <w:rFonts w:ascii="Arial Narrow" w:hAnsi="Arial Narrow" w:cs="Tahoma"/>
                <w:sz w:val="20"/>
              </w:rPr>
              <w:t>$redacted</w:t>
            </w:r>
          </w:p>
        </w:tc>
        <w:tc>
          <w:tcPr>
            <w:tcW w:w="2015" w:type="dxa"/>
          </w:tcPr>
          <w:p w14:paraId="1D862B5B" w14:textId="70D28A07" w:rsidR="008C79F2" w:rsidRPr="00C30EAD" w:rsidRDefault="0073088B" w:rsidP="008C79F2">
            <w:pPr>
              <w:widowControl w:val="0"/>
              <w:tabs>
                <w:tab w:val="left" w:pos="106"/>
              </w:tabs>
              <w:spacing w:before="40" w:after="40"/>
              <w:ind w:left="176"/>
              <w:jc w:val="center"/>
              <w:rPr>
                <w:rFonts w:ascii="Arial Narrow" w:hAnsi="Arial Narrow" w:cs="Tahoma"/>
                <w:sz w:val="20"/>
              </w:rPr>
            </w:pPr>
            <w:r w:rsidRPr="00541632">
              <w:rPr>
                <w:rFonts w:ascii="Arial Narrow" w:hAnsi="Arial Narrow" w:cs="Tahoma"/>
                <w:sz w:val="20"/>
              </w:rPr>
              <w:t>Redacted</w:t>
            </w:r>
          </w:p>
        </w:tc>
        <w:tc>
          <w:tcPr>
            <w:tcW w:w="2017" w:type="dxa"/>
          </w:tcPr>
          <w:p w14:paraId="3F3A0379" w14:textId="2FED6795" w:rsidR="008C79F2" w:rsidRPr="00C30EAD" w:rsidRDefault="0073088B" w:rsidP="008C79F2">
            <w:pPr>
              <w:widowControl w:val="0"/>
              <w:tabs>
                <w:tab w:val="left" w:pos="106"/>
              </w:tabs>
              <w:spacing w:before="40" w:after="40"/>
              <w:jc w:val="center"/>
              <w:rPr>
                <w:rFonts w:ascii="Arial Narrow" w:hAnsi="Arial Narrow" w:cs="Tahoma"/>
                <w:sz w:val="20"/>
              </w:rPr>
            </w:pPr>
            <w:r w:rsidRPr="001726DC">
              <w:rPr>
                <w:rFonts w:ascii="Arial Narrow" w:hAnsi="Arial Narrow" w:cs="Tahoma"/>
                <w:sz w:val="20"/>
              </w:rPr>
              <w:t>$redacted</w:t>
            </w:r>
          </w:p>
        </w:tc>
        <w:tc>
          <w:tcPr>
            <w:tcW w:w="807" w:type="dxa"/>
            <w:vAlign w:val="bottom"/>
          </w:tcPr>
          <w:p w14:paraId="2FA40263" w14:textId="77777777" w:rsidR="008C79F2" w:rsidRPr="00C30EAD" w:rsidRDefault="008C79F2" w:rsidP="008C79F2">
            <w:pPr>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-20%</w:t>
            </w:r>
          </w:p>
        </w:tc>
      </w:tr>
      <w:tr w:rsidR="00E47DC5" w:rsidRPr="00C30EAD" w14:paraId="2EEC5D2E" w14:textId="77777777" w:rsidTr="004030AA">
        <w:trPr>
          <w:cantSplit/>
          <w:trHeight w:val="129"/>
        </w:trPr>
        <w:tc>
          <w:tcPr>
            <w:tcW w:w="9016" w:type="dxa"/>
            <w:gridSpan w:val="5"/>
            <w:vAlign w:val="center"/>
          </w:tcPr>
          <w:p w14:paraId="0B7F54FE" w14:textId="77777777" w:rsidR="00E47DC5" w:rsidRPr="00C30EAD" w:rsidRDefault="00E47DC5" w:rsidP="004030AA">
            <w:pPr>
              <w:keepNext/>
              <w:widowControl w:val="0"/>
              <w:tabs>
                <w:tab w:val="left" w:pos="106"/>
              </w:tabs>
              <w:spacing w:before="40" w:after="40"/>
              <w:rPr>
                <w:rFonts w:ascii="Arial Narrow" w:hAnsi="Arial Narrow" w:cs="Tahoma"/>
                <w:sz w:val="20"/>
              </w:rPr>
            </w:pPr>
            <w:r w:rsidRPr="00C30EAD">
              <w:rPr>
                <w:rFonts w:ascii="Arial Narrow" w:hAnsi="Arial Narrow" w:cs="Tahoma"/>
                <w:sz w:val="20"/>
              </w:rPr>
              <w:t>Discount rate (base case: 5%)</w:t>
            </w:r>
          </w:p>
        </w:tc>
      </w:tr>
      <w:tr w:rsidR="0073088B" w:rsidRPr="00C30EAD" w14:paraId="0320B62D" w14:textId="77777777" w:rsidTr="00394466">
        <w:trPr>
          <w:cantSplit/>
          <w:trHeight w:val="129"/>
        </w:trPr>
        <w:tc>
          <w:tcPr>
            <w:tcW w:w="2033" w:type="dxa"/>
            <w:vAlign w:val="center"/>
          </w:tcPr>
          <w:p w14:paraId="3CBF7D6F" w14:textId="77777777" w:rsidR="0073088B" w:rsidRPr="00C30EAD" w:rsidRDefault="0073088B" w:rsidP="008C79F2">
            <w:pPr>
              <w:keepNext/>
              <w:widowControl w:val="0"/>
              <w:tabs>
                <w:tab w:val="left" w:pos="248"/>
              </w:tabs>
              <w:spacing w:before="40" w:after="40"/>
              <w:ind w:left="254"/>
              <w:rPr>
                <w:rFonts w:ascii="Arial Narrow" w:hAnsi="Arial Narrow" w:cs="Tahoma"/>
                <w:sz w:val="20"/>
              </w:rPr>
            </w:pPr>
            <w:r w:rsidRPr="00C30EAD">
              <w:rPr>
                <w:rFonts w:ascii="Arial Narrow" w:hAnsi="Arial Narrow" w:cs="Tahoma"/>
                <w:sz w:val="20"/>
              </w:rPr>
              <w:t>0%</w:t>
            </w:r>
          </w:p>
        </w:tc>
        <w:tc>
          <w:tcPr>
            <w:tcW w:w="2144" w:type="dxa"/>
          </w:tcPr>
          <w:p w14:paraId="193BEF5B" w14:textId="4DA6B34D" w:rsidR="0073088B" w:rsidRPr="00C30EAD" w:rsidRDefault="0073088B" w:rsidP="008C79F2">
            <w:pPr>
              <w:keepNext/>
              <w:widowControl w:val="0"/>
              <w:tabs>
                <w:tab w:val="left" w:pos="106"/>
              </w:tabs>
              <w:spacing w:before="40" w:after="40"/>
              <w:ind w:left="176"/>
              <w:jc w:val="center"/>
              <w:rPr>
                <w:rFonts w:ascii="Arial Narrow" w:hAnsi="Arial Narrow" w:cs="Tahoma"/>
                <w:sz w:val="20"/>
              </w:rPr>
            </w:pPr>
            <w:r w:rsidRPr="00E11640">
              <w:rPr>
                <w:rFonts w:ascii="Arial Narrow" w:hAnsi="Arial Narrow" w:cs="Tahoma"/>
                <w:sz w:val="20"/>
              </w:rPr>
              <w:t>$redacted</w:t>
            </w:r>
          </w:p>
        </w:tc>
        <w:tc>
          <w:tcPr>
            <w:tcW w:w="2015" w:type="dxa"/>
          </w:tcPr>
          <w:p w14:paraId="2B5A3C58" w14:textId="00D48035" w:rsidR="0073088B" w:rsidRPr="00C30EAD" w:rsidRDefault="0073088B" w:rsidP="008C79F2">
            <w:pPr>
              <w:keepNext/>
              <w:widowControl w:val="0"/>
              <w:tabs>
                <w:tab w:val="left" w:pos="106"/>
              </w:tabs>
              <w:spacing w:before="40" w:after="40"/>
              <w:ind w:left="176"/>
              <w:jc w:val="center"/>
              <w:rPr>
                <w:rFonts w:ascii="Arial Narrow" w:hAnsi="Arial Narrow" w:cs="Tahoma"/>
                <w:sz w:val="20"/>
              </w:rPr>
            </w:pPr>
            <w:r w:rsidRPr="00AA72E8">
              <w:rPr>
                <w:rFonts w:ascii="Arial Narrow" w:hAnsi="Arial Narrow" w:cs="Tahoma"/>
                <w:sz w:val="20"/>
              </w:rPr>
              <w:t>Redacted</w:t>
            </w:r>
          </w:p>
        </w:tc>
        <w:tc>
          <w:tcPr>
            <w:tcW w:w="2017" w:type="dxa"/>
          </w:tcPr>
          <w:p w14:paraId="3FC9BDFB" w14:textId="3F66CB03" w:rsidR="0073088B" w:rsidRPr="00C30EAD" w:rsidRDefault="0073088B" w:rsidP="008C79F2">
            <w:pPr>
              <w:keepNext/>
              <w:widowControl w:val="0"/>
              <w:tabs>
                <w:tab w:val="left" w:pos="106"/>
              </w:tabs>
              <w:spacing w:before="40" w:after="40"/>
              <w:jc w:val="center"/>
              <w:rPr>
                <w:rFonts w:ascii="Arial Narrow" w:hAnsi="Arial Narrow" w:cs="Tahoma"/>
                <w:sz w:val="20"/>
              </w:rPr>
            </w:pPr>
            <w:r w:rsidRPr="00B5615A">
              <w:rPr>
                <w:rFonts w:ascii="Arial Narrow" w:hAnsi="Arial Narrow" w:cs="Tahoma"/>
                <w:sz w:val="20"/>
              </w:rPr>
              <w:t>$redacted</w:t>
            </w:r>
          </w:p>
        </w:tc>
        <w:tc>
          <w:tcPr>
            <w:tcW w:w="807" w:type="dxa"/>
            <w:vAlign w:val="bottom"/>
          </w:tcPr>
          <w:p w14:paraId="398A20FF" w14:textId="77777777" w:rsidR="0073088B" w:rsidRPr="00C30EAD" w:rsidRDefault="0073088B" w:rsidP="008C79F2">
            <w:pPr>
              <w:keepNext/>
              <w:widowControl w:val="0"/>
              <w:tabs>
                <w:tab w:val="left" w:pos="106"/>
              </w:tabs>
              <w:spacing w:before="40" w:after="40"/>
              <w:jc w:val="center"/>
              <w:rPr>
                <w:rFonts w:ascii="Arial Narrow" w:hAnsi="Arial Narrow" w:cs="Tahoma"/>
                <w:sz w:val="20"/>
              </w:rPr>
            </w:pPr>
            <w:r w:rsidRPr="00C30EAD">
              <w:rPr>
                <w:rFonts w:ascii="Arial Narrow" w:hAnsi="Arial Narrow" w:cs="Tahoma"/>
                <w:sz w:val="20"/>
              </w:rPr>
              <w:t>-22%</w:t>
            </w:r>
          </w:p>
        </w:tc>
      </w:tr>
      <w:tr w:rsidR="0073088B" w:rsidRPr="00C30EAD" w14:paraId="6F769E25" w14:textId="77777777" w:rsidTr="00394466">
        <w:trPr>
          <w:cantSplit/>
          <w:trHeight w:val="129"/>
        </w:trPr>
        <w:tc>
          <w:tcPr>
            <w:tcW w:w="2033" w:type="dxa"/>
            <w:vAlign w:val="center"/>
          </w:tcPr>
          <w:p w14:paraId="18F9802B" w14:textId="77777777" w:rsidR="0073088B" w:rsidRPr="00C30EAD" w:rsidRDefault="0073088B" w:rsidP="008C79F2">
            <w:pPr>
              <w:keepNext/>
              <w:widowControl w:val="0"/>
              <w:tabs>
                <w:tab w:val="left" w:pos="248"/>
              </w:tabs>
              <w:spacing w:before="40" w:after="40"/>
              <w:ind w:left="254"/>
              <w:rPr>
                <w:rFonts w:ascii="Arial Narrow" w:hAnsi="Arial Narrow" w:cs="Tahoma"/>
                <w:sz w:val="20"/>
              </w:rPr>
            </w:pPr>
            <w:r w:rsidRPr="00C30EAD">
              <w:rPr>
                <w:rFonts w:ascii="Arial Narrow" w:hAnsi="Arial Narrow" w:cs="Tahoma"/>
                <w:sz w:val="20"/>
              </w:rPr>
              <w:t>3.5%</w:t>
            </w:r>
          </w:p>
        </w:tc>
        <w:tc>
          <w:tcPr>
            <w:tcW w:w="2144" w:type="dxa"/>
          </w:tcPr>
          <w:p w14:paraId="36B69E5B" w14:textId="2ADD070D" w:rsidR="0073088B" w:rsidRPr="00C30EAD" w:rsidRDefault="0073088B" w:rsidP="008C79F2">
            <w:pPr>
              <w:keepNext/>
              <w:widowControl w:val="0"/>
              <w:tabs>
                <w:tab w:val="left" w:pos="106"/>
              </w:tabs>
              <w:spacing w:before="40" w:after="40"/>
              <w:ind w:left="176"/>
              <w:jc w:val="center"/>
              <w:rPr>
                <w:rFonts w:ascii="Arial Narrow" w:hAnsi="Arial Narrow" w:cs="Tahoma"/>
                <w:sz w:val="20"/>
              </w:rPr>
            </w:pPr>
            <w:r w:rsidRPr="00E11640">
              <w:rPr>
                <w:rFonts w:ascii="Arial Narrow" w:hAnsi="Arial Narrow" w:cs="Tahoma"/>
                <w:sz w:val="20"/>
              </w:rPr>
              <w:t>$redacted</w:t>
            </w:r>
          </w:p>
        </w:tc>
        <w:tc>
          <w:tcPr>
            <w:tcW w:w="2015" w:type="dxa"/>
          </w:tcPr>
          <w:p w14:paraId="16E5E466" w14:textId="0D0AF815" w:rsidR="0073088B" w:rsidRPr="00C30EAD" w:rsidRDefault="0073088B" w:rsidP="008C79F2">
            <w:pPr>
              <w:keepNext/>
              <w:widowControl w:val="0"/>
              <w:tabs>
                <w:tab w:val="left" w:pos="106"/>
              </w:tabs>
              <w:spacing w:before="40" w:after="40"/>
              <w:ind w:left="176"/>
              <w:jc w:val="center"/>
              <w:rPr>
                <w:rFonts w:ascii="Arial Narrow" w:hAnsi="Arial Narrow" w:cs="Tahoma"/>
                <w:sz w:val="20"/>
              </w:rPr>
            </w:pPr>
            <w:r w:rsidRPr="00AA72E8">
              <w:rPr>
                <w:rFonts w:ascii="Arial Narrow" w:hAnsi="Arial Narrow" w:cs="Tahoma"/>
                <w:sz w:val="20"/>
              </w:rPr>
              <w:t>Redacted</w:t>
            </w:r>
          </w:p>
        </w:tc>
        <w:tc>
          <w:tcPr>
            <w:tcW w:w="2017" w:type="dxa"/>
          </w:tcPr>
          <w:p w14:paraId="0C77E0A5" w14:textId="066077FA" w:rsidR="0073088B" w:rsidRPr="00C30EAD" w:rsidRDefault="0073088B" w:rsidP="008C79F2">
            <w:pPr>
              <w:keepNext/>
              <w:widowControl w:val="0"/>
              <w:tabs>
                <w:tab w:val="left" w:pos="106"/>
              </w:tabs>
              <w:spacing w:before="40" w:after="40"/>
              <w:jc w:val="center"/>
              <w:rPr>
                <w:rFonts w:ascii="Arial Narrow" w:hAnsi="Arial Narrow" w:cs="Tahoma"/>
                <w:sz w:val="20"/>
              </w:rPr>
            </w:pPr>
            <w:r w:rsidRPr="00B5615A">
              <w:rPr>
                <w:rFonts w:ascii="Arial Narrow" w:hAnsi="Arial Narrow" w:cs="Tahoma"/>
                <w:sz w:val="20"/>
              </w:rPr>
              <w:t>$redacted</w:t>
            </w:r>
          </w:p>
        </w:tc>
        <w:tc>
          <w:tcPr>
            <w:tcW w:w="807" w:type="dxa"/>
            <w:vAlign w:val="bottom"/>
          </w:tcPr>
          <w:p w14:paraId="6DF1C745" w14:textId="77777777" w:rsidR="0073088B" w:rsidRPr="00C30EAD" w:rsidRDefault="0073088B" w:rsidP="008C79F2">
            <w:pPr>
              <w:keepNext/>
              <w:widowControl w:val="0"/>
              <w:tabs>
                <w:tab w:val="left" w:pos="106"/>
              </w:tabs>
              <w:spacing w:before="40" w:after="40"/>
              <w:jc w:val="center"/>
              <w:rPr>
                <w:rFonts w:ascii="Arial Narrow" w:hAnsi="Arial Narrow" w:cs="Tahoma"/>
                <w:sz w:val="20"/>
              </w:rPr>
            </w:pPr>
            <w:r w:rsidRPr="00C30EAD">
              <w:rPr>
                <w:rFonts w:ascii="Arial Narrow" w:hAnsi="Arial Narrow" w:cs="Tahoma"/>
                <w:sz w:val="20"/>
              </w:rPr>
              <w:t>-7%</w:t>
            </w:r>
          </w:p>
        </w:tc>
      </w:tr>
    </w:tbl>
    <w:p w14:paraId="349DE9DA" w14:textId="77777777" w:rsidR="00E47DC5" w:rsidRPr="00C30EAD" w:rsidRDefault="00E47DC5" w:rsidP="00E47DC5">
      <w:pPr>
        <w:keepNext/>
        <w:jc w:val="both"/>
        <w:rPr>
          <w:rFonts w:ascii="Arial Narrow" w:hAnsi="Arial Narrow"/>
          <w:sz w:val="18"/>
          <w:szCs w:val="24"/>
          <w:lang w:eastAsia="en-GB"/>
        </w:rPr>
      </w:pPr>
      <w:r w:rsidRPr="00C30EAD">
        <w:rPr>
          <w:rFonts w:ascii="Arial Narrow" w:hAnsi="Arial Narrow"/>
          <w:sz w:val="18"/>
          <w:szCs w:val="24"/>
          <w:lang w:eastAsia="en-GB"/>
        </w:rPr>
        <w:t>CHF=chronic heart failure, DMR= degenerative mitral regurgitation, NYHA, New York Heart Association, OMT= Optimised medical treatment, TMVr, Transcatheter Mitral Valve Repair</w:t>
      </w:r>
    </w:p>
    <w:p w14:paraId="29212624" w14:textId="77777777" w:rsidR="00E47DC5" w:rsidRPr="009C5AB3" w:rsidRDefault="00E47DC5" w:rsidP="009C5AB3">
      <w:pPr>
        <w:keepNext/>
        <w:jc w:val="both"/>
        <w:rPr>
          <w:rFonts w:ascii="Arial Narrow" w:hAnsi="Arial Narrow"/>
          <w:sz w:val="20"/>
          <w:szCs w:val="24"/>
          <w:lang w:eastAsia="en-GB"/>
        </w:rPr>
      </w:pPr>
      <w:r w:rsidRPr="00C30EAD">
        <w:rPr>
          <w:rFonts w:ascii="Arial Narrow" w:hAnsi="Arial Narrow"/>
          <w:sz w:val="18"/>
          <w:szCs w:val="24"/>
          <w:lang w:eastAsia="en-GB"/>
        </w:rPr>
        <w:t xml:space="preserve">Source: Table </w:t>
      </w:r>
      <w:r>
        <w:rPr>
          <w:rFonts w:ascii="Arial Narrow" w:hAnsi="Arial Narrow"/>
          <w:sz w:val="18"/>
          <w:szCs w:val="24"/>
          <w:lang w:eastAsia="en-GB"/>
        </w:rPr>
        <w:t>50, p85 of the commentary</w:t>
      </w:r>
    </w:p>
    <w:p w14:paraId="77C0F3AA" w14:textId="2398E044" w:rsidR="00E47DC5" w:rsidRPr="00187416" w:rsidRDefault="00E47DC5" w:rsidP="009C5AB3">
      <w:pPr>
        <w:spacing w:before="240" w:after="240"/>
        <w:rPr>
          <w:iCs/>
        </w:rPr>
      </w:pPr>
      <w:r w:rsidRPr="00187416">
        <w:t xml:space="preserve">The commentary noted that both the </w:t>
      </w:r>
      <w:r w:rsidRPr="00187416">
        <w:rPr>
          <w:iCs/>
        </w:rPr>
        <w:t xml:space="preserve">DMR and FMR model are driven by the survival gains in the TMVr arm. For the DMR model, switching the life years for quality of life increases the ICER for </w:t>
      </w:r>
      <w:r w:rsidR="0073088B">
        <w:rPr>
          <w:iCs/>
        </w:rPr>
        <w:t>$</w:t>
      </w:r>
      <w:r w:rsidR="0073088B" w:rsidRPr="0073088B">
        <w:rPr>
          <w:b/>
          <w:iCs/>
        </w:rPr>
        <w:t>redacted</w:t>
      </w:r>
      <w:r w:rsidRPr="00187416">
        <w:rPr>
          <w:iCs/>
        </w:rPr>
        <w:t xml:space="preserve">/LYs gained to </w:t>
      </w:r>
      <w:r w:rsidR="0073088B">
        <w:rPr>
          <w:iCs/>
        </w:rPr>
        <w:t>$</w:t>
      </w:r>
      <w:r w:rsidR="0073088B" w:rsidRPr="0073088B">
        <w:rPr>
          <w:b/>
          <w:iCs/>
        </w:rPr>
        <w:t>redacted</w:t>
      </w:r>
      <w:r w:rsidRPr="00187416">
        <w:rPr>
          <w:iCs/>
        </w:rPr>
        <w:t>/QALY gained. This 1.0% increase in ICER is because the incremental difference between the life years gain and the QALYs gain in the two treatment arms is similar at each time point. The small increase in benefits (either LYs or QALYs) is due to the proportion of patients in each health state not changing after 24 months</w:t>
      </w:r>
      <w:r w:rsidRPr="008172FB">
        <w:rPr>
          <w:iCs/>
        </w:rPr>
        <w:t>, and only survival d</w:t>
      </w:r>
      <w:r>
        <w:rPr>
          <w:iCs/>
        </w:rPr>
        <w:t>etermining utility gains after m</w:t>
      </w:r>
      <w:r w:rsidRPr="008172FB">
        <w:rPr>
          <w:iCs/>
        </w:rPr>
        <w:t>onth 24</w:t>
      </w:r>
      <w:r w:rsidRPr="00187416">
        <w:rPr>
          <w:iCs/>
        </w:rPr>
        <w:t xml:space="preserve">. For the FMR model, adjusting the life years for quality of life increases the ICER for </w:t>
      </w:r>
      <w:r w:rsidR="0073088B">
        <w:rPr>
          <w:iCs/>
        </w:rPr>
        <w:t>$</w:t>
      </w:r>
      <w:r w:rsidR="0073088B" w:rsidRPr="0073088B">
        <w:rPr>
          <w:b/>
          <w:iCs/>
        </w:rPr>
        <w:t>redacted</w:t>
      </w:r>
      <w:r w:rsidRPr="00187416">
        <w:rPr>
          <w:iCs/>
        </w:rPr>
        <w:t xml:space="preserve">/QALY gained to </w:t>
      </w:r>
      <w:r w:rsidR="0073088B">
        <w:rPr>
          <w:iCs/>
        </w:rPr>
        <w:t>$</w:t>
      </w:r>
      <w:r w:rsidR="0073088B" w:rsidRPr="0073088B">
        <w:rPr>
          <w:b/>
          <w:iCs/>
        </w:rPr>
        <w:t>redacted</w:t>
      </w:r>
      <w:r w:rsidRPr="00187416">
        <w:rPr>
          <w:iCs/>
        </w:rPr>
        <w:t xml:space="preserve">/QALY gained. This 24.5% increase in ICER is due to the ability of patients to change NYHA class health state up to </w:t>
      </w:r>
      <w:r>
        <w:rPr>
          <w:iCs/>
        </w:rPr>
        <w:t>m</w:t>
      </w:r>
      <w:r w:rsidRPr="00187416">
        <w:rPr>
          <w:iCs/>
        </w:rPr>
        <w:t>onth 24, however, after 24 months, the accumulation of benefit is highly uncertain.</w:t>
      </w:r>
    </w:p>
    <w:p w14:paraId="4050B0A0" w14:textId="77777777" w:rsidR="00E47DC5" w:rsidRDefault="00E47DC5" w:rsidP="009C5AB3">
      <w:pPr>
        <w:spacing w:after="240"/>
      </w:pPr>
      <w:r w:rsidRPr="00187416">
        <w:rPr>
          <w:iCs/>
        </w:rPr>
        <w:t>The commentary also noted that these sensitivity analyses identify parameter uncertainty only. The impact of these parameters would likely be altered by changes to the structure of the model. Thus the structural uncertainty, the uncertainty regarding the movement between health states, needs to be rectified to fully comprehend the impact of parameter uncertainty.</w:t>
      </w:r>
    </w:p>
    <w:p w14:paraId="7294CB4E" w14:textId="139DCB49" w:rsidR="00E47DC5" w:rsidRDefault="00E47DC5" w:rsidP="009C5AB3">
      <w:pPr>
        <w:widowControl w:val="0"/>
        <w:spacing w:after="240"/>
      </w:pPr>
      <w:r>
        <w:t xml:space="preserve">In the pre-ESC response, the applicant claimed it was not </w:t>
      </w:r>
      <w:r w:rsidRPr="00F822D2">
        <w:t xml:space="preserve">possible with available data to model overall survival by NYHA class-specific data, or to model NYHA class progression </w:t>
      </w:r>
      <w:r w:rsidR="009C5AB3">
        <w:br/>
      </w:r>
      <w:r w:rsidRPr="00F822D2">
        <w:t>(</w:t>
      </w:r>
      <w:r w:rsidR="00CD186E" w:rsidRPr="00F822D2">
        <w:t>i.e.</w:t>
      </w:r>
      <w:r w:rsidRPr="00F822D2">
        <w:t xml:space="preserve"> transition probabilities) which could have been used to drive a change in the NYHA distribution over time.</w:t>
      </w:r>
      <w:r>
        <w:t xml:space="preserve"> Further, that applicant stated the s</w:t>
      </w:r>
      <w:r w:rsidRPr="002137F3">
        <w:t xml:space="preserve">ensitivity analyses presented in the </w:t>
      </w:r>
      <w:r>
        <w:t>ADAR</w:t>
      </w:r>
      <w:r w:rsidRPr="002137F3">
        <w:t xml:space="preserve"> that removed all differences in NYHA class distributions between treatment arms over time or modelled a hypothetical rate of progression had littl</w:t>
      </w:r>
      <w:r w:rsidR="009C5AB3">
        <w:t>e impact to the modelled ICERs.</w:t>
      </w:r>
    </w:p>
    <w:p w14:paraId="51485FBA" w14:textId="77777777" w:rsidR="00E47DC5" w:rsidRDefault="00E47DC5" w:rsidP="00E47DC5">
      <w:pPr>
        <w:widowControl w:val="0"/>
      </w:pPr>
      <w:r>
        <w:t>The applicant reiterated that for the modelling of both populations, it is the survival gains of TMVr over OMT driving the incremental QALY gains rather than constant utility values resulting from unchanged NYHA class distributions that proved instrumental to the modelled results. The application acknowledged a degree of uncertainty in the quality of life in the medium term (which impacts both treatment arms). However, the applicant claimed that this does not impact the magnitude of modelled QALY gains as demonstrated in the sensitivity analyses presented, and certainly does not preclude the findings of significant modelled QALY gains for TMVr in both models and does not represent a ‘structural uncertainty’ in the model.</w:t>
      </w:r>
    </w:p>
    <w:p w14:paraId="608D4E17" w14:textId="77777777" w:rsidR="008F60BE" w:rsidRDefault="008F60BE" w:rsidP="009C5AB3">
      <w:pPr>
        <w:widowControl w:val="0"/>
        <w:spacing w:before="240"/>
      </w:pPr>
      <w:r>
        <w:t>In the pre-MSAC response, the applicant defended the 10-year horizon used in the economic model. The applicant claimed extrapolation of trial reported survival gains is necessary to capture the benefit of avoiding premature mortality with TMVr, noting that the functional benefits offered by TMVr (and thus their QoL/cost implications) would persist into the future and for many patients be permanent. Note that stopping the model at 10-years in the base-case analysis effectively truncates survival gains for 20-25% of TMVr patients across the FMR/DMR populations in the economic model.</w:t>
      </w:r>
      <w:r w:rsidR="006C50F1">
        <w:t xml:space="preserve"> Therefore, the application claimed that i</w:t>
      </w:r>
      <w:r>
        <w:t xml:space="preserve">n the </w:t>
      </w:r>
      <w:r>
        <w:lastRenderedPageBreak/>
        <w:t>context of MR patients, who are 72 years at baseline, a 10-year horizon is justifiable to adequately capture the long-term benefits and costs in that population.</w:t>
      </w:r>
    </w:p>
    <w:p w14:paraId="32931E83" w14:textId="34B04568" w:rsidR="00B54C09" w:rsidRDefault="006C50F1" w:rsidP="0073088B">
      <w:pPr>
        <w:widowControl w:val="0"/>
        <w:spacing w:before="240"/>
      </w:pPr>
      <w:r>
        <w:t xml:space="preserve">The applicant also provided clarification regarding inclusion of mitral valve </w:t>
      </w:r>
      <w:r w:rsidR="009D717D">
        <w:t xml:space="preserve">surgery </w:t>
      </w:r>
      <w:r>
        <w:t xml:space="preserve">costs in the modelling given a </w:t>
      </w:r>
      <w:r w:rsidRPr="006C50F1">
        <w:t xml:space="preserve">multi-disciplinary heart team (MDHT) would ensure </w:t>
      </w:r>
      <w:r w:rsidR="004418AF">
        <w:t>patients are not eligible for mitral valve</w:t>
      </w:r>
      <w:r w:rsidRPr="006C50F1">
        <w:t xml:space="preserve"> surgery</w:t>
      </w:r>
      <w:r>
        <w:t>. The applicant stated that t</w:t>
      </w:r>
      <w:r w:rsidR="004418AF">
        <w:t>he cost of mitral valve</w:t>
      </w:r>
      <w:r w:rsidRPr="006C50F1">
        <w:t xml:space="preserve"> surgery was included in both TMVr and OMT arms as part of resources utilised </w:t>
      </w:r>
      <w:r>
        <w:t xml:space="preserve">which was </w:t>
      </w:r>
      <w:r w:rsidRPr="006C50F1">
        <w:t>informed by the utilisation in the COAPT study for the FMR population (very low rates). For the DMR population, 14% pati</w:t>
      </w:r>
      <w:r w:rsidR="004418AF">
        <w:t>ents in the comparator arm had mitral valve</w:t>
      </w:r>
      <w:r w:rsidRPr="006C50F1">
        <w:t xml:space="preserve"> surgery and not OMT (EVEREST II HRS study). Thus, the OMT arm realis</w:t>
      </w:r>
      <w:r w:rsidR="004418AF">
        <w:t>ed survival benefits from the mitral valve</w:t>
      </w:r>
      <w:r w:rsidRPr="006C50F1">
        <w:t xml:space="preserve"> surgery, in turn justifyin</w:t>
      </w:r>
      <w:r w:rsidR="004418AF">
        <w:t>g the inclusion of the cost of mitral valve</w:t>
      </w:r>
      <w:r w:rsidRPr="006C50F1">
        <w:t xml:space="preserve"> surgery</w:t>
      </w:r>
      <w:r>
        <w:t>.</w:t>
      </w:r>
      <w:r w:rsidRPr="006C50F1">
        <w:t xml:space="preserve"> However,</w:t>
      </w:r>
      <w:r>
        <w:t xml:space="preserve"> the applicant acknowledge that</w:t>
      </w:r>
      <w:r w:rsidRPr="006C50F1">
        <w:t xml:space="preserve"> if </w:t>
      </w:r>
      <w:r w:rsidR="004418AF">
        <w:t>mitral valve</w:t>
      </w:r>
      <w:r w:rsidRPr="006C50F1">
        <w:t xml:space="preserve"> surgery is deemed to be not applicable to the target populations, and to be identified by MDHT, the ICER increases to </w:t>
      </w:r>
      <w:r w:rsidR="0073088B">
        <w:t>$</w:t>
      </w:r>
      <w:r w:rsidR="0073088B" w:rsidRPr="0073088B">
        <w:rPr>
          <w:b/>
          <w:iCs/>
        </w:rPr>
        <w:t>redacted</w:t>
      </w:r>
      <w:r w:rsidR="0073088B" w:rsidRPr="0048581D" w:rsidDel="0048581D">
        <w:rPr>
          <w:iCs/>
        </w:rPr>
        <w:t xml:space="preserve"> </w:t>
      </w:r>
      <w:r w:rsidRPr="006C50F1">
        <w:t xml:space="preserve">(up from </w:t>
      </w:r>
      <w:r w:rsidR="0073088B">
        <w:t>$</w:t>
      </w:r>
      <w:r w:rsidR="0073088B" w:rsidRPr="0073088B">
        <w:rPr>
          <w:b/>
          <w:iCs/>
        </w:rPr>
        <w:t>redacted</w:t>
      </w:r>
      <w:r w:rsidRPr="006C50F1">
        <w:t xml:space="preserve">) and </w:t>
      </w:r>
      <w:r w:rsidR="0073088B">
        <w:t>$</w:t>
      </w:r>
      <w:r w:rsidR="0073088B" w:rsidRPr="0073088B">
        <w:rPr>
          <w:b/>
          <w:iCs/>
        </w:rPr>
        <w:t>redacted</w:t>
      </w:r>
      <w:r w:rsidR="0073088B" w:rsidRPr="0048581D" w:rsidDel="0048581D">
        <w:rPr>
          <w:iCs/>
        </w:rPr>
        <w:t xml:space="preserve"> </w:t>
      </w:r>
      <w:r w:rsidRPr="006C50F1">
        <w:t xml:space="preserve">(up from </w:t>
      </w:r>
      <w:r w:rsidR="0073088B">
        <w:t>$</w:t>
      </w:r>
      <w:r w:rsidR="0073088B" w:rsidRPr="0073088B">
        <w:rPr>
          <w:b/>
          <w:iCs/>
        </w:rPr>
        <w:t>redacted</w:t>
      </w:r>
      <w:r w:rsidRPr="006C50F1">
        <w:t>) in FMR and DMR populations respectively.</w:t>
      </w:r>
    </w:p>
    <w:p w14:paraId="7CD76A80" w14:textId="0842BBAC" w:rsidR="000657A9" w:rsidRPr="0073088B" w:rsidRDefault="00EA6D49" w:rsidP="0073088B">
      <w:pPr>
        <w:spacing w:before="240"/>
      </w:pPr>
      <w:r w:rsidRPr="000E663B">
        <w:t>Table 10 provides the</w:t>
      </w:r>
      <w:r w:rsidR="009D717D" w:rsidRPr="000E663B">
        <w:t xml:space="preserve"> results of a cost-minimisation analysis in the </w:t>
      </w:r>
      <w:r w:rsidR="00E91E06" w:rsidRPr="000E663B">
        <w:t>D</w:t>
      </w:r>
      <w:r w:rsidR="009D717D" w:rsidRPr="000E663B">
        <w:t xml:space="preserve">MR </w:t>
      </w:r>
      <w:r w:rsidR="00E91E06" w:rsidRPr="000E663B">
        <w:t xml:space="preserve">population </w:t>
      </w:r>
      <w:r w:rsidR="009D717D" w:rsidRPr="000E663B">
        <w:t>conducted by the Department</w:t>
      </w:r>
      <w:r w:rsidR="00A25000" w:rsidRPr="000E663B">
        <w:t xml:space="preserve"> at the request of the MSAC</w:t>
      </w:r>
      <w:r w:rsidR="00997430" w:rsidRPr="000E663B">
        <w:t>, in which the cost of the</w:t>
      </w:r>
      <w:r w:rsidR="00906602" w:rsidRPr="000E663B">
        <w:t xml:space="preserve"> MitraClip</w:t>
      </w:r>
      <w:r w:rsidR="00997430" w:rsidRPr="000E663B">
        <w:t xml:space="preserve"> device is adjusted so </w:t>
      </w:r>
      <w:r w:rsidR="00E91E06" w:rsidRPr="000E663B">
        <w:t>t</w:t>
      </w:r>
      <w:r w:rsidR="00906602" w:rsidRPr="000E663B">
        <w:t>he combined cost of the device and procedure is</w:t>
      </w:r>
      <w:r w:rsidR="00997430" w:rsidRPr="000E663B">
        <w:t xml:space="preserve"> equivalent to the cost of </w:t>
      </w:r>
      <w:r w:rsidR="00E91E06" w:rsidRPr="000E663B">
        <w:t xml:space="preserve">OMT </w:t>
      </w:r>
      <w:r w:rsidR="00997430" w:rsidRPr="000E663B">
        <w:t>over 7 years</w:t>
      </w:r>
      <w:r w:rsidR="00A25000" w:rsidRPr="000E663B">
        <w:t xml:space="preserve">. The analysis in Table 10 uses an MBS fee of $1455.10 (in place of the </w:t>
      </w:r>
      <w:r w:rsidR="00906602" w:rsidRPr="000E663B">
        <w:t>requ</w:t>
      </w:r>
      <w:r w:rsidR="00E91E06" w:rsidRPr="000E663B">
        <w:t xml:space="preserve">ested </w:t>
      </w:r>
      <w:r w:rsidR="00906602" w:rsidRPr="000E663B">
        <w:t>MBS fee of $1748.45</w:t>
      </w:r>
      <w:r w:rsidR="00A25000" w:rsidRPr="000E663B">
        <w:t>)</w:t>
      </w:r>
      <w:r w:rsidR="00906602" w:rsidRPr="000E663B">
        <w:t xml:space="preserve"> and</w:t>
      </w:r>
      <w:r w:rsidR="00997430" w:rsidRPr="000E663B">
        <w:t xml:space="preserve"> </w:t>
      </w:r>
      <w:r w:rsidR="00AD2377" w:rsidRPr="000E663B">
        <w:t>incorporat</w:t>
      </w:r>
      <w:r w:rsidR="00A25000" w:rsidRPr="000E663B">
        <w:t xml:space="preserve">es </w:t>
      </w:r>
      <w:r w:rsidR="00997430" w:rsidRPr="000E663B">
        <w:t xml:space="preserve">an offset for the cost of adverse events associated with the use of the device. </w:t>
      </w:r>
      <w:r w:rsidR="000657A9" w:rsidRPr="000E663B">
        <w:t>Consistent with the approach taken in the ADAR</w:t>
      </w:r>
      <w:r w:rsidR="00E91E06" w:rsidRPr="000E663B">
        <w:t xml:space="preserve"> economic model</w:t>
      </w:r>
      <w:r w:rsidR="000657A9" w:rsidRPr="000E663B">
        <w:t>, the analysis</w:t>
      </w:r>
      <w:r w:rsidRPr="000E663B">
        <w:t xml:space="preserve"> </w:t>
      </w:r>
      <w:r w:rsidR="000657A9" w:rsidRPr="000E663B">
        <w:t>assumes both the OMT and intervention group</w:t>
      </w:r>
      <w:r w:rsidR="00AF68D7" w:rsidRPr="000E663B">
        <w:t>s</w:t>
      </w:r>
      <w:r w:rsidR="000657A9" w:rsidRPr="000E663B">
        <w:t xml:space="preserve"> will </w:t>
      </w:r>
      <w:r w:rsidR="00E91E06" w:rsidRPr="000E663B">
        <w:t>incur</w:t>
      </w:r>
      <w:r w:rsidR="000657A9" w:rsidRPr="000E663B">
        <w:t xml:space="preserve"> the same </w:t>
      </w:r>
      <w:r w:rsidR="00E91E06" w:rsidRPr="000E663B">
        <w:t>costs for maintenance disease management</w:t>
      </w:r>
      <w:r w:rsidR="00A25000" w:rsidRPr="000E663B">
        <w:t xml:space="preserve"> in terms of pharmacotherapy and doctor visits</w:t>
      </w:r>
      <w:r w:rsidR="000657A9" w:rsidRPr="000E663B">
        <w:t xml:space="preserve">, but that a higher proportion of the patients in the OMT group will go to develop </w:t>
      </w:r>
      <w:r w:rsidR="00E91E06" w:rsidRPr="000E663B">
        <w:t xml:space="preserve">congestive </w:t>
      </w:r>
      <w:r w:rsidR="000657A9" w:rsidRPr="000E663B">
        <w:t>heart failure</w:t>
      </w:r>
      <w:r w:rsidR="00E91E06" w:rsidRPr="000E663B">
        <w:t xml:space="preserve"> requiring hospitalisation</w:t>
      </w:r>
      <w:r w:rsidR="000657A9" w:rsidRPr="000E663B">
        <w:t xml:space="preserve"> or </w:t>
      </w:r>
      <w:r w:rsidR="00A25000" w:rsidRPr="000E663B">
        <w:t xml:space="preserve">to </w:t>
      </w:r>
      <w:r w:rsidR="000657A9" w:rsidRPr="000E663B">
        <w:t xml:space="preserve">require </w:t>
      </w:r>
      <w:r w:rsidR="00D86666" w:rsidRPr="000E663B">
        <w:t xml:space="preserve">mitral valve surgery. </w:t>
      </w:r>
      <w:r w:rsidR="00B54C09" w:rsidRPr="000E663B">
        <w:t xml:space="preserve">The MSAC agreed it was reasonable to include mitral value surgery costs in the </w:t>
      </w:r>
      <w:r w:rsidR="00E91E06" w:rsidRPr="000E663B">
        <w:t>OMT</w:t>
      </w:r>
      <w:r w:rsidR="00B54C09" w:rsidRPr="000E663B">
        <w:t xml:space="preserve"> </w:t>
      </w:r>
      <w:r w:rsidR="00AF68D7" w:rsidRPr="000E663B">
        <w:t xml:space="preserve">group </w:t>
      </w:r>
      <w:r w:rsidR="00B54C09" w:rsidRPr="000E663B">
        <w:t xml:space="preserve">in the cost-minimisation analysis, because although patients in this group would be deemed unsuitable for surgery at initial assessment, they would likely eventually be offered surgery on a compassionate basis if their condition progressed despite </w:t>
      </w:r>
      <w:r w:rsidR="00AF68D7" w:rsidRPr="000E663B">
        <w:t>OMT.</w:t>
      </w:r>
    </w:p>
    <w:p w14:paraId="6F1DAC21" w14:textId="77777777" w:rsidR="000657A9" w:rsidRPr="000E663B" w:rsidRDefault="000657A9" w:rsidP="0073088B">
      <w:pPr>
        <w:spacing w:before="240"/>
        <w:rPr>
          <w:rFonts w:ascii="Arial Narrow" w:hAnsi="Arial Narrow"/>
          <w:b/>
          <w:sz w:val="20"/>
        </w:rPr>
      </w:pPr>
      <w:r w:rsidRPr="000E663B">
        <w:rPr>
          <w:rFonts w:ascii="Arial Narrow" w:hAnsi="Arial Narrow"/>
          <w:b/>
          <w:sz w:val="20"/>
        </w:rPr>
        <w:t xml:space="preserve">Table </w:t>
      </w:r>
      <w:r w:rsidR="00E91E06" w:rsidRPr="000E663B">
        <w:rPr>
          <w:rFonts w:ascii="Arial Narrow" w:hAnsi="Arial Narrow"/>
          <w:b/>
          <w:sz w:val="20"/>
        </w:rPr>
        <w:t>10</w:t>
      </w:r>
      <w:r w:rsidRPr="000E663B">
        <w:rPr>
          <w:rFonts w:ascii="Arial Narrow" w:hAnsi="Arial Narrow"/>
          <w:b/>
          <w:sz w:val="20"/>
        </w:rPr>
        <w:t xml:space="preserve">: </w:t>
      </w:r>
      <w:r w:rsidR="00C24FF8" w:rsidRPr="000E663B">
        <w:rPr>
          <w:rFonts w:ascii="Arial Narrow" w:hAnsi="Arial Narrow"/>
          <w:b/>
          <w:sz w:val="20"/>
        </w:rPr>
        <w:t>DMR</w:t>
      </w:r>
      <w:r w:rsidRPr="000E663B">
        <w:rPr>
          <w:rFonts w:ascii="Arial Narrow" w:hAnsi="Arial Narrow"/>
          <w:b/>
          <w:sz w:val="20"/>
        </w:rPr>
        <w:t xml:space="preserve"> Cost-Minimisation </w:t>
      </w:r>
      <w:r w:rsidR="00EA6D49" w:rsidRPr="000E663B">
        <w:rPr>
          <w:rFonts w:ascii="Arial Narrow" w:hAnsi="Arial Narrow"/>
          <w:b/>
          <w:sz w:val="20"/>
        </w:rPr>
        <w:t>Analysis</w:t>
      </w:r>
    </w:p>
    <w:tbl>
      <w:tblPr>
        <w:tblStyle w:val="TableGrid1"/>
        <w:tblW w:w="9067" w:type="dxa"/>
        <w:tblLook w:val="04A0" w:firstRow="1" w:lastRow="0" w:firstColumn="1" w:lastColumn="0" w:noHBand="0" w:noVBand="1"/>
        <w:tblDescription w:val="Summary of the DMR Cost-Minimisation Analysis"/>
      </w:tblPr>
      <w:tblGrid>
        <w:gridCol w:w="1413"/>
        <w:gridCol w:w="1276"/>
        <w:gridCol w:w="1275"/>
        <w:gridCol w:w="1276"/>
        <w:gridCol w:w="1985"/>
        <w:gridCol w:w="1842"/>
      </w:tblGrid>
      <w:tr w:rsidR="00CD186E" w:rsidRPr="00CD186E" w14:paraId="5B8AE666" w14:textId="77777777" w:rsidTr="00CE0375">
        <w:trPr>
          <w:trHeight w:val="290"/>
          <w:tblHeader/>
        </w:trPr>
        <w:tc>
          <w:tcPr>
            <w:tcW w:w="5240" w:type="dxa"/>
            <w:gridSpan w:val="4"/>
            <w:noWrap/>
            <w:hideMark/>
          </w:tcPr>
          <w:p w14:paraId="60616319" w14:textId="77777777" w:rsidR="000657A9" w:rsidRPr="000E663B" w:rsidRDefault="000657A9" w:rsidP="000657A9">
            <w:pPr>
              <w:rPr>
                <w:rFonts w:ascii="Arial Narrow" w:eastAsia="Calibri" w:hAnsi="Arial Narrow"/>
                <w:sz w:val="20"/>
                <w:lang w:eastAsia="en-US"/>
              </w:rPr>
            </w:pPr>
            <w:r w:rsidRPr="000E663B">
              <w:rPr>
                <w:rFonts w:ascii="Arial Narrow" w:eastAsia="Calibri" w:hAnsi="Arial Narrow"/>
                <w:sz w:val="20"/>
                <w:lang w:eastAsia="en-US"/>
              </w:rPr>
              <w:t>Optimised Medial Treatment</w:t>
            </w:r>
          </w:p>
        </w:tc>
        <w:tc>
          <w:tcPr>
            <w:tcW w:w="3827" w:type="dxa"/>
            <w:gridSpan w:val="2"/>
            <w:hideMark/>
          </w:tcPr>
          <w:p w14:paraId="1323B2B1" w14:textId="77777777" w:rsidR="000657A9" w:rsidRPr="000E663B" w:rsidRDefault="00C24FF8" w:rsidP="00C24FF8">
            <w:pPr>
              <w:rPr>
                <w:rFonts w:ascii="Arial Narrow" w:eastAsia="Calibri" w:hAnsi="Arial Narrow"/>
                <w:sz w:val="20"/>
                <w:lang w:eastAsia="en-US"/>
              </w:rPr>
            </w:pPr>
            <w:r w:rsidRPr="000E663B">
              <w:t>TMVr</w:t>
            </w:r>
            <w:r w:rsidRPr="000E663B">
              <w:rPr>
                <w:rFonts w:ascii="Arial Narrow" w:eastAsia="Calibri" w:hAnsi="Arial Narrow"/>
                <w:sz w:val="20"/>
                <w:lang w:eastAsia="en-US"/>
              </w:rPr>
              <w:t xml:space="preserve">  with </w:t>
            </w:r>
            <w:r w:rsidR="000657A9" w:rsidRPr="000E663B">
              <w:rPr>
                <w:rFonts w:ascii="Arial Narrow" w:eastAsia="Calibri" w:hAnsi="Arial Narrow"/>
                <w:sz w:val="20"/>
                <w:lang w:eastAsia="en-US"/>
              </w:rPr>
              <w:t>Mitra</w:t>
            </w:r>
            <w:r w:rsidRPr="000E663B">
              <w:rPr>
                <w:rFonts w:ascii="Arial Narrow" w:eastAsia="Calibri" w:hAnsi="Arial Narrow"/>
                <w:sz w:val="20"/>
                <w:lang w:eastAsia="en-US"/>
              </w:rPr>
              <w:t>C</w:t>
            </w:r>
            <w:r w:rsidR="000657A9" w:rsidRPr="000E663B">
              <w:rPr>
                <w:rFonts w:ascii="Arial Narrow" w:eastAsia="Calibri" w:hAnsi="Arial Narrow"/>
                <w:sz w:val="20"/>
                <w:lang w:eastAsia="en-US"/>
              </w:rPr>
              <w:t xml:space="preserve">lip </w:t>
            </w:r>
          </w:p>
        </w:tc>
      </w:tr>
      <w:tr w:rsidR="00CD186E" w:rsidRPr="00CD186E" w14:paraId="33AE3C16" w14:textId="77777777" w:rsidTr="00C24FF8">
        <w:trPr>
          <w:trHeight w:val="580"/>
        </w:trPr>
        <w:tc>
          <w:tcPr>
            <w:tcW w:w="1413" w:type="dxa"/>
            <w:noWrap/>
            <w:hideMark/>
          </w:tcPr>
          <w:p w14:paraId="7AB5B66F" w14:textId="77777777" w:rsidR="00D86666" w:rsidRPr="000E663B" w:rsidRDefault="00D86666" w:rsidP="000657A9">
            <w:pPr>
              <w:rPr>
                <w:rFonts w:ascii="Arial Narrow" w:eastAsia="Calibri" w:hAnsi="Arial Narrow"/>
                <w:sz w:val="20"/>
                <w:lang w:eastAsia="en-US"/>
              </w:rPr>
            </w:pPr>
            <w:r w:rsidRPr="000E663B">
              <w:rPr>
                <w:rFonts w:ascii="Arial Narrow" w:eastAsia="Calibri" w:hAnsi="Arial Narrow"/>
                <w:sz w:val="20"/>
                <w:lang w:eastAsia="en-US"/>
              </w:rPr>
              <w:t>Sequelae</w:t>
            </w:r>
          </w:p>
        </w:tc>
        <w:tc>
          <w:tcPr>
            <w:tcW w:w="1276" w:type="dxa"/>
            <w:noWrap/>
            <w:hideMark/>
          </w:tcPr>
          <w:p w14:paraId="2824C94B" w14:textId="77777777" w:rsidR="00D86666" w:rsidRPr="000E663B" w:rsidRDefault="00D86666" w:rsidP="000657A9">
            <w:pPr>
              <w:rPr>
                <w:rFonts w:ascii="Arial Narrow" w:eastAsia="Calibri" w:hAnsi="Arial Narrow"/>
                <w:sz w:val="20"/>
                <w:lang w:eastAsia="en-US"/>
              </w:rPr>
            </w:pPr>
            <w:r w:rsidRPr="000E663B">
              <w:rPr>
                <w:rFonts w:ascii="Arial Narrow" w:eastAsia="Calibri" w:hAnsi="Arial Narrow"/>
                <w:sz w:val="20"/>
                <w:lang w:eastAsia="en-US"/>
              </w:rPr>
              <w:t>Proportion developing sequelae over 7 years</w:t>
            </w:r>
          </w:p>
        </w:tc>
        <w:tc>
          <w:tcPr>
            <w:tcW w:w="1275" w:type="dxa"/>
            <w:noWrap/>
            <w:hideMark/>
          </w:tcPr>
          <w:p w14:paraId="264B1D96" w14:textId="77777777" w:rsidR="00D86666" w:rsidRPr="000E663B" w:rsidRDefault="00D86666" w:rsidP="000657A9">
            <w:pPr>
              <w:rPr>
                <w:rFonts w:ascii="Arial Narrow" w:eastAsia="Calibri" w:hAnsi="Arial Narrow"/>
                <w:sz w:val="20"/>
                <w:lang w:eastAsia="en-US"/>
              </w:rPr>
            </w:pPr>
            <w:r w:rsidRPr="000E663B">
              <w:rPr>
                <w:rFonts w:ascii="Arial Narrow" w:eastAsia="Calibri" w:hAnsi="Arial Narrow"/>
                <w:sz w:val="20"/>
                <w:lang w:eastAsia="en-US"/>
              </w:rPr>
              <w:t>Cost</w:t>
            </w:r>
          </w:p>
        </w:tc>
        <w:tc>
          <w:tcPr>
            <w:tcW w:w="1276" w:type="dxa"/>
            <w:hideMark/>
          </w:tcPr>
          <w:p w14:paraId="2ABAC714" w14:textId="77777777" w:rsidR="00D86666" w:rsidRPr="000E663B" w:rsidRDefault="00D86666" w:rsidP="000657A9">
            <w:pPr>
              <w:rPr>
                <w:rFonts w:ascii="Arial Narrow" w:eastAsia="Calibri" w:hAnsi="Arial Narrow"/>
                <w:sz w:val="20"/>
                <w:lang w:eastAsia="en-US"/>
              </w:rPr>
            </w:pPr>
            <w:r w:rsidRPr="000E663B">
              <w:rPr>
                <w:rFonts w:ascii="Arial Narrow" w:eastAsia="Calibri" w:hAnsi="Arial Narrow"/>
                <w:sz w:val="20"/>
                <w:lang w:eastAsia="en-US"/>
              </w:rPr>
              <w:t>Contribution to weighted cost</w:t>
            </w:r>
          </w:p>
        </w:tc>
        <w:tc>
          <w:tcPr>
            <w:tcW w:w="3827" w:type="dxa"/>
            <w:gridSpan w:val="2"/>
          </w:tcPr>
          <w:p w14:paraId="5A741DF6" w14:textId="77777777" w:rsidR="00D86666" w:rsidRPr="000E663B" w:rsidRDefault="00D86666" w:rsidP="000657A9">
            <w:pPr>
              <w:rPr>
                <w:rFonts w:ascii="Arial Narrow" w:eastAsia="Calibri" w:hAnsi="Arial Narrow"/>
                <w:sz w:val="20"/>
                <w:lang w:eastAsia="en-US"/>
              </w:rPr>
            </w:pPr>
          </w:p>
        </w:tc>
      </w:tr>
      <w:tr w:rsidR="00CD186E" w:rsidRPr="00CD186E" w14:paraId="63241847" w14:textId="77777777" w:rsidTr="00C24FF8">
        <w:trPr>
          <w:trHeight w:val="580"/>
        </w:trPr>
        <w:tc>
          <w:tcPr>
            <w:tcW w:w="1413" w:type="dxa"/>
            <w:noWrap/>
            <w:hideMark/>
          </w:tcPr>
          <w:p w14:paraId="3E43EA0A"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Congestive Heart Failure</w:t>
            </w:r>
          </w:p>
          <w:p w14:paraId="4E765780"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Hospitalisation</w:t>
            </w:r>
          </w:p>
          <w:p w14:paraId="2D07A97C" w14:textId="77777777" w:rsidR="00C24FF8" w:rsidRPr="000E663B" w:rsidRDefault="00C24FF8" w:rsidP="000657A9">
            <w:pPr>
              <w:rPr>
                <w:rFonts w:ascii="Arial Narrow" w:eastAsia="Calibri" w:hAnsi="Arial Narrow"/>
                <w:sz w:val="20"/>
                <w:lang w:eastAsia="en-US"/>
              </w:rPr>
            </w:pPr>
          </w:p>
        </w:tc>
        <w:tc>
          <w:tcPr>
            <w:tcW w:w="1276" w:type="dxa"/>
            <w:noWrap/>
            <w:hideMark/>
          </w:tcPr>
          <w:p w14:paraId="19FDC7AD" w14:textId="77777777" w:rsidR="00C24FF8" w:rsidRPr="000E663B" w:rsidRDefault="00C24FF8" w:rsidP="000657A9">
            <w:pPr>
              <w:rPr>
                <w:rFonts w:ascii="Arial Narrow" w:eastAsia="Calibri" w:hAnsi="Arial Narrow"/>
                <w:sz w:val="20"/>
                <w:vertAlign w:val="superscript"/>
                <w:lang w:eastAsia="en-US"/>
              </w:rPr>
            </w:pPr>
            <w:r w:rsidRPr="000E663B">
              <w:rPr>
                <w:rFonts w:ascii="Arial Narrow" w:eastAsia="Calibri" w:hAnsi="Arial Narrow"/>
                <w:sz w:val="20"/>
                <w:lang w:eastAsia="en-US"/>
              </w:rPr>
              <w:t>86%</w:t>
            </w:r>
            <w:r w:rsidRPr="000E663B">
              <w:rPr>
                <w:rFonts w:ascii="Arial Narrow" w:eastAsia="Calibri" w:hAnsi="Arial Narrow"/>
                <w:sz w:val="20"/>
                <w:vertAlign w:val="superscript"/>
                <w:lang w:eastAsia="en-US"/>
              </w:rPr>
              <w:t>1</w:t>
            </w:r>
          </w:p>
        </w:tc>
        <w:tc>
          <w:tcPr>
            <w:tcW w:w="1275" w:type="dxa"/>
            <w:noWrap/>
            <w:hideMark/>
          </w:tcPr>
          <w:p w14:paraId="37E1F238" w14:textId="6B51DFD4" w:rsidR="00C24FF8" w:rsidRPr="000E663B" w:rsidRDefault="0073088B" w:rsidP="000657A9">
            <w:pPr>
              <w:rPr>
                <w:rFonts w:ascii="Arial Narrow" w:eastAsia="Calibri" w:hAnsi="Arial Narrow"/>
                <w:sz w:val="20"/>
                <w:lang w:eastAsia="en-US"/>
              </w:rPr>
            </w:pPr>
            <w:r>
              <w:rPr>
                <w:rFonts w:ascii="Arial Narrow" w:hAnsi="Arial Narrow" w:cs="Tahoma"/>
                <w:sz w:val="20"/>
              </w:rPr>
              <w:t>$redacted</w:t>
            </w:r>
          </w:p>
        </w:tc>
        <w:tc>
          <w:tcPr>
            <w:tcW w:w="1276" w:type="dxa"/>
            <w:noWrap/>
            <w:hideMark/>
          </w:tcPr>
          <w:p w14:paraId="721614EC" w14:textId="4E5102A6" w:rsidR="00C24FF8" w:rsidRPr="000E663B" w:rsidRDefault="0073088B" w:rsidP="000657A9">
            <w:pPr>
              <w:rPr>
                <w:rFonts w:ascii="Arial Narrow" w:eastAsia="Calibri" w:hAnsi="Arial Narrow"/>
                <w:sz w:val="20"/>
                <w:lang w:eastAsia="en-US"/>
              </w:rPr>
            </w:pPr>
            <w:r>
              <w:rPr>
                <w:rFonts w:ascii="Arial Narrow" w:eastAsia="Calibri" w:hAnsi="Arial Narrow"/>
                <w:sz w:val="20"/>
                <w:lang w:eastAsia="en-US"/>
              </w:rPr>
              <w:t>$</w:t>
            </w:r>
            <w:r>
              <w:rPr>
                <w:rFonts w:ascii="Arial Narrow" w:hAnsi="Arial Narrow" w:cs="Tahoma"/>
                <w:sz w:val="20"/>
              </w:rPr>
              <w:t>redacted</w:t>
            </w:r>
          </w:p>
        </w:tc>
        <w:tc>
          <w:tcPr>
            <w:tcW w:w="1985" w:type="dxa"/>
            <w:hideMark/>
          </w:tcPr>
          <w:p w14:paraId="542DA5FB"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Number of procedure</w:t>
            </w:r>
          </w:p>
        </w:tc>
        <w:tc>
          <w:tcPr>
            <w:tcW w:w="1842" w:type="dxa"/>
            <w:noWrap/>
            <w:hideMark/>
          </w:tcPr>
          <w:p w14:paraId="76457EF3" w14:textId="5A580E0B" w:rsidR="00C24FF8" w:rsidRPr="000E663B" w:rsidRDefault="0073088B" w:rsidP="000657A9">
            <w:pPr>
              <w:rPr>
                <w:rFonts w:ascii="Arial Narrow" w:eastAsia="Calibri" w:hAnsi="Arial Narrow"/>
                <w:sz w:val="20"/>
                <w:lang w:eastAsia="en-US"/>
              </w:rPr>
            </w:pPr>
            <w:r>
              <w:rPr>
                <w:rFonts w:ascii="Arial Narrow" w:hAnsi="Arial Narrow" w:cs="Tahoma"/>
                <w:sz w:val="20"/>
              </w:rPr>
              <w:t>Redacted</w:t>
            </w:r>
          </w:p>
        </w:tc>
      </w:tr>
      <w:tr w:rsidR="00CD186E" w:rsidRPr="00CD186E" w14:paraId="6FD89D12" w14:textId="77777777" w:rsidTr="00C24FF8">
        <w:trPr>
          <w:trHeight w:val="580"/>
        </w:trPr>
        <w:tc>
          <w:tcPr>
            <w:tcW w:w="1413" w:type="dxa"/>
            <w:noWrap/>
            <w:hideMark/>
          </w:tcPr>
          <w:p w14:paraId="7AC43A20"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Surgery</w:t>
            </w:r>
          </w:p>
        </w:tc>
        <w:tc>
          <w:tcPr>
            <w:tcW w:w="1276" w:type="dxa"/>
            <w:noWrap/>
            <w:hideMark/>
          </w:tcPr>
          <w:p w14:paraId="54F6D1C3" w14:textId="77777777" w:rsidR="00C24FF8" w:rsidRPr="000E663B" w:rsidRDefault="00C24FF8" w:rsidP="000657A9">
            <w:pPr>
              <w:rPr>
                <w:rFonts w:ascii="Arial Narrow" w:eastAsia="Calibri" w:hAnsi="Arial Narrow"/>
                <w:sz w:val="20"/>
                <w:vertAlign w:val="superscript"/>
                <w:lang w:eastAsia="en-US"/>
              </w:rPr>
            </w:pPr>
            <w:r w:rsidRPr="000E663B">
              <w:rPr>
                <w:rFonts w:ascii="Arial Narrow" w:eastAsia="Calibri" w:hAnsi="Arial Narrow"/>
                <w:sz w:val="20"/>
                <w:lang w:eastAsia="en-US"/>
              </w:rPr>
              <w:t>64%</w:t>
            </w:r>
            <w:r w:rsidRPr="000E663B">
              <w:rPr>
                <w:rFonts w:ascii="Arial Narrow" w:eastAsia="Calibri" w:hAnsi="Arial Narrow"/>
                <w:sz w:val="20"/>
                <w:vertAlign w:val="superscript"/>
                <w:lang w:eastAsia="en-US"/>
              </w:rPr>
              <w:t>1</w:t>
            </w:r>
          </w:p>
        </w:tc>
        <w:tc>
          <w:tcPr>
            <w:tcW w:w="1275" w:type="dxa"/>
            <w:noWrap/>
            <w:hideMark/>
          </w:tcPr>
          <w:p w14:paraId="1BDA14A9" w14:textId="0AC8E302" w:rsidR="00C24FF8" w:rsidRPr="000E663B" w:rsidRDefault="0073088B" w:rsidP="000657A9">
            <w:pPr>
              <w:rPr>
                <w:rFonts w:ascii="Arial Narrow" w:eastAsia="Calibri" w:hAnsi="Arial Narrow"/>
                <w:sz w:val="20"/>
                <w:lang w:eastAsia="en-US"/>
              </w:rPr>
            </w:pPr>
            <w:r>
              <w:rPr>
                <w:rFonts w:ascii="Arial Narrow" w:hAnsi="Arial Narrow" w:cs="Tahoma"/>
                <w:sz w:val="20"/>
              </w:rPr>
              <w:t>$redacted</w:t>
            </w:r>
          </w:p>
        </w:tc>
        <w:tc>
          <w:tcPr>
            <w:tcW w:w="1276" w:type="dxa"/>
            <w:noWrap/>
            <w:hideMark/>
          </w:tcPr>
          <w:p w14:paraId="185763AD" w14:textId="20C2FD06" w:rsidR="00C24FF8" w:rsidRPr="000E663B" w:rsidRDefault="0073088B" w:rsidP="00D86666">
            <w:pPr>
              <w:rPr>
                <w:rFonts w:ascii="Arial Narrow" w:eastAsia="Calibri" w:hAnsi="Arial Narrow"/>
                <w:sz w:val="20"/>
                <w:lang w:eastAsia="en-US"/>
              </w:rPr>
            </w:pPr>
            <w:r>
              <w:rPr>
                <w:rFonts w:ascii="Arial Narrow" w:hAnsi="Arial Narrow" w:cs="Tahoma"/>
                <w:sz w:val="20"/>
              </w:rPr>
              <w:t>$redacted</w:t>
            </w:r>
          </w:p>
        </w:tc>
        <w:tc>
          <w:tcPr>
            <w:tcW w:w="1985" w:type="dxa"/>
            <w:hideMark/>
          </w:tcPr>
          <w:p w14:paraId="6B9793E0"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Adverse event costs</w:t>
            </w:r>
          </w:p>
        </w:tc>
        <w:tc>
          <w:tcPr>
            <w:tcW w:w="1842" w:type="dxa"/>
            <w:noWrap/>
            <w:hideMark/>
          </w:tcPr>
          <w:p w14:paraId="3110E2C6" w14:textId="00B88FB1" w:rsidR="00C24FF8" w:rsidRPr="000E663B" w:rsidRDefault="0073088B" w:rsidP="000657A9">
            <w:pPr>
              <w:rPr>
                <w:rFonts w:ascii="Arial Narrow" w:eastAsia="Calibri" w:hAnsi="Arial Narrow"/>
                <w:sz w:val="20"/>
                <w:lang w:eastAsia="en-US"/>
              </w:rPr>
            </w:pPr>
            <w:r>
              <w:rPr>
                <w:rFonts w:ascii="Arial Narrow" w:eastAsia="Calibri" w:hAnsi="Arial Narrow"/>
                <w:sz w:val="20"/>
                <w:lang w:eastAsia="en-US"/>
              </w:rPr>
              <w:t>$</w:t>
            </w:r>
            <w:r>
              <w:rPr>
                <w:rFonts w:ascii="Arial Narrow" w:hAnsi="Arial Narrow" w:cs="Tahoma"/>
                <w:sz w:val="20"/>
              </w:rPr>
              <w:t>redacted</w:t>
            </w:r>
          </w:p>
        </w:tc>
      </w:tr>
      <w:tr w:rsidR="00CD186E" w:rsidRPr="00CD186E" w14:paraId="7359C228" w14:textId="77777777" w:rsidTr="00C24FF8">
        <w:trPr>
          <w:trHeight w:val="427"/>
        </w:trPr>
        <w:tc>
          <w:tcPr>
            <w:tcW w:w="5240" w:type="dxa"/>
            <w:gridSpan w:val="4"/>
            <w:noWrap/>
            <w:hideMark/>
          </w:tcPr>
          <w:p w14:paraId="1FF28BA3" w14:textId="34421DB2" w:rsidR="00C24FF8" w:rsidRPr="000E663B" w:rsidRDefault="00EA55E0" w:rsidP="00C24FF8">
            <w:pPr>
              <w:rPr>
                <w:rFonts w:ascii="Arial Narrow" w:eastAsia="Calibri" w:hAnsi="Arial Narrow"/>
                <w:sz w:val="20"/>
                <w:lang w:eastAsia="en-US"/>
              </w:rPr>
            </w:pPr>
            <w:r>
              <w:rPr>
                <w:rFonts w:ascii="Arial Narrow" w:eastAsia="Calibri" w:hAnsi="Arial Narrow"/>
                <w:sz w:val="20"/>
                <w:lang w:eastAsia="en-US"/>
              </w:rPr>
              <w:t> </w:t>
            </w:r>
          </w:p>
        </w:tc>
        <w:tc>
          <w:tcPr>
            <w:tcW w:w="1985" w:type="dxa"/>
            <w:hideMark/>
          </w:tcPr>
          <w:p w14:paraId="36E3BAE4"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Ancillary costs</w:t>
            </w:r>
          </w:p>
        </w:tc>
        <w:tc>
          <w:tcPr>
            <w:tcW w:w="1842" w:type="dxa"/>
            <w:noWrap/>
            <w:hideMark/>
          </w:tcPr>
          <w:p w14:paraId="59858C07" w14:textId="562F79A7" w:rsidR="00C24FF8" w:rsidRPr="000E663B" w:rsidRDefault="0073088B" w:rsidP="00C24FF8">
            <w:pPr>
              <w:rPr>
                <w:rFonts w:ascii="Arial Narrow" w:eastAsia="Calibri" w:hAnsi="Arial Narrow"/>
                <w:sz w:val="20"/>
                <w:lang w:eastAsia="en-US"/>
              </w:rPr>
            </w:pPr>
            <w:r>
              <w:rPr>
                <w:rFonts w:ascii="Arial Narrow" w:eastAsia="Calibri" w:hAnsi="Arial Narrow"/>
                <w:sz w:val="20"/>
                <w:lang w:eastAsia="en-US"/>
              </w:rPr>
              <w:t>$</w:t>
            </w:r>
            <w:r>
              <w:rPr>
                <w:rFonts w:ascii="Arial Narrow" w:hAnsi="Arial Narrow" w:cs="Tahoma"/>
                <w:sz w:val="20"/>
              </w:rPr>
              <w:t>redacted</w:t>
            </w:r>
          </w:p>
        </w:tc>
      </w:tr>
      <w:tr w:rsidR="00CD186E" w:rsidRPr="00CD186E" w14:paraId="4B237CE9" w14:textId="77777777" w:rsidTr="00C24FF8">
        <w:trPr>
          <w:trHeight w:val="290"/>
        </w:trPr>
        <w:tc>
          <w:tcPr>
            <w:tcW w:w="1413" w:type="dxa"/>
            <w:noWrap/>
            <w:hideMark/>
          </w:tcPr>
          <w:p w14:paraId="557A5BA9"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 </w:t>
            </w:r>
          </w:p>
        </w:tc>
        <w:tc>
          <w:tcPr>
            <w:tcW w:w="1276" w:type="dxa"/>
            <w:noWrap/>
            <w:hideMark/>
          </w:tcPr>
          <w:p w14:paraId="521B4839"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 </w:t>
            </w:r>
          </w:p>
        </w:tc>
        <w:tc>
          <w:tcPr>
            <w:tcW w:w="1275" w:type="dxa"/>
            <w:noWrap/>
            <w:hideMark/>
          </w:tcPr>
          <w:p w14:paraId="7BAE86C6" w14:textId="77777777" w:rsidR="00C24FF8" w:rsidRPr="000E663B" w:rsidRDefault="00C24FF8" w:rsidP="000657A9">
            <w:pPr>
              <w:rPr>
                <w:rFonts w:ascii="Arial Narrow" w:eastAsia="Calibri" w:hAnsi="Arial Narrow"/>
                <w:sz w:val="20"/>
                <w:lang w:eastAsia="en-US"/>
              </w:rPr>
            </w:pPr>
            <w:r w:rsidRPr="000E663B">
              <w:rPr>
                <w:rFonts w:ascii="Arial Narrow" w:eastAsia="Calibri" w:hAnsi="Arial Narrow"/>
                <w:sz w:val="20"/>
                <w:lang w:eastAsia="en-US"/>
              </w:rPr>
              <w:t>Total</w:t>
            </w:r>
          </w:p>
        </w:tc>
        <w:tc>
          <w:tcPr>
            <w:tcW w:w="1276" w:type="dxa"/>
            <w:noWrap/>
            <w:hideMark/>
          </w:tcPr>
          <w:p w14:paraId="7175527D" w14:textId="14D60490" w:rsidR="00C24FF8" w:rsidRPr="000E663B" w:rsidRDefault="0073088B" w:rsidP="000657A9">
            <w:pPr>
              <w:rPr>
                <w:rFonts w:ascii="Arial Narrow" w:eastAsia="Calibri" w:hAnsi="Arial Narrow"/>
                <w:sz w:val="20"/>
                <w:lang w:eastAsia="en-US"/>
              </w:rPr>
            </w:pPr>
            <w:r>
              <w:rPr>
                <w:rFonts w:ascii="Arial Narrow" w:eastAsia="Calibri" w:hAnsi="Arial Narrow"/>
                <w:sz w:val="20"/>
                <w:lang w:eastAsia="en-US"/>
              </w:rPr>
              <w:t>$</w:t>
            </w:r>
            <w:r>
              <w:rPr>
                <w:rFonts w:ascii="Arial Narrow" w:hAnsi="Arial Narrow" w:cs="Tahoma"/>
                <w:sz w:val="20"/>
              </w:rPr>
              <w:t>redacted</w:t>
            </w:r>
          </w:p>
        </w:tc>
        <w:tc>
          <w:tcPr>
            <w:tcW w:w="1985" w:type="dxa"/>
            <w:hideMark/>
          </w:tcPr>
          <w:p w14:paraId="3CEA694A" w14:textId="77777777" w:rsidR="00C24FF8" w:rsidRPr="000E663B" w:rsidRDefault="00C24FF8" w:rsidP="00C24FF8">
            <w:pPr>
              <w:rPr>
                <w:rFonts w:ascii="Arial Narrow" w:eastAsia="Calibri" w:hAnsi="Arial Narrow"/>
                <w:b/>
                <w:bCs/>
                <w:sz w:val="20"/>
                <w:lang w:eastAsia="en-US"/>
              </w:rPr>
            </w:pPr>
            <w:r w:rsidRPr="000E663B">
              <w:rPr>
                <w:rFonts w:ascii="Arial Narrow" w:eastAsia="Calibri" w:hAnsi="Arial Narrow"/>
                <w:b/>
                <w:bCs/>
                <w:sz w:val="20"/>
                <w:lang w:eastAsia="en-US"/>
              </w:rPr>
              <w:t>MitraClip Price</w:t>
            </w:r>
          </w:p>
        </w:tc>
        <w:tc>
          <w:tcPr>
            <w:tcW w:w="1842" w:type="dxa"/>
            <w:noWrap/>
            <w:hideMark/>
          </w:tcPr>
          <w:p w14:paraId="3BC9E358" w14:textId="49CAFD39" w:rsidR="00C24FF8" w:rsidRPr="000E663B" w:rsidRDefault="0073088B" w:rsidP="000657A9">
            <w:pPr>
              <w:rPr>
                <w:rFonts w:ascii="Arial Narrow" w:eastAsia="Calibri" w:hAnsi="Arial Narrow"/>
                <w:sz w:val="20"/>
                <w:lang w:eastAsia="en-US"/>
              </w:rPr>
            </w:pPr>
            <w:r>
              <w:rPr>
                <w:rFonts w:ascii="Arial Narrow" w:hAnsi="Arial Narrow" w:cs="Tahoma"/>
                <w:sz w:val="20"/>
              </w:rPr>
              <w:t>$redacted</w:t>
            </w:r>
            <w:r w:rsidRPr="000E663B">
              <w:rPr>
                <w:rFonts w:ascii="Arial Narrow" w:eastAsia="Calibri" w:hAnsi="Arial Narrow"/>
                <w:sz w:val="20"/>
                <w:lang w:eastAsia="en-US"/>
              </w:rPr>
              <w:t> </w:t>
            </w:r>
          </w:p>
        </w:tc>
      </w:tr>
    </w:tbl>
    <w:p w14:paraId="2B7BDD99" w14:textId="77777777" w:rsidR="0079336D" w:rsidRPr="000E663B" w:rsidRDefault="0079336D" w:rsidP="0079336D">
      <w:pPr>
        <w:rPr>
          <w:rFonts w:ascii="Arial Narrow" w:hAnsi="Arial Narrow" w:cs="Calibri"/>
          <w:sz w:val="18"/>
          <w:szCs w:val="18"/>
        </w:rPr>
      </w:pPr>
      <w:r w:rsidRPr="000E663B">
        <w:rPr>
          <w:rFonts w:ascii="Arial Narrow" w:hAnsi="Arial Narrow"/>
          <w:sz w:val="18"/>
          <w:szCs w:val="18"/>
        </w:rPr>
        <w:t>1. ADAR Economic model</w:t>
      </w:r>
      <w:r w:rsidR="00D86666" w:rsidRPr="000E663B">
        <w:rPr>
          <w:rFonts w:ascii="Arial Narrow" w:hAnsi="Arial Narrow"/>
          <w:sz w:val="18"/>
          <w:szCs w:val="18"/>
        </w:rPr>
        <w:t xml:space="preserve"> DMR</w:t>
      </w:r>
      <w:r w:rsidRPr="000E663B">
        <w:rPr>
          <w:rFonts w:ascii="Arial Narrow" w:hAnsi="Arial Narrow"/>
          <w:sz w:val="18"/>
          <w:szCs w:val="18"/>
        </w:rPr>
        <w:t>, resource use tab: Monthly probability CHF hospitalisation intervention 2.96%, OBT 5.27% (</w:t>
      </w:r>
      <w:r w:rsidR="00D86666" w:rsidRPr="000E663B">
        <w:rPr>
          <w:rFonts w:ascii="Arial Narrow" w:hAnsi="Arial Narrow" w:cs="Calibri"/>
          <w:sz w:val="18"/>
          <w:szCs w:val="18"/>
        </w:rPr>
        <w:t>Whitlow et al. 2012 (Table 3))</w:t>
      </w:r>
      <w:r w:rsidRPr="000E663B">
        <w:rPr>
          <w:rFonts w:ascii="Arial Narrow" w:hAnsi="Arial Narrow"/>
          <w:sz w:val="18"/>
          <w:szCs w:val="18"/>
        </w:rPr>
        <w:t>; Monthly probability surgery in OBT group 1.24% (</w:t>
      </w:r>
      <w:r w:rsidRPr="000E663B">
        <w:rPr>
          <w:rFonts w:ascii="Arial Narrow" w:hAnsi="Arial Narrow" w:cs="Calibri"/>
          <w:sz w:val="18"/>
          <w:szCs w:val="18"/>
        </w:rPr>
        <w:t>EVEREST II HRSS CSR (4.10.8, p120))</w:t>
      </w:r>
    </w:p>
    <w:p w14:paraId="49F10016" w14:textId="77777777" w:rsidR="0079336D" w:rsidRPr="000E663B" w:rsidRDefault="0079336D" w:rsidP="0079336D">
      <w:pPr>
        <w:rPr>
          <w:rFonts w:ascii="Arial Narrow" w:hAnsi="Arial Narrow" w:cs="Calibri"/>
          <w:sz w:val="18"/>
          <w:szCs w:val="18"/>
        </w:rPr>
      </w:pPr>
      <w:r w:rsidRPr="000E663B">
        <w:rPr>
          <w:rFonts w:ascii="Arial Narrow" w:hAnsi="Arial Narrow"/>
          <w:sz w:val="18"/>
          <w:szCs w:val="18"/>
        </w:rPr>
        <w:t xml:space="preserve">; Probability Mitraclip replacement 1.28% (one off, </w:t>
      </w:r>
      <w:r w:rsidRPr="000E663B">
        <w:rPr>
          <w:rFonts w:ascii="Arial Narrow" w:hAnsi="Arial Narrow" w:cs="Calibri"/>
          <w:sz w:val="18"/>
          <w:szCs w:val="18"/>
        </w:rPr>
        <w:t>Whitlow et al. 2012 (Table 134))</w:t>
      </w:r>
      <w:r w:rsidR="00D86666" w:rsidRPr="000E663B">
        <w:rPr>
          <w:rFonts w:ascii="Arial Narrow" w:hAnsi="Arial Narrow" w:cs="Calibri"/>
          <w:sz w:val="18"/>
          <w:szCs w:val="18"/>
        </w:rPr>
        <w:t>.</w:t>
      </w:r>
    </w:p>
    <w:p w14:paraId="3D9D2D1A" w14:textId="77777777" w:rsidR="00D86666" w:rsidRPr="000E663B" w:rsidRDefault="00D86666" w:rsidP="0079336D">
      <w:pPr>
        <w:rPr>
          <w:rFonts w:ascii="Arial Narrow" w:hAnsi="Arial Narrow"/>
          <w:sz w:val="18"/>
          <w:szCs w:val="18"/>
        </w:rPr>
      </w:pPr>
      <w:r w:rsidRPr="000E663B">
        <w:rPr>
          <w:rFonts w:ascii="Arial Narrow" w:hAnsi="Arial Narrow" w:cs="Calibri"/>
          <w:sz w:val="18"/>
          <w:szCs w:val="18"/>
        </w:rPr>
        <w:t xml:space="preserve">2 </w:t>
      </w:r>
      <w:r w:rsidRPr="000E663B">
        <w:rPr>
          <w:rFonts w:ascii="Arial Narrow" w:hAnsi="Arial Narrow"/>
          <w:sz w:val="18"/>
          <w:szCs w:val="18"/>
        </w:rPr>
        <w:t>ADAR Economic model DMR, Cost inputs tab</w:t>
      </w:r>
    </w:p>
    <w:p w14:paraId="51D80181" w14:textId="77777777" w:rsidR="00D86666" w:rsidRPr="000E663B" w:rsidRDefault="00D86666" w:rsidP="0079336D">
      <w:pPr>
        <w:rPr>
          <w:rFonts w:ascii="Arial Narrow" w:hAnsi="Arial Narrow"/>
          <w:sz w:val="18"/>
          <w:szCs w:val="18"/>
        </w:rPr>
      </w:pPr>
      <w:r w:rsidRPr="000E663B">
        <w:rPr>
          <w:rFonts w:ascii="Arial Narrow" w:hAnsi="Arial Narrow"/>
          <w:sz w:val="18"/>
          <w:szCs w:val="18"/>
        </w:rPr>
        <w:t>3 ADAR Economic model DMR, Adverse event tab, adjusted to 7 year timeframe</w:t>
      </w:r>
    </w:p>
    <w:p w14:paraId="3A46C46E" w14:textId="364AFDEB" w:rsidR="00906602" w:rsidRPr="0073088B" w:rsidRDefault="00D86666" w:rsidP="00B54C09">
      <w:pPr>
        <w:rPr>
          <w:rFonts w:ascii="Arial Narrow" w:hAnsi="Arial Narrow" w:cs="Calibri"/>
          <w:sz w:val="18"/>
          <w:szCs w:val="18"/>
        </w:rPr>
      </w:pPr>
      <w:r w:rsidRPr="000E663B">
        <w:rPr>
          <w:rFonts w:ascii="Arial Narrow" w:hAnsi="Arial Narrow"/>
          <w:sz w:val="18"/>
          <w:szCs w:val="18"/>
        </w:rPr>
        <w:t xml:space="preserve">4 ADAR Economic model DMR, Mitraclip procedure worksheet tab with MBS fee adjusted to $1455.10 (from </w:t>
      </w:r>
      <w:r w:rsidR="00377CB4" w:rsidRPr="000E663B">
        <w:rPr>
          <w:rFonts w:ascii="Arial Narrow" w:hAnsi="Arial Narrow"/>
          <w:sz w:val="18"/>
          <w:szCs w:val="18"/>
        </w:rPr>
        <w:t>$</w:t>
      </w:r>
      <w:r w:rsidRPr="000E663B">
        <w:rPr>
          <w:rFonts w:ascii="Arial Narrow" w:hAnsi="Arial Narrow"/>
          <w:sz w:val="18"/>
          <w:szCs w:val="18"/>
        </w:rPr>
        <w:t>1748.45)</w:t>
      </w:r>
    </w:p>
    <w:p w14:paraId="0A25C120" w14:textId="2E092B9E" w:rsidR="00A25000" w:rsidRPr="000E663B" w:rsidRDefault="00EA6D49" w:rsidP="0073088B">
      <w:pPr>
        <w:spacing w:before="240"/>
      </w:pPr>
      <w:r w:rsidRPr="000E663B">
        <w:t>I</w:t>
      </w:r>
      <w:r w:rsidR="00AF68D7" w:rsidRPr="000E663B">
        <w:t xml:space="preserve">f the time horizon in the FMR model is set to 7 </w:t>
      </w:r>
      <w:r w:rsidRPr="000E663B">
        <w:t xml:space="preserve">year </w:t>
      </w:r>
      <w:r w:rsidR="00AF68D7" w:rsidRPr="000E663B">
        <w:t xml:space="preserve">rather than 10 years, and the MBS fee reduced from MBS fee of $1748.45 with a fee of $1455.10, the cost of the MitraClip device </w:t>
      </w:r>
      <w:r w:rsidR="00AF68D7" w:rsidRPr="000E663B">
        <w:lastRenderedPageBreak/>
        <w:t xml:space="preserve">would need to be adjusted to approximately </w:t>
      </w:r>
      <w:r w:rsidR="00B23FB0">
        <w:t>$</w:t>
      </w:r>
      <w:r w:rsidR="00B23FB0" w:rsidRPr="00B23FB0">
        <w:rPr>
          <w:b/>
          <w:szCs w:val="24"/>
        </w:rPr>
        <w:t>redacted</w:t>
      </w:r>
      <w:r w:rsidR="00B23FB0" w:rsidRPr="000E663B">
        <w:t xml:space="preserve"> </w:t>
      </w:r>
      <w:r w:rsidR="00AF68D7" w:rsidRPr="000E663B">
        <w:t>to maintain the same ICER</w:t>
      </w:r>
      <w:r w:rsidRPr="000E663B">
        <w:t xml:space="preserve"> per QALY (see also Table 9)</w:t>
      </w:r>
      <w:r w:rsidR="00AF68D7" w:rsidRPr="000E663B">
        <w:t>.</w:t>
      </w:r>
    </w:p>
    <w:p w14:paraId="5EF1886B" w14:textId="162666CD" w:rsidR="00B54C09" w:rsidRPr="0073088B" w:rsidRDefault="00EA6D49" w:rsidP="0073088B">
      <w:pPr>
        <w:spacing w:before="240"/>
      </w:pPr>
      <w:r w:rsidRPr="000E663B">
        <w:t xml:space="preserve">Table 11 provides a weighted MitraClip device price, using the estimated proportions of FMR and DMR patients at year 5 in Table </w:t>
      </w:r>
      <w:r w:rsidR="00C401AB" w:rsidRPr="000E663B">
        <w:t>12</w:t>
      </w:r>
      <w:r w:rsidR="0073088B">
        <w:t>.</w:t>
      </w:r>
    </w:p>
    <w:p w14:paraId="730B59C5" w14:textId="77777777" w:rsidR="00EA6D49" w:rsidRPr="000E663B" w:rsidRDefault="00EA6D49" w:rsidP="0073088B">
      <w:pPr>
        <w:spacing w:before="240"/>
        <w:rPr>
          <w:rFonts w:ascii="Arial Narrow" w:hAnsi="Arial Narrow"/>
          <w:b/>
          <w:sz w:val="20"/>
        </w:rPr>
      </w:pPr>
      <w:r w:rsidRPr="000E663B">
        <w:rPr>
          <w:rFonts w:ascii="Arial Narrow" w:hAnsi="Arial Narrow"/>
          <w:b/>
          <w:sz w:val="20"/>
        </w:rPr>
        <w:t>Table 11: Weighted MitraClip Price Calculation</w:t>
      </w:r>
    </w:p>
    <w:tbl>
      <w:tblPr>
        <w:tblW w:w="8642" w:type="dxa"/>
        <w:tblLook w:val="04A0" w:firstRow="1" w:lastRow="0" w:firstColumn="1" w:lastColumn="0" w:noHBand="0" w:noVBand="1"/>
        <w:tblDescription w:val="Weighted MitraClip Price Calculation"/>
      </w:tblPr>
      <w:tblGrid>
        <w:gridCol w:w="1720"/>
        <w:gridCol w:w="1219"/>
        <w:gridCol w:w="1309"/>
        <w:gridCol w:w="1751"/>
        <w:gridCol w:w="2643"/>
      </w:tblGrid>
      <w:tr w:rsidR="00CD186E" w:rsidRPr="00CD186E" w14:paraId="171AEA70" w14:textId="77777777" w:rsidTr="00EA6D49">
        <w:trPr>
          <w:trHeight w:val="58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FBFCC" w14:textId="77777777" w:rsidR="00EA6D49" w:rsidRPr="000E663B" w:rsidRDefault="00EA6D49" w:rsidP="00EA6D49">
            <w:pPr>
              <w:rPr>
                <w:rFonts w:ascii="Arial Narrow" w:hAnsi="Arial Narrow" w:cs="Calibri"/>
                <w:sz w:val="20"/>
              </w:rPr>
            </w:pPr>
            <w:bookmarkStart w:id="41" w:name="_GoBack" w:colFirst="0" w:colLast="5"/>
            <w:r w:rsidRPr="000E663B">
              <w:rPr>
                <w:rFonts w:ascii="Arial Narrow" w:hAnsi="Arial Narrow" w:cs="Calibri"/>
                <w:sz w:val="20"/>
              </w:rPr>
              <w:t>Population</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DB7DE" w14:textId="77777777" w:rsidR="00EA6D49" w:rsidRPr="000E663B" w:rsidRDefault="00EA6D49" w:rsidP="00EA6D49">
            <w:pPr>
              <w:rPr>
                <w:rFonts w:ascii="Arial Narrow" w:hAnsi="Arial Narrow" w:cs="Calibri"/>
                <w:sz w:val="20"/>
              </w:rPr>
            </w:pPr>
            <w:r w:rsidRPr="000E663B">
              <w:rPr>
                <w:rFonts w:ascii="Arial Narrow" w:hAnsi="Arial Narrow" w:cs="Calibri"/>
                <w:sz w:val="20"/>
              </w:rPr>
              <w:t>MitraClip Price</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3B9C9" w14:textId="77777777" w:rsidR="00EA6D49" w:rsidRPr="000E663B" w:rsidRDefault="00EA6D49" w:rsidP="00EA6D49">
            <w:pPr>
              <w:rPr>
                <w:rFonts w:ascii="Arial Narrow" w:hAnsi="Arial Narrow" w:cs="Calibri"/>
                <w:sz w:val="20"/>
              </w:rPr>
            </w:pPr>
            <w:r w:rsidRPr="000E663B">
              <w:rPr>
                <w:rFonts w:ascii="Arial Narrow" w:hAnsi="Arial Narrow" w:cs="Calibri"/>
                <w:sz w:val="20"/>
              </w:rPr>
              <w:t xml:space="preserve">No patients at 5 years </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B0A57" w14:textId="77777777" w:rsidR="00EA6D49" w:rsidRPr="000E663B" w:rsidRDefault="00EA6D49" w:rsidP="00EA6D49">
            <w:pPr>
              <w:rPr>
                <w:rFonts w:ascii="Arial Narrow" w:hAnsi="Arial Narrow" w:cs="Calibri"/>
                <w:sz w:val="20"/>
              </w:rPr>
            </w:pPr>
            <w:r w:rsidRPr="000E663B">
              <w:rPr>
                <w:rFonts w:ascii="Arial Narrow" w:hAnsi="Arial Narrow" w:cs="Calibri"/>
                <w:sz w:val="20"/>
              </w:rPr>
              <w:t>Patient Proportion</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89FE6" w14:textId="77777777" w:rsidR="00EA6D49" w:rsidRPr="000E663B" w:rsidRDefault="00EA6D49" w:rsidP="00EA6D49">
            <w:pPr>
              <w:rPr>
                <w:rFonts w:ascii="Arial Narrow" w:hAnsi="Arial Narrow" w:cs="Calibri"/>
                <w:sz w:val="20"/>
              </w:rPr>
            </w:pPr>
            <w:r w:rsidRPr="000E663B">
              <w:rPr>
                <w:rFonts w:ascii="Arial Narrow" w:hAnsi="Arial Narrow" w:cs="Calibri"/>
                <w:sz w:val="20"/>
              </w:rPr>
              <w:t>Contribution to weighted price</w:t>
            </w:r>
          </w:p>
        </w:tc>
      </w:tr>
      <w:tr w:rsidR="00CD186E" w:rsidRPr="00CD186E" w14:paraId="26476FC9" w14:textId="77777777" w:rsidTr="00EA6D49">
        <w:trPr>
          <w:trHeight w:val="290"/>
        </w:trPr>
        <w:tc>
          <w:tcPr>
            <w:tcW w:w="1720" w:type="dxa"/>
            <w:tcBorders>
              <w:top w:val="single" w:sz="4" w:space="0" w:color="auto"/>
              <w:left w:val="single" w:sz="4" w:space="0" w:color="auto"/>
              <w:bottom w:val="nil"/>
              <w:right w:val="single" w:sz="4" w:space="0" w:color="auto"/>
            </w:tcBorders>
            <w:shd w:val="clear" w:color="auto" w:fill="auto"/>
            <w:noWrap/>
            <w:vAlign w:val="bottom"/>
            <w:hideMark/>
          </w:tcPr>
          <w:p w14:paraId="7EA080C9" w14:textId="77777777" w:rsidR="00EA6D49" w:rsidRPr="000E663B" w:rsidRDefault="00EA6D49" w:rsidP="00EA6D49">
            <w:pPr>
              <w:rPr>
                <w:rFonts w:ascii="Arial Narrow" w:hAnsi="Arial Narrow" w:cs="Calibri"/>
                <w:sz w:val="20"/>
              </w:rPr>
            </w:pPr>
            <w:r w:rsidRPr="000E663B">
              <w:rPr>
                <w:rFonts w:ascii="Arial Narrow" w:hAnsi="Arial Narrow" w:cs="Calibri"/>
                <w:sz w:val="20"/>
              </w:rPr>
              <w:t>DMR</w:t>
            </w:r>
          </w:p>
        </w:tc>
        <w:tc>
          <w:tcPr>
            <w:tcW w:w="1219" w:type="dxa"/>
            <w:tcBorders>
              <w:top w:val="single" w:sz="4" w:space="0" w:color="auto"/>
              <w:left w:val="single" w:sz="4" w:space="0" w:color="auto"/>
              <w:bottom w:val="nil"/>
              <w:right w:val="single" w:sz="4" w:space="0" w:color="auto"/>
            </w:tcBorders>
            <w:shd w:val="clear" w:color="auto" w:fill="auto"/>
            <w:noWrap/>
            <w:vAlign w:val="bottom"/>
            <w:hideMark/>
          </w:tcPr>
          <w:p w14:paraId="6E799567" w14:textId="351B5840" w:rsidR="00EA6D49" w:rsidRPr="000E663B" w:rsidRDefault="00B23FB0" w:rsidP="00EA6D49">
            <w:pPr>
              <w:rPr>
                <w:rFonts w:ascii="Arial Narrow" w:hAnsi="Arial Narrow" w:cs="Calibri"/>
                <w:sz w:val="20"/>
              </w:rPr>
            </w:pPr>
            <w:r>
              <w:rPr>
                <w:rFonts w:ascii="Arial Narrow" w:hAnsi="Arial Narrow" w:cs="Calibri"/>
                <w:sz w:val="20"/>
              </w:rPr>
              <w:t>$</w:t>
            </w:r>
            <w:r>
              <w:rPr>
                <w:rFonts w:ascii="Arial Narrow" w:hAnsi="Arial Narrow" w:cs="Tahoma"/>
                <w:sz w:val="20"/>
              </w:rPr>
              <w:t>redacted</w:t>
            </w:r>
          </w:p>
        </w:tc>
        <w:tc>
          <w:tcPr>
            <w:tcW w:w="1309" w:type="dxa"/>
            <w:tcBorders>
              <w:top w:val="single" w:sz="4" w:space="0" w:color="auto"/>
              <w:left w:val="single" w:sz="4" w:space="0" w:color="auto"/>
              <w:bottom w:val="nil"/>
              <w:right w:val="single" w:sz="4" w:space="0" w:color="auto"/>
            </w:tcBorders>
            <w:shd w:val="clear" w:color="auto" w:fill="auto"/>
            <w:noWrap/>
            <w:vAlign w:val="bottom"/>
            <w:hideMark/>
          </w:tcPr>
          <w:p w14:paraId="49659052" w14:textId="3E2AEE15" w:rsidR="00EA6D49" w:rsidRPr="000E663B" w:rsidRDefault="00EA6D49" w:rsidP="00EA6D49">
            <w:pPr>
              <w:rPr>
                <w:rFonts w:ascii="Arial Narrow" w:hAnsi="Arial Narrow" w:cs="Calibri"/>
                <w:sz w:val="20"/>
              </w:rPr>
            </w:pPr>
            <w:r w:rsidRPr="000E663B">
              <w:rPr>
                <w:rFonts w:ascii="Arial Narrow" w:hAnsi="Arial Narrow" w:cs="Calibri"/>
                <w:sz w:val="20"/>
              </w:rPr>
              <w:t>333</w:t>
            </w:r>
          </w:p>
        </w:tc>
        <w:tc>
          <w:tcPr>
            <w:tcW w:w="1751" w:type="dxa"/>
            <w:tcBorders>
              <w:top w:val="single" w:sz="4" w:space="0" w:color="auto"/>
              <w:left w:val="single" w:sz="4" w:space="0" w:color="auto"/>
              <w:bottom w:val="nil"/>
              <w:right w:val="single" w:sz="4" w:space="0" w:color="auto"/>
            </w:tcBorders>
            <w:shd w:val="clear" w:color="auto" w:fill="auto"/>
            <w:noWrap/>
            <w:vAlign w:val="bottom"/>
            <w:hideMark/>
          </w:tcPr>
          <w:p w14:paraId="585E7606" w14:textId="468DAFBD" w:rsidR="00EA6D49" w:rsidRPr="000E663B" w:rsidRDefault="00B23FB0" w:rsidP="00EA6D49">
            <w:pPr>
              <w:rPr>
                <w:rFonts w:ascii="Arial Narrow" w:hAnsi="Arial Narrow" w:cs="Calibri"/>
                <w:sz w:val="20"/>
              </w:rPr>
            </w:pPr>
            <w:r>
              <w:rPr>
                <w:rFonts w:ascii="Arial Narrow" w:hAnsi="Arial Narrow" w:cs="Tahoma"/>
                <w:sz w:val="20"/>
              </w:rPr>
              <w:t>Redacted</w:t>
            </w:r>
          </w:p>
        </w:tc>
        <w:tc>
          <w:tcPr>
            <w:tcW w:w="2643" w:type="dxa"/>
            <w:tcBorders>
              <w:top w:val="single" w:sz="4" w:space="0" w:color="auto"/>
              <w:left w:val="single" w:sz="4" w:space="0" w:color="auto"/>
              <w:bottom w:val="nil"/>
              <w:right w:val="single" w:sz="4" w:space="0" w:color="auto"/>
            </w:tcBorders>
            <w:shd w:val="clear" w:color="auto" w:fill="auto"/>
            <w:noWrap/>
            <w:vAlign w:val="bottom"/>
            <w:hideMark/>
          </w:tcPr>
          <w:p w14:paraId="3AE2B506" w14:textId="20AFB84D" w:rsidR="00EA6D49" w:rsidRPr="000E663B" w:rsidRDefault="00B23FB0" w:rsidP="00EA6D49">
            <w:pPr>
              <w:rPr>
                <w:rFonts w:ascii="Arial Narrow" w:hAnsi="Arial Narrow" w:cs="Calibri"/>
                <w:sz w:val="20"/>
              </w:rPr>
            </w:pPr>
            <w:r>
              <w:rPr>
                <w:rFonts w:ascii="Arial Narrow" w:hAnsi="Arial Narrow" w:cs="Calibri"/>
                <w:sz w:val="20"/>
              </w:rPr>
              <w:t>$</w:t>
            </w:r>
            <w:r>
              <w:rPr>
                <w:rFonts w:ascii="Arial Narrow" w:hAnsi="Arial Narrow" w:cs="Tahoma"/>
                <w:sz w:val="20"/>
              </w:rPr>
              <w:t>redacted</w:t>
            </w:r>
          </w:p>
        </w:tc>
      </w:tr>
      <w:tr w:rsidR="00CD186E" w:rsidRPr="00CD186E" w14:paraId="4D23E1FD" w14:textId="77777777" w:rsidTr="00EA6D49">
        <w:trPr>
          <w:trHeight w:val="29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984C3C" w14:textId="77777777" w:rsidR="00EA6D49" w:rsidRPr="000E663B" w:rsidRDefault="00EA6D49" w:rsidP="00EA6D49">
            <w:pPr>
              <w:rPr>
                <w:rFonts w:ascii="Arial Narrow" w:hAnsi="Arial Narrow" w:cs="Calibri"/>
                <w:sz w:val="20"/>
              </w:rPr>
            </w:pPr>
            <w:r w:rsidRPr="000E663B">
              <w:rPr>
                <w:rFonts w:ascii="Arial Narrow" w:hAnsi="Arial Narrow" w:cs="Calibri"/>
                <w:sz w:val="20"/>
              </w:rPr>
              <w:t>FMR</w:t>
            </w:r>
          </w:p>
        </w:tc>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6B167F2" w14:textId="21080369" w:rsidR="00EA6D49" w:rsidRPr="000E663B" w:rsidRDefault="00B23FB0" w:rsidP="00EA6D49">
            <w:pPr>
              <w:rPr>
                <w:rFonts w:ascii="Arial Narrow" w:hAnsi="Arial Narrow" w:cs="Calibri"/>
                <w:sz w:val="20"/>
              </w:rPr>
            </w:pPr>
            <w:r>
              <w:rPr>
                <w:rFonts w:ascii="Arial Narrow" w:hAnsi="Arial Narrow" w:cs="Calibri"/>
                <w:sz w:val="20"/>
              </w:rPr>
              <w:t>$</w:t>
            </w:r>
            <w:r>
              <w:rPr>
                <w:rFonts w:ascii="Arial Narrow" w:hAnsi="Arial Narrow" w:cs="Tahoma"/>
                <w:sz w:val="20"/>
              </w:rPr>
              <w:t>redacted</w:t>
            </w:r>
          </w:p>
        </w:tc>
        <w:tc>
          <w:tcPr>
            <w:tcW w:w="1309" w:type="dxa"/>
            <w:tcBorders>
              <w:top w:val="nil"/>
              <w:left w:val="single" w:sz="4" w:space="0" w:color="auto"/>
              <w:bottom w:val="single" w:sz="4" w:space="0" w:color="auto"/>
              <w:right w:val="single" w:sz="4" w:space="0" w:color="auto"/>
            </w:tcBorders>
            <w:shd w:val="clear" w:color="auto" w:fill="auto"/>
            <w:noWrap/>
            <w:vAlign w:val="bottom"/>
            <w:hideMark/>
          </w:tcPr>
          <w:p w14:paraId="0EED9A11" w14:textId="643F7215" w:rsidR="00EA6D49" w:rsidRPr="000E663B" w:rsidRDefault="00EA6D49" w:rsidP="00EA6D49">
            <w:pPr>
              <w:rPr>
                <w:rFonts w:ascii="Arial Narrow" w:hAnsi="Arial Narrow" w:cs="Calibri"/>
                <w:sz w:val="20"/>
              </w:rPr>
            </w:pPr>
            <w:r w:rsidRPr="000E663B">
              <w:rPr>
                <w:rFonts w:ascii="Arial Narrow" w:hAnsi="Arial Narrow" w:cs="Calibri"/>
                <w:sz w:val="20"/>
              </w:rPr>
              <w:t>193</w:t>
            </w: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4C3C280F" w14:textId="6F327C61" w:rsidR="00EA6D49" w:rsidRPr="000E663B" w:rsidRDefault="00B23FB0" w:rsidP="00EA6D49">
            <w:pPr>
              <w:rPr>
                <w:rFonts w:ascii="Arial Narrow" w:hAnsi="Arial Narrow" w:cs="Calibri"/>
                <w:sz w:val="20"/>
              </w:rPr>
            </w:pPr>
            <w:r>
              <w:rPr>
                <w:rFonts w:ascii="Arial Narrow" w:hAnsi="Arial Narrow" w:cs="Tahoma"/>
                <w:sz w:val="20"/>
              </w:rPr>
              <w:t>Redacted</w:t>
            </w:r>
          </w:p>
        </w:tc>
        <w:tc>
          <w:tcPr>
            <w:tcW w:w="2643" w:type="dxa"/>
            <w:tcBorders>
              <w:top w:val="nil"/>
              <w:left w:val="single" w:sz="4" w:space="0" w:color="auto"/>
              <w:bottom w:val="single" w:sz="4" w:space="0" w:color="auto"/>
              <w:right w:val="single" w:sz="4" w:space="0" w:color="auto"/>
            </w:tcBorders>
            <w:shd w:val="clear" w:color="auto" w:fill="auto"/>
            <w:noWrap/>
            <w:vAlign w:val="bottom"/>
            <w:hideMark/>
          </w:tcPr>
          <w:p w14:paraId="3AD9B5E5" w14:textId="3DC0354A" w:rsidR="00EA6D49" w:rsidRPr="000E663B" w:rsidRDefault="00B23FB0" w:rsidP="00EA6D49">
            <w:pPr>
              <w:rPr>
                <w:rFonts w:ascii="Arial Narrow" w:hAnsi="Arial Narrow" w:cs="Calibri"/>
                <w:sz w:val="20"/>
              </w:rPr>
            </w:pPr>
            <w:r>
              <w:rPr>
                <w:rFonts w:ascii="Arial Narrow" w:hAnsi="Arial Narrow" w:cs="Calibri"/>
                <w:sz w:val="20"/>
              </w:rPr>
              <w:t>$</w:t>
            </w:r>
            <w:r>
              <w:rPr>
                <w:rFonts w:ascii="Arial Narrow" w:hAnsi="Arial Narrow" w:cs="Tahoma"/>
                <w:sz w:val="20"/>
              </w:rPr>
              <w:t>redacted</w:t>
            </w:r>
          </w:p>
        </w:tc>
      </w:tr>
      <w:tr w:rsidR="00CD186E" w:rsidRPr="00CD186E" w14:paraId="68F9BA6C" w14:textId="77777777" w:rsidTr="00EA6D49">
        <w:trPr>
          <w:trHeight w:val="290"/>
        </w:trPr>
        <w:tc>
          <w:tcPr>
            <w:tcW w:w="1720" w:type="dxa"/>
            <w:tcBorders>
              <w:top w:val="single" w:sz="4" w:space="0" w:color="auto"/>
              <w:left w:val="single" w:sz="4" w:space="0" w:color="auto"/>
              <w:bottom w:val="single" w:sz="4" w:space="0" w:color="auto"/>
              <w:right w:val="nil"/>
            </w:tcBorders>
            <w:shd w:val="clear" w:color="auto" w:fill="auto"/>
            <w:noWrap/>
            <w:vAlign w:val="bottom"/>
            <w:hideMark/>
          </w:tcPr>
          <w:p w14:paraId="74A191E8" w14:textId="77777777" w:rsidR="00EA6D49" w:rsidRPr="000E663B" w:rsidRDefault="00EA6D49" w:rsidP="00EA6D49">
            <w:pPr>
              <w:rPr>
                <w:rFonts w:ascii="Arial Narrow" w:hAnsi="Arial Narrow" w:cs="Calibri"/>
                <w:sz w:val="20"/>
              </w:rPr>
            </w:pPr>
            <w:r w:rsidRPr="000E663B">
              <w:rPr>
                <w:rFonts w:ascii="Arial Narrow" w:hAnsi="Arial Narrow" w:cs="Calibri"/>
                <w:sz w:val="20"/>
              </w:rPr>
              <w:t> </w:t>
            </w:r>
          </w:p>
        </w:tc>
        <w:tc>
          <w:tcPr>
            <w:tcW w:w="1219" w:type="dxa"/>
            <w:tcBorders>
              <w:top w:val="single" w:sz="4" w:space="0" w:color="auto"/>
              <w:left w:val="nil"/>
              <w:bottom w:val="single" w:sz="4" w:space="0" w:color="auto"/>
              <w:right w:val="nil"/>
            </w:tcBorders>
            <w:shd w:val="clear" w:color="auto" w:fill="auto"/>
            <w:noWrap/>
            <w:vAlign w:val="bottom"/>
            <w:hideMark/>
          </w:tcPr>
          <w:p w14:paraId="756759CE" w14:textId="77777777" w:rsidR="00EA6D49" w:rsidRPr="000E663B" w:rsidRDefault="00EA6D49" w:rsidP="00EA6D49">
            <w:pPr>
              <w:rPr>
                <w:rFonts w:ascii="Arial Narrow" w:hAnsi="Arial Narrow" w:cs="Calibri"/>
                <w:sz w:val="20"/>
              </w:rPr>
            </w:pPr>
            <w:r w:rsidRPr="000E663B">
              <w:rPr>
                <w:rFonts w:ascii="Arial Narrow" w:hAnsi="Arial Narrow" w:cs="Calibri"/>
                <w:sz w:val="20"/>
              </w:rPr>
              <w:t> </w:t>
            </w:r>
          </w:p>
        </w:tc>
        <w:tc>
          <w:tcPr>
            <w:tcW w:w="1309" w:type="dxa"/>
            <w:tcBorders>
              <w:top w:val="single" w:sz="4" w:space="0" w:color="auto"/>
              <w:left w:val="nil"/>
              <w:bottom w:val="single" w:sz="4" w:space="0" w:color="auto"/>
              <w:right w:val="nil"/>
            </w:tcBorders>
            <w:shd w:val="clear" w:color="auto" w:fill="auto"/>
            <w:noWrap/>
            <w:vAlign w:val="bottom"/>
            <w:hideMark/>
          </w:tcPr>
          <w:p w14:paraId="18ED1CAA" w14:textId="77777777" w:rsidR="00EA6D49" w:rsidRPr="000E663B" w:rsidRDefault="00EA6D49" w:rsidP="00EA6D49">
            <w:pPr>
              <w:rPr>
                <w:rFonts w:ascii="Arial Narrow" w:hAnsi="Arial Narrow" w:cs="Calibri"/>
                <w:sz w:val="20"/>
              </w:rPr>
            </w:pPr>
            <w:r w:rsidRPr="000E663B">
              <w:rPr>
                <w:rFonts w:ascii="Arial Narrow" w:hAnsi="Arial Narrow" w:cs="Calibri"/>
                <w:sz w:val="20"/>
              </w:rPr>
              <w:t> </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5B715DBA" w14:textId="77777777" w:rsidR="00EA6D49" w:rsidRPr="000E663B" w:rsidRDefault="00EA6D49" w:rsidP="00EA6D49">
            <w:pPr>
              <w:rPr>
                <w:rFonts w:ascii="Arial Narrow" w:hAnsi="Arial Narrow" w:cs="Calibri"/>
                <w:sz w:val="20"/>
              </w:rPr>
            </w:pPr>
            <w:r w:rsidRPr="000E663B">
              <w:rPr>
                <w:rFonts w:ascii="Arial Narrow" w:hAnsi="Arial Narrow" w:cs="Calibri"/>
                <w:sz w:val="20"/>
              </w:rPr>
              <w:t>Weighted MitraClip Price</w:t>
            </w:r>
          </w:p>
        </w:tc>
        <w:tc>
          <w:tcPr>
            <w:tcW w:w="2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59CB6" w14:textId="6BB0F877" w:rsidR="00EA6D49" w:rsidRPr="000E663B" w:rsidRDefault="00B23FB0" w:rsidP="00EA6D49">
            <w:pPr>
              <w:rPr>
                <w:rFonts w:ascii="Arial Narrow" w:hAnsi="Arial Narrow" w:cs="Calibri"/>
                <w:b/>
                <w:bCs/>
                <w:sz w:val="20"/>
              </w:rPr>
            </w:pPr>
            <w:r>
              <w:rPr>
                <w:rFonts w:ascii="Arial Narrow" w:hAnsi="Arial Narrow" w:cs="Calibri"/>
                <w:sz w:val="20"/>
              </w:rPr>
              <w:t>$</w:t>
            </w:r>
            <w:r w:rsidRPr="00B23FB0">
              <w:rPr>
                <w:rFonts w:ascii="Arial Narrow" w:hAnsi="Arial Narrow" w:cs="Tahoma"/>
                <w:b/>
                <w:sz w:val="20"/>
              </w:rPr>
              <w:t>redacted</w:t>
            </w:r>
          </w:p>
        </w:tc>
      </w:tr>
    </w:tbl>
    <w:bookmarkEnd w:id="41"/>
    <w:p w14:paraId="4F71A5F0" w14:textId="77777777" w:rsidR="00EA6D49" w:rsidRPr="000E663B" w:rsidRDefault="00EA6D49" w:rsidP="00B54C09">
      <w:pPr>
        <w:rPr>
          <w:rFonts w:ascii="Arial Narrow" w:hAnsi="Arial Narrow"/>
          <w:sz w:val="18"/>
          <w:szCs w:val="18"/>
        </w:rPr>
      </w:pPr>
      <w:r w:rsidRPr="000E663B">
        <w:rPr>
          <w:rFonts w:ascii="Arial Narrow" w:hAnsi="Arial Narrow"/>
          <w:sz w:val="18"/>
          <w:szCs w:val="18"/>
        </w:rPr>
        <w:t>Source: created during evaluation.</w:t>
      </w:r>
    </w:p>
    <w:p w14:paraId="55F7C6D2" w14:textId="77777777" w:rsidR="00E57DB1" w:rsidRPr="00F715D1" w:rsidRDefault="00E57DB1" w:rsidP="00E57DB1">
      <w:pPr>
        <w:pStyle w:val="Heading1"/>
      </w:pPr>
      <w:r w:rsidRPr="00F715D1">
        <w:t>Financial/budgetary impacts</w:t>
      </w:r>
    </w:p>
    <w:p w14:paraId="1D934FF1" w14:textId="77777777" w:rsidR="00E47DC5" w:rsidRPr="005C061E" w:rsidRDefault="00E47DC5" w:rsidP="009C5AB3">
      <w:pPr>
        <w:spacing w:after="240"/>
      </w:pPr>
      <w:r>
        <w:t>The ADAR used an epidemiological approach for assessing estimated extent of use and financial implications</w:t>
      </w:r>
      <w:r w:rsidRPr="005C41FE">
        <w:t>, as previously suggested by MSAC (</w:t>
      </w:r>
      <w:r w:rsidRPr="000E22A7">
        <w:t>PSD Application</w:t>
      </w:r>
      <w:r>
        <w:t xml:space="preserve"> No. 1192</w:t>
      </w:r>
      <w:r w:rsidRPr="000E22A7">
        <w:t>.2</w:t>
      </w:r>
      <w:r>
        <w:t>, p11). This approach was</w:t>
      </w:r>
      <w:r w:rsidRPr="005C41FE">
        <w:t xml:space="preserve"> also considered appropriate for the proposed indication whereby TMVr is positioned for patients who are ineligible for the currently available surgical interventions, m</w:t>
      </w:r>
      <w:r>
        <w:t>aking</w:t>
      </w:r>
      <w:r w:rsidRPr="005C41FE">
        <w:t xml:space="preserve"> a market share approach </w:t>
      </w:r>
      <w:r>
        <w:t>im</w:t>
      </w:r>
      <w:r w:rsidRPr="005C41FE">
        <w:t xml:space="preserve">practical and </w:t>
      </w:r>
      <w:r>
        <w:t xml:space="preserve">not </w:t>
      </w:r>
      <w:r w:rsidRPr="005C41FE">
        <w:t xml:space="preserve">feasible. </w:t>
      </w:r>
      <w:r w:rsidRPr="005C061E">
        <w:t xml:space="preserve">The financial implications to the MBS resulting from the proposed listing of </w:t>
      </w:r>
      <w:r>
        <w:t>TMVr</w:t>
      </w:r>
      <w:r w:rsidRPr="005C061E">
        <w:t xml:space="preserve"> are summarised in</w:t>
      </w:r>
      <w:r>
        <w:t xml:space="preserve"> </w:t>
      </w:r>
      <w:r>
        <w:fldChar w:fldCharType="begin"/>
      </w:r>
      <w:r>
        <w:instrText xml:space="preserve"> REF _Ref395200110 \h  \* MERGEFORMAT </w:instrText>
      </w:r>
      <w:r>
        <w:fldChar w:fldCharType="separate"/>
      </w:r>
      <w:r w:rsidRPr="00AB0F35">
        <w:t xml:space="preserve">Table </w:t>
      </w:r>
      <w:r>
        <w:rPr>
          <w:noProof/>
        </w:rPr>
        <w:t>1</w:t>
      </w:r>
      <w:r w:rsidR="00C401AB">
        <w:rPr>
          <w:noProof/>
        </w:rPr>
        <w:t>2</w:t>
      </w:r>
      <w:r>
        <w:fldChar w:fldCharType="end"/>
      </w:r>
      <w:r w:rsidRPr="00AB0F35">
        <w:t>.</w:t>
      </w:r>
    </w:p>
    <w:p w14:paraId="376E8860" w14:textId="77777777" w:rsidR="00E47DC5" w:rsidRPr="00BE70ED" w:rsidRDefault="00E47DC5" w:rsidP="00BE70ED">
      <w:pPr>
        <w:rPr>
          <w:rFonts w:ascii="Arial Narrow" w:hAnsi="Arial Narrow"/>
          <w:b/>
          <w:sz w:val="20"/>
        </w:rPr>
      </w:pPr>
      <w:bookmarkStart w:id="42" w:name="_Ref395200110"/>
      <w:bookmarkStart w:id="43" w:name="_Toc393197779"/>
      <w:bookmarkStart w:id="44" w:name="_Toc393378192"/>
      <w:bookmarkStart w:id="45" w:name="_Toc22047108"/>
      <w:r w:rsidRPr="00BE70ED">
        <w:rPr>
          <w:rFonts w:ascii="Arial Narrow" w:hAnsi="Arial Narrow"/>
          <w:b/>
          <w:sz w:val="20"/>
        </w:rPr>
        <w:t xml:space="preserve">Table </w:t>
      </w:r>
      <w:r w:rsidRPr="00BE70ED">
        <w:rPr>
          <w:rFonts w:ascii="Arial Narrow" w:hAnsi="Arial Narrow"/>
          <w:b/>
          <w:sz w:val="20"/>
        </w:rPr>
        <w:fldChar w:fldCharType="begin"/>
      </w:r>
      <w:r w:rsidRPr="00BE70ED">
        <w:rPr>
          <w:rFonts w:ascii="Arial Narrow" w:hAnsi="Arial Narrow"/>
          <w:b/>
          <w:sz w:val="20"/>
        </w:rPr>
        <w:instrText xml:space="preserve"> SEQ Table \* ARABIC </w:instrText>
      </w:r>
      <w:r w:rsidRPr="00BE70ED">
        <w:rPr>
          <w:rFonts w:ascii="Arial Narrow" w:hAnsi="Arial Narrow"/>
          <w:b/>
          <w:sz w:val="20"/>
        </w:rPr>
        <w:fldChar w:fldCharType="separate"/>
      </w:r>
      <w:r w:rsidR="00C401AB" w:rsidRPr="00BE70ED">
        <w:rPr>
          <w:rFonts w:ascii="Arial Narrow" w:hAnsi="Arial Narrow"/>
          <w:b/>
          <w:sz w:val="20"/>
        </w:rPr>
        <w:t>12</w:t>
      </w:r>
      <w:r w:rsidRPr="00BE70ED">
        <w:rPr>
          <w:rFonts w:ascii="Arial Narrow" w:hAnsi="Arial Narrow"/>
          <w:b/>
          <w:sz w:val="20"/>
        </w:rPr>
        <w:fldChar w:fldCharType="end"/>
      </w:r>
      <w:bookmarkEnd w:id="42"/>
      <w:r w:rsidRPr="00BE70ED">
        <w:rPr>
          <w:rFonts w:ascii="Arial Narrow" w:hAnsi="Arial Narrow"/>
          <w:b/>
          <w:sz w:val="20"/>
        </w:rPr>
        <w:tab/>
        <w:t xml:space="preserve">Total costs to the MBS associated with </w:t>
      </w:r>
      <w:bookmarkEnd w:id="43"/>
      <w:bookmarkEnd w:id="44"/>
      <w:r w:rsidRPr="00BE70ED">
        <w:rPr>
          <w:rFonts w:ascii="Arial Narrow" w:hAnsi="Arial Narrow"/>
          <w:b/>
          <w:sz w:val="20"/>
        </w:rPr>
        <w:t>TMVr</w:t>
      </w:r>
      <w:bookmarkEnd w:id="45"/>
    </w:p>
    <w:tbl>
      <w:tblPr>
        <w:tblStyle w:val="TableGrid"/>
        <w:tblW w:w="5003" w:type="pct"/>
        <w:tblLayout w:type="fixed"/>
        <w:tblLook w:val="04A0" w:firstRow="1" w:lastRow="0" w:firstColumn="1" w:lastColumn="0" w:noHBand="0" w:noVBand="1"/>
        <w:tblDescription w:val="Total costs to the MBS associated with TMVr"/>
      </w:tblPr>
      <w:tblGrid>
        <w:gridCol w:w="3119"/>
        <w:gridCol w:w="1180"/>
        <w:gridCol w:w="1180"/>
        <w:gridCol w:w="1180"/>
        <w:gridCol w:w="1180"/>
        <w:gridCol w:w="1182"/>
      </w:tblGrid>
      <w:tr w:rsidR="00E47DC5" w:rsidRPr="00A243F1" w14:paraId="24CC5886" w14:textId="77777777" w:rsidTr="005462CA">
        <w:trPr>
          <w:trHeight w:val="304"/>
          <w:tblHeader/>
        </w:trPr>
        <w:tc>
          <w:tcPr>
            <w:tcW w:w="1729" w:type="pct"/>
          </w:tcPr>
          <w:p w14:paraId="26728AB7" w14:textId="77777777" w:rsidR="00E47DC5" w:rsidRPr="00BC71A5" w:rsidRDefault="00E47DC5" w:rsidP="004030AA">
            <w:pPr>
              <w:pStyle w:val="Tabletext"/>
              <w:widowControl w:val="0"/>
              <w:rPr>
                <w:b/>
                <w:bCs/>
              </w:rPr>
            </w:pPr>
            <w:r w:rsidRPr="00BC71A5">
              <w:rPr>
                <w:b/>
                <w:bCs/>
              </w:rPr>
              <w:t>Year</w:t>
            </w:r>
          </w:p>
        </w:tc>
        <w:tc>
          <w:tcPr>
            <w:tcW w:w="654" w:type="pct"/>
            <w:noWrap/>
          </w:tcPr>
          <w:p w14:paraId="13405F08" w14:textId="77777777" w:rsidR="00E47DC5" w:rsidRPr="00BC71A5" w:rsidRDefault="00E47DC5" w:rsidP="004030AA">
            <w:pPr>
              <w:pStyle w:val="Tabletext"/>
              <w:widowControl w:val="0"/>
              <w:jc w:val="center"/>
              <w:rPr>
                <w:b/>
                <w:bCs/>
              </w:rPr>
            </w:pPr>
            <w:r w:rsidRPr="00BC71A5">
              <w:rPr>
                <w:b/>
                <w:bCs/>
              </w:rPr>
              <w:t>Year 1</w:t>
            </w:r>
          </w:p>
        </w:tc>
        <w:tc>
          <w:tcPr>
            <w:tcW w:w="654" w:type="pct"/>
          </w:tcPr>
          <w:p w14:paraId="278A7380" w14:textId="77777777" w:rsidR="00E47DC5" w:rsidRPr="00BC71A5" w:rsidRDefault="00E47DC5" w:rsidP="004030AA">
            <w:pPr>
              <w:pStyle w:val="Tabletext"/>
              <w:widowControl w:val="0"/>
              <w:jc w:val="center"/>
              <w:rPr>
                <w:b/>
                <w:bCs/>
              </w:rPr>
            </w:pPr>
            <w:r w:rsidRPr="00BC71A5">
              <w:rPr>
                <w:b/>
                <w:bCs/>
              </w:rPr>
              <w:t>Year 2</w:t>
            </w:r>
          </w:p>
        </w:tc>
        <w:tc>
          <w:tcPr>
            <w:tcW w:w="654" w:type="pct"/>
          </w:tcPr>
          <w:p w14:paraId="057DB4D1" w14:textId="77777777" w:rsidR="00E47DC5" w:rsidRPr="00BC71A5" w:rsidRDefault="00E47DC5" w:rsidP="004030AA">
            <w:pPr>
              <w:pStyle w:val="Tabletext"/>
              <w:widowControl w:val="0"/>
              <w:jc w:val="center"/>
              <w:rPr>
                <w:b/>
                <w:bCs/>
              </w:rPr>
            </w:pPr>
            <w:r w:rsidRPr="00BC71A5">
              <w:rPr>
                <w:b/>
                <w:bCs/>
              </w:rPr>
              <w:t xml:space="preserve">Year </w:t>
            </w:r>
            <w:r>
              <w:rPr>
                <w:b/>
                <w:bCs/>
              </w:rPr>
              <w:t>3</w:t>
            </w:r>
          </w:p>
        </w:tc>
        <w:tc>
          <w:tcPr>
            <w:tcW w:w="654" w:type="pct"/>
          </w:tcPr>
          <w:p w14:paraId="428E7C0F" w14:textId="77777777" w:rsidR="00E47DC5" w:rsidRPr="00BC71A5" w:rsidRDefault="00E47DC5" w:rsidP="004030AA">
            <w:pPr>
              <w:pStyle w:val="Tabletext"/>
              <w:widowControl w:val="0"/>
              <w:jc w:val="center"/>
              <w:rPr>
                <w:b/>
                <w:bCs/>
              </w:rPr>
            </w:pPr>
            <w:r w:rsidRPr="00BC71A5">
              <w:rPr>
                <w:b/>
                <w:bCs/>
              </w:rPr>
              <w:t>Year 4</w:t>
            </w:r>
          </w:p>
        </w:tc>
        <w:tc>
          <w:tcPr>
            <w:tcW w:w="655" w:type="pct"/>
          </w:tcPr>
          <w:p w14:paraId="6F3A25E3" w14:textId="77777777" w:rsidR="00E47DC5" w:rsidRPr="00BC71A5" w:rsidRDefault="00E47DC5" w:rsidP="004030AA">
            <w:pPr>
              <w:pStyle w:val="Tabletext"/>
              <w:widowControl w:val="0"/>
              <w:jc w:val="center"/>
              <w:rPr>
                <w:b/>
                <w:bCs/>
              </w:rPr>
            </w:pPr>
            <w:r w:rsidRPr="00BC71A5">
              <w:rPr>
                <w:b/>
                <w:bCs/>
              </w:rPr>
              <w:t>Year 5</w:t>
            </w:r>
          </w:p>
        </w:tc>
      </w:tr>
      <w:tr w:rsidR="00E47DC5" w:rsidRPr="00020102" w14:paraId="16E03687" w14:textId="77777777" w:rsidTr="005462CA">
        <w:trPr>
          <w:trHeight w:val="139"/>
        </w:trPr>
        <w:tc>
          <w:tcPr>
            <w:tcW w:w="1729" w:type="pct"/>
          </w:tcPr>
          <w:p w14:paraId="4E6CC540" w14:textId="77777777" w:rsidR="00E47DC5" w:rsidRPr="00020102" w:rsidRDefault="00E47DC5" w:rsidP="004030AA">
            <w:pPr>
              <w:pStyle w:val="Tabletext"/>
              <w:widowControl w:val="0"/>
            </w:pPr>
            <w:r>
              <w:t xml:space="preserve">For the DMR indication </w:t>
            </w:r>
          </w:p>
        </w:tc>
        <w:tc>
          <w:tcPr>
            <w:tcW w:w="654" w:type="pct"/>
            <w:noWrap/>
          </w:tcPr>
          <w:p w14:paraId="3DD80769" w14:textId="77777777" w:rsidR="00E47DC5" w:rsidRPr="00020102" w:rsidRDefault="00E47DC5" w:rsidP="004030AA">
            <w:pPr>
              <w:pStyle w:val="Tabletext"/>
              <w:widowControl w:val="0"/>
              <w:jc w:val="center"/>
            </w:pPr>
          </w:p>
        </w:tc>
        <w:tc>
          <w:tcPr>
            <w:tcW w:w="654" w:type="pct"/>
          </w:tcPr>
          <w:p w14:paraId="23A114D9" w14:textId="77777777" w:rsidR="00E47DC5" w:rsidRPr="00020102" w:rsidRDefault="00E47DC5" w:rsidP="004030AA">
            <w:pPr>
              <w:pStyle w:val="Tabletext"/>
              <w:widowControl w:val="0"/>
              <w:jc w:val="center"/>
            </w:pPr>
          </w:p>
        </w:tc>
        <w:tc>
          <w:tcPr>
            <w:tcW w:w="654" w:type="pct"/>
          </w:tcPr>
          <w:p w14:paraId="75A98A2B" w14:textId="77777777" w:rsidR="00E47DC5" w:rsidRPr="00020102" w:rsidRDefault="00E47DC5" w:rsidP="004030AA">
            <w:pPr>
              <w:pStyle w:val="Tabletext"/>
              <w:widowControl w:val="0"/>
              <w:jc w:val="center"/>
            </w:pPr>
          </w:p>
        </w:tc>
        <w:tc>
          <w:tcPr>
            <w:tcW w:w="654" w:type="pct"/>
          </w:tcPr>
          <w:p w14:paraId="04267C73" w14:textId="77777777" w:rsidR="00E47DC5" w:rsidRPr="00020102" w:rsidRDefault="00E47DC5" w:rsidP="004030AA">
            <w:pPr>
              <w:pStyle w:val="Tabletext"/>
              <w:widowControl w:val="0"/>
              <w:jc w:val="center"/>
            </w:pPr>
          </w:p>
        </w:tc>
        <w:tc>
          <w:tcPr>
            <w:tcW w:w="655" w:type="pct"/>
          </w:tcPr>
          <w:p w14:paraId="5380FFBF" w14:textId="77777777" w:rsidR="00E47DC5" w:rsidRPr="00020102" w:rsidRDefault="00E47DC5" w:rsidP="004030AA">
            <w:pPr>
              <w:pStyle w:val="Tabletext"/>
              <w:widowControl w:val="0"/>
              <w:jc w:val="center"/>
            </w:pPr>
          </w:p>
        </w:tc>
      </w:tr>
      <w:tr w:rsidR="00E47DC5" w:rsidRPr="00020102" w14:paraId="34867C2D" w14:textId="77777777" w:rsidTr="005462CA">
        <w:trPr>
          <w:trHeight w:val="139"/>
        </w:trPr>
        <w:tc>
          <w:tcPr>
            <w:tcW w:w="1729" w:type="pct"/>
          </w:tcPr>
          <w:p w14:paraId="3298A15A" w14:textId="77777777" w:rsidR="00E47DC5" w:rsidRDefault="00E47DC5" w:rsidP="004030AA">
            <w:pPr>
              <w:pStyle w:val="Tabletext"/>
              <w:widowControl w:val="0"/>
            </w:pPr>
            <w:r>
              <w:t xml:space="preserve">  Total number of TMVr procedures^</w:t>
            </w:r>
          </w:p>
        </w:tc>
        <w:tc>
          <w:tcPr>
            <w:tcW w:w="654" w:type="pct"/>
            <w:noWrap/>
          </w:tcPr>
          <w:p w14:paraId="2472B80A" w14:textId="77777777" w:rsidR="00E47DC5" w:rsidRPr="000C584A" w:rsidRDefault="00E47DC5" w:rsidP="004030AA">
            <w:pPr>
              <w:pStyle w:val="Tabletext"/>
              <w:widowControl w:val="0"/>
              <w:jc w:val="center"/>
            </w:pPr>
            <w:r w:rsidRPr="005176D9">
              <w:t>174</w:t>
            </w:r>
          </w:p>
        </w:tc>
        <w:tc>
          <w:tcPr>
            <w:tcW w:w="654" w:type="pct"/>
          </w:tcPr>
          <w:p w14:paraId="600B0FE7" w14:textId="77777777" w:rsidR="00E47DC5" w:rsidRPr="000C584A" w:rsidRDefault="00E47DC5" w:rsidP="004030AA">
            <w:pPr>
              <w:pStyle w:val="Tabletext"/>
              <w:widowControl w:val="0"/>
              <w:jc w:val="center"/>
            </w:pPr>
            <w:r w:rsidRPr="005176D9">
              <w:t>235</w:t>
            </w:r>
          </w:p>
        </w:tc>
        <w:tc>
          <w:tcPr>
            <w:tcW w:w="654" w:type="pct"/>
          </w:tcPr>
          <w:p w14:paraId="236DFA92" w14:textId="77777777" w:rsidR="00E47DC5" w:rsidRPr="000C584A" w:rsidRDefault="00E47DC5" w:rsidP="004030AA">
            <w:pPr>
              <w:pStyle w:val="Tabletext"/>
              <w:widowControl w:val="0"/>
              <w:jc w:val="center"/>
            </w:pPr>
            <w:r w:rsidRPr="005176D9">
              <w:t>275</w:t>
            </w:r>
          </w:p>
        </w:tc>
        <w:tc>
          <w:tcPr>
            <w:tcW w:w="654" w:type="pct"/>
          </w:tcPr>
          <w:p w14:paraId="4D326ADC" w14:textId="77777777" w:rsidR="00E47DC5" w:rsidRPr="000C584A" w:rsidRDefault="00E47DC5" w:rsidP="004030AA">
            <w:pPr>
              <w:pStyle w:val="Tabletext"/>
              <w:widowControl w:val="0"/>
              <w:jc w:val="center"/>
            </w:pPr>
            <w:r w:rsidRPr="005176D9">
              <w:t>303</w:t>
            </w:r>
          </w:p>
        </w:tc>
        <w:tc>
          <w:tcPr>
            <w:tcW w:w="655" w:type="pct"/>
          </w:tcPr>
          <w:p w14:paraId="223A6020" w14:textId="77777777" w:rsidR="00E47DC5" w:rsidRPr="000C584A" w:rsidRDefault="00E47DC5" w:rsidP="004030AA">
            <w:pPr>
              <w:pStyle w:val="Tabletext"/>
              <w:widowControl w:val="0"/>
              <w:jc w:val="center"/>
            </w:pPr>
            <w:r w:rsidRPr="005176D9">
              <w:t>333</w:t>
            </w:r>
          </w:p>
        </w:tc>
      </w:tr>
      <w:tr w:rsidR="00E47DC5" w:rsidRPr="00020102" w14:paraId="095A6078" w14:textId="77777777" w:rsidTr="005462CA">
        <w:trPr>
          <w:trHeight w:val="139"/>
        </w:trPr>
        <w:tc>
          <w:tcPr>
            <w:tcW w:w="1729" w:type="pct"/>
          </w:tcPr>
          <w:p w14:paraId="265687F1" w14:textId="77777777" w:rsidR="00E47DC5" w:rsidRPr="00020102" w:rsidRDefault="00E47DC5" w:rsidP="004030AA">
            <w:pPr>
              <w:pStyle w:val="Tabletext"/>
              <w:widowControl w:val="0"/>
            </w:pPr>
            <w:r>
              <w:t xml:space="preserve">  Costs to the MBS:</w:t>
            </w:r>
          </w:p>
        </w:tc>
        <w:tc>
          <w:tcPr>
            <w:tcW w:w="654" w:type="pct"/>
            <w:noWrap/>
          </w:tcPr>
          <w:p w14:paraId="60A9E7DD" w14:textId="77777777" w:rsidR="00E47DC5" w:rsidRPr="00020102" w:rsidRDefault="00E47DC5" w:rsidP="004030AA">
            <w:pPr>
              <w:pStyle w:val="Tabletext"/>
              <w:widowControl w:val="0"/>
              <w:jc w:val="center"/>
            </w:pPr>
          </w:p>
        </w:tc>
        <w:tc>
          <w:tcPr>
            <w:tcW w:w="654" w:type="pct"/>
          </w:tcPr>
          <w:p w14:paraId="7130F5C7" w14:textId="77777777" w:rsidR="00E47DC5" w:rsidRPr="00020102" w:rsidRDefault="00E47DC5" w:rsidP="004030AA">
            <w:pPr>
              <w:pStyle w:val="Tabletext"/>
              <w:widowControl w:val="0"/>
              <w:jc w:val="center"/>
            </w:pPr>
          </w:p>
        </w:tc>
        <w:tc>
          <w:tcPr>
            <w:tcW w:w="654" w:type="pct"/>
          </w:tcPr>
          <w:p w14:paraId="7E51D417" w14:textId="77777777" w:rsidR="00E47DC5" w:rsidRPr="00020102" w:rsidRDefault="00E47DC5" w:rsidP="004030AA">
            <w:pPr>
              <w:pStyle w:val="Tabletext"/>
              <w:widowControl w:val="0"/>
              <w:jc w:val="center"/>
            </w:pPr>
          </w:p>
        </w:tc>
        <w:tc>
          <w:tcPr>
            <w:tcW w:w="654" w:type="pct"/>
          </w:tcPr>
          <w:p w14:paraId="24427FDA" w14:textId="77777777" w:rsidR="00E47DC5" w:rsidRPr="00020102" w:rsidRDefault="00E47DC5" w:rsidP="004030AA">
            <w:pPr>
              <w:pStyle w:val="Tabletext"/>
              <w:widowControl w:val="0"/>
              <w:jc w:val="center"/>
            </w:pPr>
          </w:p>
        </w:tc>
        <w:tc>
          <w:tcPr>
            <w:tcW w:w="655" w:type="pct"/>
          </w:tcPr>
          <w:p w14:paraId="262F8DA9" w14:textId="77777777" w:rsidR="00E47DC5" w:rsidRPr="00020102" w:rsidRDefault="00E47DC5" w:rsidP="004030AA">
            <w:pPr>
              <w:pStyle w:val="Tabletext"/>
              <w:widowControl w:val="0"/>
              <w:jc w:val="center"/>
            </w:pPr>
          </w:p>
        </w:tc>
      </w:tr>
      <w:tr w:rsidR="00E47DC5" w:rsidRPr="00020102" w14:paraId="2A301140" w14:textId="77777777" w:rsidTr="005462CA">
        <w:trPr>
          <w:trHeight w:val="139"/>
        </w:trPr>
        <w:tc>
          <w:tcPr>
            <w:tcW w:w="1729" w:type="pct"/>
          </w:tcPr>
          <w:p w14:paraId="6B33876D" w14:textId="77777777" w:rsidR="00E47DC5" w:rsidRDefault="00E47DC5" w:rsidP="00E47DC5">
            <w:pPr>
              <w:pStyle w:val="Tabletext"/>
              <w:widowControl w:val="0"/>
              <w:numPr>
                <w:ilvl w:val="0"/>
                <w:numId w:val="10"/>
              </w:numPr>
              <w:ind w:left="326" w:hanging="142"/>
            </w:pPr>
            <w:r>
              <w:t>MDHT coordination (proposed)</w:t>
            </w:r>
          </w:p>
        </w:tc>
        <w:tc>
          <w:tcPr>
            <w:tcW w:w="654" w:type="pct"/>
            <w:noWrap/>
          </w:tcPr>
          <w:p w14:paraId="32DF4467" w14:textId="77777777" w:rsidR="00E47DC5" w:rsidRPr="00020102" w:rsidRDefault="00E47DC5" w:rsidP="004030AA">
            <w:pPr>
              <w:pStyle w:val="Tabletext"/>
              <w:widowControl w:val="0"/>
              <w:jc w:val="center"/>
            </w:pPr>
            <w:r w:rsidRPr="005176D9">
              <w:t>$8,973</w:t>
            </w:r>
          </w:p>
        </w:tc>
        <w:tc>
          <w:tcPr>
            <w:tcW w:w="654" w:type="pct"/>
          </w:tcPr>
          <w:p w14:paraId="3A4FFB29" w14:textId="77777777" w:rsidR="00E47DC5" w:rsidRPr="00020102" w:rsidRDefault="00E47DC5" w:rsidP="004030AA">
            <w:pPr>
              <w:pStyle w:val="Tabletext"/>
              <w:widowControl w:val="0"/>
              <w:jc w:val="center"/>
            </w:pPr>
            <w:r w:rsidRPr="005176D9">
              <w:t>$12,159</w:t>
            </w:r>
          </w:p>
        </w:tc>
        <w:tc>
          <w:tcPr>
            <w:tcW w:w="654" w:type="pct"/>
          </w:tcPr>
          <w:p w14:paraId="29632245" w14:textId="77777777" w:rsidR="00E47DC5" w:rsidRPr="00020102" w:rsidRDefault="00E47DC5" w:rsidP="004030AA">
            <w:pPr>
              <w:pStyle w:val="Tabletext"/>
              <w:widowControl w:val="0"/>
              <w:jc w:val="center"/>
            </w:pPr>
            <w:r w:rsidRPr="005176D9">
              <w:t>$14,208</w:t>
            </w:r>
          </w:p>
        </w:tc>
        <w:tc>
          <w:tcPr>
            <w:tcW w:w="654" w:type="pct"/>
          </w:tcPr>
          <w:p w14:paraId="5B268AC1" w14:textId="77777777" w:rsidR="00E47DC5" w:rsidRPr="00020102" w:rsidRDefault="00E47DC5" w:rsidP="004030AA">
            <w:pPr>
              <w:pStyle w:val="Tabletext"/>
              <w:widowControl w:val="0"/>
              <w:jc w:val="center"/>
            </w:pPr>
            <w:r w:rsidRPr="005176D9">
              <w:t>$15,685</w:t>
            </w:r>
          </w:p>
        </w:tc>
        <w:tc>
          <w:tcPr>
            <w:tcW w:w="655" w:type="pct"/>
          </w:tcPr>
          <w:p w14:paraId="70A5F836" w14:textId="77777777" w:rsidR="00E47DC5" w:rsidRPr="00020102" w:rsidRDefault="00E47DC5" w:rsidP="004030AA">
            <w:pPr>
              <w:pStyle w:val="Tabletext"/>
              <w:widowControl w:val="0"/>
              <w:jc w:val="center"/>
            </w:pPr>
            <w:r w:rsidRPr="005176D9">
              <w:t>$17,204</w:t>
            </w:r>
          </w:p>
        </w:tc>
      </w:tr>
      <w:tr w:rsidR="00E47DC5" w:rsidRPr="00020102" w14:paraId="13C1EF09" w14:textId="77777777" w:rsidTr="005462CA">
        <w:trPr>
          <w:trHeight w:val="139"/>
        </w:trPr>
        <w:tc>
          <w:tcPr>
            <w:tcW w:w="1729" w:type="pct"/>
          </w:tcPr>
          <w:p w14:paraId="111291CE" w14:textId="77777777" w:rsidR="00E47DC5" w:rsidRDefault="00E47DC5" w:rsidP="00E47DC5">
            <w:pPr>
              <w:pStyle w:val="Tabletext"/>
              <w:widowControl w:val="0"/>
              <w:numPr>
                <w:ilvl w:val="0"/>
                <w:numId w:val="10"/>
              </w:numPr>
              <w:ind w:left="326" w:hanging="142"/>
            </w:pPr>
            <w:r>
              <w:t>MDHT attendance (proposed)</w:t>
            </w:r>
          </w:p>
        </w:tc>
        <w:tc>
          <w:tcPr>
            <w:tcW w:w="654" w:type="pct"/>
            <w:noWrap/>
          </w:tcPr>
          <w:p w14:paraId="10703F3D" w14:textId="77777777" w:rsidR="00E47DC5" w:rsidRPr="00020102" w:rsidRDefault="00E47DC5" w:rsidP="004030AA">
            <w:pPr>
              <w:pStyle w:val="Tabletext"/>
              <w:widowControl w:val="0"/>
              <w:jc w:val="center"/>
            </w:pPr>
            <w:r w:rsidRPr="005176D9">
              <w:t>$20,071</w:t>
            </w:r>
          </w:p>
        </w:tc>
        <w:tc>
          <w:tcPr>
            <w:tcW w:w="654" w:type="pct"/>
          </w:tcPr>
          <w:p w14:paraId="3D36D1DD" w14:textId="77777777" w:rsidR="00E47DC5" w:rsidRPr="00020102" w:rsidRDefault="00E47DC5" w:rsidP="004030AA">
            <w:pPr>
              <w:pStyle w:val="Tabletext"/>
              <w:widowControl w:val="0"/>
              <w:jc w:val="center"/>
            </w:pPr>
            <w:r w:rsidRPr="005176D9">
              <w:t>$27,200</w:t>
            </w:r>
          </w:p>
        </w:tc>
        <w:tc>
          <w:tcPr>
            <w:tcW w:w="654" w:type="pct"/>
          </w:tcPr>
          <w:p w14:paraId="7B1DE8CB" w14:textId="77777777" w:rsidR="00E47DC5" w:rsidRPr="00020102" w:rsidRDefault="00E47DC5" w:rsidP="004030AA">
            <w:pPr>
              <w:pStyle w:val="Tabletext"/>
              <w:widowControl w:val="0"/>
              <w:jc w:val="center"/>
            </w:pPr>
            <w:r w:rsidRPr="005176D9">
              <w:t>$31,782</w:t>
            </w:r>
          </w:p>
        </w:tc>
        <w:tc>
          <w:tcPr>
            <w:tcW w:w="654" w:type="pct"/>
          </w:tcPr>
          <w:p w14:paraId="4578A7F6" w14:textId="77777777" w:rsidR="00E47DC5" w:rsidRPr="00020102" w:rsidRDefault="00E47DC5" w:rsidP="004030AA">
            <w:pPr>
              <w:pStyle w:val="Tabletext"/>
              <w:widowControl w:val="0"/>
              <w:jc w:val="center"/>
            </w:pPr>
            <w:r w:rsidRPr="005176D9">
              <w:t>$35,085</w:t>
            </w:r>
          </w:p>
        </w:tc>
        <w:tc>
          <w:tcPr>
            <w:tcW w:w="655" w:type="pct"/>
          </w:tcPr>
          <w:p w14:paraId="40D057B7" w14:textId="77777777" w:rsidR="00E47DC5" w:rsidRPr="00020102" w:rsidRDefault="00E47DC5" w:rsidP="004030AA">
            <w:pPr>
              <w:pStyle w:val="Tabletext"/>
              <w:widowControl w:val="0"/>
              <w:jc w:val="center"/>
            </w:pPr>
            <w:r w:rsidRPr="005176D9">
              <w:t>$38,484</w:t>
            </w:r>
          </w:p>
        </w:tc>
      </w:tr>
      <w:tr w:rsidR="00E47DC5" w:rsidRPr="00020102" w14:paraId="40949410" w14:textId="77777777" w:rsidTr="005462CA">
        <w:trPr>
          <w:trHeight w:val="139"/>
        </w:trPr>
        <w:tc>
          <w:tcPr>
            <w:tcW w:w="1729" w:type="pct"/>
          </w:tcPr>
          <w:p w14:paraId="11FBE0CC" w14:textId="77777777" w:rsidR="00E47DC5" w:rsidRDefault="00E47DC5" w:rsidP="00E47DC5">
            <w:pPr>
              <w:pStyle w:val="Tabletext"/>
              <w:widowControl w:val="0"/>
              <w:numPr>
                <w:ilvl w:val="0"/>
                <w:numId w:val="10"/>
              </w:numPr>
              <w:ind w:left="326" w:hanging="142"/>
            </w:pPr>
            <w:r>
              <w:t>TMVr procedure (proposed)</w:t>
            </w:r>
          </w:p>
        </w:tc>
        <w:tc>
          <w:tcPr>
            <w:tcW w:w="654" w:type="pct"/>
            <w:noWrap/>
          </w:tcPr>
          <w:p w14:paraId="06EBB240" w14:textId="77777777" w:rsidR="00E47DC5" w:rsidRPr="00020102" w:rsidRDefault="00E47DC5" w:rsidP="004030AA">
            <w:pPr>
              <w:pStyle w:val="Tabletext"/>
              <w:widowControl w:val="0"/>
              <w:jc w:val="center"/>
            </w:pPr>
            <w:r w:rsidRPr="005176D9">
              <w:t>$303,444</w:t>
            </w:r>
          </w:p>
        </w:tc>
        <w:tc>
          <w:tcPr>
            <w:tcW w:w="654" w:type="pct"/>
          </w:tcPr>
          <w:p w14:paraId="1B22074F" w14:textId="77777777" w:rsidR="00E47DC5" w:rsidRPr="00020102" w:rsidRDefault="00E47DC5" w:rsidP="004030AA">
            <w:pPr>
              <w:pStyle w:val="Tabletext"/>
              <w:widowControl w:val="0"/>
              <w:jc w:val="center"/>
            </w:pPr>
            <w:r w:rsidRPr="005176D9">
              <w:t>$411,216</w:t>
            </w:r>
          </w:p>
        </w:tc>
        <w:tc>
          <w:tcPr>
            <w:tcW w:w="654" w:type="pct"/>
          </w:tcPr>
          <w:p w14:paraId="037F352C" w14:textId="77777777" w:rsidR="00E47DC5" w:rsidRPr="00020102" w:rsidRDefault="00E47DC5" w:rsidP="004030AA">
            <w:pPr>
              <w:pStyle w:val="Tabletext"/>
              <w:widowControl w:val="0"/>
              <w:jc w:val="center"/>
            </w:pPr>
            <w:r w:rsidRPr="005176D9">
              <w:t>$480,490</w:t>
            </w:r>
          </w:p>
        </w:tc>
        <w:tc>
          <w:tcPr>
            <w:tcW w:w="654" w:type="pct"/>
          </w:tcPr>
          <w:p w14:paraId="422799CC" w14:textId="77777777" w:rsidR="00E47DC5" w:rsidRPr="00020102" w:rsidRDefault="00E47DC5" w:rsidP="004030AA">
            <w:pPr>
              <w:pStyle w:val="Tabletext"/>
              <w:widowControl w:val="0"/>
              <w:jc w:val="center"/>
            </w:pPr>
            <w:r w:rsidRPr="005176D9">
              <w:t>$530,438</w:t>
            </w:r>
          </w:p>
        </w:tc>
        <w:tc>
          <w:tcPr>
            <w:tcW w:w="655" w:type="pct"/>
          </w:tcPr>
          <w:p w14:paraId="04440586" w14:textId="77777777" w:rsidR="00E47DC5" w:rsidRPr="00020102" w:rsidRDefault="00E47DC5" w:rsidP="004030AA">
            <w:pPr>
              <w:pStyle w:val="Tabletext"/>
              <w:widowControl w:val="0"/>
              <w:jc w:val="center"/>
            </w:pPr>
            <w:r w:rsidRPr="005176D9">
              <w:t>$581,823</w:t>
            </w:r>
          </w:p>
        </w:tc>
      </w:tr>
      <w:tr w:rsidR="00E47DC5" w:rsidRPr="00020102" w14:paraId="4BAB2359" w14:textId="77777777" w:rsidTr="005462CA">
        <w:trPr>
          <w:trHeight w:val="139"/>
        </w:trPr>
        <w:tc>
          <w:tcPr>
            <w:tcW w:w="1729" w:type="pct"/>
          </w:tcPr>
          <w:p w14:paraId="1F00EE00" w14:textId="77777777" w:rsidR="00E47DC5" w:rsidRDefault="00E47DC5" w:rsidP="00E47DC5">
            <w:pPr>
              <w:pStyle w:val="Tabletext"/>
              <w:widowControl w:val="0"/>
              <w:numPr>
                <w:ilvl w:val="0"/>
                <w:numId w:val="10"/>
              </w:numPr>
              <w:ind w:left="326" w:hanging="142"/>
            </w:pPr>
            <w:r>
              <w:t>Anaesthetics (</w:t>
            </w:r>
            <w:r w:rsidRPr="00F90E20">
              <w:t>MBS Item 21936</w:t>
            </w:r>
            <w:r>
              <w:t>)</w:t>
            </w:r>
          </w:p>
        </w:tc>
        <w:tc>
          <w:tcPr>
            <w:tcW w:w="654" w:type="pct"/>
            <w:noWrap/>
          </w:tcPr>
          <w:p w14:paraId="01B734B8" w14:textId="77777777" w:rsidR="00E47DC5" w:rsidRPr="00020102" w:rsidRDefault="00E47DC5" w:rsidP="004030AA">
            <w:pPr>
              <w:pStyle w:val="Tabletext"/>
              <w:widowControl w:val="0"/>
              <w:jc w:val="center"/>
            </w:pPr>
            <w:r w:rsidRPr="005176D9">
              <w:t>$20,930</w:t>
            </w:r>
          </w:p>
        </w:tc>
        <w:tc>
          <w:tcPr>
            <w:tcW w:w="654" w:type="pct"/>
          </w:tcPr>
          <w:p w14:paraId="6C6E2B97" w14:textId="77777777" w:rsidR="00E47DC5" w:rsidRPr="00020102" w:rsidRDefault="00E47DC5" w:rsidP="004030AA">
            <w:pPr>
              <w:pStyle w:val="Tabletext"/>
              <w:widowControl w:val="0"/>
              <w:jc w:val="center"/>
            </w:pPr>
            <w:r w:rsidRPr="005176D9">
              <w:t>$28,364</w:t>
            </w:r>
          </w:p>
        </w:tc>
        <w:tc>
          <w:tcPr>
            <w:tcW w:w="654" w:type="pct"/>
          </w:tcPr>
          <w:p w14:paraId="598B3B43" w14:textId="77777777" w:rsidR="00E47DC5" w:rsidRPr="00020102" w:rsidRDefault="00E47DC5" w:rsidP="004030AA">
            <w:pPr>
              <w:pStyle w:val="Tabletext"/>
              <w:widowControl w:val="0"/>
              <w:jc w:val="center"/>
            </w:pPr>
            <w:r w:rsidRPr="005176D9">
              <w:t>$33,142</w:t>
            </w:r>
          </w:p>
        </w:tc>
        <w:tc>
          <w:tcPr>
            <w:tcW w:w="654" w:type="pct"/>
          </w:tcPr>
          <w:p w14:paraId="4D6D7067" w14:textId="77777777" w:rsidR="00E47DC5" w:rsidRPr="00020102" w:rsidRDefault="00E47DC5" w:rsidP="004030AA">
            <w:pPr>
              <w:pStyle w:val="Tabletext"/>
              <w:widowControl w:val="0"/>
              <w:jc w:val="center"/>
            </w:pPr>
            <w:r w:rsidRPr="005176D9">
              <w:t>$36,587</w:t>
            </w:r>
          </w:p>
        </w:tc>
        <w:tc>
          <w:tcPr>
            <w:tcW w:w="655" w:type="pct"/>
          </w:tcPr>
          <w:p w14:paraId="7A7DEAF1" w14:textId="77777777" w:rsidR="00E47DC5" w:rsidRPr="00020102" w:rsidRDefault="00E47DC5" w:rsidP="004030AA">
            <w:pPr>
              <w:pStyle w:val="Tabletext"/>
              <w:widowControl w:val="0"/>
              <w:jc w:val="center"/>
            </w:pPr>
            <w:r w:rsidRPr="005176D9">
              <w:t>$40,131</w:t>
            </w:r>
          </w:p>
        </w:tc>
      </w:tr>
      <w:tr w:rsidR="00E47DC5" w:rsidRPr="00020102" w14:paraId="4290124F" w14:textId="77777777" w:rsidTr="005462CA">
        <w:trPr>
          <w:trHeight w:val="139"/>
        </w:trPr>
        <w:tc>
          <w:tcPr>
            <w:tcW w:w="1729" w:type="pct"/>
          </w:tcPr>
          <w:p w14:paraId="7F77FAA6" w14:textId="77777777" w:rsidR="00E47DC5" w:rsidRDefault="00E47DC5" w:rsidP="00E47DC5">
            <w:pPr>
              <w:pStyle w:val="Tabletext"/>
              <w:widowControl w:val="0"/>
              <w:numPr>
                <w:ilvl w:val="0"/>
                <w:numId w:val="10"/>
              </w:numPr>
              <w:ind w:left="326" w:hanging="142"/>
            </w:pPr>
            <w:r>
              <w:t>Post-procedure echocardiogram (</w:t>
            </w:r>
            <w:r w:rsidRPr="00F90E20">
              <w:t>MBS Item 55113</w:t>
            </w:r>
            <w:r>
              <w:t>)</w:t>
            </w:r>
          </w:p>
        </w:tc>
        <w:tc>
          <w:tcPr>
            <w:tcW w:w="654" w:type="pct"/>
            <w:noWrap/>
          </w:tcPr>
          <w:p w14:paraId="38D7B308" w14:textId="77777777" w:rsidR="00E47DC5" w:rsidRPr="00020102" w:rsidRDefault="00E47DC5" w:rsidP="004030AA">
            <w:pPr>
              <w:pStyle w:val="Tabletext"/>
              <w:widowControl w:val="0"/>
              <w:jc w:val="center"/>
            </w:pPr>
            <w:r w:rsidRPr="005176D9">
              <w:t>$40,029</w:t>
            </w:r>
          </w:p>
        </w:tc>
        <w:tc>
          <w:tcPr>
            <w:tcW w:w="654" w:type="pct"/>
          </w:tcPr>
          <w:p w14:paraId="45FC1625" w14:textId="77777777" w:rsidR="00E47DC5" w:rsidRPr="00020102" w:rsidRDefault="00E47DC5" w:rsidP="004030AA">
            <w:pPr>
              <w:pStyle w:val="Tabletext"/>
              <w:widowControl w:val="0"/>
              <w:jc w:val="center"/>
            </w:pPr>
            <w:r w:rsidRPr="005176D9">
              <w:t>$54,246</w:t>
            </w:r>
          </w:p>
        </w:tc>
        <w:tc>
          <w:tcPr>
            <w:tcW w:w="654" w:type="pct"/>
          </w:tcPr>
          <w:p w14:paraId="72EA53EB" w14:textId="77777777" w:rsidR="00E47DC5" w:rsidRPr="00020102" w:rsidRDefault="00E47DC5" w:rsidP="004030AA">
            <w:pPr>
              <w:pStyle w:val="Tabletext"/>
              <w:widowControl w:val="0"/>
              <w:jc w:val="center"/>
            </w:pPr>
            <w:r w:rsidRPr="005176D9">
              <w:t>$63,385</w:t>
            </w:r>
          </w:p>
        </w:tc>
        <w:tc>
          <w:tcPr>
            <w:tcW w:w="654" w:type="pct"/>
          </w:tcPr>
          <w:p w14:paraId="22A24D58" w14:textId="77777777" w:rsidR="00E47DC5" w:rsidRPr="00020102" w:rsidRDefault="00E47DC5" w:rsidP="004030AA">
            <w:pPr>
              <w:pStyle w:val="Tabletext"/>
              <w:widowControl w:val="0"/>
              <w:jc w:val="center"/>
            </w:pPr>
            <w:r w:rsidRPr="005176D9">
              <w:t>$69,974</w:t>
            </w:r>
          </w:p>
        </w:tc>
        <w:tc>
          <w:tcPr>
            <w:tcW w:w="655" w:type="pct"/>
          </w:tcPr>
          <w:p w14:paraId="477DDCE5" w14:textId="77777777" w:rsidR="00E47DC5" w:rsidRPr="00020102" w:rsidRDefault="00E47DC5" w:rsidP="004030AA">
            <w:pPr>
              <w:pStyle w:val="Tabletext"/>
              <w:widowControl w:val="0"/>
              <w:jc w:val="center"/>
            </w:pPr>
            <w:r w:rsidRPr="005176D9">
              <w:t>$76,752</w:t>
            </w:r>
          </w:p>
        </w:tc>
      </w:tr>
      <w:tr w:rsidR="00E47DC5" w:rsidRPr="00020102" w14:paraId="1A04DAC8" w14:textId="77777777" w:rsidTr="005462CA">
        <w:trPr>
          <w:trHeight w:val="139"/>
        </w:trPr>
        <w:tc>
          <w:tcPr>
            <w:tcW w:w="1729" w:type="pct"/>
          </w:tcPr>
          <w:p w14:paraId="2C1B47BA" w14:textId="77777777" w:rsidR="00E47DC5" w:rsidRDefault="00E47DC5" w:rsidP="004030AA">
            <w:pPr>
              <w:pStyle w:val="Tabletext"/>
              <w:widowControl w:val="0"/>
            </w:pPr>
            <w:r>
              <w:t xml:space="preserve">  Total, DMR only</w:t>
            </w:r>
          </w:p>
        </w:tc>
        <w:tc>
          <w:tcPr>
            <w:tcW w:w="654" w:type="pct"/>
            <w:noWrap/>
          </w:tcPr>
          <w:p w14:paraId="2D9B7B0B" w14:textId="77777777" w:rsidR="00E47DC5" w:rsidRPr="00020102" w:rsidRDefault="00E47DC5" w:rsidP="004030AA">
            <w:pPr>
              <w:pStyle w:val="Tabletext"/>
              <w:widowControl w:val="0"/>
              <w:jc w:val="center"/>
            </w:pPr>
          </w:p>
        </w:tc>
        <w:tc>
          <w:tcPr>
            <w:tcW w:w="654" w:type="pct"/>
          </w:tcPr>
          <w:p w14:paraId="40CC31FB" w14:textId="77777777" w:rsidR="00E47DC5" w:rsidRPr="00020102" w:rsidRDefault="00E47DC5" w:rsidP="004030AA">
            <w:pPr>
              <w:pStyle w:val="Tabletext"/>
              <w:widowControl w:val="0"/>
              <w:jc w:val="center"/>
            </w:pPr>
          </w:p>
        </w:tc>
        <w:tc>
          <w:tcPr>
            <w:tcW w:w="654" w:type="pct"/>
          </w:tcPr>
          <w:p w14:paraId="74A653FB" w14:textId="77777777" w:rsidR="00E47DC5" w:rsidRPr="00020102" w:rsidRDefault="00E47DC5" w:rsidP="004030AA">
            <w:pPr>
              <w:pStyle w:val="Tabletext"/>
              <w:widowControl w:val="0"/>
              <w:jc w:val="center"/>
            </w:pPr>
          </w:p>
        </w:tc>
        <w:tc>
          <w:tcPr>
            <w:tcW w:w="654" w:type="pct"/>
          </w:tcPr>
          <w:p w14:paraId="2BF0B04F" w14:textId="77777777" w:rsidR="00E47DC5" w:rsidRPr="00020102" w:rsidRDefault="00E47DC5" w:rsidP="004030AA">
            <w:pPr>
              <w:pStyle w:val="Tabletext"/>
              <w:widowControl w:val="0"/>
              <w:jc w:val="center"/>
            </w:pPr>
          </w:p>
        </w:tc>
        <w:tc>
          <w:tcPr>
            <w:tcW w:w="655" w:type="pct"/>
          </w:tcPr>
          <w:p w14:paraId="4BA87E5F" w14:textId="77777777" w:rsidR="00E47DC5" w:rsidRPr="00020102" w:rsidRDefault="00E47DC5" w:rsidP="004030AA">
            <w:pPr>
              <w:pStyle w:val="Tabletext"/>
              <w:widowControl w:val="0"/>
              <w:jc w:val="center"/>
            </w:pPr>
          </w:p>
        </w:tc>
      </w:tr>
      <w:tr w:rsidR="00E47DC5" w:rsidRPr="00020102" w14:paraId="6E5EE758" w14:textId="77777777" w:rsidTr="005462CA">
        <w:trPr>
          <w:trHeight w:val="139"/>
        </w:trPr>
        <w:tc>
          <w:tcPr>
            <w:tcW w:w="1729" w:type="pct"/>
          </w:tcPr>
          <w:p w14:paraId="4749DD15" w14:textId="77777777" w:rsidR="00E47DC5" w:rsidRPr="00020102" w:rsidRDefault="00E47DC5" w:rsidP="00E47DC5">
            <w:pPr>
              <w:pStyle w:val="Tabletext"/>
              <w:widowControl w:val="0"/>
              <w:numPr>
                <w:ilvl w:val="0"/>
                <w:numId w:val="11"/>
              </w:numPr>
              <w:ind w:left="326" w:hanging="142"/>
            </w:pPr>
            <w:r>
              <w:t>Full benefit</w:t>
            </w:r>
          </w:p>
        </w:tc>
        <w:tc>
          <w:tcPr>
            <w:tcW w:w="654" w:type="pct"/>
            <w:noWrap/>
          </w:tcPr>
          <w:p w14:paraId="77B351D5" w14:textId="77777777" w:rsidR="00E47DC5" w:rsidRPr="00020102" w:rsidRDefault="00E47DC5" w:rsidP="004030AA">
            <w:pPr>
              <w:pStyle w:val="Tabletext"/>
              <w:widowControl w:val="0"/>
              <w:jc w:val="center"/>
            </w:pPr>
            <w:r w:rsidRPr="005176D9">
              <w:t>$393,447</w:t>
            </w:r>
          </w:p>
        </w:tc>
        <w:tc>
          <w:tcPr>
            <w:tcW w:w="654" w:type="pct"/>
          </w:tcPr>
          <w:p w14:paraId="3557451A" w14:textId="77777777" w:rsidR="00E47DC5" w:rsidRPr="00020102" w:rsidRDefault="00E47DC5" w:rsidP="004030AA">
            <w:pPr>
              <w:pStyle w:val="Tabletext"/>
              <w:widowControl w:val="0"/>
              <w:jc w:val="center"/>
            </w:pPr>
            <w:r w:rsidRPr="005176D9">
              <w:t>$533,185</w:t>
            </w:r>
          </w:p>
        </w:tc>
        <w:tc>
          <w:tcPr>
            <w:tcW w:w="654" w:type="pct"/>
          </w:tcPr>
          <w:p w14:paraId="7002BF7F" w14:textId="77777777" w:rsidR="00E47DC5" w:rsidRPr="00020102" w:rsidRDefault="00E47DC5" w:rsidP="004030AA">
            <w:pPr>
              <w:pStyle w:val="Tabletext"/>
              <w:widowControl w:val="0"/>
              <w:jc w:val="center"/>
            </w:pPr>
            <w:r w:rsidRPr="005176D9">
              <w:t>$623,006</w:t>
            </w:r>
          </w:p>
        </w:tc>
        <w:tc>
          <w:tcPr>
            <w:tcW w:w="654" w:type="pct"/>
          </w:tcPr>
          <w:p w14:paraId="34796F29" w14:textId="77777777" w:rsidR="00E47DC5" w:rsidRPr="00020102" w:rsidRDefault="00E47DC5" w:rsidP="004030AA">
            <w:pPr>
              <w:pStyle w:val="Tabletext"/>
              <w:widowControl w:val="0"/>
              <w:jc w:val="center"/>
            </w:pPr>
            <w:r w:rsidRPr="005176D9">
              <w:t>$687,768</w:t>
            </w:r>
          </w:p>
        </w:tc>
        <w:tc>
          <w:tcPr>
            <w:tcW w:w="655" w:type="pct"/>
          </w:tcPr>
          <w:p w14:paraId="31AA53D5" w14:textId="77777777" w:rsidR="00E47DC5" w:rsidRPr="00020102" w:rsidRDefault="00E47DC5" w:rsidP="004030AA">
            <w:pPr>
              <w:pStyle w:val="Tabletext"/>
              <w:widowControl w:val="0"/>
              <w:jc w:val="center"/>
            </w:pPr>
            <w:r w:rsidRPr="005176D9">
              <w:t>$754,395</w:t>
            </w:r>
          </w:p>
        </w:tc>
      </w:tr>
      <w:tr w:rsidR="00E47DC5" w:rsidRPr="00020102" w14:paraId="000A30E9" w14:textId="77777777" w:rsidTr="005462CA">
        <w:trPr>
          <w:trHeight w:val="139"/>
        </w:trPr>
        <w:tc>
          <w:tcPr>
            <w:tcW w:w="1729" w:type="pct"/>
          </w:tcPr>
          <w:p w14:paraId="49DE1A6C" w14:textId="77777777" w:rsidR="00E47DC5" w:rsidRDefault="00E47DC5" w:rsidP="00E47DC5">
            <w:pPr>
              <w:pStyle w:val="Tabletext"/>
              <w:widowControl w:val="0"/>
              <w:numPr>
                <w:ilvl w:val="0"/>
                <w:numId w:val="11"/>
              </w:numPr>
              <w:ind w:left="326" w:hanging="142"/>
            </w:pPr>
            <w:r>
              <w:t>75% benefit</w:t>
            </w:r>
          </w:p>
        </w:tc>
        <w:tc>
          <w:tcPr>
            <w:tcW w:w="654" w:type="pct"/>
            <w:noWrap/>
          </w:tcPr>
          <w:p w14:paraId="68A87A06" w14:textId="77777777" w:rsidR="00E47DC5" w:rsidRPr="00020102" w:rsidRDefault="00E47DC5" w:rsidP="004030AA">
            <w:pPr>
              <w:pStyle w:val="Tabletext"/>
              <w:widowControl w:val="0"/>
              <w:jc w:val="center"/>
            </w:pPr>
            <w:r w:rsidRPr="005176D9">
              <w:t>$295,085</w:t>
            </w:r>
          </w:p>
        </w:tc>
        <w:tc>
          <w:tcPr>
            <w:tcW w:w="654" w:type="pct"/>
          </w:tcPr>
          <w:p w14:paraId="225E1B63" w14:textId="77777777" w:rsidR="00E47DC5" w:rsidRPr="00020102" w:rsidRDefault="00E47DC5" w:rsidP="004030AA">
            <w:pPr>
              <w:pStyle w:val="Tabletext"/>
              <w:widowControl w:val="0"/>
              <w:jc w:val="center"/>
            </w:pPr>
            <w:r w:rsidRPr="005176D9">
              <w:t>$399,889</w:t>
            </w:r>
          </w:p>
        </w:tc>
        <w:tc>
          <w:tcPr>
            <w:tcW w:w="654" w:type="pct"/>
          </w:tcPr>
          <w:p w14:paraId="0F4D6B53" w14:textId="77777777" w:rsidR="00E47DC5" w:rsidRPr="00020102" w:rsidRDefault="00E47DC5" w:rsidP="004030AA">
            <w:pPr>
              <w:pStyle w:val="Tabletext"/>
              <w:widowControl w:val="0"/>
              <w:jc w:val="center"/>
            </w:pPr>
            <w:r w:rsidRPr="005176D9">
              <w:t>$467,255</w:t>
            </w:r>
          </w:p>
        </w:tc>
        <w:tc>
          <w:tcPr>
            <w:tcW w:w="654" w:type="pct"/>
          </w:tcPr>
          <w:p w14:paraId="281B1822" w14:textId="77777777" w:rsidR="00E47DC5" w:rsidRPr="00020102" w:rsidRDefault="00E47DC5" w:rsidP="004030AA">
            <w:pPr>
              <w:pStyle w:val="Tabletext"/>
              <w:widowControl w:val="0"/>
              <w:jc w:val="center"/>
            </w:pPr>
            <w:r w:rsidRPr="005176D9">
              <w:t>$515,826</w:t>
            </w:r>
          </w:p>
        </w:tc>
        <w:tc>
          <w:tcPr>
            <w:tcW w:w="655" w:type="pct"/>
          </w:tcPr>
          <w:p w14:paraId="3279A70B" w14:textId="77777777" w:rsidR="00E47DC5" w:rsidRPr="00020102" w:rsidRDefault="00E47DC5" w:rsidP="004030AA">
            <w:pPr>
              <w:pStyle w:val="Tabletext"/>
              <w:widowControl w:val="0"/>
              <w:jc w:val="center"/>
            </w:pPr>
            <w:r w:rsidRPr="005176D9">
              <w:t>$565,796</w:t>
            </w:r>
          </w:p>
        </w:tc>
      </w:tr>
      <w:tr w:rsidR="00E47DC5" w:rsidRPr="00020102" w14:paraId="254C8EE4" w14:textId="77777777" w:rsidTr="005462CA">
        <w:trPr>
          <w:trHeight w:val="139"/>
        </w:trPr>
        <w:tc>
          <w:tcPr>
            <w:tcW w:w="1729" w:type="pct"/>
          </w:tcPr>
          <w:p w14:paraId="2202FAF1" w14:textId="77777777" w:rsidR="00E47DC5" w:rsidRDefault="00E47DC5" w:rsidP="004030AA">
            <w:pPr>
              <w:pStyle w:val="Tabletext"/>
              <w:widowControl w:val="0"/>
            </w:pPr>
            <w:r>
              <w:t>For the FMR indication</w:t>
            </w:r>
          </w:p>
        </w:tc>
        <w:tc>
          <w:tcPr>
            <w:tcW w:w="654" w:type="pct"/>
            <w:noWrap/>
          </w:tcPr>
          <w:p w14:paraId="6761AE0A" w14:textId="77777777" w:rsidR="00E47DC5" w:rsidRPr="00020102" w:rsidRDefault="00E47DC5" w:rsidP="004030AA">
            <w:pPr>
              <w:pStyle w:val="Tabletext"/>
              <w:widowControl w:val="0"/>
              <w:jc w:val="center"/>
            </w:pPr>
          </w:p>
        </w:tc>
        <w:tc>
          <w:tcPr>
            <w:tcW w:w="654" w:type="pct"/>
          </w:tcPr>
          <w:p w14:paraId="295EAFD8" w14:textId="77777777" w:rsidR="00E47DC5" w:rsidRPr="00020102" w:rsidRDefault="00E47DC5" w:rsidP="004030AA">
            <w:pPr>
              <w:pStyle w:val="Tabletext"/>
              <w:widowControl w:val="0"/>
              <w:jc w:val="center"/>
            </w:pPr>
          </w:p>
        </w:tc>
        <w:tc>
          <w:tcPr>
            <w:tcW w:w="654" w:type="pct"/>
          </w:tcPr>
          <w:p w14:paraId="308CAEC3" w14:textId="77777777" w:rsidR="00E47DC5" w:rsidRPr="00020102" w:rsidRDefault="00E47DC5" w:rsidP="004030AA">
            <w:pPr>
              <w:pStyle w:val="Tabletext"/>
              <w:widowControl w:val="0"/>
              <w:jc w:val="center"/>
            </w:pPr>
          </w:p>
        </w:tc>
        <w:tc>
          <w:tcPr>
            <w:tcW w:w="654" w:type="pct"/>
          </w:tcPr>
          <w:p w14:paraId="201938A6" w14:textId="77777777" w:rsidR="00E47DC5" w:rsidRPr="00020102" w:rsidRDefault="00E47DC5" w:rsidP="004030AA">
            <w:pPr>
              <w:pStyle w:val="Tabletext"/>
              <w:widowControl w:val="0"/>
              <w:jc w:val="center"/>
            </w:pPr>
          </w:p>
        </w:tc>
        <w:tc>
          <w:tcPr>
            <w:tcW w:w="655" w:type="pct"/>
          </w:tcPr>
          <w:p w14:paraId="029EE890" w14:textId="77777777" w:rsidR="00E47DC5" w:rsidRPr="00020102" w:rsidRDefault="00E47DC5" w:rsidP="004030AA">
            <w:pPr>
              <w:pStyle w:val="Tabletext"/>
              <w:widowControl w:val="0"/>
              <w:jc w:val="center"/>
            </w:pPr>
          </w:p>
        </w:tc>
      </w:tr>
      <w:tr w:rsidR="00E47DC5" w:rsidRPr="00020102" w14:paraId="167D702E" w14:textId="77777777" w:rsidTr="005462CA">
        <w:trPr>
          <w:trHeight w:val="139"/>
        </w:trPr>
        <w:tc>
          <w:tcPr>
            <w:tcW w:w="1729" w:type="pct"/>
          </w:tcPr>
          <w:p w14:paraId="05128B9D" w14:textId="77777777" w:rsidR="00E47DC5" w:rsidRDefault="00E47DC5" w:rsidP="004030AA">
            <w:pPr>
              <w:pStyle w:val="Tabletext"/>
              <w:widowControl w:val="0"/>
            </w:pPr>
            <w:r>
              <w:t xml:space="preserve">  Total number of TMVr procedures^</w:t>
            </w:r>
          </w:p>
        </w:tc>
        <w:tc>
          <w:tcPr>
            <w:tcW w:w="654" w:type="pct"/>
            <w:noWrap/>
          </w:tcPr>
          <w:p w14:paraId="3382B4CB" w14:textId="77777777" w:rsidR="00E47DC5" w:rsidRPr="000C584A" w:rsidRDefault="00E47DC5" w:rsidP="004030AA">
            <w:pPr>
              <w:pStyle w:val="Tabletext"/>
              <w:widowControl w:val="0"/>
              <w:jc w:val="center"/>
            </w:pPr>
            <w:r w:rsidRPr="005176D9">
              <w:t>100</w:t>
            </w:r>
          </w:p>
        </w:tc>
        <w:tc>
          <w:tcPr>
            <w:tcW w:w="654" w:type="pct"/>
          </w:tcPr>
          <w:p w14:paraId="385E9069" w14:textId="77777777" w:rsidR="00E47DC5" w:rsidRPr="000C584A" w:rsidRDefault="00E47DC5" w:rsidP="004030AA">
            <w:pPr>
              <w:pStyle w:val="Tabletext"/>
              <w:widowControl w:val="0"/>
              <w:jc w:val="center"/>
            </w:pPr>
            <w:r w:rsidRPr="005176D9">
              <w:t>136</w:t>
            </w:r>
          </w:p>
        </w:tc>
        <w:tc>
          <w:tcPr>
            <w:tcW w:w="654" w:type="pct"/>
          </w:tcPr>
          <w:p w14:paraId="1ED6DC9F" w14:textId="77777777" w:rsidR="00E47DC5" w:rsidRPr="000C584A" w:rsidRDefault="00E47DC5" w:rsidP="004030AA">
            <w:pPr>
              <w:pStyle w:val="Tabletext"/>
              <w:widowControl w:val="0"/>
              <w:jc w:val="center"/>
            </w:pPr>
            <w:r w:rsidRPr="005176D9">
              <w:t>159</w:t>
            </w:r>
          </w:p>
        </w:tc>
        <w:tc>
          <w:tcPr>
            <w:tcW w:w="654" w:type="pct"/>
          </w:tcPr>
          <w:p w14:paraId="33DA7663" w14:textId="77777777" w:rsidR="00E47DC5" w:rsidRPr="000C584A" w:rsidRDefault="00E47DC5" w:rsidP="004030AA">
            <w:pPr>
              <w:pStyle w:val="Tabletext"/>
              <w:widowControl w:val="0"/>
              <w:jc w:val="center"/>
            </w:pPr>
            <w:r w:rsidRPr="005176D9">
              <w:t>176</w:t>
            </w:r>
          </w:p>
        </w:tc>
        <w:tc>
          <w:tcPr>
            <w:tcW w:w="655" w:type="pct"/>
          </w:tcPr>
          <w:p w14:paraId="5EFC7766" w14:textId="77777777" w:rsidR="00E47DC5" w:rsidRPr="000C584A" w:rsidRDefault="00E47DC5" w:rsidP="004030AA">
            <w:pPr>
              <w:pStyle w:val="Tabletext"/>
              <w:widowControl w:val="0"/>
              <w:jc w:val="center"/>
            </w:pPr>
            <w:r w:rsidRPr="005176D9">
              <w:t>193</w:t>
            </w:r>
          </w:p>
        </w:tc>
      </w:tr>
      <w:tr w:rsidR="00E47DC5" w:rsidRPr="00020102" w14:paraId="7AE9C751" w14:textId="77777777" w:rsidTr="005462CA">
        <w:trPr>
          <w:trHeight w:val="139"/>
        </w:trPr>
        <w:tc>
          <w:tcPr>
            <w:tcW w:w="1729" w:type="pct"/>
          </w:tcPr>
          <w:p w14:paraId="65454C4E" w14:textId="77777777" w:rsidR="00E47DC5" w:rsidRPr="00020102" w:rsidRDefault="00E47DC5" w:rsidP="004030AA">
            <w:pPr>
              <w:pStyle w:val="Tabletext"/>
              <w:widowControl w:val="0"/>
            </w:pPr>
            <w:r>
              <w:t xml:space="preserve">  Costs to the MBS:</w:t>
            </w:r>
          </w:p>
        </w:tc>
        <w:tc>
          <w:tcPr>
            <w:tcW w:w="654" w:type="pct"/>
            <w:noWrap/>
          </w:tcPr>
          <w:p w14:paraId="2E8D43FF" w14:textId="77777777" w:rsidR="00E47DC5" w:rsidRPr="00020102" w:rsidRDefault="00E47DC5" w:rsidP="004030AA">
            <w:pPr>
              <w:pStyle w:val="Tabletext"/>
              <w:widowControl w:val="0"/>
              <w:jc w:val="center"/>
            </w:pPr>
          </w:p>
        </w:tc>
        <w:tc>
          <w:tcPr>
            <w:tcW w:w="654" w:type="pct"/>
          </w:tcPr>
          <w:p w14:paraId="7C766A8B" w14:textId="77777777" w:rsidR="00E47DC5" w:rsidRPr="00020102" w:rsidRDefault="00E47DC5" w:rsidP="004030AA">
            <w:pPr>
              <w:pStyle w:val="Tabletext"/>
              <w:widowControl w:val="0"/>
              <w:jc w:val="center"/>
            </w:pPr>
          </w:p>
        </w:tc>
        <w:tc>
          <w:tcPr>
            <w:tcW w:w="654" w:type="pct"/>
          </w:tcPr>
          <w:p w14:paraId="65E25FB0" w14:textId="77777777" w:rsidR="00E47DC5" w:rsidRPr="00020102" w:rsidRDefault="00E47DC5" w:rsidP="004030AA">
            <w:pPr>
              <w:pStyle w:val="Tabletext"/>
              <w:widowControl w:val="0"/>
              <w:jc w:val="center"/>
            </w:pPr>
          </w:p>
        </w:tc>
        <w:tc>
          <w:tcPr>
            <w:tcW w:w="654" w:type="pct"/>
          </w:tcPr>
          <w:p w14:paraId="387DD341" w14:textId="77777777" w:rsidR="00E47DC5" w:rsidRPr="00020102" w:rsidRDefault="00E47DC5" w:rsidP="004030AA">
            <w:pPr>
              <w:pStyle w:val="Tabletext"/>
              <w:widowControl w:val="0"/>
              <w:jc w:val="center"/>
            </w:pPr>
          </w:p>
        </w:tc>
        <w:tc>
          <w:tcPr>
            <w:tcW w:w="655" w:type="pct"/>
          </w:tcPr>
          <w:p w14:paraId="4E1E492B" w14:textId="77777777" w:rsidR="00E47DC5" w:rsidRPr="00020102" w:rsidRDefault="00E47DC5" w:rsidP="004030AA">
            <w:pPr>
              <w:pStyle w:val="Tabletext"/>
              <w:widowControl w:val="0"/>
              <w:jc w:val="center"/>
            </w:pPr>
          </w:p>
        </w:tc>
      </w:tr>
      <w:tr w:rsidR="00E47DC5" w:rsidRPr="00020102" w14:paraId="789B1FD5" w14:textId="77777777" w:rsidTr="005462CA">
        <w:trPr>
          <w:trHeight w:val="139"/>
        </w:trPr>
        <w:tc>
          <w:tcPr>
            <w:tcW w:w="1729" w:type="pct"/>
          </w:tcPr>
          <w:p w14:paraId="75906050" w14:textId="77777777" w:rsidR="00E47DC5" w:rsidRDefault="00E47DC5" w:rsidP="00E47DC5">
            <w:pPr>
              <w:pStyle w:val="Tabletext"/>
              <w:widowControl w:val="0"/>
              <w:numPr>
                <w:ilvl w:val="0"/>
                <w:numId w:val="10"/>
              </w:numPr>
              <w:ind w:left="326" w:hanging="142"/>
            </w:pPr>
            <w:r>
              <w:t>MDHT coordination (proposed)</w:t>
            </w:r>
          </w:p>
        </w:tc>
        <w:tc>
          <w:tcPr>
            <w:tcW w:w="654" w:type="pct"/>
            <w:noWrap/>
          </w:tcPr>
          <w:p w14:paraId="3ECBE0DD" w14:textId="77777777" w:rsidR="00E47DC5" w:rsidRPr="00020102" w:rsidRDefault="00E47DC5" w:rsidP="004030AA">
            <w:pPr>
              <w:pStyle w:val="Tabletext"/>
              <w:widowControl w:val="0"/>
              <w:jc w:val="center"/>
            </w:pPr>
            <w:r w:rsidRPr="005176D9">
              <w:t>$5,194</w:t>
            </w:r>
          </w:p>
        </w:tc>
        <w:tc>
          <w:tcPr>
            <w:tcW w:w="654" w:type="pct"/>
          </w:tcPr>
          <w:p w14:paraId="2E7E453E" w14:textId="77777777" w:rsidR="00E47DC5" w:rsidRPr="00020102" w:rsidRDefault="00E47DC5" w:rsidP="004030AA">
            <w:pPr>
              <w:pStyle w:val="Tabletext"/>
              <w:widowControl w:val="0"/>
              <w:jc w:val="center"/>
            </w:pPr>
            <w:r w:rsidRPr="005176D9">
              <w:t>$7,039</w:t>
            </w:r>
          </w:p>
        </w:tc>
        <w:tc>
          <w:tcPr>
            <w:tcW w:w="654" w:type="pct"/>
          </w:tcPr>
          <w:p w14:paraId="3D3335E3" w14:textId="77777777" w:rsidR="00E47DC5" w:rsidRPr="00020102" w:rsidRDefault="00E47DC5" w:rsidP="004030AA">
            <w:pPr>
              <w:pStyle w:val="Tabletext"/>
              <w:widowControl w:val="0"/>
              <w:jc w:val="center"/>
            </w:pPr>
            <w:r w:rsidRPr="005176D9">
              <w:t>$8,225</w:t>
            </w:r>
          </w:p>
        </w:tc>
        <w:tc>
          <w:tcPr>
            <w:tcW w:w="654" w:type="pct"/>
          </w:tcPr>
          <w:p w14:paraId="70A7218D" w14:textId="77777777" w:rsidR="00E47DC5" w:rsidRPr="00020102" w:rsidRDefault="00E47DC5" w:rsidP="004030AA">
            <w:pPr>
              <w:pStyle w:val="Tabletext"/>
              <w:widowControl w:val="0"/>
              <w:jc w:val="center"/>
            </w:pPr>
            <w:r w:rsidRPr="005176D9">
              <w:t>$9,080</w:t>
            </w:r>
          </w:p>
        </w:tc>
        <w:tc>
          <w:tcPr>
            <w:tcW w:w="655" w:type="pct"/>
          </w:tcPr>
          <w:p w14:paraId="56BF0120" w14:textId="77777777" w:rsidR="00E47DC5" w:rsidRPr="00020102" w:rsidRDefault="00E47DC5" w:rsidP="004030AA">
            <w:pPr>
              <w:pStyle w:val="Tabletext"/>
              <w:widowControl w:val="0"/>
              <w:jc w:val="center"/>
            </w:pPr>
            <w:r w:rsidRPr="005176D9">
              <w:t>$9,960</w:t>
            </w:r>
          </w:p>
        </w:tc>
      </w:tr>
      <w:tr w:rsidR="00E47DC5" w:rsidRPr="00020102" w14:paraId="57EAFB4C" w14:textId="77777777" w:rsidTr="005462CA">
        <w:trPr>
          <w:trHeight w:val="139"/>
        </w:trPr>
        <w:tc>
          <w:tcPr>
            <w:tcW w:w="1729" w:type="pct"/>
          </w:tcPr>
          <w:p w14:paraId="72212E34" w14:textId="77777777" w:rsidR="00E47DC5" w:rsidRDefault="00E47DC5" w:rsidP="00E47DC5">
            <w:pPr>
              <w:pStyle w:val="Tabletext"/>
              <w:widowControl w:val="0"/>
              <w:numPr>
                <w:ilvl w:val="0"/>
                <w:numId w:val="10"/>
              </w:numPr>
              <w:ind w:left="326" w:hanging="142"/>
            </w:pPr>
            <w:r>
              <w:t>MDHT attendance (proposed)</w:t>
            </w:r>
          </w:p>
        </w:tc>
        <w:tc>
          <w:tcPr>
            <w:tcW w:w="654" w:type="pct"/>
            <w:noWrap/>
          </w:tcPr>
          <w:p w14:paraId="7DF67C98" w14:textId="77777777" w:rsidR="00E47DC5" w:rsidRPr="00020102" w:rsidRDefault="00E47DC5" w:rsidP="004030AA">
            <w:pPr>
              <w:pStyle w:val="Tabletext"/>
              <w:widowControl w:val="0"/>
              <w:jc w:val="center"/>
            </w:pPr>
            <w:r w:rsidRPr="005176D9">
              <w:t>$11,620</w:t>
            </w:r>
          </w:p>
        </w:tc>
        <w:tc>
          <w:tcPr>
            <w:tcW w:w="654" w:type="pct"/>
          </w:tcPr>
          <w:p w14:paraId="7416CF39" w14:textId="77777777" w:rsidR="00E47DC5" w:rsidRPr="00020102" w:rsidRDefault="00E47DC5" w:rsidP="004030AA">
            <w:pPr>
              <w:pStyle w:val="Tabletext"/>
              <w:widowControl w:val="0"/>
              <w:jc w:val="center"/>
            </w:pPr>
            <w:r w:rsidRPr="005176D9">
              <w:t>$15,747</w:t>
            </w:r>
          </w:p>
        </w:tc>
        <w:tc>
          <w:tcPr>
            <w:tcW w:w="654" w:type="pct"/>
          </w:tcPr>
          <w:p w14:paraId="2A18AF3A" w14:textId="77777777" w:rsidR="00E47DC5" w:rsidRPr="00020102" w:rsidRDefault="00E47DC5" w:rsidP="004030AA">
            <w:pPr>
              <w:pStyle w:val="Tabletext"/>
              <w:widowControl w:val="0"/>
              <w:jc w:val="center"/>
            </w:pPr>
            <w:r w:rsidRPr="005176D9">
              <w:t>$18,399</w:t>
            </w:r>
          </w:p>
        </w:tc>
        <w:tc>
          <w:tcPr>
            <w:tcW w:w="654" w:type="pct"/>
          </w:tcPr>
          <w:p w14:paraId="1006FEBE" w14:textId="77777777" w:rsidR="00E47DC5" w:rsidRPr="00020102" w:rsidRDefault="00E47DC5" w:rsidP="004030AA">
            <w:pPr>
              <w:pStyle w:val="Tabletext"/>
              <w:widowControl w:val="0"/>
              <w:jc w:val="center"/>
            </w:pPr>
            <w:r w:rsidRPr="005176D9">
              <w:t>$20,312</w:t>
            </w:r>
          </w:p>
        </w:tc>
        <w:tc>
          <w:tcPr>
            <w:tcW w:w="655" w:type="pct"/>
          </w:tcPr>
          <w:p w14:paraId="77677B1D" w14:textId="77777777" w:rsidR="00E47DC5" w:rsidRPr="00020102" w:rsidRDefault="00E47DC5" w:rsidP="004030AA">
            <w:pPr>
              <w:pStyle w:val="Tabletext"/>
              <w:widowControl w:val="0"/>
              <w:jc w:val="center"/>
            </w:pPr>
            <w:r w:rsidRPr="005176D9">
              <w:t>$22,280</w:t>
            </w:r>
          </w:p>
        </w:tc>
      </w:tr>
      <w:tr w:rsidR="00E47DC5" w:rsidRPr="00020102" w14:paraId="0A05C1D5" w14:textId="77777777" w:rsidTr="005462CA">
        <w:trPr>
          <w:trHeight w:val="139"/>
        </w:trPr>
        <w:tc>
          <w:tcPr>
            <w:tcW w:w="1729" w:type="pct"/>
          </w:tcPr>
          <w:p w14:paraId="6CB784DF" w14:textId="77777777" w:rsidR="00E47DC5" w:rsidRDefault="00E47DC5" w:rsidP="00E47DC5">
            <w:pPr>
              <w:pStyle w:val="Tabletext"/>
              <w:widowControl w:val="0"/>
              <w:numPr>
                <w:ilvl w:val="0"/>
                <w:numId w:val="10"/>
              </w:numPr>
              <w:ind w:left="326" w:hanging="142"/>
            </w:pPr>
            <w:r>
              <w:t>TMVr procedure (proposed)</w:t>
            </w:r>
          </w:p>
        </w:tc>
        <w:tc>
          <w:tcPr>
            <w:tcW w:w="654" w:type="pct"/>
            <w:noWrap/>
          </w:tcPr>
          <w:p w14:paraId="57715F4A" w14:textId="77777777" w:rsidR="00E47DC5" w:rsidRPr="00020102" w:rsidRDefault="00E47DC5" w:rsidP="004030AA">
            <w:pPr>
              <w:pStyle w:val="Tabletext"/>
              <w:widowControl w:val="0"/>
              <w:jc w:val="center"/>
            </w:pPr>
            <w:r w:rsidRPr="005176D9">
              <w:t>$175,672</w:t>
            </w:r>
          </w:p>
        </w:tc>
        <w:tc>
          <w:tcPr>
            <w:tcW w:w="654" w:type="pct"/>
          </w:tcPr>
          <w:p w14:paraId="33617286" w14:textId="77777777" w:rsidR="00E47DC5" w:rsidRPr="00020102" w:rsidRDefault="00E47DC5" w:rsidP="004030AA">
            <w:pPr>
              <w:pStyle w:val="Tabletext"/>
              <w:widowControl w:val="0"/>
              <w:jc w:val="center"/>
            </w:pPr>
            <w:r w:rsidRPr="005176D9">
              <w:t>$238,065</w:t>
            </w:r>
          </w:p>
        </w:tc>
        <w:tc>
          <w:tcPr>
            <w:tcW w:w="654" w:type="pct"/>
          </w:tcPr>
          <w:p w14:paraId="3C7353F3" w14:textId="77777777" w:rsidR="00E47DC5" w:rsidRPr="00020102" w:rsidRDefault="00E47DC5" w:rsidP="004030AA">
            <w:pPr>
              <w:pStyle w:val="Tabletext"/>
              <w:widowControl w:val="0"/>
              <w:jc w:val="center"/>
            </w:pPr>
            <w:r w:rsidRPr="005176D9">
              <w:t>$278,169</w:t>
            </w:r>
          </w:p>
        </w:tc>
        <w:tc>
          <w:tcPr>
            <w:tcW w:w="654" w:type="pct"/>
          </w:tcPr>
          <w:p w14:paraId="2F685FE1" w14:textId="77777777" w:rsidR="00E47DC5" w:rsidRPr="00020102" w:rsidRDefault="00E47DC5" w:rsidP="004030AA">
            <w:pPr>
              <w:pStyle w:val="Tabletext"/>
              <w:widowControl w:val="0"/>
              <w:jc w:val="center"/>
            </w:pPr>
            <w:r w:rsidRPr="005176D9">
              <w:t>$307,085</w:t>
            </w:r>
          </w:p>
        </w:tc>
        <w:tc>
          <w:tcPr>
            <w:tcW w:w="655" w:type="pct"/>
          </w:tcPr>
          <w:p w14:paraId="523302F8" w14:textId="77777777" w:rsidR="00E47DC5" w:rsidRPr="00020102" w:rsidRDefault="00E47DC5" w:rsidP="004030AA">
            <w:pPr>
              <w:pStyle w:val="Tabletext"/>
              <w:widowControl w:val="0"/>
              <w:jc w:val="center"/>
            </w:pPr>
            <w:r w:rsidRPr="005176D9">
              <w:t>$336,834</w:t>
            </w:r>
          </w:p>
        </w:tc>
      </w:tr>
      <w:tr w:rsidR="00E47DC5" w:rsidRPr="00020102" w14:paraId="5DFB0CE7" w14:textId="77777777" w:rsidTr="005462CA">
        <w:trPr>
          <w:trHeight w:val="139"/>
        </w:trPr>
        <w:tc>
          <w:tcPr>
            <w:tcW w:w="1729" w:type="pct"/>
          </w:tcPr>
          <w:p w14:paraId="19E9C4C6" w14:textId="77777777" w:rsidR="00E47DC5" w:rsidRDefault="00E47DC5" w:rsidP="00E47DC5">
            <w:pPr>
              <w:pStyle w:val="Tabletext"/>
              <w:widowControl w:val="0"/>
              <w:numPr>
                <w:ilvl w:val="0"/>
                <w:numId w:val="10"/>
              </w:numPr>
              <w:ind w:left="326" w:hanging="142"/>
            </w:pPr>
            <w:r>
              <w:t>Anaesthetics (</w:t>
            </w:r>
            <w:r w:rsidRPr="00F90E20">
              <w:t>MBS Item 21936</w:t>
            </w:r>
            <w:r>
              <w:t>)</w:t>
            </w:r>
          </w:p>
        </w:tc>
        <w:tc>
          <w:tcPr>
            <w:tcW w:w="654" w:type="pct"/>
            <w:noWrap/>
          </w:tcPr>
          <w:p w14:paraId="382EA2D7" w14:textId="77777777" w:rsidR="00E47DC5" w:rsidRPr="00020102" w:rsidRDefault="00E47DC5" w:rsidP="004030AA">
            <w:pPr>
              <w:pStyle w:val="Tabletext"/>
              <w:widowControl w:val="0"/>
              <w:jc w:val="center"/>
            </w:pPr>
            <w:r w:rsidRPr="005176D9">
              <w:t>$12,117</w:t>
            </w:r>
          </w:p>
        </w:tc>
        <w:tc>
          <w:tcPr>
            <w:tcW w:w="654" w:type="pct"/>
          </w:tcPr>
          <w:p w14:paraId="7029F3CF" w14:textId="77777777" w:rsidR="00E47DC5" w:rsidRPr="00020102" w:rsidRDefault="00E47DC5" w:rsidP="004030AA">
            <w:pPr>
              <w:pStyle w:val="Tabletext"/>
              <w:widowControl w:val="0"/>
              <w:jc w:val="center"/>
            </w:pPr>
            <w:r w:rsidRPr="005176D9">
              <w:t>$16,421</w:t>
            </w:r>
          </w:p>
        </w:tc>
        <w:tc>
          <w:tcPr>
            <w:tcW w:w="654" w:type="pct"/>
          </w:tcPr>
          <w:p w14:paraId="147B4702" w14:textId="77777777" w:rsidR="00E47DC5" w:rsidRPr="00020102" w:rsidRDefault="00E47DC5" w:rsidP="004030AA">
            <w:pPr>
              <w:pStyle w:val="Tabletext"/>
              <w:widowControl w:val="0"/>
              <w:jc w:val="center"/>
            </w:pPr>
            <w:r w:rsidRPr="005176D9">
              <w:t>$19,187</w:t>
            </w:r>
          </w:p>
        </w:tc>
        <w:tc>
          <w:tcPr>
            <w:tcW w:w="654" w:type="pct"/>
          </w:tcPr>
          <w:p w14:paraId="585FE67A" w14:textId="77777777" w:rsidR="00E47DC5" w:rsidRPr="00020102" w:rsidRDefault="00E47DC5" w:rsidP="004030AA">
            <w:pPr>
              <w:pStyle w:val="Tabletext"/>
              <w:widowControl w:val="0"/>
              <w:jc w:val="center"/>
            </w:pPr>
            <w:r w:rsidRPr="005176D9">
              <w:t>$21,181</w:t>
            </w:r>
          </w:p>
        </w:tc>
        <w:tc>
          <w:tcPr>
            <w:tcW w:w="655" w:type="pct"/>
          </w:tcPr>
          <w:p w14:paraId="7219AC7C" w14:textId="77777777" w:rsidR="00E47DC5" w:rsidRPr="00020102" w:rsidRDefault="00E47DC5" w:rsidP="004030AA">
            <w:pPr>
              <w:pStyle w:val="Tabletext"/>
              <w:widowControl w:val="0"/>
              <w:jc w:val="center"/>
            </w:pPr>
            <w:r w:rsidRPr="005176D9">
              <w:t>$23,233</w:t>
            </w:r>
          </w:p>
        </w:tc>
      </w:tr>
      <w:tr w:rsidR="00E47DC5" w:rsidRPr="00020102" w14:paraId="57E71885" w14:textId="77777777" w:rsidTr="005462CA">
        <w:trPr>
          <w:trHeight w:val="139"/>
        </w:trPr>
        <w:tc>
          <w:tcPr>
            <w:tcW w:w="1729" w:type="pct"/>
          </w:tcPr>
          <w:p w14:paraId="032ADD80" w14:textId="77777777" w:rsidR="00E47DC5" w:rsidRDefault="00E47DC5" w:rsidP="00E47DC5">
            <w:pPr>
              <w:pStyle w:val="Tabletext"/>
              <w:widowControl w:val="0"/>
              <w:numPr>
                <w:ilvl w:val="0"/>
                <w:numId w:val="10"/>
              </w:numPr>
              <w:ind w:left="326" w:hanging="142"/>
            </w:pPr>
            <w:r>
              <w:t>Post-procedure echocardiogram (</w:t>
            </w:r>
            <w:r w:rsidRPr="00F90E20">
              <w:t>MBS Item 55113</w:t>
            </w:r>
            <w:r>
              <w:t>)</w:t>
            </w:r>
          </w:p>
        </w:tc>
        <w:tc>
          <w:tcPr>
            <w:tcW w:w="654" w:type="pct"/>
            <w:noWrap/>
          </w:tcPr>
          <w:p w14:paraId="1E803A57" w14:textId="77777777" w:rsidR="00E47DC5" w:rsidRPr="00020102" w:rsidRDefault="00E47DC5" w:rsidP="004030AA">
            <w:pPr>
              <w:pStyle w:val="Tabletext"/>
              <w:widowControl w:val="0"/>
              <w:jc w:val="center"/>
            </w:pPr>
            <w:r w:rsidRPr="005176D9">
              <w:t>$23,174</w:t>
            </w:r>
          </w:p>
        </w:tc>
        <w:tc>
          <w:tcPr>
            <w:tcW w:w="654" w:type="pct"/>
          </w:tcPr>
          <w:p w14:paraId="384ACFFC" w14:textId="77777777" w:rsidR="00E47DC5" w:rsidRPr="00020102" w:rsidRDefault="00E47DC5" w:rsidP="004030AA">
            <w:pPr>
              <w:pStyle w:val="Tabletext"/>
              <w:widowControl w:val="0"/>
              <w:jc w:val="center"/>
            </w:pPr>
            <w:r w:rsidRPr="005176D9">
              <w:t>$31,405</w:t>
            </w:r>
          </w:p>
        </w:tc>
        <w:tc>
          <w:tcPr>
            <w:tcW w:w="654" w:type="pct"/>
          </w:tcPr>
          <w:p w14:paraId="2919BFC1" w14:textId="77777777" w:rsidR="00E47DC5" w:rsidRPr="00020102" w:rsidRDefault="00E47DC5" w:rsidP="004030AA">
            <w:pPr>
              <w:pStyle w:val="Tabletext"/>
              <w:widowControl w:val="0"/>
              <w:jc w:val="center"/>
            </w:pPr>
            <w:r w:rsidRPr="005176D9">
              <w:t>$36,695</w:t>
            </w:r>
          </w:p>
        </w:tc>
        <w:tc>
          <w:tcPr>
            <w:tcW w:w="654" w:type="pct"/>
          </w:tcPr>
          <w:p w14:paraId="5BDE1458" w14:textId="77777777" w:rsidR="00E47DC5" w:rsidRPr="00020102" w:rsidRDefault="00E47DC5" w:rsidP="004030AA">
            <w:pPr>
              <w:pStyle w:val="Tabletext"/>
              <w:widowControl w:val="0"/>
              <w:jc w:val="center"/>
            </w:pPr>
            <w:r w:rsidRPr="005176D9">
              <w:t>$40,510</w:t>
            </w:r>
          </w:p>
        </w:tc>
        <w:tc>
          <w:tcPr>
            <w:tcW w:w="655" w:type="pct"/>
          </w:tcPr>
          <w:p w14:paraId="71BF6DE0" w14:textId="77777777" w:rsidR="00E47DC5" w:rsidRPr="00020102" w:rsidRDefault="00E47DC5" w:rsidP="004030AA">
            <w:pPr>
              <w:pStyle w:val="Tabletext"/>
              <w:widowControl w:val="0"/>
              <w:jc w:val="center"/>
            </w:pPr>
            <w:r w:rsidRPr="005176D9">
              <w:t>$44,434</w:t>
            </w:r>
          </w:p>
        </w:tc>
      </w:tr>
      <w:tr w:rsidR="00E47DC5" w:rsidRPr="00020102" w14:paraId="30720D8A" w14:textId="77777777" w:rsidTr="005462CA">
        <w:trPr>
          <w:trHeight w:val="139"/>
        </w:trPr>
        <w:tc>
          <w:tcPr>
            <w:tcW w:w="1729" w:type="pct"/>
          </w:tcPr>
          <w:p w14:paraId="57A480C1" w14:textId="77777777" w:rsidR="00E47DC5" w:rsidRDefault="00E47DC5" w:rsidP="004030AA">
            <w:pPr>
              <w:pStyle w:val="Tabletext"/>
              <w:widowControl w:val="0"/>
            </w:pPr>
            <w:r>
              <w:t xml:space="preserve">  Total, FMR only</w:t>
            </w:r>
          </w:p>
        </w:tc>
        <w:tc>
          <w:tcPr>
            <w:tcW w:w="654" w:type="pct"/>
            <w:noWrap/>
          </w:tcPr>
          <w:p w14:paraId="5CEC4F2B" w14:textId="77777777" w:rsidR="00E47DC5" w:rsidRPr="00020102" w:rsidRDefault="00E47DC5" w:rsidP="004030AA">
            <w:pPr>
              <w:pStyle w:val="Tabletext"/>
              <w:widowControl w:val="0"/>
              <w:jc w:val="center"/>
            </w:pPr>
          </w:p>
        </w:tc>
        <w:tc>
          <w:tcPr>
            <w:tcW w:w="654" w:type="pct"/>
          </w:tcPr>
          <w:p w14:paraId="70A60367" w14:textId="77777777" w:rsidR="00E47DC5" w:rsidRPr="00020102" w:rsidRDefault="00E47DC5" w:rsidP="004030AA">
            <w:pPr>
              <w:pStyle w:val="Tabletext"/>
              <w:widowControl w:val="0"/>
              <w:jc w:val="center"/>
            </w:pPr>
          </w:p>
        </w:tc>
        <w:tc>
          <w:tcPr>
            <w:tcW w:w="654" w:type="pct"/>
          </w:tcPr>
          <w:p w14:paraId="2BDD7E01" w14:textId="77777777" w:rsidR="00E47DC5" w:rsidRPr="00020102" w:rsidRDefault="00E47DC5" w:rsidP="004030AA">
            <w:pPr>
              <w:pStyle w:val="Tabletext"/>
              <w:widowControl w:val="0"/>
              <w:jc w:val="center"/>
            </w:pPr>
          </w:p>
        </w:tc>
        <w:tc>
          <w:tcPr>
            <w:tcW w:w="654" w:type="pct"/>
          </w:tcPr>
          <w:p w14:paraId="6B37C24E" w14:textId="77777777" w:rsidR="00E47DC5" w:rsidRPr="00020102" w:rsidRDefault="00E47DC5" w:rsidP="004030AA">
            <w:pPr>
              <w:pStyle w:val="Tabletext"/>
              <w:widowControl w:val="0"/>
              <w:jc w:val="center"/>
            </w:pPr>
          </w:p>
        </w:tc>
        <w:tc>
          <w:tcPr>
            <w:tcW w:w="655" w:type="pct"/>
          </w:tcPr>
          <w:p w14:paraId="55261149" w14:textId="77777777" w:rsidR="00E47DC5" w:rsidRPr="00020102" w:rsidRDefault="00E47DC5" w:rsidP="004030AA">
            <w:pPr>
              <w:pStyle w:val="Tabletext"/>
              <w:widowControl w:val="0"/>
              <w:jc w:val="center"/>
            </w:pPr>
          </w:p>
        </w:tc>
      </w:tr>
      <w:tr w:rsidR="00E47DC5" w:rsidRPr="00020102" w14:paraId="32C48CEF" w14:textId="77777777" w:rsidTr="005462CA">
        <w:trPr>
          <w:trHeight w:val="139"/>
        </w:trPr>
        <w:tc>
          <w:tcPr>
            <w:tcW w:w="1729" w:type="pct"/>
          </w:tcPr>
          <w:p w14:paraId="227E2FD1" w14:textId="77777777" w:rsidR="00E47DC5" w:rsidRDefault="00E47DC5" w:rsidP="00E47DC5">
            <w:pPr>
              <w:pStyle w:val="Tabletext"/>
              <w:widowControl w:val="0"/>
              <w:numPr>
                <w:ilvl w:val="0"/>
                <w:numId w:val="12"/>
              </w:numPr>
              <w:ind w:left="326" w:hanging="142"/>
            </w:pPr>
            <w:r>
              <w:t>Full benefit</w:t>
            </w:r>
          </w:p>
        </w:tc>
        <w:tc>
          <w:tcPr>
            <w:tcW w:w="654" w:type="pct"/>
            <w:noWrap/>
          </w:tcPr>
          <w:p w14:paraId="5DFD1FBE" w14:textId="77777777" w:rsidR="00E47DC5" w:rsidRPr="00020102" w:rsidRDefault="00E47DC5" w:rsidP="004030AA">
            <w:pPr>
              <w:pStyle w:val="Tabletext"/>
              <w:widowControl w:val="0"/>
              <w:jc w:val="center"/>
            </w:pPr>
            <w:r w:rsidRPr="005176D9">
              <w:t>$227,778</w:t>
            </w:r>
          </w:p>
        </w:tc>
        <w:tc>
          <w:tcPr>
            <w:tcW w:w="654" w:type="pct"/>
          </w:tcPr>
          <w:p w14:paraId="52B7AC6A" w14:textId="77777777" w:rsidR="00E47DC5" w:rsidRPr="00020102" w:rsidRDefault="00E47DC5" w:rsidP="004030AA">
            <w:pPr>
              <w:pStyle w:val="Tabletext"/>
              <w:widowControl w:val="0"/>
              <w:jc w:val="center"/>
            </w:pPr>
            <w:r w:rsidRPr="005176D9">
              <w:t>$308,676</w:t>
            </w:r>
          </w:p>
        </w:tc>
        <w:tc>
          <w:tcPr>
            <w:tcW w:w="654" w:type="pct"/>
          </w:tcPr>
          <w:p w14:paraId="6B5E4A07" w14:textId="77777777" w:rsidR="00E47DC5" w:rsidRPr="00020102" w:rsidRDefault="00E47DC5" w:rsidP="004030AA">
            <w:pPr>
              <w:pStyle w:val="Tabletext"/>
              <w:widowControl w:val="0"/>
              <w:jc w:val="center"/>
            </w:pPr>
            <w:r w:rsidRPr="005176D9">
              <w:t>$360,676</w:t>
            </w:r>
          </w:p>
        </w:tc>
        <w:tc>
          <w:tcPr>
            <w:tcW w:w="654" w:type="pct"/>
          </w:tcPr>
          <w:p w14:paraId="1B4AE17C" w14:textId="77777777" w:rsidR="00E47DC5" w:rsidRPr="00020102" w:rsidRDefault="00E47DC5" w:rsidP="004030AA">
            <w:pPr>
              <w:pStyle w:val="Tabletext"/>
              <w:widowControl w:val="0"/>
              <w:jc w:val="center"/>
            </w:pPr>
            <w:r w:rsidRPr="005176D9">
              <w:t>$398,169</w:t>
            </w:r>
          </w:p>
        </w:tc>
        <w:tc>
          <w:tcPr>
            <w:tcW w:w="655" w:type="pct"/>
          </w:tcPr>
          <w:p w14:paraId="22B91E1A" w14:textId="77777777" w:rsidR="00E47DC5" w:rsidRPr="00020102" w:rsidRDefault="00E47DC5" w:rsidP="004030AA">
            <w:pPr>
              <w:pStyle w:val="Tabletext"/>
              <w:widowControl w:val="0"/>
              <w:jc w:val="center"/>
            </w:pPr>
            <w:r w:rsidRPr="005176D9">
              <w:t>$436,740</w:t>
            </w:r>
          </w:p>
        </w:tc>
      </w:tr>
      <w:tr w:rsidR="00E47DC5" w:rsidRPr="00020102" w14:paraId="1A3C6F0A" w14:textId="77777777" w:rsidTr="005462CA">
        <w:trPr>
          <w:trHeight w:val="139"/>
        </w:trPr>
        <w:tc>
          <w:tcPr>
            <w:tcW w:w="1729" w:type="pct"/>
          </w:tcPr>
          <w:p w14:paraId="395F7D39" w14:textId="77777777" w:rsidR="00E47DC5" w:rsidRDefault="00E47DC5" w:rsidP="00E47DC5">
            <w:pPr>
              <w:pStyle w:val="Tabletext"/>
              <w:widowControl w:val="0"/>
              <w:numPr>
                <w:ilvl w:val="0"/>
                <w:numId w:val="12"/>
              </w:numPr>
              <w:ind w:left="326" w:hanging="142"/>
            </w:pPr>
            <w:r>
              <w:lastRenderedPageBreak/>
              <w:t>75% benefit</w:t>
            </w:r>
          </w:p>
        </w:tc>
        <w:tc>
          <w:tcPr>
            <w:tcW w:w="654" w:type="pct"/>
            <w:noWrap/>
          </w:tcPr>
          <w:p w14:paraId="1F53C9BA" w14:textId="77777777" w:rsidR="00E47DC5" w:rsidRPr="00020102" w:rsidRDefault="00E47DC5" w:rsidP="004030AA">
            <w:pPr>
              <w:pStyle w:val="Tabletext"/>
              <w:widowControl w:val="0"/>
              <w:jc w:val="center"/>
            </w:pPr>
            <w:r w:rsidRPr="005176D9">
              <w:t>$170,833</w:t>
            </w:r>
          </w:p>
        </w:tc>
        <w:tc>
          <w:tcPr>
            <w:tcW w:w="654" w:type="pct"/>
          </w:tcPr>
          <w:p w14:paraId="6C6EAC20" w14:textId="77777777" w:rsidR="00E47DC5" w:rsidRPr="00020102" w:rsidRDefault="00E47DC5" w:rsidP="004030AA">
            <w:pPr>
              <w:pStyle w:val="Tabletext"/>
              <w:widowControl w:val="0"/>
              <w:jc w:val="center"/>
            </w:pPr>
            <w:r w:rsidRPr="005176D9">
              <w:t>$231,507</w:t>
            </w:r>
          </w:p>
        </w:tc>
        <w:tc>
          <w:tcPr>
            <w:tcW w:w="654" w:type="pct"/>
          </w:tcPr>
          <w:p w14:paraId="6CCE335F" w14:textId="77777777" w:rsidR="00E47DC5" w:rsidRPr="00020102" w:rsidRDefault="00E47DC5" w:rsidP="004030AA">
            <w:pPr>
              <w:pStyle w:val="Tabletext"/>
              <w:widowControl w:val="0"/>
              <w:jc w:val="center"/>
            </w:pPr>
            <w:r w:rsidRPr="005176D9">
              <w:t>$270,507</w:t>
            </w:r>
          </w:p>
        </w:tc>
        <w:tc>
          <w:tcPr>
            <w:tcW w:w="654" w:type="pct"/>
          </w:tcPr>
          <w:p w14:paraId="3D95A525" w14:textId="77777777" w:rsidR="00E47DC5" w:rsidRPr="00020102" w:rsidRDefault="00E47DC5" w:rsidP="004030AA">
            <w:pPr>
              <w:pStyle w:val="Tabletext"/>
              <w:widowControl w:val="0"/>
              <w:jc w:val="center"/>
            </w:pPr>
            <w:r w:rsidRPr="005176D9">
              <w:t>$298,626</w:t>
            </w:r>
          </w:p>
        </w:tc>
        <w:tc>
          <w:tcPr>
            <w:tcW w:w="655" w:type="pct"/>
          </w:tcPr>
          <w:p w14:paraId="30ED49FE" w14:textId="77777777" w:rsidR="00E47DC5" w:rsidRPr="00020102" w:rsidRDefault="00E47DC5" w:rsidP="004030AA">
            <w:pPr>
              <w:pStyle w:val="Tabletext"/>
              <w:widowControl w:val="0"/>
              <w:jc w:val="center"/>
            </w:pPr>
            <w:r w:rsidRPr="005176D9">
              <w:t>$327,555</w:t>
            </w:r>
          </w:p>
        </w:tc>
      </w:tr>
      <w:tr w:rsidR="00E47DC5" w:rsidRPr="00020102" w14:paraId="6C2F4483" w14:textId="77777777" w:rsidTr="005462CA">
        <w:trPr>
          <w:trHeight w:val="139"/>
        </w:trPr>
        <w:tc>
          <w:tcPr>
            <w:tcW w:w="1729" w:type="pct"/>
          </w:tcPr>
          <w:p w14:paraId="1B7C9D57" w14:textId="77777777" w:rsidR="00E47DC5" w:rsidRPr="00020102" w:rsidRDefault="00E47DC5" w:rsidP="004030AA">
            <w:pPr>
              <w:pStyle w:val="Tabletext"/>
              <w:widowControl w:val="0"/>
            </w:pPr>
            <w:r>
              <w:t xml:space="preserve">Total combined </w:t>
            </w:r>
          </w:p>
        </w:tc>
        <w:tc>
          <w:tcPr>
            <w:tcW w:w="654" w:type="pct"/>
            <w:noWrap/>
          </w:tcPr>
          <w:p w14:paraId="16ACC9C1" w14:textId="77777777" w:rsidR="00E47DC5" w:rsidRPr="00020102" w:rsidRDefault="00E47DC5" w:rsidP="004030AA">
            <w:pPr>
              <w:pStyle w:val="Tabletext"/>
              <w:widowControl w:val="0"/>
              <w:jc w:val="center"/>
            </w:pPr>
          </w:p>
        </w:tc>
        <w:tc>
          <w:tcPr>
            <w:tcW w:w="654" w:type="pct"/>
          </w:tcPr>
          <w:p w14:paraId="7DC4BEF6" w14:textId="77777777" w:rsidR="00E47DC5" w:rsidRPr="00020102" w:rsidRDefault="00E47DC5" w:rsidP="004030AA">
            <w:pPr>
              <w:pStyle w:val="Tabletext"/>
              <w:widowControl w:val="0"/>
              <w:jc w:val="center"/>
            </w:pPr>
          </w:p>
        </w:tc>
        <w:tc>
          <w:tcPr>
            <w:tcW w:w="654" w:type="pct"/>
          </w:tcPr>
          <w:p w14:paraId="7FDED900" w14:textId="77777777" w:rsidR="00E47DC5" w:rsidRDefault="00E47DC5" w:rsidP="004030AA">
            <w:pPr>
              <w:pStyle w:val="Tabletext"/>
              <w:widowControl w:val="0"/>
              <w:jc w:val="center"/>
            </w:pPr>
          </w:p>
        </w:tc>
        <w:tc>
          <w:tcPr>
            <w:tcW w:w="654" w:type="pct"/>
          </w:tcPr>
          <w:p w14:paraId="2337DC19" w14:textId="77777777" w:rsidR="00E47DC5" w:rsidRPr="00020102" w:rsidRDefault="00E47DC5" w:rsidP="004030AA">
            <w:pPr>
              <w:pStyle w:val="Tabletext"/>
              <w:widowControl w:val="0"/>
              <w:jc w:val="center"/>
            </w:pPr>
          </w:p>
        </w:tc>
        <w:tc>
          <w:tcPr>
            <w:tcW w:w="655" w:type="pct"/>
          </w:tcPr>
          <w:p w14:paraId="310371BE" w14:textId="77777777" w:rsidR="00E47DC5" w:rsidRPr="00020102" w:rsidRDefault="00E47DC5" w:rsidP="004030AA">
            <w:pPr>
              <w:pStyle w:val="Tabletext"/>
              <w:widowControl w:val="0"/>
              <w:jc w:val="center"/>
            </w:pPr>
          </w:p>
        </w:tc>
      </w:tr>
      <w:tr w:rsidR="00E47DC5" w:rsidRPr="00020102" w14:paraId="7595CAE0" w14:textId="77777777" w:rsidTr="005462CA">
        <w:trPr>
          <w:trHeight w:val="139"/>
        </w:trPr>
        <w:tc>
          <w:tcPr>
            <w:tcW w:w="1729" w:type="pct"/>
          </w:tcPr>
          <w:p w14:paraId="6C644229" w14:textId="77777777" w:rsidR="00E47DC5" w:rsidRDefault="00E47DC5" w:rsidP="00E47DC5">
            <w:pPr>
              <w:pStyle w:val="Tabletext"/>
              <w:widowControl w:val="0"/>
              <w:numPr>
                <w:ilvl w:val="0"/>
                <w:numId w:val="12"/>
              </w:numPr>
              <w:ind w:left="326" w:hanging="142"/>
            </w:pPr>
            <w:r>
              <w:t>Full benefit</w:t>
            </w:r>
          </w:p>
        </w:tc>
        <w:tc>
          <w:tcPr>
            <w:tcW w:w="654" w:type="pct"/>
            <w:noWrap/>
          </w:tcPr>
          <w:p w14:paraId="5D4B0060" w14:textId="77777777" w:rsidR="00E47DC5" w:rsidRPr="00020102" w:rsidRDefault="00E47DC5" w:rsidP="004030AA">
            <w:pPr>
              <w:pStyle w:val="Tabletext"/>
              <w:widowControl w:val="0"/>
              <w:jc w:val="center"/>
            </w:pPr>
            <w:r w:rsidRPr="005176D9">
              <w:t>$621,224</w:t>
            </w:r>
          </w:p>
        </w:tc>
        <w:tc>
          <w:tcPr>
            <w:tcW w:w="654" w:type="pct"/>
          </w:tcPr>
          <w:p w14:paraId="215A48DB" w14:textId="77777777" w:rsidR="00E47DC5" w:rsidRPr="00020102" w:rsidRDefault="00E47DC5" w:rsidP="004030AA">
            <w:pPr>
              <w:pStyle w:val="Tabletext"/>
              <w:widowControl w:val="0"/>
              <w:jc w:val="center"/>
            </w:pPr>
            <w:r w:rsidRPr="005176D9">
              <w:t>$841,861</w:t>
            </w:r>
          </w:p>
        </w:tc>
        <w:tc>
          <w:tcPr>
            <w:tcW w:w="654" w:type="pct"/>
          </w:tcPr>
          <w:p w14:paraId="1FA9B534" w14:textId="77777777" w:rsidR="00E47DC5" w:rsidRPr="00020102" w:rsidRDefault="00E47DC5" w:rsidP="004030AA">
            <w:pPr>
              <w:pStyle w:val="Tabletext"/>
              <w:widowControl w:val="0"/>
              <w:jc w:val="center"/>
            </w:pPr>
            <w:r w:rsidRPr="005176D9">
              <w:t>$983,682</w:t>
            </w:r>
          </w:p>
        </w:tc>
        <w:tc>
          <w:tcPr>
            <w:tcW w:w="654" w:type="pct"/>
          </w:tcPr>
          <w:p w14:paraId="4C9955D8" w14:textId="77777777" w:rsidR="00E47DC5" w:rsidRPr="00020102" w:rsidRDefault="00E47DC5" w:rsidP="004030AA">
            <w:pPr>
              <w:pStyle w:val="Tabletext"/>
              <w:widowControl w:val="0"/>
              <w:jc w:val="center"/>
            </w:pPr>
            <w:r w:rsidRPr="005176D9">
              <w:t>$1,085,937</w:t>
            </w:r>
          </w:p>
        </w:tc>
        <w:tc>
          <w:tcPr>
            <w:tcW w:w="655" w:type="pct"/>
          </w:tcPr>
          <w:p w14:paraId="317F2406" w14:textId="77777777" w:rsidR="00E47DC5" w:rsidRPr="00020102" w:rsidRDefault="00E47DC5" w:rsidP="004030AA">
            <w:pPr>
              <w:pStyle w:val="Tabletext"/>
              <w:widowControl w:val="0"/>
              <w:jc w:val="center"/>
            </w:pPr>
            <w:r w:rsidRPr="005176D9">
              <w:t>$1,191,135</w:t>
            </w:r>
          </w:p>
        </w:tc>
      </w:tr>
      <w:tr w:rsidR="00E47DC5" w:rsidRPr="00020102" w14:paraId="64E6C27A" w14:textId="77777777" w:rsidTr="005462CA">
        <w:trPr>
          <w:trHeight w:val="139"/>
        </w:trPr>
        <w:tc>
          <w:tcPr>
            <w:tcW w:w="1729" w:type="pct"/>
          </w:tcPr>
          <w:p w14:paraId="0E94E545" w14:textId="77777777" w:rsidR="00E47DC5" w:rsidRDefault="00E47DC5" w:rsidP="00E47DC5">
            <w:pPr>
              <w:pStyle w:val="Tabletext"/>
              <w:widowControl w:val="0"/>
              <w:numPr>
                <w:ilvl w:val="0"/>
                <w:numId w:val="12"/>
              </w:numPr>
              <w:ind w:left="326" w:hanging="142"/>
            </w:pPr>
            <w:r>
              <w:t>75% benefit</w:t>
            </w:r>
          </w:p>
        </w:tc>
        <w:tc>
          <w:tcPr>
            <w:tcW w:w="654" w:type="pct"/>
            <w:noWrap/>
          </w:tcPr>
          <w:p w14:paraId="012C3F25" w14:textId="77777777" w:rsidR="00E47DC5" w:rsidRPr="00020102" w:rsidRDefault="00E47DC5" w:rsidP="004030AA">
            <w:pPr>
              <w:pStyle w:val="Tabletext"/>
              <w:widowControl w:val="0"/>
              <w:jc w:val="center"/>
            </w:pPr>
            <w:r w:rsidRPr="005176D9">
              <w:t>$465,918</w:t>
            </w:r>
          </w:p>
        </w:tc>
        <w:tc>
          <w:tcPr>
            <w:tcW w:w="654" w:type="pct"/>
          </w:tcPr>
          <w:p w14:paraId="197F0EF7" w14:textId="77777777" w:rsidR="00E47DC5" w:rsidRPr="00020102" w:rsidRDefault="00E47DC5" w:rsidP="004030AA">
            <w:pPr>
              <w:pStyle w:val="Tabletext"/>
              <w:widowControl w:val="0"/>
              <w:jc w:val="center"/>
            </w:pPr>
            <w:r w:rsidRPr="005176D9">
              <w:t>$631,396</w:t>
            </w:r>
          </w:p>
        </w:tc>
        <w:tc>
          <w:tcPr>
            <w:tcW w:w="654" w:type="pct"/>
          </w:tcPr>
          <w:p w14:paraId="3A6DC6C4" w14:textId="77777777" w:rsidR="00E47DC5" w:rsidRPr="00020102" w:rsidRDefault="00E47DC5" w:rsidP="004030AA">
            <w:pPr>
              <w:pStyle w:val="Tabletext"/>
              <w:widowControl w:val="0"/>
              <w:jc w:val="center"/>
            </w:pPr>
            <w:r w:rsidRPr="005176D9">
              <w:t>$737,761</w:t>
            </w:r>
          </w:p>
        </w:tc>
        <w:tc>
          <w:tcPr>
            <w:tcW w:w="654" w:type="pct"/>
          </w:tcPr>
          <w:p w14:paraId="206F128D" w14:textId="77777777" w:rsidR="00E47DC5" w:rsidRPr="00020102" w:rsidRDefault="00E47DC5" w:rsidP="004030AA">
            <w:pPr>
              <w:pStyle w:val="Tabletext"/>
              <w:widowControl w:val="0"/>
              <w:jc w:val="center"/>
            </w:pPr>
            <w:r w:rsidRPr="005176D9">
              <w:t>$814,453</w:t>
            </w:r>
          </w:p>
        </w:tc>
        <w:tc>
          <w:tcPr>
            <w:tcW w:w="655" w:type="pct"/>
          </w:tcPr>
          <w:p w14:paraId="60277600" w14:textId="77777777" w:rsidR="00E47DC5" w:rsidRPr="00020102" w:rsidRDefault="00E47DC5" w:rsidP="004030AA">
            <w:pPr>
              <w:pStyle w:val="Tabletext"/>
              <w:widowControl w:val="0"/>
              <w:jc w:val="center"/>
            </w:pPr>
            <w:r w:rsidRPr="005176D9">
              <w:t>$893,351</w:t>
            </w:r>
          </w:p>
        </w:tc>
      </w:tr>
      <w:tr w:rsidR="00E47DC5" w:rsidRPr="00020102" w14:paraId="45A9906B" w14:textId="77777777" w:rsidTr="005462CA">
        <w:trPr>
          <w:trHeight w:val="139"/>
        </w:trPr>
        <w:tc>
          <w:tcPr>
            <w:tcW w:w="1729" w:type="pct"/>
          </w:tcPr>
          <w:p w14:paraId="03BFB26B" w14:textId="77777777" w:rsidR="00E47DC5" w:rsidRPr="00930ADA" w:rsidRDefault="00E47DC5" w:rsidP="004030AA">
            <w:pPr>
              <w:pStyle w:val="Tabletext"/>
              <w:widowControl w:val="0"/>
              <w:rPr>
                <w:i/>
                <w:iCs/>
              </w:rPr>
            </w:pPr>
            <w:r>
              <w:rPr>
                <w:i/>
                <w:iCs/>
              </w:rPr>
              <w:t>Relevant to MBS assuming 54% of services provided at private centres*</w:t>
            </w:r>
          </w:p>
        </w:tc>
        <w:tc>
          <w:tcPr>
            <w:tcW w:w="654" w:type="pct"/>
            <w:noWrap/>
          </w:tcPr>
          <w:p w14:paraId="6C2C5C27" w14:textId="77777777" w:rsidR="00E47DC5" w:rsidRPr="00020102" w:rsidRDefault="00E47DC5" w:rsidP="004030AA">
            <w:pPr>
              <w:pStyle w:val="Tabletext"/>
              <w:widowControl w:val="0"/>
              <w:jc w:val="center"/>
            </w:pPr>
            <w:r w:rsidRPr="001A3247">
              <w:t>$251,596</w:t>
            </w:r>
          </w:p>
        </w:tc>
        <w:tc>
          <w:tcPr>
            <w:tcW w:w="654" w:type="pct"/>
          </w:tcPr>
          <w:p w14:paraId="7CD84797" w14:textId="77777777" w:rsidR="00E47DC5" w:rsidRPr="00020102" w:rsidRDefault="00E47DC5" w:rsidP="004030AA">
            <w:pPr>
              <w:pStyle w:val="Tabletext"/>
              <w:widowControl w:val="0"/>
              <w:jc w:val="center"/>
            </w:pPr>
            <w:r w:rsidRPr="001A3247">
              <w:t>$340,954</w:t>
            </w:r>
          </w:p>
        </w:tc>
        <w:tc>
          <w:tcPr>
            <w:tcW w:w="654" w:type="pct"/>
          </w:tcPr>
          <w:p w14:paraId="103F5CC7" w14:textId="77777777" w:rsidR="00E47DC5" w:rsidRDefault="00E47DC5" w:rsidP="004030AA">
            <w:pPr>
              <w:pStyle w:val="Tabletext"/>
              <w:widowControl w:val="0"/>
              <w:jc w:val="center"/>
            </w:pPr>
            <w:r w:rsidRPr="001A3247">
              <w:t>$398,391</w:t>
            </w:r>
          </w:p>
        </w:tc>
        <w:tc>
          <w:tcPr>
            <w:tcW w:w="654" w:type="pct"/>
          </w:tcPr>
          <w:p w14:paraId="69D6E794" w14:textId="77777777" w:rsidR="00E47DC5" w:rsidRPr="00020102" w:rsidRDefault="00E47DC5" w:rsidP="004030AA">
            <w:pPr>
              <w:pStyle w:val="Tabletext"/>
              <w:widowControl w:val="0"/>
              <w:jc w:val="center"/>
            </w:pPr>
            <w:r w:rsidRPr="001A3247">
              <w:t>$439,804</w:t>
            </w:r>
          </w:p>
        </w:tc>
        <w:tc>
          <w:tcPr>
            <w:tcW w:w="655" w:type="pct"/>
          </w:tcPr>
          <w:p w14:paraId="747EF5D3" w14:textId="77777777" w:rsidR="00E47DC5" w:rsidRPr="00020102" w:rsidRDefault="00E47DC5" w:rsidP="004030AA">
            <w:pPr>
              <w:pStyle w:val="Tabletext"/>
              <w:widowControl w:val="0"/>
              <w:jc w:val="center"/>
            </w:pPr>
            <w:r w:rsidRPr="001A3247">
              <w:t>$482,410</w:t>
            </w:r>
          </w:p>
        </w:tc>
      </w:tr>
    </w:tbl>
    <w:p w14:paraId="151640F3" w14:textId="77777777" w:rsidR="00E47DC5" w:rsidRDefault="00E47DC5" w:rsidP="00E47DC5">
      <w:pPr>
        <w:pStyle w:val="TableNote"/>
        <w:keepNext w:val="0"/>
        <w:keepLines w:val="0"/>
        <w:widowControl w:val="0"/>
      </w:pPr>
      <w:r>
        <w:t xml:space="preserve">Abbreviations: DMR, degenerative mitral regurgitation; FMR, functional mitral regurgitation; MDHT, </w:t>
      </w:r>
      <w:r w:rsidRPr="00157E59">
        <w:t>multi</w:t>
      </w:r>
      <w:r>
        <w:t>disciplinary</w:t>
      </w:r>
      <w:r w:rsidRPr="00157E59">
        <w:t xml:space="preserve"> heart team</w:t>
      </w:r>
      <w:r>
        <w:t xml:space="preserve">; TMVr, </w:t>
      </w:r>
      <w:r w:rsidRPr="004C332C">
        <w:t>transcatheter mitral valve repair</w:t>
      </w:r>
      <w:r>
        <w:t>.</w:t>
      </w:r>
    </w:p>
    <w:p w14:paraId="11C66938" w14:textId="77777777" w:rsidR="00E47DC5" w:rsidRDefault="00E47DC5" w:rsidP="00E47DC5">
      <w:pPr>
        <w:pStyle w:val="TableNote"/>
        <w:keepNext w:val="0"/>
        <w:keepLines w:val="0"/>
        <w:widowControl w:val="0"/>
      </w:pPr>
      <w:r>
        <w:t xml:space="preserve">Note: See the attached spreadsheet for full calculation details. </w:t>
      </w:r>
    </w:p>
    <w:p w14:paraId="03BF5301" w14:textId="77777777" w:rsidR="00E47DC5" w:rsidRDefault="00E47DC5" w:rsidP="00E47DC5">
      <w:pPr>
        <w:pStyle w:val="TableNote"/>
        <w:keepNext w:val="0"/>
        <w:keepLines w:val="0"/>
        <w:widowControl w:val="0"/>
      </w:pPr>
      <w:r>
        <w:t xml:space="preserve">^ Adjusted for retreatments at </w:t>
      </w:r>
      <w:r w:rsidRPr="00F4267B">
        <w:t>1</w:t>
      </w:r>
      <w:r>
        <w:t>.</w:t>
      </w:r>
      <w:r w:rsidRPr="00F4267B">
        <w:t>28</w:t>
      </w:r>
      <w:r>
        <w:t>%</w:t>
      </w:r>
      <w:r w:rsidRPr="00F4267B">
        <w:t xml:space="preserve"> and 2</w:t>
      </w:r>
      <w:r>
        <w:t>.</w:t>
      </w:r>
      <w:r w:rsidRPr="00F4267B">
        <w:t>98</w:t>
      </w:r>
      <w:r>
        <w:t>%</w:t>
      </w:r>
      <w:r w:rsidRPr="00F4267B">
        <w:t xml:space="preserve"> for DMR and FMR</w:t>
      </w:r>
      <w:r>
        <w:t xml:space="preserve">, respectively </w:t>
      </w:r>
      <w:r>
        <w:fldChar w:fldCharType="begin">
          <w:fldData xml:space="preserve">PEVuZE5vdGU+PENpdGU+PEF1dGhvcj5TdG9uZTwvQXV0aG9yPjxZZWFyPjIwMTg8L1llYXI+PFJl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IGpvdXJuYWwgb2YgbWVkaWNpbmU8L2FiYnItMT48L2FsdC1wZXJpb2RpY2FsPjxwYWdlcz4yMzA3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LTE+PC9hbHQtcGVyaW9kaWNhbD48cGFnZXM+MTMwLTk8L3BhZ2VzPjx2b2x1bWU+NTk8L3ZvbHVt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==
</w:fldData>
        </w:fldChar>
      </w:r>
      <w:r>
        <w:instrText xml:space="preserve"> ADDIN EN.CITE </w:instrText>
      </w:r>
      <w:r>
        <w:fldChar w:fldCharType="begin">
          <w:fldData xml:space="preserve">PEVuZE5vdGU+PENpdGU+PEF1dGhvcj5TdG9uZTwvQXV0aG9yPjxZZWFyPjIwMTg8L1llYXI+PFJl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==
</w:fldData>
        </w:fldChar>
      </w:r>
      <w:r>
        <w:instrText xml:space="preserve"> ADDIN EN.CITE.DATA </w:instrText>
      </w:r>
      <w:r>
        <w:fldChar w:fldCharType="end"/>
      </w:r>
      <w:r>
        <w:fldChar w:fldCharType="separate"/>
      </w:r>
      <w:r>
        <w:rPr>
          <w:noProof/>
        </w:rPr>
        <w:t>(</w:t>
      </w:r>
      <w:hyperlink w:anchor="_ENREF_53" w:tooltip="Whitlow, 2012 #7" w:history="1">
        <w:r>
          <w:rPr>
            <w:noProof/>
          </w:rPr>
          <w:t>Whitlow et al. 2012</w:t>
        </w:r>
      </w:hyperlink>
      <w:r>
        <w:rPr>
          <w:noProof/>
        </w:rPr>
        <w:t xml:space="preserve">, </w:t>
      </w:r>
      <w:hyperlink w:anchor="_ENREF_48" w:tooltip="Stone, 2018 #41" w:history="1">
        <w:r>
          <w:rPr>
            <w:noProof/>
          </w:rPr>
          <w:t>Stone et al. 2018</w:t>
        </w:r>
      </w:hyperlink>
      <w:r>
        <w:rPr>
          <w:noProof/>
        </w:rPr>
        <w:t>)</w:t>
      </w:r>
      <w:r>
        <w:fldChar w:fldCharType="end"/>
      </w:r>
      <w:r>
        <w:t>.</w:t>
      </w:r>
    </w:p>
    <w:p w14:paraId="5DDFEFAE" w14:textId="5731091E" w:rsidR="00E47DC5" w:rsidRDefault="00E47DC5" w:rsidP="00E47DC5">
      <w:pPr>
        <w:pStyle w:val="TableNote"/>
        <w:keepNext w:val="0"/>
        <w:keepLines w:val="0"/>
        <w:widowControl w:val="0"/>
      </w:pPr>
      <w:r>
        <w:t xml:space="preserve">* 54% of Australians aged +60 years old were covered by private health insurance (as of Dec 2018; </w:t>
      </w:r>
      <w:hyperlink r:id="rId14" w:tooltip="Link to APRA website, private health insurance annual coverage survey" w:history="1">
        <w:r w:rsidRPr="004F6E8F">
          <w:rPr>
            <w:rStyle w:val="Hyperlink"/>
          </w:rPr>
          <w:t>https://www.apra.gov.au/private-health-insurance-annual-coverage-survey</w:t>
        </w:r>
      </w:hyperlink>
      <w:r>
        <w:t>).</w:t>
      </w:r>
    </w:p>
    <w:p w14:paraId="72FAC764" w14:textId="77777777" w:rsidR="00E47DC5" w:rsidRDefault="00E47DC5" w:rsidP="00E47DC5">
      <w:pPr>
        <w:pStyle w:val="TableNote"/>
        <w:keepNext w:val="0"/>
        <w:keepLines w:val="0"/>
        <w:widowControl w:val="0"/>
      </w:pPr>
      <w:r>
        <w:t>Source: Table 6, p33 of ADAR.</w:t>
      </w:r>
    </w:p>
    <w:p w14:paraId="19C037B9" w14:textId="77777777" w:rsidR="00E47DC5" w:rsidRDefault="00E47DC5" w:rsidP="009C5AB3">
      <w:pPr>
        <w:spacing w:before="240"/>
      </w:pPr>
      <w:r>
        <w:t>The commentary noted a number of issues/uncertainties that impact on the financial estimates presented in the ADAR:</w:t>
      </w:r>
    </w:p>
    <w:p w14:paraId="7E26795D" w14:textId="77777777" w:rsidR="00E47DC5" w:rsidRDefault="00E47DC5" w:rsidP="00E47DC5">
      <w:pPr>
        <w:pStyle w:val="ListParagraph"/>
        <w:numPr>
          <w:ilvl w:val="0"/>
          <w:numId w:val="13"/>
        </w:numPr>
      </w:pPr>
      <w:r>
        <w:t>T</w:t>
      </w:r>
      <w:r w:rsidRPr="00E3116F">
        <w:t>he financial implication analysis was not validated against the clinical data. As such, the estimates are based on either significantly underestimated FMR rates, or overestimated DMR rates, and are uncertai</w:t>
      </w:r>
      <w:r w:rsidRPr="005A5A6C">
        <w:rPr>
          <w:iCs/>
        </w:rPr>
        <w:t>n.</w:t>
      </w:r>
      <w:r w:rsidRPr="00E3116F">
        <w:t xml:space="preserve"> </w:t>
      </w:r>
    </w:p>
    <w:p w14:paraId="250AD7BA" w14:textId="77777777" w:rsidR="00E47DC5" w:rsidRPr="00F75D65" w:rsidRDefault="00E47DC5" w:rsidP="00E47DC5">
      <w:pPr>
        <w:pStyle w:val="ListParagraph"/>
        <w:numPr>
          <w:ilvl w:val="0"/>
          <w:numId w:val="13"/>
        </w:numPr>
        <w:rPr>
          <w:rStyle w:val="Emphasis"/>
          <w:i w:val="0"/>
        </w:rPr>
      </w:pPr>
      <w:r w:rsidRPr="00F75D65">
        <w:t>The ADAR inappropriately assumed the MBS would not pay for patients treated in a private hospital. MBS items still apply to private patients and shoul</w:t>
      </w:r>
      <w:r w:rsidRPr="008F60BE">
        <w:t xml:space="preserve">d not be excluded. </w:t>
      </w:r>
      <w:r w:rsidRPr="009C5AB3">
        <w:rPr>
          <w:rStyle w:val="Emphasis"/>
          <w:rFonts w:ascii="Times New Roman" w:hAnsi="Times New Roman"/>
          <w:i w:val="0"/>
          <w:iCs/>
        </w:rPr>
        <w:t>Therefore, there is potential for the net cost/year to the MBS to be significantly greater than estimated in the ADAR.</w:t>
      </w:r>
    </w:p>
    <w:p w14:paraId="2C02C6A0" w14:textId="77777777" w:rsidR="00E47DC5" w:rsidRPr="005A5A6C" w:rsidRDefault="00E47DC5" w:rsidP="00E47DC5">
      <w:pPr>
        <w:pStyle w:val="ListParagraph"/>
        <w:numPr>
          <w:ilvl w:val="0"/>
          <w:numId w:val="13"/>
        </w:numPr>
        <w:spacing w:before="240"/>
      </w:pPr>
      <w:r>
        <w:t>Uptake assumptions were applied to reflect the applicant’s argument that</w:t>
      </w:r>
      <w:r w:rsidRPr="00E3116F">
        <w:t xml:space="preserve"> supply issues (i.e. not enough specialists or locations to conduct the surgery) will limit the uptake of TMVr</w:t>
      </w:r>
      <w:r>
        <w:t>. The commentary notes s</w:t>
      </w:r>
      <w:r w:rsidRPr="005A5A6C">
        <w:rPr>
          <w:iCs/>
        </w:rPr>
        <w:t>uch uptake assumptions were applied in the previous resubmission (Application 1192.2) and were criticised for introducing high uncertainty (</w:t>
      </w:r>
      <w:r w:rsidRPr="00E3116F">
        <w:t xml:space="preserve">PSD Application No. 1192.2, </w:t>
      </w:r>
      <w:r w:rsidRPr="005A5A6C">
        <w:rPr>
          <w:iCs/>
        </w:rPr>
        <w:t xml:space="preserve">p11). </w:t>
      </w:r>
    </w:p>
    <w:p w14:paraId="018AA99E" w14:textId="77777777" w:rsidR="00E47DC5" w:rsidRPr="00E3116F" w:rsidRDefault="00E47DC5" w:rsidP="00E47DC5">
      <w:pPr>
        <w:pStyle w:val="ListParagraph"/>
        <w:numPr>
          <w:ilvl w:val="0"/>
          <w:numId w:val="13"/>
        </w:numPr>
        <w:spacing w:before="240"/>
      </w:pPr>
      <w:r>
        <w:t>The model used u</w:t>
      </w:r>
      <w:r w:rsidRPr="00E3116F">
        <w:t>ptake rates of 15% in year 1 increasing to 27% in year 5</w:t>
      </w:r>
      <w:r>
        <w:t xml:space="preserve"> which the ADAR claimed to be similar to</w:t>
      </w:r>
      <w:r w:rsidRPr="00E3116F">
        <w:t xml:space="preserve"> the use of TAVI on the MBS</w:t>
      </w:r>
      <w:r>
        <w:t>.</w:t>
      </w:r>
      <w:r w:rsidRPr="005A5A6C">
        <w:rPr>
          <w:iCs/>
        </w:rPr>
        <w:t xml:space="preserve"> </w:t>
      </w:r>
      <w:r>
        <w:rPr>
          <w:iCs/>
        </w:rPr>
        <w:t xml:space="preserve">However, the commentary reports that for TAVI </w:t>
      </w:r>
      <w:r w:rsidRPr="005A5A6C">
        <w:rPr>
          <w:iCs/>
        </w:rPr>
        <w:t>MBS item 38495</w:t>
      </w:r>
      <w:r>
        <w:rPr>
          <w:iCs/>
        </w:rPr>
        <w:t>,</w:t>
      </w:r>
      <w:r w:rsidRPr="005A5A6C">
        <w:rPr>
          <w:iCs/>
        </w:rPr>
        <w:t xml:space="preserve"> 1003 services were claimed in the first year (between December 2017 and November 2018), while 1452 services were claimed in the second year (December 2018 to November 2019), representing a 44.8% increase in utilisation. </w:t>
      </w:r>
      <w:r>
        <w:rPr>
          <w:iCs/>
        </w:rPr>
        <w:t>T</w:t>
      </w:r>
      <w:r w:rsidRPr="005A5A6C">
        <w:rPr>
          <w:iCs/>
        </w:rPr>
        <w:t xml:space="preserve">he difference between the uptake rates used in the model and the uptake rates observed for TAVI indicate that uptake rates have been significantly underestimated. </w:t>
      </w:r>
    </w:p>
    <w:p w14:paraId="464FC931" w14:textId="636D06FE" w:rsidR="00B23FB0" w:rsidRPr="00B23FB0" w:rsidRDefault="00E47DC5" w:rsidP="00B23FB0">
      <w:pPr>
        <w:spacing w:before="240" w:after="240"/>
        <w:rPr>
          <w:iCs/>
          <w:szCs w:val="24"/>
        </w:rPr>
      </w:pPr>
      <w:r w:rsidRPr="009C5AB3">
        <w:rPr>
          <w:rStyle w:val="Emphasis"/>
          <w:rFonts w:ascii="Times New Roman" w:hAnsi="Times New Roman"/>
          <w:i w:val="0"/>
          <w:iCs/>
        </w:rPr>
        <w:t>The commentary presented additional sensitivity analysis considering only MBS costs and considering all patients covered by the MBS. The financial impact is between $465,918 (year 1) to $893,351 (year 5) (</w:t>
      </w:r>
      <w:r w:rsidRPr="009C5AB3">
        <w:rPr>
          <w:rStyle w:val="Emphasis"/>
          <w:rFonts w:ascii="Times New Roman" w:hAnsi="Times New Roman"/>
          <w:i w:val="0"/>
          <w:iCs/>
        </w:rPr>
        <w:fldChar w:fldCharType="begin"/>
      </w:r>
      <w:r w:rsidRPr="009C5AB3">
        <w:rPr>
          <w:rStyle w:val="Emphasis"/>
          <w:rFonts w:ascii="Times New Roman" w:hAnsi="Times New Roman"/>
          <w:i w:val="0"/>
          <w:iCs/>
        </w:rPr>
        <w:instrText xml:space="preserve"> REF _Ref29919146 \h  \* MERGEFORMAT </w:instrText>
      </w:r>
      <w:r w:rsidRPr="009C5AB3">
        <w:rPr>
          <w:rStyle w:val="Emphasis"/>
          <w:rFonts w:ascii="Times New Roman" w:hAnsi="Times New Roman"/>
          <w:i w:val="0"/>
          <w:iCs/>
        </w:rPr>
      </w:r>
      <w:r w:rsidRPr="009C5AB3">
        <w:rPr>
          <w:rStyle w:val="Emphasis"/>
          <w:rFonts w:ascii="Times New Roman" w:hAnsi="Times New Roman"/>
          <w:i w:val="0"/>
          <w:iCs/>
        </w:rPr>
        <w:fldChar w:fldCharType="separate"/>
      </w:r>
      <w:r w:rsidRPr="00F75D65">
        <w:t xml:space="preserve">Table </w:t>
      </w:r>
      <w:r w:rsidR="00981A33">
        <w:t>13</w:t>
      </w:r>
      <w:r w:rsidRPr="009C5AB3">
        <w:rPr>
          <w:rStyle w:val="Emphasis"/>
          <w:rFonts w:ascii="Times New Roman" w:hAnsi="Times New Roman"/>
          <w:i w:val="0"/>
          <w:iCs/>
        </w:rPr>
        <w:fldChar w:fldCharType="end"/>
      </w:r>
      <w:r w:rsidRPr="009C5AB3">
        <w:rPr>
          <w:rStyle w:val="Emphasis"/>
          <w:rFonts w:ascii="Times New Roman" w:hAnsi="Times New Roman"/>
          <w:i w:val="0"/>
          <w:iCs/>
        </w:rPr>
        <w:t>). Identified uncertainty in the parameters included in the financial impact analysis included the proportion of eligible patients who were either FMR or DMR, annual uptake rates, the proportion of patients that were inoperable for current surgery, and the proportion of patients who were deemed suitable for TMVr by a MDHT. These variables were all tested by applying the maximum possible value (</w:t>
      </w:r>
      <w:r w:rsidR="00CD186E" w:rsidRPr="009C5AB3">
        <w:rPr>
          <w:rStyle w:val="Emphasis"/>
          <w:rFonts w:ascii="Times New Roman" w:hAnsi="Times New Roman"/>
          <w:i w:val="0"/>
          <w:iCs/>
        </w:rPr>
        <w:t>i.e.</w:t>
      </w:r>
      <w:r w:rsidRPr="009C5AB3">
        <w:rPr>
          <w:rStyle w:val="Emphasis"/>
          <w:rFonts w:ascii="Times New Roman" w:hAnsi="Times New Roman"/>
          <w:i w:val="0"/>
          <w:iCs/>
        </w:rPr>
        <w:t xml:space="preserve"> 100%) to assess the impact on the financial impact (</w:t>
      </w:r>
      <w:r w:rsidRPr="009C5AB3">
        <w:rPr>
          <w:rStyle w:val="Emphasis"/>
          <w:rFonts w:ascii="Times New Roman" w:hAnsi="Times New Roman"/>
          <w:i w:val="0"/>
          <w:iCs/>
        </w:rPr>
        <w:fldChar w:fldCharType="begin"/>
      </w:r>
      <w:r w:rsidRPr="009C5AB3">
        <w:rPr>
          <w:rStyle w:val="Emphasis"/>
          <w:rFonts w:ascii="Times New Roman" w:hAnsi="Times New Roman"/>
          <w:i w:val="0"/>
          <w:iCs/>
        </w:rPr>
        <w:instrText xml:space="preserve"> REF _Ref29919146 \h  \* MERGEFORMAT </w:instrText>
      </w:r>
      <w:r w:rsidRPr="009C5AB3">
        <w:rPr>
          <w:rStyle w:val="Emphasis"/>
          <w:rFonts w:ascii="Times New Roman" w:hAnsi="Times New Roman"/>
          <w:i w:val="0"/>
          <w:iCs/>
        </w:rPr>
      </w:r>
      <w:r w:rsidRPr="009C5AB3">
        <w:rPr>
          <w:rStyle w:val="Emphasis"/>
          <w:rFonts w:ascii="Times New Roman" w:hAnsi="Times New Roman"/>
          <w:i w:val="0"/>
          <w:iCs/>
        </w:rPr>
        <w:fldChar w:fldCharType="separate"/>
      </w:r>
      <w:r w:rsidRPr="00F75D65">
        <w:t xml:space="preserve">Table </w:t>
      </w:r>
      <w:r w:rsidR="00981A33">
        <w:t>13</w:t>
      </w:r>
      <w:r w:rsidRPr="009C5AB3">
        <w:rPr>
          <w:rStyle w:val="Emphasis"/>
          <w:rFonts w:ascii="Times New Roman" w:hAnsi="Times New Roman"/>
          <w:i w:val="0"/>
          <w:iCs/>
        </w:rPr>
        <w:fldChar w:fldCharType="end"/>
      </w:r>
      <w:bookmarkStart w:id="46" w:name="_Ref29919146"/>
      <w:bookmarkStart w:id="47" w:name="_Toc31314959"/>
      <w:r w:rsidR="00B23FB0">
        <w:rPr>
          <w:rStyle w:val="Emphasis"/>
          <w:rFonts w:ascii="Times New Roman" w:hAnsi="Times New Roman"/>
          <w:i w:val="0"/>
          <w:iCs/>
        </w:rPr>
        <w:t>).</w:t>
      </w:r>
      <w:r w:rsidR="00B23FB0">
        <w:br w:type="page"/>
      </w:r>
    </w:p>
    <w:p w14:paraId="07DEC459" w14:textId="7F38EFAD" w:rsidR="00E47DC5" w:rsidRPr="00BE70ED" w:rsidRDefault="00E47DC5" w:rsidP="00BE70ED">
      <w:pPr>
        <w:rPr>
          <w:rFonts w:ascii="Arial Narrow" w:hAnsi="Arial Narrow"/>
          <w:b/>
          <w:sz w:val="20"/>
        </w:rPr>
      </w:pPr>
      <w:r w:rsidRPr="00BE70ED">
        <w:rPr>
          <w:rFonts w:ascii="Arial Narrow" w:hAnsi="Arial Narrow"/>
          <w:b/>
          <w:sz w:val="20"/>
        </w:rPr>
        <w:lastRenderedPageBreak/>
        <w:t xml:space="preserve">Table </w:t>
      </w:r>
      <w:r w:rsidR="00ED24C6" w:rsidRPr="00BE70ED">
        <w:rPr>
          <w:rFonts w:ascii="Arial Narrow" w:hAnsi="Arial Narrow"/>
          <w:b/>
          <w:sz w:val="20"/>
        </w:rPr>
        <w:fldChar w:fldCharType="begin"/>
      </w:r>
      <w:r w:rsidR="00ED24C6" w:rsidRPr="00BE70ED">
        <w:rPr>
          <w:rFonts w:ascii="Arial Narrow" w:hAnsi="Arial Narrow"/>
          <w:b/>
          <w:sz w:val="20"/>
        </w:rPr>
        <w:instrText xml:space="preserve"> SEQ Table \* ARABIC </w:instrText>
      </w:r>
      <w:r w:rsidR="00ED24C6" w:rsidRPr="00BE70ED">
        <w:rPr>
          <w:rFonts w:ascii="Arial Narrow" w:hAnsi="Arial Narrow"/>
          <w:b/>
          <w:sz w:val="20"/>
        </w:rPr>
        <w:fldChar w:fldCharType="separate"/>
      </w:r>
      <w:r w:rsidRPr="00BE70ED">
        <w:rPr>
          <w:rFonts w:ascii="Arial Narrow" w:hAnsi="Arial Narrow"/>
          <w:b/>
          <w:sz w:val="20"/>
        </w:rPr>
        <w:t>1</w:t>
      </w:r>
      <w:r w:rsidR="00981A33" w:rsidRPr="00BE70ED">
        <w:rPr>
          <w:rFonts w:ascii="Arial Narrow" w:hAnsi="Arial Narrow"/>
          <w:b/>
          <w:sz w:val="20"/>
        </w:rPr>
        <w:t>3</w:t>
      </w:r>
      <w:r w:rsidR="00ED24C6" w:rsidRPr="00BE70ED">
        <w:rPr>
          <w:rFonts w:ascii="Arial Narrow" w:hAnsi="Arial Narrow"/>
          <w:b/>
          <w:sz w:val="20"/>
        </w:rPr>
        <w:fldChar w:fldCharType="end"/>
      </w:r>
      <w:bookmarkEnd w:id="46"/>
      <w:r w:rsidRPr="00BE70ED">
        <w:rPr>
          <w:rFonts w:ascii="Arial Narrow" w:hAnsi="Arial Narrow"/>
          <w:b/>
          <w:sz w:val="20"/>
        </w:rPr>
        <w:tab/>
        <w:t>Additional sensitivity analysis for the financial impact model (75% Benefit)</w:t>
      </w:r>
      <w:bookmarkEnd w:id="47"/>
    </w:p>
    <w:tbl>
      <w:tblPr>
        <w:tblStyle w:val="TableGrid"/>
        <w:tblW w:w="5003" w:type="pct"/>
        <w:tblLayout w:type="fixed"/>
        <w:tblLook w:val="04A0" w:firstRow="1" w:lastRow="0" w:firstColumn="1" w:lastColumn="0" w:noHBand="0" w:noVBand="1"/>
        <w:tblCaption w:val="Table 49 "/>
        <w:tblDescription w:val="Other financial costs associated with the listing TMVr to other government health budgets"/>
      </w:tblPr>
      <w:tblGrid>
        <w:gridCol w:w="3402"/>
        <w:gridCol w:w="1133"/>
        <w:gridCol w:w="1135"/>
        <w:gridCol w:w="1133"/>
        <w:gridCol w:w="1135"/>
        <w:gridCol w:w="1083"/>
      </w:tblGrid>
      <w:tr w:rsidR="00E47DC5" w:rsidRPr="00B915EF" w14:paraId="2942F369" w14:textId="77777777" w:rsidTr="005462CA">
        <w:trPr>
          <w:trHeight w:val="304"/>
          <w:tblHeader/>
        </w:trPr>
        <w:tc>
          <w:tcPr>
            <w:tcW w:w="1886" w:type="pct"/>
          </w:tcPr>
          <w:p w14:paraId="081F36FE" w14:textId="77777777" w:rsidR="00E47DC5" w:rsidRPr="00B915EF" w:rsidRDefault="00E47DC5" w:rsidP="004030AA">
            <w:pPr>
              <w:spacing w:before="40" w:after="40"/>
              <w:rPr>
                <w:rFonts w:ascii="Arial Narrow" w:hAnsi="Arial Narrow"/>
                <w:b/>
                <w:bCs/>
                <w:sz w:val="20"/>
              </w:rPr>
            </w:pPr>
            <w:r w:rsidRPr="00B915EF">
              <w:rPr>
                <w:rFonts w:ascii="Arial Narrow" w:hAnsi="Arial Narrow"/>
                <w:b/>
                <w:bCs/>
                <w:sz w:val="20"/>
              </w:rPr>
              <w:t>Year</w:t>
            </w:r>
          </w:p>
        </w:tc>
        <w:tc>
          <w:tcPr>
            <w:tcW w:w="628" w:type="pct"/>
            <w:noWrap/>
          </w:tcPr>
          <w:p w14:paraId="308D6BA4" w14:textId="77777777" w:rsidR="00E47DC5" w:rsidRPr="00B915EF" w:rsidRDefault="00E47DC5" w:rsidP="004030AA">
            <w:pPr>
              <w:spacing w:before="40" w:after="40"/>
              <w:jc w:val="center"/>
              <w:rPr>
                <w:rFonts w:ascii="Arial Narrow" w:hAnsi="Arial Narrow"/>
                <w:b/>
                <w:bCs/>
                <w:sz w:val="20"/>
              </w:rPr>
            </w:pPr>
            <w:r w:rsidRPr="00B915EF">
              <w:rPr>
                <w:rFonts w:ascii="Arial Narrow" w:hAnsi="Arial Narrow"/>
                <w:b/>
                <w:bCs/>
                <w:sz w:val="20"/>
              </w:rPr>
              <w:t>Year 1</w:t>
            </w:r>
          </w:p>
        </w:tc>
        <w:tc>
          <w:tcPr>
            <w:tcW w:w="629" w:type="pct"/>
          </w:tcPr>
          <w:p w14:paraId="3C67435A" w14:textId="77777777" w:rsidR="00E47DC5" w:rsidRPr="00B915EF" w:rsidRDefault="00E47DC5" w:rsidP="004030AA">
            <w:pPr>
              <w:spacing w:before="40" w:after="40"/>
              <w:jc w:val="center"/>
              <w:rPr>
                <w:rFonts w:ascii="Arial Narrow" w:hAnsi="Arial Narrow"/>
                <w:b/>
                <w:bCs/>
                <w:sz w:val="20"/>
              </w:rPr>
            </w:pPr>
            <w:r w:rsidRPr="00B915EF">
              <w:rPr>
                <w:rFonts w:ascii="Arial Narrow" w:hAnsi="Arial Narrow"/>
                <w:b/>
                <w:bCs/>
                <w:sz w:val="20"/>
              </w:rPr>
              <w:t>Year 2</w:t>
            </w:r>
          </w:p>
        </w:tc>
        <w:tc>
          <w:tcPr>
            <w:tcW w:w="628" w:type="pct"/>
          </w:tcPr>
          <w:p w14:paraId="608FA631" w14:textId="77777777" w:rsidR="00E47DC5" w:rsidRPr="00B915EF" w:rsidRDefault="00E47DC5" w:rsidP="004030AA">
            <w:pPr>
              <w:spacing w:before="40" w:after="40"/>
              <w:jc w:val="center"/>
              <w:rPr>
                <w:rFonts w:ascii="Arial Narrow" w:hAnsi="Arial Narrow"/>
                <w:b/>
                <w:bCs/>
                <w:sz w:val="20"/>
              </w:rPr>
            </w:pPr>
            <w:r w:rsidRPr="00B915EF">
              <w:rPr>
                <w:rFonts w:ascii="Arial Narrow" w:hAnsi="Arial Narrow"/>
                <w:b/>
                <w:bCs/>
                <w:sz w:val="20"/>
              </w:rPr>
              <w:t>Year 3</w:t>
            </w:r>
          </w:p>
        </w:tc>
        <w:tc>
          <w:tcPr>
            <w:tcW w:w="629" w:type="pct"/>
          </w:tcPr>
          <w:p w14:paraId="01E77F1F" w14:textId="77777777" w:rsidR="00E47DC5" w:rsidRPr="00B915EF" w:rsidRDefault="00E47DC5" w:rsidP="004030AA">
            <w:pPr>
              <w:spacing w:before="40" w:after="40"/>
              <w:jc w:val="center"/>
              <w:rPr>
                <w:rFonts w:ascii="Arial Narrow" w:hAnsi="Arial Narrow"/>
                <w:b/>
                <w:bCs/>
                <w:sz w:val="20"/>
              </w:rPr>
            </w:pPr>
            <w:r w:rsidRPr="00B915EF">
              <w:rPr>
                <w:rFonts w:ascii="Arial Narrow" w:hAnsi="Arial Narrow"/>
                <w:b/>
                <w:bCs/>
                <w:sz w:val="20"/>
              </w:rPr>
              <w:t>Year 4</w:t>
            </w:r>
          </w:p>
        </w:tc>
        <w:tc>
          <w:tcPr>
            <w:tcW w:w="600" w:type="pct"/>
          </w:tcPr>
          <w:p w14:paraId="29046928" w14:textId="77777777" w:rsidR="00E47DC5" w:rsidRPr="00B915EF" w:rsidRDefault="00E47DC5" w:rsidP="004030AA">
            <w:pPr>
              <w:spacing w:before="40" w:after="40"/>
              <w:jc w:val="center"/>
              <w:rPr>
                <w:rFonts w:ascii="Arial Narrow" w:hAnsi="Arial Narrow"/>
                <w:b/>
                <w:bCs/>
                <w:sz w:val="20"/>
              </w:rPr>
            </w:pPr>
            <w:r w:rsidRPr="00B915EF">
              <w:rPr>
                <w:rFonts w:ascii="Arial Narrow" w:hAnsi="Arial Narrow"/>
                <w:b/>
                <w:bCs/>
                <w:sz w:val="20"/>
              </w:rPr>
              <w:t>Year 5</w:t>
            </w:r>
          </w:p>
        </w:tc>
      </w:tr>
      <w:tr w:rsidR="00E47DC5" w:rsidRPr="00B915EF" w14:paraId="69DCDFEB" w14:textId="77777777" w:rsidTr="005462CA">
        <w:trPr>
          <w:trHeight w:val="139"/>
        </w:trPr>
        <w:tc>
          <w:tcPr>
            <w:tcW w:w="1886" w:type="pct"/>
          </w:tcPr>
          <w:p w14:paraId="0880BF64" w14:textId="77777777" w:rsidR="00E47DC5" w:rsidRPr="00B915EF" w:rsidRDefault="00E47DC5" w:rsidP="004030AA">
            <w:pPr>
              <w:spacing w:before="40" w:after="40"/>
              <w:rPr>
                <w:rFonts w:ascii="Arial Narrow" w:hAnsi="Arial Narrow"/>
                <w:sz w:val="20"/>
              </w:rPr>
            </w:pPr>
            <w:r>
              <w:rPr>
                <w:rFonts w:ascii="Arial Narrow" w:hAnsi="Arial Narrow"/>
                <w:sz w:val="20"/>
              </w:rPr>
              <w:t>Base case (presented in ADAR)</w:t>
            </w:r>
          </w:p>
        </w:tc>
        <w:tc>
          <w:tcPr>
            <w:tcW w:w="628" w:type="pct"/>
            <w:noWrap/>
          </w:tcPr>
          <w:p w14:paraId="4E3B144D" w14:textId="77777777" w:rsidR="00E47DC5" w:rsidRPr="00B915EF" w:rsidRDefault="00E47DC5" w:rsidP="004030AA">
            <w:pPr>
              <w:spacing w:before="40" w:after="40"/>
              <w:jc w:val="center"/>
              <w:rPr>
                <w:rFonts w:ascii="Arial Narrow" w:hAnsi="Arial Narrow"/>
                <w:sz w:val="20"/>
              </w:rPr>
            </w:pPr>
            <w:r>
              <w:rPr>
                <w:rFonts w:ascii="Arial Narrow" w:hAnsi="Arial Narrow" w:cs="Calibri"/>
                <w:color w:val="000000"/>
                <w:sz w:val="20"/>
              </w:rPr>
              <w:t>$251,596</w:t>
            </w:r>
          </w:p>
        </w:tc>
        <w:tc>
          <w:tcPr>
            <w:tcW w:w="629" w:type="pct"/>
          </w:tcPr>
          <w:p w14:paraId="4B86B7EC" w14:textId="77777777" w:rsidR="00E47DC5" w:rsidRPr="00B915EF" w:rsidRDefault="00E47DC5" w:rsidP="004030AA">
            <w:pPr>
              <w:spacing w:before="40" w:after="40"/>
              <w:jc w:val="center"/>
              <w:rPr>
                <w:rFonts w:ascii="Arial Narrow" w:hAnsi="Arial Narrow"/>
                <w:sz w:val="20"/>
              </w:rPr>
            </w:pPr>
            <w:r>
              <w:rPr>
                <w:rFonts w:ascii="Arial Narrow" w:hAnsi="Arial Narrow" w:cs="Calibri"/>
                <w:color w:val="000000"/>
                <w:sz w:val="20"/>
              </w:rPr>
              <w:t>$340,954</w:t>
            </w:r>
          </w:p>
        </w:tc>
        <w:tc>
          <w:tcPr>
            <w:tcW w:w="628" w:type="pct"/>
          </w:tcPr>
          <w:p w14:paraId="0A4AAC6F" w14:textId="77777777" w:rsidR="00E47DC5" w:rsidRPr="00B915EF" w:rsidRDefault="00E47DC5" w:rsidP="004030AA">
            <w:pPr>
              <w:spacing w:before="40" w:after="40"/>
              <w:jc w:val="center"/>
              <w:rPr>
                <w:rFonts w:ascii="Arial Narrow" w:hAnsi="Arial Narrow"/>
                <w:sz w:val="20"/>
              </w:rPr>
            </w:pPr>
            <w:r>
              <w:rPr>
                <w:rFonts w:ascii="Arial Narrow" w:hAnsi="Arial Narrow" w:cs="Calibri"/>
                <w:color w:val="000000"/>
                <w:sz w:val="20"/>
              </w:rPr>
              <w:t>$398,391</w:t>
            </w:r>
          </w:p>
        </w:tc>
        <w:tc>
          <w:tcPr>
            <w:tcW w:w="629" w:type="pct"/>
          </w:tcPr>
          <w:p w14:paraId="6DC5CDAD" w14:textId="77777777" w:rsidR="00E47DC5" w:rsidRPr="00B915EF" w:rsidRDefault="00E47DC5" w:rsidP="004030AA">
            <w:pPr>
              <w:spacing w:before="40" w:after="40"/>
              <w:jc w:val="center"/>
              <w:rPr>
                <w:rFonts w:ascii="Arial Narrow" w:hAnsi="Arial Narrow"/>
                <w:sz w:val="20"/>
              </w:rPr>
            </w:pPr>
            <w:r>
              <w:rPr>
                <w:rFonts w:ascii="Arial Narrow" w:hAnsi="Arial Narrow" w:cs="Calibri"/>
                <w:color w:val="000000"/>
                <w:sz w:val="20"/>
              </w:rPr>
              <w:t>$439,804</w:t>
            </w:r>
          </w:p>
        </w:tc>
        <w:tc>
          <w:tcPr>
            <w:tcW w:w="600" w:type="pct"/>
          </w:tcPr>
          <w:p w14:paraId="58705E42" w14:textId="77777777" w:rsidR="00E47DC5" w:rsidRPr="00B915EF" w:rsidRDefault="00E47DC5" w:rsidP="004030AA">
            <w:pPr>
              <w:spacing w:before="40" w:after="40"/>
              <w:jc w:val="center"/>
              <w:rPr>
                <w:rFonts w:ascii="Arial Narrow" w:hAnsi="Arial Narrow"/>
                <w:sz w:val="20"/>
              </w:rPr>
            </w:pPr>
            <w:r>
              <w:rPr>
                <w:rFonts w:ascii="Arial Narrow" w:hAnsi="Arial Narrow" w:cs="Calibri"/>
                <w:color w:val="000000"/>
                <w:sz w:val="20"/>
              </w:rPr>
              <w:t>$482,410</w:t>
            </w:r>
          </w:p>
        </w:tc>
      </w:tr>
      <w:tr w:rsidR="00E47DC5" w:rsidRPr="00E00DCC" w14:paraId="55AD3C8C" w14:textId="77777777" w:rsidTr="005462CA">
        <w:trPr>
          <w:trHeight w:val="139"/>
        </w:trPr>
        <w:tc>
          <w:tcPr>
            <w:tcW w:w="1886" w:type="pct"/>
          </w:tcPr>
          <w:p w14:paraId="59872152" w14:textId="77777777" w:rsidR="00E47DC5" w:rsidRPr="008D6651" w:rsidRDefault="00E47DC5" w:rsidP="004030AA">
            <w:pPr>
              <w:spacing w:before="40" w:after="40"/>
              <w:rPr>
                <w:rFonts w:ascii="Arial Narrow" w:hAnsi="Arial Narrow"/>
                <w:i/>
                <w:iCs/>
                <w:sz w:val="20"/>
              </w:rPr>
            </w:pPr>
            <w:r w:rsidRPr="008D6651">
              <w:rPr>
                <w:rFonts w:ascii="Arial Narrow" w:hAnsi="Arial Narrow"/>
                <w:i/>
                <w:iCs/>
                <w:sz w:val="20"/>
              </w:rPr>
              <w:t>100% covered by MBS</w:t>
            </w:r>
          </w:p>
        </w:tc>
        <w:tc>
          <w:tcPr>
            <w:tcW w:w="628" w:type="pct"/>
            <w:noWrap/>
          </w:tcPr>
          <w:p w14:paraId="301636A9"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$465,918</w:t>
            </w:r>
          </w:p>
        </w:tc>
        <w:tc>
          <w:tcPr>
            <w:tcW w:w="629" w:type="pct"/>
          </w:tcPr>
          <w:p w14:paraId="5F3BAC23"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$631,396</w:t>
            </w:r>
          </w:p>
        </w:tc>
        <w:tc>
          <w:tcPr>
            <w:tcW w:w="628" w:type="pct"/>
          </w:tcPr>
          <w:p w14:paraId="0F47A424"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$737,761</w:t>
            </w:r>
          </w:p>
        </w:tc>
        <w:tc>
          <w:tcPr>
            <w:tcW w:w="629" w:type="pct"/>
          </w:tcPr>
          <w:p w14:paraId="4A70C25C"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$814,453</w:t>
            </w:r>
          </w:p>
        </w:tc>
        <w:tc>
          <w:tcPr>
            <w:tcW w:w="600" w:type="pct"/>
          </w:tcPr>
          <w:p w14:paraId="62DD0F9F"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$893,351</w:t>
            </w:r>
          </w:p>
        </w:tc>
      </w:tr>
      <w:tr w:rsidR="00E47DC5" w:rsidRPr="00E00DCC" w14:paraId="3398535F" w14:textId="77777777" w:rsidTr="005462CA">
        <w:trPr>
          <w:trHeight w:val="139"/>
        </w:trPr>
        <w:tc>
          <w:tcPr>
            <w:tcW w:w="1886" w:type="pct"/>
          </w:tcPr>
          <w:p w14:paraId="71F8B560" w14:textId="77777777" w:rsidR="00E47DC5" w:rsidRPr="008D6651" w:rsidRDefault="00E47DC5" w:rsidP="004030AA">
            <w:pPr>
              <w:spacing w:before="40" w:after="40"/>
              <w:rPr>
                <w:rFonts w:ascii="Arial Narrow" w:hAnsi="Arial Narrow"/>
                <w:i/>
                <w:iCs/>
                <w:sz w:val="20"/>
              </w:rPr>
            </w:pPr>
            <w:r w:rsidRPr="008D6651">
              <w:rPr>
                <w:rFonts w:ascii="Arial Narrow" w:hAnsi="Arial Narrow"/>
                <w:i/>
                <w:iCs/>
                <w:sz w:val="20"/>
              </w:rPr>
              <w:t>Proportion of DMR patients – 100%</w:t>
            </w:r>
            <w:r w:rsidRPr="008D6651">
              <w:rPr>
                <w:rFonts w:ascii="Arial Narrow" w:hAnsi="Arial Narrow"/>
                <w:i/>
                <w:iCs/>
                <w:sz w:val="20"/>
                <w:vertAlign w:val="superscript"/>
              </w:rPr>
              <w:t xml:space="preserve"> a</w:t>
            </w:r>
          </w:p>
        </w:tc>
        <w:tc>
          <w:tcPr>
            <w:tcW w:w="628" w:type="pct"/>
            <w:noWrap/>
          </w:tcPr>
          <w:p w14:paraId="6D532101"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$559,109</w:t>
            </w:r>
          </w:p>
        </w:tc>
        <w:tc>
          <w:tcPr>
            <w:tcW w:w="629" w:type="pct"/>
          </w:tcPr>
          <w:p w14:paraId="29260A64"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$757,684</w:t>
            </w:r>
          </w:p>
        </w:tc>
        <w:tc>
          <w:tcPr>
            <w:tcW w:w="628" w:type="pct"/>
          </w:tcPr>
          <w:p w14:paraId="33696EE1"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$885,324</w:t>
            </w:r>
          </w:p>
        </w:tc>
        <w:tc>
          <w:tcPr>
            <w:tcW w:w="629" w:type="pct"/>
          </w:tcPr>
          <w:p w14:paraId="6ECF6B54"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$977,355</w:t>
            </w:r>
          </w:p>
        </w:tc>
        <w:tc>
          <w:tcPr>
            <w:tcW w:w="600" w:type="pct"/>
          </w:tcPr>
          <w:p w14:paraId="26555B32"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$1,072,035</w:t>
            </w:r>
          </w:p>
        </w:tc>
      </w:tr>
      <w:tr w:rsidR="00E47DC5" w:rsidRPr="00E00DCC" w14:paraId="57DCA0C9" w14:textId="77777777" w:rsidTr="005462CA">
        <w:trPr>
          <w:trHeight w:val="139"/>
        </w:trPr>
        <w:tc>
          <w:tcPr>
            <w:tcW w:w="1886" w:type="pct"/>
          </w:tcPr>
          <w:p w14:paraId="75C344EA" w14:textId="77777777" w:rsidR="00E47DC5" w:rsidRPr="008D6651" w:rsidRDefault="00E47DC5" w:rsidP="004030AA">
            <w:pPr>
              <w:spacing w:before="40" w:after="40"/>
              <w:rPr>
                <w:rFonts w:ascii="Arial Narrow" w:hAnsi="Arial Narrow"/>
                <w:i/>
                <w:iCs/>
                <w:sz w:val="20"/>
              </w:rPr>
            </w:pPr>
            <w:r w:rsidRPr="008D6651">
              <w:rPr>
                <w:rFonts w:ascii="Arial Narrow" w:hAnsi="Arial Narrow"/>
                <w:i/>
                <w:iCs/>
                <w:sz w:val="20"/>
              </w:rPr>
              <w:t>Proportion of FMR patients – 100%</w:t>
            </w:r>
            <w:r w:rsidRPr="008D6651">
              <w:rPr>
                <w:rFonts w:ascii="Arial Narrow" w:hAnsi="Arial Narrow"/>
                <w:i/>
                <w:iCs/>
                <w:sz w:val="20"/>
                <w:vertAlign w:val="superscript"/>
              </w:rPr>
              <w:t xml:space="preserve"> a</w:t>
            </w:r>
          </w:p>
        </w:tc>
        <w:tc>
          <w:tcPr>
            <w:tcW w:w="628" w:type="pct"/>
            <w:noWrap/>
          </w:tcPr>
          <w:p w14:paraId="5F37CA4E"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$361,764</w:t>
            </w:r>
          </w:p>
        </w:tc>
        <w:tc>
          <w:tcPr>
            <w:tcW w:w="629" w:type="pct"/>
          </w:tcPr>
          <w:p w14:paraId="7A58F191"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$490,250</w:t>
            </w:r>
          </w:p>
        </w:tc>
        <w:tc>
          <w:tcPr>
            <w:tcW w:w="628" w:type="pct"/>
          </w:tcPr>
          <w:p w14:paraId="413842B5"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$572,838</w:t>
            </w:r>
          </w:p>
        </w:tc>
        <w:tc>
          <w:tcPr>
            <w:tcW w:w="629" w:type="pct"/>
          </w:tcPr>
          <w:p w14:paraId="2663FD7C"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$632,385</w:t>
            </w:r>
          </w:p>
        </w:tc>
        <w:tc>
          <w:tcPr>
            <w:tcW w:w="600" w:type="pct"/>
          </w:tcPr>
          <w:p w14:paraId="65004ED1" w14:textId="77777777" w:rsidR="00E47DC5" w:rsidRPr="008D6651" w:rsidRDefault="00E47DC5" w:rsidP="004030AA">
            <w:pPr>
              <w:spacing w:before="40" w:after="40"/>
              <w:jc w:val="center"/>
              <w:rPr>
                <w:rFonts w:ascii="Arial Narrow" w:hAnsi="Arial Narrow" w:cs="Calibri"/>
                <w:i/>
                <w:iCs/>
                <w:color w:val="000000"/>
                <w:sz w:val="20"/>
              </w:rPr>
            </w:pPr>
            <w:r w:rsidRPr="008D6651">
              <w:rPr>
                <w:rFonts w:ascii="Arial Narrow" w:hAnsi="Arial Narrow" w:cs="Calibri"/>
                <w:i/>
                <w:iCs/>
                <w:color w:val="000000"/>
                <w:sz w:val="20"/>
              </w:rPr>
              <w:t>$693,647</w:t>
            </w:r>
          </w:p>
        </w:tc>
      </w:tr>
      <w:tr w:rsidR="00E47DC5" w:rsidRPr="00E00DCC" w14:paraId="446BF4A6" w14:textId="77777777" w:rsidTr="005462CA">
        <w:trPr>
          <w:trHeight w:val="139"/>
        </w:trPr>
        <w:tc>
          <w:tcPr>
            <w:tcW w:w="1886" w:type="pct"/>
          </w:tcPr>
          <w:p w14:paraId="46111856" w14:textId="77777777" w:rsidR="00E47DC5" w:rsidRPr="008D6651" w:rsidRDefault="00E47DC5" w:rsidP="004030AA">
            <w:pPr>
              <w:spacing w:before="40" w:after="40"/>
              <w:rPr>
                <w:rFonts w:ascii="Arial Narrow" w:hAnsi="Arial Narrow"/>
                <w:i/>
                <w:iCs/>
                <w:sz w:val="20"/>
              </w:rPr>
            </w:pPr>
            <w:r w:rsidRPr="008D6651">
              <w:rPr>
                <w:rFonts w:ascii="Arial Narrow" w:hAnsi="Arial Narrow"/>
                <w:i/>
                <w:iCs/>
                <w:sz w:val="20"/>
              </w:rPr>
              <w:t>Annual uptake rates – 100%</w:t>
            </w:r>
            <w:r w:rsidRPr="008D6651">
              <w:rPr>
                <w:rFonts w:ascii="Arial Narrow" w:hAnsi="Arial Narrow"/>
                <w:i/>
                <w:iCs/>
                <w:sz w:val="20"/>
                <w:vertAlign w:val="superscript"/>
              </w:rPr>
              <w:t>a</w:t>
            </w:r>
          </w:p>
        </w:tc>
        <w:tc>
          <w:tcPr>
            <w:tcW w:w="628" w:type="pct"/>
            <w:noWrap/>
          </w:tcPr>
          <w:p w14:paraId="18DF6280" w14:textId="77777777" w:rsidR="00E47DC5" w:rsidRPr="008D6651" w:rsidRDefault="00E47DC5" w:rsidP="004030AA">
            <w:pPr>
              <w:spacing w:before="40" w:after="40"/>
              <w:jc w:val="center"/>
              <w:rPr>
                <w:rFonts w:ascii="Arial Narrow" w:hAnsi="Arial Narrow"/>
                <w:i/>
                <w:iCs/>
                <w:sz w:val="20"/>
              </w:rPr>
            </w:pPr>
          </w:p>
        </w:tc>
        <w:tc>
          <w:tcPr>
            <w:tcW w:w="629" w:type="pct"/>
          </w:tcPr>
          <w:p w14:paraId="4CD29860" w14:textId="77777777" w:rsidR="00E47DC5" w:rsidRPr="008D6651" w:rsidRDefault="00E47DC5" w:rsidP="004030AA">
            <w:pPr>
              <w:spacing w:before="40" w:after="40"/>
              <w:jc w:val="center"/>
              <w:rPr>
                <w:rFonts w:ascii="Arial Narrow" w:hAnsi="Arial Narrow"/>
                <w:i/>
                <w:iCs/>
                <w:sz w:val="20"/>
              </w:rPr>
            </w:pPr>
          </w:p>
        </w:tc>
        <w:tc>
          <w:tcPr>
            <w:tcW w:w="628" w:type="pct"/>
          </w:tcPr>
          <w:p w14:paraId="462C667A" w14:textId="77777777" w:rsidR="00E47DC5" w:rsidRPr="008D6651" w:rsidRDefault="00E47DC5" w:rsidP="004030AA">
            <w:pPr>
              <w:spacing w:before="40" w:after="40"/>
              <w:jc w:val="center"/>
              <w:rPr>
                <w:rFonts w:ascii="Arial Narrow" w:hAnsi="Arial Narrow"/>
                <w:i/>
                <w:iCs/>
                <w:sz w:val="20"/>
              </w:rPr>
            </w:pPr>
          </w:p>
        </w:tc>
        <w:tc>
          <w:tcPr>
            <w:tcW w:w="629" w:type="pct"/>
          </w:tcPr>
          <w:p w14:paraId="30643ABA" w14:textId="77777777" w:rsidR="00E47DC5" w:rsidRPr="008D6651" w:rsidRDefault="00E47DC5" w:rsidP="004030AA">
            <w:pPr>
              <w:spacing w:before="40" w:after="40"/>
              <w:jc w:val="center"/>
              <w:rPr>
                <w:rFonts w:ascii="Arial Narrow" w:hAnsi="Arial Narrow"/>
                <w:i/>
                <w:iCs/>
                <w:sz w:val="20"/>
              </w:rPr>
            </w:pPr>
          </w:p>
        </w:tc>
        <w:tc>
          <w:tcPr>
            <w:tcW w:w="600" w:type="pct"/>
          </w:tcPr>
          <w:p w14:paraId="102DB456" w14:textId="77777777" w:rsidR="00E47DC5" w:rsidRPr="008D6651" w:rsidRDefault="00E47DC5" w:rsidP="004030AA">
            <w:pPr>
              <w:spacing w:before="40" w:after="40"/>
              <w:jc w:val="center"/>
              <w:rPr>
                <w:rFonts w:ascii="Arial Narrow" w:hAnsi="Arial Narrow"/>
                <w:i/>
                <w:iCs/>
                <w:sz w:val="20"/>
              </w:rPr>
            </w:pPr>
          </w:p>
        </w:tc>
      </w:tr>
      <w:tr w:rsidR="00E47DC5" w:rsidRPr="00E00DCC" w14:paraId="5D34CFBA" w14:textId="77777777" w:rsidTr="005462CA">
        <w:trPr>
          <w:trHeight w:val="139"/>
        </w:trPr>
        <w:tc>
          <w:tcPr>
            <w:tcW w:w="1886" w:type="pct"/>
          </w:tcPr>
          <w:p w14:paraId="7C9560FD" w14:textId="77777777" w:rsidR="00E47DC5" w:rsidRPr="008D6651" w:rsidRDefault="00E47DC5" w:rsidP="004030AA">
            <w:pPr>
              <w:spacing w:before="40" w:after="40"/>
              <w:ind w:left="179"/>
              <w:rPr>
                <w:rFonts w:ascii="Arial Narrow" w:hAnsi="Arial Narrow"/>
                <w:i/>
                <w:iCs/>
                <w:sz w:val="20"/>
              </w:rPr>
            </w:pPr>
            <w:r w:rsidRPr="008D6651">
              <w:rPr>
                <w:rFonts w:ascii="Arial Narrow" w:hAnsi="Arial Narrow"/>
                <w:i/>
                <w:iCs/>
                <w:sz w:val="20"/>
              </w:rPr>
              <w:t>DMR</w:t>
            </w:r>
          </w:p>
        </w:tc>
        <w:tc>
          <w:tcPr>
            <w:tcW w:w="628" w:type="pct"/>
            <w:noWrap/>
          </w:tcPr>
          <w:p w14:paraId="09B6BE34"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$2,138,067</w:t>
            </w:r>
          </w:p>
        </w:tc>
        <w:tc>
          <w:tcPr>
            <w:tcW w:w="629" w:type="pct"/>
          </w:tcPr>
          <w:p w14:paraId="42AB80C5"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$2,230,951</w:t>
            </w:r>
          </w:p>
        </w:tc>
        <w:tc>
          <w:tcPr>
            <w:tcW w:w="628" w:type="pct"/>
          </w:tcPr>
          <w:p w14:paraId="4877E207"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$2,302,048</w:t>
            </w:r>
          </w:p>
        </w:tc>
        <w:tc>
          <w:tcPr>
            <w:tcW w:w="629" w:type="pct"/>
          </w:tcPr>
          <w:p w14:paraId="3A2705ED"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$2,361,931</w:t>
            </w:r>
          </w:p>
        </w:tc>
        <w:tc>
          <w:tcPr>
            <w:tcW w:w="600" w:type="pct"/>
          </w:tcPr>
          <w:p w14:paraId="061B37B5"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$2,423,096</w:t>
            </w:r>
          </w:p>
        </w:tc>
      </w:tr>
      <w:tr w:rsidR="00E47DC5" w:rsidRPr="00E00DCC" w14:paraId="38A2CFB5" w14:textId="77777777" w:rsidTr="005462CA">
        <w:trPr>
          <w:trHeight w:val="139"/>
        </w:trPr>
        <w:tc>
          <w:tcPr>
            <w:tcW w:w="1886" w:type="pct"/>
          </w:tcPr>
          <w:p w14:paraId="4E11FC85" w14:textId="77777777" w:rsidR="00E47DC5" w:rsidRPr="008D6651" w:rsidRDefault="00E47DC5" w:rsidP="004030AA">
            <w:pPr>
              <w:spacing w:before="40" w:after="40"/>
              <w:ind w:left="179"/>
              <w:rPr>
                <w:rFonts w:ascii="Arial Narrow" w:hAnsi="Arial Narrow"/>
                <w:i/>
                <w:iCs/>
                <w:sz w:val="20"/>
              </w:rPr>
            </w:pPr>
            <w:r w:rsidRPr="008D6651">
              <w:rPr>
                <w:rFonts w:ascii="Arial Narrow" w:hAnsi="Arial Narrow"/>
                <w:i/>
                <w:iCs/>
                <w:sz w:val="20"/>
              </w:rPr>
              <w:t>FMR</w:t>
            </w:r>
          </w:p>
        </w:tc>
        <w:tc>
          <w:tcPr>
            <w:tcW w:w="628" w:type="pct"/>
            <w:noWrap/>
          </w:tcPr>
          <w:p w14:paraId="23114E03"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$1,433,973</w:t>
            </w:r>
          </w:p>
        </w:tc>
        <w:tc>
          <w:tcPr>
            <w:tcW w:w="629" w:type="pct"/>
          </w:tcPr>
          <w:p w14:paraId="69EA9ECE"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$1,557,424</w:t>
            </w:r>
          </w:p>
        </w:tc>
        <w:tc>
          <w:tcPr>
            <w:tcW w:w="628" w:type="pct"/>
          </w:tcPr>
          <w:p w14:paraId="68DB3D3E"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$1,643,371</w:t>
            </w:r>
          </w:p>
        </w:tc>
        <w:tc>
          <w:tcPr>
            <w:tcW w:w="629" w:type="pct"/>
          </w:tcPr>
          <w:p w14:paraId="3DC96FC1"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$1,710,332</w:t>
            </w:r>
          </w:p>
        </w:tc>
        <w:tc>
          <w:tcPr>
            <w:tcW w:w="600" w:type="pct"/>
          </w:tcPr>
          <w:p w14:paraId="73D11F18"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$1,778,964</w:t>
            </w:r>
          </w:p>
        </w:tc>
      </w:tr>
      <w:tr w:rsidR="00E47DC5" w:rsidRPr="00E00DCC" w14:paraId="382EF14D" w14:textId="77777777" w:rsidTr="005462CA">
        <w:trPr>
          <w:trHeight w:val="139"/>
        </w:trPr>
        <w:tc>
          <w:tcPr>
            <w:tcW w:w="1886" w:type="pct"/>
          </w:tcPr>
          <w:p w14:paraId="5907337C" w14:textId="77777777" w:rsidR="00E47DC5" w:rsidRPr="008D6651" w:rsidRDefault="00E47DC5" w:rsidP="004030AA">
            <w:pPr>
              <w:spacing w:before="40" w:after="40"/>
              <w:ind w:left="179"/>
              <w:rPr>
                <w:rFonts w:ascii="Arial Narrow" w:hAnsi="Arial Narrow"/>
                <w:i/>
                <w:iCs/>
                <w:sz w:val="20"/>
              </w:rPr>
            </w:pPr>
            <w:r w:rsidRPr="008D6651">
              <w:rPr>
                <w:rFonts w:ascii="Arial Narrow" w:hAnsi="Arial Narrow"/>
                <w:i/>
                <w:iCs/>
                <w:sz w:val="20"/>
              </w:rPr>
              <w:t>DMR+FMR</w:t>
            </w:r>
          </w:p>
        </w:tc>
        <w:tc>
          <w:tcPr>
            <w:tcW w:w="628" w:type="pct"/>
            <w:noWrap/>
          </w:tcPr>
          <w:p w14:paraId="044F08FF"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$3,106,122</w:t>
            </w:r>
          </w:p>
        </w:tc>
        <w:tc>
          <w:tcPr>
            <w:tcW w:w="629" w:type="pct"/>
          </w:tcPr>
          <w:p w14:paraId="6718D628"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$3,156,979</w:t>
            </w:r>
          </w:p>
        </w:tc>
        <w:tc>
          <w:tcPr>
            <w:tcW w:w="628" w:type="pct"/>
          </w:tcPr>
          <w:p w14:paraId="3EDCAD39"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$3,207,658</w:t>
            </w:r>
          </w:p>
        </w:tc>
        <w:tc>
          <w:tcPr>
            <w:tcW w:w="629" w:type="pct"/>
          </w:tcPr>
          <w:p w14:paraId="32EE44BE"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$3,257,811</w:t>
            </w:r>
          </w:p>
        </w:tc>
        <w:tc>
          <w:tcPr>
            <w:tcW w:w="600" w:type="pct"/>
          </w:tcPr>
          <w:p w14:paraId="79CFE91D"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$3,308,709</w:t>
            </w:r>
          </w:p>
        </w:tc>
      </w:tr>
      <w:tr w:rsidR="00E47DC5" w:rsidRPr="00E00DCC" w14:paraId="4512A38E" w14:textId="77777777" w:rsidTr="005462CA">
        <w:trPr>
          <w:trHeight w:val="139"/>
        </w:trPr>
        <w:tc>
          <w:tcPr>
            <w:tcW w:w="1886" w:type="pct"/>
          </w:tcPr>
          <w:p w14:paraId="7BEBE2DF" w14:textId="77777777" w:rsidR="00E47DC5" w:rsidRPr="008D6651" w:rsidRDefault="00E47DC5" w:rsidP="004030AA">
            <w:pPr>
              <w:spacing w:before="40" w:after="40"/>
              <w:rPr>
                <w:rFonts w:ascii="Arial Narrow" w:hAnsi="Arial Narrow"/>
                <w:i/>
                <w:iCs/>
                <w:sz w:val="20"/>
              </w:rPr>
            </w:pPr>
            <w:r w:rsidRPr="008D6651">
              <w:rPr>
                <w:rFonts w:ascii="Arial Narrow" w:hAnsi="Arial Narrow"/>
                <w:i/>
                <w:iCs/>
                <w:sz w:val="20"/>
              </w:rPr>
              <w:t>Eligibility</w:t>
            </w:r>
          </w:p>
        </w:tc>
        <w:tc>
          <w:tcPr>
            <w:tcW w:w="628" w:type="pct"/>
            <w:noWrap/>
          </w:tcPr>
          <w:p w14:paraId="236B854B" w14:textId="77777777" w:rsidR="00E47DC5" w:rsidRPr="008D6651" w:rsidRDefault="00E47DC5" w:rsidP="004030AA">
            <w:pPr>
              <w:spacing w:before="40" w:after="40"/>
              <w:jc w:val="center"/>
              <w:rPr>
                <w:rFonts w:ascii="Arial Narrow" w:hAnsi="Arial Narrow"/>
                <w:i/>
                <w:iCs/>
                <w:sz w:val="20"/>
              </w:rPr>
            </w:pPr>
          </w:p>
        </w:tc>
        <w:tc>
          <w:tcPr>
            <w:tcW w:w="629" w:type="pct"/>
          </w:tcPr>
          <w:p w14:paraId="6EE54085" w14:textId="77777777" w:rsidR="00E47DC5" w:rsidRPr="008D6651" w:rsidRDefault="00E47DC5" w:rsidP="004030AA">
            <w:pPr>
              <w:spacing w:before="40" w:after="40"/>
              <w:jc w:val="center"/>
              <w:rPr>
                <w:rFonts w:ascii="Arial Narrow" w:hAnsi="Arial Narrow"/>
                <w:i/>
                <w:iCs/>
                <w:sz w:val="20"/>
              </w:rPr>
            </w:pPr>
          </w:p>
        </w:tc>
        <w:tc>
          <w:tcPr>
            <w:tcW w:w="628" w:type="pct"/>
          </w:tcPr>
          <w:p w14:paraId="6BE929F2" w14:textId="77777777" w:rsidR="00E47DC5" w:rsidRPr="008D6651" w:rsidRDefault="00E47DC5" w:rsidP="004030AA">
            <w:pPr>
              <w:spacing w:before="40" w:after="40"/>
              <w:jc w:val="center"/>
              <w:rPr>
                <w:rFonts w:ascii="Arial Narrow" w:hAnsi="Arial Narrow"/>
                <w:i/>
                <w:iCs/>
                <w:sz w:val="20"/>
              </w:rPr>
            </w:pPr>
          </w:p>
        </w:tc>
        <w:tc>
          <w:tcPr>
            <w:tcW w:w="629" w:type="pct"/>
          </w:tcPr>
          <w:p w14:paraId="6AFB1E06" w14:textId="77777777" w:rsidR="00E47DC5" w:rsidRPr="008D6651" w:rsidRDefault="00E47DC5" w:rsidP="004030AA">
            <w:pPr>
              <w:spacing w:before="40" w:after="40"/>
              <w:jc w:val="center"/>
              <w:rPr>
                <w:rFonts w:ascii="Arial Narrow" w:hAnsi="Arial Narrow"/>
                <w:i/>
                <w:iCs/>
                <w:sz w:val="20"/>
              </w:rPr>
            </w:pPr>
          </w:p>
        </w:tc>
        <w:tc>
          <w:tcPr>
            <w:tcW w:w="600" w:type="pct"/>
          </w:tcPr>
          <w:p w14:paraId="3EBBC8C9" w14:textId="77777777" w:rsidR="00E47DC5" w:rsidRPr="008D6651" w:rsidRDefault="00E47DC5" w:rsidP="004030AA">
            <w:pPr>
              <w:spacing w:before="40" w:after="40"/>
              <w:jc w:val="center"/>
              <w:rPr>
                <w:rFonts w:ascii="Arial Narrow" w:hAnsi="Arial Narrow"/>
                <w:i/>
                <w:iCs/>
                <w:sz w:val="20"/>
              </w:rPr>
            </w:pPr>
          </w:p>
        </w:tc>
      </w:tr>
      <w:tr w:rsidR="00E47DC5" w:rsidRPr="00E00DCC" w14:paraId="02F06C0F" w14:textId="77777777" w:rsidTr="005462CA">
        <w:trPr>
          <w:trHeight w:val="139"/>
        </w:trPr>
        <w:tc>
          <w:tcPr>
            <w:tcW w:w="1886" w:type="pct"/>
          </w:tcPr>
          <w:p w14:paraId="771964EF" w14:textId="77777777" w:rsidR="00E47DC5" w:rsidRPr="008D6651" w:rsidRDefault="00E47DC5" w:rsidP="004030AA">
            <w:pPr>
              <w:spacing w:before="40" w:after="40"/>
              <w:ind w:left="147"/>
              <w:rPr>
                <w:rFonts w:ascii="Arial Narrow" w:hAnsi="Arial Narrow"/>
                <w:i/>
                <w:iCs/>
                <w:sz w:val="20"/>
              </w:rPr>
            </w:pPr>
            <w:r w:rsidRPr="008D6651">
              <w:rPr>
                <w:rFonts w:ascii="Arial Narrow" w:hAnsi="Arial Narrow"/>
                <w:i/>
                <w:iCs/>
                <w:sz w:val="20"/>
              </w:rPr>
              <w:t>% Inoperable -100%</w:t>
            </w:r>
            <w:r w:rsidRPr="008D6651">
              <w:rPr>
                <w:rFonts w:ascii="Arial Narrow" w:hAnsi="Arial Narrow"/>
                <w:i/>
                <w:iCs/>
                <w:sz w:val="20"/>
                <w:vertAlign w:val="superscript"/>
              </w:rPr>
              <w:t>a</w:t>
            </w:r>
            <w:r w:rsidRPr="008D6651">
              <w:rPr>
                <w:rFonts w:ascii="Arial Narrow" w:hAnsi="Arial Narrow"/>
                <w:i/>
                <w:iCs/>
                <w:sz w:val="20"/>
              </w:rPr>
              <w:t xml:space="preserve"> (base case 40.64%)</w:t>
            </w:r>
          </w:p>
        </w:tc>
        <w:tc>
          <w:tcPr>
            <w:tcW w:w="628" w:type="pct"/>
            <w:noWrap/>
          </w:tcPr>
          <w:p w14:paraId="244229AD"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$715,425</w:t>
            </w:r>
          </w:p>
        </w:tc>
        <w:tc>
          <w:tcPr>
            <w:tcW w:w="629" w:type="pct"/>
          </w:tcPr>
          <w:p w14:paraId="19458746"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$969,518</w:t>
            </w:r>
          </w:p>
        </w:tc>
        <w:tc>
          <w:tcPr>
            <w:tcW w:w="628" w:type="pct"/>
          </w:tcPr>
          <w:p w14:paraId="1B634F77"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$1,132,844</w:t>
            </w:r>
          </w:p>
        </w:tc>
        <w:tc>
          <w:tcPr>
            <w:tcW w:w="629" w:type="pct"/>
          </w:tcPr>
          <w:p w14:paraId="4BEC4333"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$1,250,604</w:t>
            </w:r>
          </w:p>
        </w:tc>
        <w:tc>
          <w:tcPr>
            <w:tcW w:w="600" w:type="pct"/>
          </w:tcPr>
          <w:p w14:paraId="41DAD37E"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$1,371,755</w:t>
            </w:r>
          </w:p>
        </w:tc>
      </w:tr>
      <w:tr w:rsidR="00E47DC5" w:rsidRPr="00E00DCC" w14:paraId="1E3019E1" w14:textId="77777777" w:rsidTr="005462CA">
        <w:trPr>
          <w:trHeight w:val="139"/>
        </w:trPr>
        <w:tc>
          <w:tcPr>
            <w:tcW w:w="1886" w:type="pct"/>
          </w:tcPr>
          <w:p w14:paraId="5C6E2269" w14:textId="77777777" w:rsidR="00E47DC5" w:rsidRPr="008D6651" w:rsidRDefault="00E47DC5" w:rsidP="004030AA">
            <w:pPr>
              <w:spacing w:before="40" w:after="40"/>
              <w:ind w:left="147"/>
              <w:rPr>
                <w:rFonts w:ascii="Arial Narrow" w:hAnsi="Arial Narrow"/>
                <w:i/>
                <w:iCs/>
                <w:sz w:val="20"/>
              </w:rPr>
            </w:pPr>
            <w:r w:rsidRPr="008D6651">
              <w:rPr>
                <w:rFonts w:ascii="Arial Narrow" w:hAnsi="Arial Narrow"/>
                <w:i/>
                <w:iCs/>
                <w:sz w:val="20"/>
              </w:rPr>
              <w:t>% suitable by MDHT -100%</w:t>
            </w:r>
            <w:r w:rsidRPr="008D6651">
              <w:rPr>
                <w:rFonts w:ascii="Arial Narrow" w:hAnsi="Arial Narrow"/>
                <w:i/>
                <w:iCs/>
                <w:sz w:val="20"/>
                <w:vertAlign w:val="superscript"/>
              </w:rPr>
              <w:t>a</w:t>
            </w:r>
            <w:r w:rsidRPr="008D6651">
              <w:rPr>
                <w:rFonts w:ascii="Arial Narrow" w:hAnsi="Arial Narrow"/>
                <w:i/>
                <w:iCs/>
                <w:sz w:val="20"/>
              </w:rPr>
              <w:t xml:space="preserve"> (base case 36%)</w:t>
            </w:r>
          </w:p>
        </w:tc>
        <w:tc>
          <w:tcPr>
            <w:tcW w:w="628" w:type="pct"/>
            <w:noWrap/>
          </w:tcPr>
          <w:p w14:paraId="082B015F"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$769,622</w:t>
            </w:r>
          </w:p>
        </w:tc>
        <w:tc>
          <w:tcPr>
            <w:tcW w:w="629" w:type="pct"/>
          </w:tcPr>
          <w:p w14:paraId="74E06137"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$1,042,964</w:t>
            </w:r>
          </w:p>
        </w:tc>
        <w:tc>
          <w:tcPr>
            <w:tcW w:w="628" w:type="pct"/>
          </w:tcPr>
          <w:p w14:paraId="5EFE74AA"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$1,218,662</w:t>
            </w:r>
          </w:p>
        </w:tc>
        <w:tc>
          <w:tcPr>
            <w:tcW w:w="629" w:type="pct"/>
          </w:tcPr>
          <w:p w14:paraId="62CE76FF"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$1,345,344</w:t>
            </w:r>
          </w:p>
        </w:tc>
        <w:tc>
          <w:tcPr>
            <w:tcW w:w="600" w:type="pct"/>
          </w:tcPr>
          <w:p w14:paraId="25B7FB4A"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$1,475,672</w:t>
            </w:r>
          </w:p>
        </w:tc>
      </w:tr>
      <w:tr w:rsidR="00E47DC5" w:rsidRPr="00E00DCC" w14:paraId="4C662E94" w14:textId="77777777" w:rsidTr="005462CA">
        <w:trPr>
          <w:trHeight w:val="139"/>
        </w:trPr>
        <w:tc>
          <w:tcPr>
            <w:tcW w:w="1886" w:type="pct"/>
          </w:tcPr>
          <w:p w14:paraId="365D97F8" w14:textId="77777777" w:rsidR="00E47DC5" w:rsidRPr="008D6651" w:rsidRDefault="00E47DC5" w:rsidP="004030AA">
            <w:pPr>
              <w:spacing w:before="40" w:after="40"/>
              <w:ind w:left="147"/>
              <w:rPr>
                <w:rFonts w:ascii="Arial Narrow" w:hAnsi="Arial Narrow"/>
                <w:i/>
                <w:iCs/>
                <w:sz w:val="20"/>
              </w:rPr>
            </w:pPr>
            <w:r w:rsidRPr="008D6651">
              <w:rPr>
                <w:rFonts w:ascii="Arial Narrow" w:hAnsi="Arial Narrow"/>
                <w:i/>
                <w:iCs/>
                <w:sz w:val="20"/>
              </w:rPr>
              <w:t>% inoperable and suitable by MDHT – 100%</w:t>
            </w:r>
            <w:r w:rsidRPr="008D6651">
              <w:rPr>
                <w:rFonts w:ascii="Arial Narrow" w:hAnsi="Arial Narrow"/>
                <w:i/>
                <w:iCs/>
                <w:sz w:val="20"/>
                <w:vertAlign w:val="superscript"/>
              </w:rPr>
              <w:t>a</w:t>
            </w:r>
          </w:p>
        </w:tc>
        <w:tc>
          <w:tcPr>
            <w:tcW w:w="628" w:type="pct"/>
            <w:noWrap/>
          </w:tcPr>
          <w:p w14:paraId="3F9BC6A8"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$1,462,695</w:t>
            </w:r>
          </w:p>
        </w:tc>
        <w:tc>
          <w:tcPr>
            <w:tcW w:w="629" w:type="pct"/>
          </w:tcPr>
          <w:p w14:paraId="5620F266"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$1,982,192</w:t>
            </w:r>
          </w:p>
        </w:tc>
        <w:tc>
          <w:tcPr>
            <w:tcW w:w="628" w:type="pct"/>
          </w:tcPr>
          <w:p w14:paraId="490004F3"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$2,316,114</w:t>
            </w:r>
          </w:p>
        </w:tc>
        <w:tc>
          <w:tcPr>
            <w:tcW w:w="629" w:type="pct"/>
          </w:tcPr>
          <w:p w14:paraId="20CACC93"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$2,556,877</w:t>
            </w:r>
          </w:p>
        </w:tc>
        <w:tc>
          <w:tcPr>
            <w:tcW w:w="600" w:type="pct"/>
          </w:tcPr>
          <w:p w14:paraId="1F16E544" w14:textId="77777777" w:rsidR="00E47DC5" w:rsidRPr="008D6651" w:rsidRDefault="00E47DC5" w:rsidP="004030AA">
            <w:pPr>
              <w:spacing w:before="40" w:after="40"/>
              <w:jc w:val="center"/>
              <w:rPr>
                <w:rFonts w:ascii="Arial Narrow" w:hAnsi="Arial Narrow"/>
                <w:i/>
                <w:iCs/>
                <w:sz w:val="20"/>
              </w:rPr>
            </w:pPr>
            <w:r w:rsidRPr="008D6651">
              <w:rPr>
                <w:rFonts w:ascii="Arial Narrow" w:hAnsi="Arial Narrow" w:cs="Calibri"/>
                <w:i/>
                <w:iCs/>
                <w:color w:val="000000"/>
                <w:sz w:val="20"/>
              </w:rPr>
              <w:t>$2,804,570</w:t>
            </w:r>
          </w:p>
        </w:tc>
      </w:tr>
    </w:tbl>
    <w:p w14:paraId="0715CB8C" w14:textId="0B299C8B" w:rsidR="00E47DC5" w:rsidRDefault="00E47DC5" w:rsidP="00E47DC5">
      <w:pPr>
        <w:rPr>
          <w:rFonts w:ascii="Arial Narrow" w:hAnsi="Arial Narrow"/>
          <w:sz w:val="18"/>
        </w:rPr>
      </w:pPr>
      <w:r w:rsidRPr="004612D1">
        <w:rPr>
          <w:rFonts w:ascii="Arial Narrow" w:hAnsi="Arial Narrow"/>
          <w:sz w:val="18"/>
          <w:vertAlign w:val="superscript"/>
        </w:rPr>
        <w:t xml:space="preserve">a </w:t>
      </w:r>
      <w:r w:rsidRPr="004612D1">
        <w:rPr>
          <w:rFonts w:ascii="Arial Narrow" w:hAnsi="Arial Narrow"/>
          <w:sz w:val="18"/>
        </w:rPr>
        <w:t>Sensitivity analysis includes 100% of patients covered by MBS (base case assumed 54% of patients covered by MBS)</w:t>
      </w:r>
      <w:r w:rsidRPr="004612D1">
        <w:rPr>
          <w:rFonts w:ascii="Arial Narrow" w:hAnsi="Arial Narrow"/>
          <w:sz w:val="18"/>
        </w:rPr>
        <w:br/>
        <w:t>ADAR=Applicant Developed Assessment Report, DMR=Degenerative mitral regurgitation, FMR=Functional mitral regurgitation, MBS=</w:t>
      </w:r>
      <w:r w:rsidRPr="004612D1">
        <w:rPr>
          <w:sz w:val="20"/>
        </w:rPr>
        <w:t xml:space="preserve"> </w:t>
      </w:r>
      <w:r w:rsidRPr="004612D1">
        <w:rPr>
          <w:rFonts w:ascii="Arial Narrow" w:hAnsi="Arial Narrow"/>
          <w:sz w:val="18"/>
        </w:rPr>
        <w:t>Medicare Benefits Schedule, MDHT=Multi-disciplinary heart team</w:t>
      </w:r>
    </w:p>
    <w:p w14:paraId="6A2E5CEC" w14:textId="77777777" w:rsidR="00E47DC5" w:rsidRDefault="00E47DC5" w:rsidP="00E47DC5">
      <w:pPr>
        <w:rPr>
          <w:rFonts w:ascii="Arial Narrow" w:hAnsi="Arial Narrow"/>
          <w:sz w:val="18"/>
        </w:rPr>
      </w:pPr>
      <w:r>
        <w:rPr>
          <w:rFonts w:ascii="Arial Narrow" w:hAnsi="Arial Narrow"/>
          <w:sz w:val="18"/>
        </w:rPr>
        <w:t>Source: Table 58, p95 of the commentary</w:t>
      </w:r>
    </w:p>
    <w:p w14:paraId="0FAFCA3D" w14:textId="19D86DE6" w:rsidR="00E47DC5" w:rsidRDefault="00E47DC5" w:rsidP="00B6216F">
      <w:pPr>
        <w:spacing w:before="240" w:after="240"/>
      </w:pPr>
      <w:r>
        <w:t xml:space="preserve">The commentary noted that the other financial costs associated with listing TMVr presented in the ADAR (shown below in </w:t>
      </w:r>
      <w:r>
        <w:fldChar w:fldCharType="begin"/>
      </w:r>
      <w:r>
        <w:instrText xml:space="preserve"> REF _Ref31567429 \h  \* MERGEFORMAT </w:instrText>
      </w:r>
      <w:r>
        <w:fldChar w:fldCharType="separate"/>
      </w:r>
      <w:r>
        <w:t xml:space="preserve">Table </w:t>
      </w:r>
      <w:r>
        <w:rPr>
          <w:noProof/>
        </w:rPr>
        <w:t>1</w:t>
      </w:r>
      <w:r w:rsidR="00981A33">
        <w:rPr>
          <w:noProof/>
        </w:rPr>
        <w:t>4</w:t>
      </w:r>
      <w:r>
        <w:fldChar w:fldCharType="end"/>
      </w:r>
      <w:r>
        <w:t>) may</w:t>
      </w:r>
      <w:r w:rsidRPr="008D6651">
        <w:t xml:space="preserve"> underestimate the incident population and thus the financial impact may be underestimated. This is primarily due to the estimated number of FMR patients being significantly less than the number of estimated DMR patients, while</w:t>
      </w:r>
      <w:r>
        <w:t xml:space="preserve"> in clinical practice</w:t>
      </w:r>
      <w:r w:rsidRPr="008D6651">
        <w:t xml:space="preserve"> it is expected that the number of DMR patients </w:t>
      </w:r>
      <w:r>
        <w:t xml:space="preserve">will </w:t>
      </w:r>
      <w:r w:rsidRPr="008D6651">
        <w:t>be less than the number of FMR patients.</w:t>
      </w:r>
    </w:p>
    <w:p w14:paraId="65EE4D57" w14:textId="31FC31F5" w:rsidR="00E47DC5" w:rsidRPr="00BE70ED" w:rsidRDefault="00E47DC5" w:rsidP="00BE70ED">
      <w:pPr>
        <w:rPr>
          <w:rFonts w:ascii="Arial Narrow" w:hAnsi="Arial Narrow"/>
          <w:b/>
          <w:sz w:val="20"/>
        </w:rPr>
      </w:pPr>
      <w:bookmarkStart w:id="48" w:name="_Ref31567429"/>
      <w:bookmarkStart w:id="49" w:name="_Toc31314960"/>
      <w:r w:rsidRPr="00BE70ED">
        <w:rPr>
          <w:rFonts w:ascii="Arial Narrow" w:hAnsi="Arial Narrow"/>
          <w:b/>
          <w:sz w:val="20"/>
        </w:rPr>
        <w:t xml:space="preserve">Table </w:t>
      </w:r>
      <w:bookmarkEnd w:id="48"/>
      <w:r w:rsidR="00981A33" w:rsidRPr="00BE70ED">
        <w:rPr>
          <w:rFonts w:ascii="Arial Narrow" w:hAnsi="Arial Narrow"/>
          <w:b/>
          <w:sz w:val="20"/>
        </w:rPr>
        <w:t>14</w:t>
      </w:r>
      <w:r w:rsidRPr="00BE70ED">
        <w:rPr>
          <w:rFonts w:ascii="Arial Narrow" w:hAnsi="Arial Narrow"/>
          <w:b/>
          <w:sz w:val="20"/>
        </w:rPr>
        <w:tab/>
        <w:t>Other financial costs associated with the listing TMVr to other government health budgets</w:t>
      </w:r>
      <w:bookmarkEnd w:id="49"/>
    </w:p>
    <w:tbl>
      <w:tblPr>
        <w:tblStyle w:val="TableGrid"/>
        <w:tblW w:w="5003" w:type="pct"/>
        <w:tblLayout w:type="fixed"/>
        <w:tblLook w:val="04A0" w:firstRow="1" w:lastRow="0" w:firstColumn="1" w:lastColumn="0" w:noHBand="0" w:noVBand="1"/>
        <w:tblCaption w:val="Table 49 "/>
        <w:tblDescription w:val="Other financial costs associated with the listing TMVr to other government health budgets"/>
      </w:tblPr>
      <w:tblGrid>
        <w:gridCol w:w="3119"/>
        <w:gridCol w:w="1180"/>
        <w:gridCol w:w="1180"/>
        <w:gridCol w:w="1180"/>
        <w:gridCol w:w="1180"/>
        <w:gridCol w:w="1182"/>
      </w:tblGrid>
      <w:tr w:rsidR="00E47DC5" w:rsidRPr="00B915EF" w14:paraId="26A973B2" w14:textId="77777777" w:rsidTr="005462CA">
        <w:trPr>
          <w:trHeight w:val="304"/>
          <w:tblHeader/>
        </w:trPr>
        <w:tc>
          <w:tcPr>
            <w:tcW w:w="1728" w:type="pct"/>
          </w:tcPr>
          <w:p w14:paraId="0219F1E1" w14:textId="77777777" w:rsidR="00E47DC5" w:rsidRPr="00B915EF" w:rsidRDefault="00E47DC5" w:rsidP="004030AA">
            <w:pPr>
              <w:keepNext/>
              <w:spacing w:before="40" w:after="40"/>
              <w:rPr>
                <w:rFonts w:ascii="Arial Narrow" w:hAnsi="Arial Narrow"/>
                <w:b/>
                <w:bCs/>
                <w:sz w:val="20"/>
              </w:rPr>
            </w:pPr>
            <w:r w:rsidRPr="00B915EF">
              <w:rPr>
                <w:rFonts w:ascii="Arial Narrow" w:hAnsi="Arial Narrow"/>
                <w:b/>
                <w:bCs/>
                <w:sz w:val="20"/>
              </w:rPr>
              <w:t>Year</w:t>
            </w:r>
          </w:p>
        </w:tc>
        <w:tc>
          <w:tcPr>
            <w:tcW w:w="654" w:type="pct"/>
            <w:noWrap/>
          </w:tcPr>
          <w:p w14:paraId="3860EE19" w14:textId="77777777" w:rsidR="00E47DC5" w:rsidRPr="00B915EF" w:rsidRDefault="00E47DC5" w:rsidP="004030AA">
            <w:pPr>
              <w:keepNext/>
              <w:spacing w:before="40" w:after="40"/>
              <w:jc w:val="center"/>
              <w:rPr>
                <w:rFonts w:ascii="Arial Narrow" w:hAnsi="Arial Narrow"/>
                <w:b/>
                <w:bCs/>
                <w:sz w:val="20"/>
              </w:rPr>
            </w:pPr>
            <w:r w:rsidRPr="00B915EF">
              <w:rPr>
                <w:rFonts w:ascii="Arial Narrow" w:hAnsi="Arial Narrow"/>
                <w:b/>
                <w:bCs/>
                <w:sz w:val="20"/>
              </w:rPr>
              <w:t>Year 1</w:t>
            </w:r>
          </w:p>
        </w:tc>
        <w:tc>
          <w:tcPr>
            <w:tcW w:w="654" w:type="pct"/>
          </w:tcPr>
          <w:p w14:paraId="799B191C" w14:textId="77777777" w:rsidR="00E47DC5" w:rsidRPr="00B915EF" w:rsidRDefault="00E47DC5" w:rsidP="004030AA">
            <w:pPr>
              <w:keepNext/>
              <w:spacing w:before="40" w:after="40"/>
              <w:jc w:val="center"/>
              <w:rPr>
                <w:rFonts w:ascii="Arial Narrow" w:hAnsi="Arial Narrow"/>
                <w:b/>
                <w:bCs/>
                <w:sz w:val="20"/>
              </w:rPr>
            </w:pPr>
            <w:r w:rsidRPr="00B915EF">
              <w:rPr>
                <w:rFonts w:ascii="Arial Narrow" w:hAnsi="Arial Narrow"/>
                <w:b/>
                <w:bCs/>
                <w:sz w:val="20"/>
              </w:rPr>
              <w:t>Year 2</w:t>
            </w:r>
          </w:p>
        </w:tc>
        <w:tc>
          <w:tcPr>
            <w:tcW w:w="654" w:type="pct"/>
          </w:tcPr>
          <w:p w14:paraId="4E1F4AD2" w14:textId="77777777" w:rsidR="00E47DC5" w:rsidRPr="00B915EF" w:rsidRDefault="00E47DC5" w:rsidP="004030AA">
            <w:pPr>
              <w:keepNext/>
              <w:spacing w:before="40" w:after="40"/>
              <w:jc w:val="center"/>
              <w:rPr>
                <w:rFonts w:ascii="Arial Narrow" w:hAnsi="Arial Narrow"/>
                <w:b/>
                <w:bCs/>
                <w:sz w:val="20"/>
              </w:rPr>
            </w:pPr>
            <w:r w:rsidRPr="00B915EF">
              <w:rPr>
                <w:rFonts w:ascii="Arial Narrow" w:hAnsi="Arial Narrow"/>
                <w:b/>
                <w:bCs/>
                <w:sz w:val="20"/>
              </w:rPr>
              <w:t>Year 3</w:t>
            </w:r>
          </w:p>
        </w:tc>
        <w:tc>
          <w:tcPr>
            <w:tcW w:w="654" w:type="pct"/>
          </w:tcPr>
          <w:p w14:paraId="218639AD" w14:textId="77777777" w:rsidR="00E47DC5" w:rsidRPr="00B915EF" w:rsidRDefault="00E47DC5" w:rsidP="004030AA">
            <w:pPr>
              <w:keepNext/>
              <w:spacing w:before="40" w:after="40"/>
              <w:jc w:val="center"/>
              <w:rPr>
                <w:rFonts w:ascii="Arial Narrow" w:hAnsi="Arial Narrow"/>
                <w:b/>
                <w:bCs/>
                <w:sz w:val="20"/>
              </w:rPr>
            </w:pPr>
            <w:r w:rsidRPr="00B915EF">
              <w:rPr>
                <w:rFonts w:ascii="Arial Narrow" w:hAnsi="Arial Narrow"/>
                <w:b/>
                <w:bCs/>
                <w:sz w:val="20"/>
              </w:rPr>
              <w:t>Year 4</w:t>
            </w:r>
          </w:p>
        </w:tc>
        <w:tc>
          <w:tcPr>
            <w:tcW w:w="655" w:type="pct"/>
          </w:tcPr>
          <w:p w14:paraId="355F5E17" w14:textId="77777777" w:rsidR="00E47DC5" w:rsidRPr="00B915EF" w:rsidRDefault="00E47DC5" w:rsidP="004030AA">
            <w:pPr>
              <w:keepNext/>
              <w:spacing w:before="40" w:after="40"/>
              <w:jc w:val="center"/>
              <w:rPr>
                <w:rFonts w:ascii="Arial Narrow" w:hAnsi="Arial Narrow"/>
                <w:b/>
                <w:bCs/>
                <w:sz w:val="20"/>
              </w:rPr>
            </w:pPr>
            <w:r w:rsidRPr="00B915EF">
              <w:rPr>
                <w:rFonts w:ascii="Arial Narrow" w:hAnsi="Arial Narrow"/>
                <w:b/>
                <w:bCs/>
                <w:sz w:val="20"/>
              </w:rPr>
              <w:t>Year 5</w:t>
            </w:r>
          </w:p>
        </w:tc>
      </w:tr>
      <w:tr w:rsidR="00E47DC5" w:rsidRPr="00B915EF" w14:paraId="48533BB6" w14:textId="77777777" w:rsidTr="005462CA">
        <w:trPr>
          <w:trHeight w:val="139"/>
        </w:trPr>
        <w:tc>
          <w:tcPr>
            <w:tcW w:w="1728" w:type="pct"/>
          </w:tcPr>
          <w:p w14:paraId="4DC83740" w14:textId="77777777" w:rsidR="00E47DC5" w:rsidRPr="00B915EF" w:rsidRDefault="00E47DC5" w:rsidP="004030AA">
            <w:pPr>
              <w:keepNext/>
              <w:spacing w:before="40" w:after="40"/>
              <w:rPr>
                <w:rFonts w:ascii="Arial Narrow" w:hAnsi="Arial Narrow"/>
                <w:sz w:val="20"/>
              </w:rPr>
            </w:pPr>
            <w:r w:rsidRPr="00B915EF">
              <w:rPr>
                <w:rFonts w:ascii="Arial Narrow" w:hAnsi="Arial Narrow"/>
                <w:sz w:val="20"/>
              </w:rPr>
              <w:t xml:space="preserve">For the DMR indication </w:t>
            </w:r>
          </w:p>
        </w:tc>
        <w:tc>
          <w:tcPr>
            <w:tcW w:w="654" w:type="pct"/>
            <w:noWrap/>
          </w:tcPr>
          <w:p w14:paraId="14FC65F3" w14:textId="77777777" w:rsidR="00E47DC5" w:rsidRPr="00B915EF" w:rsidRDefault="00E47DC5" w:rsidP="004030AA">
            <w:pPr>
              <w:keepNext/>
              <w:spacing w:before="40" w:after="40"/>
              <w:jc w:val="center"/>
              <w:rPr>
                <w:rFonts w:ascii="Arial Narrow" w:hAnsi="Arial Narrow"/>
                <w:sz w:val="20"/>
              </w:rPr>
            </w:pPr>
          </w:p>
        </w:tc>
        <w:tc>
          <w:tcPr>
            <w:tcW w:w="654" w:type="pct"/>
          </w:tcPr>
          <w:p w14:paraId="31DFCAA2" w14:textId="77777777" w:rsidR="00E47DC5" w:rsidRPr="00B915EF" w:rsidRDefault="00E47DC5" w:rsidP="004030AA">
            <w:pPr>
              <w:keepNext/>
              <w:spacing w:before="40" w:after="40"/>
              <w:jc w:val="center"/>
              <w:rPr>
                <w:rFonts w:ascii="Arial Narrow" w:hAnsi="Arial Narrow"/>
                <w:sz w:val="20"/>
              </w:rPr>
            </w:pPr>
          </w:p>
        </w:tc>
        <w:tc>
          <w:tcPr>
            <w:tcW w:w="654" w:type="pct"/>
          </w:tcPr>
          <w:p w14:paraId="716D7AE5" w14:textId="77777777" w:rsidR="00E47DC5" w:rsidRPr="00B915EF" w:rsidRDefault="00E47DC5" w:rsidP="004030AA">
            <w:pPr>
              <w:keepNext/>
              <w:spacing w:before="40" w:after="40"/>
              <w:jc w:val="center"/>
              <w:rPr>
                <w:rFonts w:ascii="Arial Narrow" w:hAnsi="Arial Narrow"/>
                <w:sz w:val="20"/>
              </w:rPr>
            </w:pPr>
          </w:p>
        </w:tc>
        <w:tc>
          <w:tcPr>
            <w:tcW w:w="654" w:type="pct"/>
          </w:tcPr>
          <w:p w14:paraId="10109F6D" w14:textId="77777777" w:rsidR="00E47DC5" w:rsidRPr="00B915EF" w:rsidRDefault="00E47DC5" w:rsidP="004030AA">
            <w:pPr>
              <w:keepNext/>
              <w:spacing w:before="40" w:after="40"/>
              <w:jc w:val="center"/>
              <w:rPr>
                <w:rFonts w:ascii="Arial Narrow" w:hAnsi="Arial Narrow"/>
                <w:sz w:val="20"/>
              </w:rPr>
            </w:pPr>
          </w:p>
        </w:tc>
        <w:tc>
          <w:tcPr>
            <w:tcW w:w="655" w:type="pct"/>
          </w:tcPr>
          <w:p w14:paraId="68C0D25D" w14:textId="77777777" w:rsidR="00E47DC5" w:rsidRPr="00B915EF" w:rsidRDefault="00E47DC5" w:rsidP="004030AA">
            <w:pPr>
              <w:keepNext/>
              <w:spacing w:before="40" w:after="40"/>
              <w:jc w:val="center"/>
              <w:rPr>
                <w:rFonts w:ascii="Arial Narrow" w:hAnsi="Arial Narrow"/>
                <w:sz w:val="20"/>
              </w:rPr>
            </w:pPr>
          </w:p>
        </w:tc>
      </w:tr>
      <w:tr w:rsidR="00E47DC5" w:rsidRPr="00B915EF" w14:paraId="39918B64" w14:textId="77777777" w:rsidTr="005462CA">
        <w:trPr>
          <w:trHeight w:val="139"/>
        </w:trPr>
        <w:tc>
          <w:tcPr>
            <w:tcW w:w="1728" w:type="pct"/>
          </w:tcPr>
          <w:p w14:paraId="3C268D9C" w14:textId="77777777" w:rsidR="00E47DC5" w:rsidRPr="00B915EF" w:rsidRDefault="00E47DC5" w:rsidP="004030AA">
            <w:pPr>
              <w:keepNext/>
              <w:spacing w:before="40" w:after="40"/>
              <w:rPr>
                <w:rFonts w:ascii="Arial Narrow" w:hAnsi="Arial Narrow"/>
                <w:sz w:val="20"/>
              </w:rPr>
            </w:pPr>
            <w:r w:rsidRPr="00B915EF">
              <w:rPr>
                <w:rFonts w:ascii="Arial Narrow" w:hAnsi="Arial Narrow"/>
                <w:sz w:val="20"/>
              </w:rPr>
              <w:t xml:space="preserve">  Total TMVr procedures</w:t>
            </w:r>
          </w:p>
        </w:tc>
        <w:tc>
          <w:tcPr>
            <w:tcW w:w="654" w:type="pct"/>
            <w:noWrap/>
          </w:tcPr>
          <w:p w14:paraId="2E136101"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174</w:t>
            </w:r>
          </w:p>
        </w:tc>
        <w:tc>
          <w:tcPr>
            <w:tcW w:w="654" w:type="pct"/>
          </w:tcPr>
          <w:p w14:paraId="387D3A35"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235</w:t>
            </w:r>
          </w:p>
        </w:tc>
        <w:tc>
          <w:tcPr>
            <w:tcW w:w="654" w:type="pct"/>
          </w:tcPr>
          <w:p w14:paraId="372ECABD"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275</w:t>
            </w:r>
          </w:p>
        </w:tc>
        <w:tc>
          <w:tcPr>
            <w:tcW w:w="654" w:type="pct"/>
          </w:tcPr>
          <w:p w14:paraId="19247314"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303</w:t>
            </w:r>
          </w:p>
        </w:tc>
        <w:tc>
          <w:tcPr>
            <w:tcW w:w="655" w:type="pct"/>
          </w:tcPr>
          <w:p w14:paraId="265F8582"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333</w:t>
            </w:r>
          </w:p>
        </w:tc>
      </w:tr>
      <w:tr w:rsidR="00E47DC5" w:rsidRPr="00B915EF" w14:paraId="64D5932C" w14:textId="77777777" w:rsidTr="005462CA">
        <w:trPr>
          <w:trHeight w:val="139"/>
        </w:trPr>
        <w:tc>
          <w:tcPr>
            <w:tcW w:w="1728" w:type="pct"/>
          </w:tcPr>
          <w:p w14:paraId="1F9D59E4" w14:textId="77777777" w:rsidR="00E47DC5" w:rsidRPr="00B915EF" w:rsidRDefault="00E47DC5" w:rsidP="00E47DC5">
            <w:pPr>
              <w:keepNext/>
              <w:numPr>
                <w:ilvl w:val="0"/>
                <w:numId w:val="10"/>
              </w:numPr>
              <w:spacing w:before="40" w:after="40"/>
              <w:ind w:left="326" w:hanging="142"/>
              <w:rPr>
                <w:rFonts w:ascii="Arial Narrow" w:hAnsi="Arial Narrow"/>
                <w:sz w:val="20"/>
              </w:rPr>
            </w:pPr>
            <w:r w:rsidRPr="00B915EF">
              <w:rPr>
                <w:rFonts w:ascii="Arial Narrow" w:hAnsi="Arial Narrow"/>
                <w:sz w:val="20"/>
              </w:rPr>
              <w:t xml:space="preserve">In-hospital resource use </w:t>
            </w:r>
          </w:p>
        </w:tc>
        <w:tc>
          <w:tcPr>
            <w:tcW w:w="654" w:type="pct"/>
            <w:noWrap/>
          </w:tcPr>
          <w:p w14:paraId="728E3C25"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$1,977,777</w:t>
            </w:r>
          </w:p>
        </w:tc>
        <w:tc>
          <w:tcPr>
            <w:tcW w:w="654" w:type="pct"/>
          </w:tcPr>
          <w:p w14:paraId="55A639BF"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$2,680,213</w:t>
            </w:r>
          </w:p>
        </w:tc>
        <w:tc>
          <w:tcPr>
            <w:tcW w:w="654" w:type="pct"/>
          </w:tcPr>
          <w:p w14:paraId="65023A36"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$3,131,725</w:t>
            </w:r>
          </w:p>
        </w:tc>
        <w:tc>
          <w:tcPr>
            <w:tcW w:w="654" w:type="pct"/>
          </w:tcPr>
          <w:p w14:paraId="2180240D"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$3,457,272</w:t>
            </w:r>
          </w:p>
        </w:tc>
        <w:tc>
          <w:tcPr>
            <w:tcW w:w="655" w:type="pct"/>
          </w:tcPr>
          <w:p w14:paraId="4BF3D8EB"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$3,792,189</w:t>
            </w:r>
          </w:p>
        </w:tc>
      </w:tr>
      <w:tr w:rsidR="004E6496" w:rsidRPr="00B915EF" w14:paraId="2EBF7247" w14:textId="77777777" w:rsidTr="005462CA">
        <w:trPr>
          <w:trHeight w:val="139"/>
        </w:trPr>
        <w:tc>
          <w:tcPr>
            <w:tcW w:w="1728" w:type="pct"/>
          </w:tcPr>
          <w:p w14:paraId="707BFD16" w14:textId="77777777" w:rsidR="004E6496" w:rsidRPr="00B915EF" w:rsidRDefault="004E6496" w:rsidP="0045134B">
            <w:pPr>
              <w:keepNext/>
              <w:numPr>
                <w:ilvl w:val="0"/>
                <w:numId w:val="10"/>
              </w:numPr>
              <w:spacing w:before="40" w:after="40"/>
              <w:ind w:left="326" w:hanging="142"/>
              <w:rPr>
                <w:rFonts w:ascii="Arial Narrow" w:hAnsi="Arial Narrow"/>
                <w:sz w:val="20"/>
              </w:rPr>
            </w:pPr>
            <w:r w:rsidRPr="00B915EF">
              <w:rPr>
                <w:rFonts w:ascii="Arial Narrow" w:hAnsi="Arial Narrow"/>
                <w:sz w:val="20"/>
              </w:rPr>
              <w:t xml:space="preserve">Prosthesis </w:t>
            </w:r>
          </w:p>
        </w:tc>
        <w:tc>
          <w:tcPr>
            <w:tcW w:w="654" w:type="pct"/>
            <w:noWrap/>
          </w:tcPr>
          <w:p w14:paraId="5FA929BB" w14:textId="1DF12D66"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77B2C4C5" w14:textId="10C1D23A"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2033B19B" w14:textId="38F6E035"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7A313A7B" w14:textId="5C7D8A1C"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5" w:type="pct"/>
          </w:tcPr>
          <w:p w14:paraId="4D9D8335" w14:textId="2735ABE9"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r>
      <w:tr w:rsidR="004E6496" w:rsidRPr="00B915EF" w14:paraId="32660FD3" w14:textId="77777777" w:rsidTr="005462CA">
        <w:trPr>
          <w:trHeight w:val="139"/>
        </w:trPr>
        <w:tc>
          <w:tcPr>
            <w:tcW w:w="1728" w:type="pct"/>
          </w:tcPr>
          <w:p w14:paraId="018FE876" w14:textId="77777777" w:rsidR="004E6496" w:rsidRPr="00B915EF" w:rsidRDefault="004E6496" w:rsidP="0045134B">
            <w:pPr>
              <w:keepNext/>
              <w:spacing w:before="40" w:after="40"/>
              <w:rPr>
                <w:rFonts w:ascii="Arial Narrow" w:hAnsi="Arial Narrow"/>
                <w:sz w:val="20"/>
              </w:rPr>
            </w:pPr>
            <w:r w:rsidRPr="00B915EF">
              <w:rPr>
                <w:rFonts w:ascii="Arial Narrow" w:hAnsi="Arial Narrow"/>
                <w:sz w:val="20"/>
              </w:rPr>
              <w:t xml:space="preserve">  Total, DMR only</w:t>
            </w:r>
          </w:p>
        </w:tc>
        <w:tc>
          <w:tcPr>
            <w:tcW w:w="654" w:type="pct"/>
            <w:noWrap/>
          </w:tcPr>
          <w:p w14:paraId="08D5A21B" w14:textId="40C762E1"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06B891DF" w14:textId="0F66C679"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71C0CF7E" w14:textId="22B16384"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4" w:type="pct"/>
          </w:tcPr>
          <w:p w14:paraId="0CE5152B" w14:textId="3C7CAF1F"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c>
          <w:tcPr>
            <w:tcW w:w="655" w:type="pct"/>
          </w:tcPr>
          <w:p w14:paraId="4B69BC35" w14:textId="0C56475D" w:rsidR="004E6496" w:rsidRPr="00B915EF" w:rsidRDefault="004E6496" w:rsidP="0045134B">
            <w:pPr>
              <w:keepNext/>
              <w:spacing w:before="40" w:after="40"/>
              <w:jc w:val="center"/>
              <w:rPr>
                <w:rFonts w:ascii="Arial Narrow" w:hAnsi="Arial Narrow"/>
                <w:sz w:val="20"/>
              </w:rPr>
            </w:pPr>
            <w:r w:rsidRPr="00DF4573">
              <w:rPr>
                <w:rFonts w:ascii="Arial Narrow" w:hAnsi="Arial Narrow" w:cs="Tahoma"/>
                <w:sz w:val="20"/>
              </w:rPr>
              <w:t>$redacted</w:t>
            </w:r>
          </w:p>
        </w:tc>
      </w:tr>
      <w:tr w:rsidR="00E47DC5" w:rsidRPr="00B915EF" w14:paraId="4D0CC89D" w14:textId="77777777" w:rsidTr="005462CA">
        <w:trPr>
          <w:trHeight w:val="139"/>
        </w:trPr>
        <w:tc>
          <w:tcPr>
            <w:tcW w:w="1728" w:type="pct"/>
          </w:tcPr>
          <w:p w14:paraId="1079F1F0" w14:textId="77777777" w:rsidR="00E47DC5" w:rsidRPr="00B915EF" w:rsidRDefault="00E47DC5" w:rsidP="004030AA">
            <w:pPr>
              <w:keepNext/>
              <w:spacing w:before="40" w:after="40"/>
              <w:rPr>
                <w:rFonts w:ascii="Arial Narrow" w:hAnsi="Arial Narrow"/>
                <w:sz w:val="20"/>
              </w:rPr>
            </w:pPr>
            <w:r w:rsidRPr="00B915EF">
              <w:rPr>
                <w:rFonts w:ascii="Arial Narrow" w:hAnsi="Arial Narrow"/>
                <w:sz w:val="20"/>
              </w:rPr>
              <w:t>For the FMR indication</w:t>
            </w:r>
          </w:p>
        </w:tc>
        <w:tc>
          <w:tcPr>
            <w:tcW w:w="654" w:type="pct"/>
            <w:noWrap/>
          </w:tcPr>
          <w:p w14:paraId="31434753" w14:textId="77777777" w:rsidR="00E47DC5" w:rsidRPr="00B915EF" w:rsidRDefault="00E47DC5" w:rsidP="004030AA">
            <w:pPr>
              <w:keepNext/>
              <w:spacing w:before="40" w:after="40"/>
              <w:jc w:val="center"/>
              <w:rPr>
                <w:rFonts w:ascii="Arial Narrow" w:hAnsi="Arial Narrow"/>
                <w:sz w:val="20"/>
              </w:rPr>
            </w:pPr>
          </w:p>
        </w:tc>
        <w:tc>
          <w:tcPr>
            <w:tcW w:w="654" w:type="pct"/>
          </w:tcPr>
          <w:p w14:paraId="7D140B66" w14:textId="77777777" w:rsidR="00E47DC5" w:rsidRPr="00B915EF" w:rsidRDefault="00E47DC5" w:rsidP="004030AA">
            <w:pPr>
              <w:keepNext/>
              <w:spacing w:before="40" w:after="40"/>
              <w:jc w:val="center"/>
              <w:rPr>
                <w:rFonts w:ascii="Arial Narrow" w:hAnsi="Arial Narrow"/>
                <w:sz w:val="20"/>
              </w:rPr>
            </w:pPr>
          </w:p>
        </w:tc>
        <w:tc>
          <w:tcPr>
            <w:tcW w:w="654" w:type="pct"/>
          </w:tcPr>
          <w:p w14:paraId="05063681" w14:textId="77777777" w:rsidR="00E47DC5" w:rsidRPr="00B915EF" w:rsidRDefault="00E47DC5" w:rsidP="004030AA">
            <w:pPr>
              <w:keepNext/>
              <w:spacing w:before="40" w:after="40"/>
              <w:jc w:val="center"/>
              <w:rPr>
                <w:rFonts w:ascii="Arial Narrow" w:hAnsi="Arial Narrow"/>
                <w:sz w:val="20"/>
              </w:rPr>
            </w:pPr>
          </w:p>
        </w:tc>
        <w:tc>
          <w:tcPr>
            <w:tcW w:w="654" w:type="pct"/>
          </w:tcPr>
          <w:p w14:paraId="5A659C72" w14:textId="77777777" w:rsidR="00E47DC5" w:rsidRPr="00B915EF" w:rsidRDefault="00E47DC5" w:rsidP="004030AA">
            <w:pPr>
              <w:keepNext/>
              <w:spacing w:before="40" w:after="40"/>
              <w:jc w:val="center"/>
              <w:rPr>
                <w:rFonts w:ascii="Arial Narrow" w:hAnsi="Arial Narrow"/>
                <w:sz w:val="20"/>
              </w:rPr>
            </w:pPr>
          </w:p>
        </w:tc>
        <w:tc>
          <w:tcPr>
            <w:tcW w:w="655" w:type="pct"/>
          </w:tcPr>
          <w:p w14:paraId="072FBA5A" w14:textId="77777777" w:rsidR="00E47DC5" w:rsidRPr="00B915EF" w:rsidRDefault="00E47DC5" w:rsidP="004030AA">
            <w:pPr>
              <w:keepNext/>
              <w:spacing w:before="40" w:after="40"/>
              <w:jc w:val="center"/>
              <w:rPr>
                <w:rFonts w:ascii="Arial Narrow" w:hAnsi="Arial Narrow"/>
                <w:sz w:val="20"/>
              </w:rPr>
            </w:pPr>
          </w:p>
        </w:tc>
      </w:tr>
      <w:tr w:rsidR="00E47DC5" w:rsidRPr="00B915EF" w14:paraId="7BCC9DC5" w14:textId="77777777" w:rsidTr="005462CA">
        <w:trPr>
          <w:trHeight w:val="139"/>
        </w:trPr>
        <w:tc>
          <w:tcPr>
            <w:tcW w:w="1728" w:type="pct"/>
          </w:tcPr>
          <w:p w14:paraId="7E791888" w14:textId="77777777" w:rsidR="00E47DC5" w:rsidRPr="00B915EF" w:rsidRDefault="00E47DC5" w:rsidP="004030AA">
            <w:pPr>
              <w:keepNext/>
              <w:spacing w:before="40" w:after="40"/>
              <w:rPr>
                <w:rFonts w:ascii="Arial Narrow" w:hAnsi="Arial Narrow"/>
                <w:sz w:val="20"/>
              </w:rPr>
            </w:pPr>
            <w:r w:rsidRPr="00B915EF">
              <w:rPr>
                <w:rFonts w:ascii="Arial Narrow" w:hAnsi="Arial Narrow"/>
                <w:sz w:val="20"/>
              </w:rPr>
              <w:t xml:space="preserve">  Total TMVr procedures</w:t>
            </w:r>
          </w:p>
        </w:tc>
        <w:tc>
          <w:tcPr>
            <w:tcW w:w="654" w:type="pct"/>
            <w:noWrap/>
          </w:tcPr>
          <w:p w14:paraId="06AF1006"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100</w:t>
            </w:r>
          </w:p>
        </w:tc>
        <w:tc>
          <w:tcPr>
            <w:tcW w:w="654" w:type="pct"/>
          </w:tcPr>
          <w:p w14:paraId="050657FA"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136</w:t>
            </w:r>
          </w:p>
        </w:tc>
        <w:tc>
          <w:tcPr>
            <w:tcW w:w="654" w:type="pct"/>
          </w:tcPr>
          <w:p w14:paraId="5F69C239"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159</w:t>
            </w:r>
          </w:p>
        </w:tc>
        <w:tc>
          <w:tcPr>
            <w:tcW w:w="654" w:type="pct"/>
          </w:tcPr>
          <w:p w14:paraId="774CEB95"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176</w:t>
            </w:r>
          </w:p>
        </w:tc>
        <w:tc>
          <w:tcPr>
            <w:tcW w:w="655" w:type="pct"/>
          </w:tcPr>
          <w:p w14:paraId="5CF69C07"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193</w:t>
            </w:r>
          </w:p>
        </w:tc>
      </w:tr>
      <w:tr w:rsidR="00E47DC5" w:rsidRPr="00B915EF" w14:paraId="2EA356CF" w14:textId="77777777" w:rsidTr="005462CA">
        <w:trPr>
          <w:trHeight w:val="139"/>
        </w:trPr>
        <w:tc>
          <w:tcPr>
            <w:tcW w:w="1728" w:type="pct"/>
          </w:tcPr>
          <w:p w14:paraId="73CD779D" w14:textId="77777777" w:rsidR="00E47DC5" w:rsidRPr="00B915EF" w:rsidRDefault="00E47DC5" w:rsidP="00E47DC5">
            <w:pPr>
              <w:keepNext/>
              <w:numPr>
                <w:ilvl w:val="0"/>
                <w:numId w:val="10"/>
              </w:numPr>
              <w:spacing w:before="40" w:after="40"/>
              <w:ind w:left="326" w:hanging="142"/>
              <w:rPr>
                <w:rFonts w:ascii="Arial Narrow" w:hAnsi="Arial Narrow"/>
                <w:sz w:val="20"/>
              </w:rPr>
            </w:pPr>
            <w:r w:rsidRPr="00B915EF">
              <w:rPr>
                <w:rFonts w:ascii="Arial Narrow" w:hAnsi="Arial Narrow"/>
                <w:sz w:val="20"/>
              </w:rPr>
              <w:t>In-hospital resource use</w:t>
            </w:r>
          </w:p>
        </w:tc>
        <w:tc>
          <w:tcPr>
            <w:tcW w:w="654" w:type="pct"/>
            <w:noWrap/>
          </w:tcPr>
          <w:p w14:paraId="2C72B55A"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$1,144,991</w:t>
            </w:r>
          </w:p>
        </w:tc>
        <w:tc>
          <w:tcPr>
            <w:tcW w:w="654" w:type="pct"/>
          </w:tcPr>
          <w:p w14:paraId="47A40627"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$1,551,651</w:t>
            </w:r>
          </w:p>
        </w:tc>
        <w:tc>
          <w:tcPr>
            <w:tcW w:w="654" w:type="pct"/>
          </w:tcPr>
          <w:p w14:paraId="7A8CD271"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$1,813,044</w:t>
            </w:r>
          </w:p>
        </w:tc>
        <w:tc>
          <w:tcPr>
            <w:tcW w:w="654" w:type="pct"/>
          </w:tcPr>
          <w:p w14:paraId="077235CF"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$2,001,512</w:t>
            </w:r>
          </w:p>
        </w:tc>
        <w:tc>
          <w:tcPr>
            <w:tcW w:w="655" w:type="pct"/>
          </w:tcPr>
          <w:p w14:paraId="43870A4F"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$2,195,406</w:t>
            </w:r>
          </w:p>
        </w:tc>
      </w:tr>
      <w:tr w:rsidR="004E6496" w:rsidRPr="00B915EF" w14:paraId="294C0958" w14:textId="77777777" w:rsidTr="005462CA">
        <w:trPr>
          <w:trHeight w:val="139"/>
        </w:trPr>
        <w:tc>
          <w:tcPr>
            <w:tcW w:w="1728" w:type="pct"/>
          </w:tcPr>
          <w:p w14:paraId="4B46226F" w14:textId="77777777" w:rsidR="004E6496" w:rsidRPr="00B915EF" w:rsidRDefault="004E6496" w:rsidP="0045134B">
            <w:pPr>
              <w:keepNext/>
              <w:numPr>
                <w:ilvl w:val="0"/>
                <w:numId w:val="10"/>
              </w:numPr>
              <w:spacing w:before="40" w:after="40"/>
              <w:ind w:left="326" w:hanging="142"/>
              <w:rPr>
                <w:rFonts w:ascii="Arial Narrow" w:hAnsi="Arial Narrow"/>
                <w:sz w:val="20"/>
              </w:rPr>
            </w:pPr>
            <w:r w:rsidRPr="00B915EF">
              <w:rPr>
                <w:rFonts w:ascii="Arial Narrow" w:hAnsi="Arial Narrow"/>
                <w:sz w:val="20"/>
              </w:rPr>
              <w:t xml:space="preserve">Prosthesis </w:t>
            </w:r>
          </w:p>
        </w:tc>
        <w:tc>
          <w:tcPr>
            <w:tcW w:w="654" w:type="pct"/>
            <w:noWrap/>
          </w:tcPr>
          <w:p w14:paraId="5CA3D0FE" w14:textId="778BD166"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139583DB" w14:textId="6B3D7D84"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69F02B64" w14:textId="11B12799"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3DBD9C6E" w14:textId="65150A9A"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5" w:type="pct"/>
          </w:tcPr>
          <w:p w14:paraId="2E270087" w14:textId="5FF67E94"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r>
      <w:tr w:rsidR="004E6496" w:rsidRPr="00B915EF" w14:paraId="33319BDD" w14:textId="77777777" w:rsidTr="005462CA">
        <w:trPr>
          <w:trHeight w:val="139"/>
        </w:trPr>
        <w:tc>
          <w:tcPr>
            <w:tcW w:w="1728" w:type="pct"/>
          </w:tcPr>
          <w:p w14:paraId="650F47B0" w14:textId="77777777" w:rsidR="004E6496" w:rsidRPr="00B915EF" w:rsidRDefault="004E6496" w:rsidP="0045134B">
            <w:pPr>
              <w:keepNext/>
              <w:spacing w:before="40" w:after="40"/>
              <w:rPr>
                <w:rFonts w:ascii="Arial Narrow" w:hAnsi="Arial Narrow"/>
                <w:sz w:val="20"/>
              </w:rPr>
            </w:pPr>
            <w:r w:rsidRPr="00B915EF">
              <w:rPr>
                <w:rFonts w:ascii="Arial Narrow" w:hAnsi="Arial Narrow"/>
                <w:sz w:val="20"/>
              </w:rPr>
              <w:t xml:space="preserve">  Total, FMR only</w:t>
            </w:r>
          </w:p>
        </w:tc>
        <w:tc>
          <w:tcPr>
            <w:tcW w:w="654" w:type="pct"/>
            <w:noWrap/>
          </w:tcPr>
          <w:p w14:paraId="163E1929" w14:textId="2DA603F2"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6757F4C9" w14:textId="2C086210"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3456BA62" w14:textId="069B5AB4"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4" w:type="pct"/>
          </w:tcPr>
          <w:p w14:paraId="7E3902A3" w14:textId="29DC71B7"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c>
          <w:tcPr>
            <w:tcW w:w="655" w:type="pct"/>
          </w:tcPr>
          <w:p w14:paraId="6C271A87" w14:textId="03DD524A" w:rsidR="004E6496" w:rsidRPr="00B915EF" w:rsidRDefault="004E6496" w:rsidP="0045134B">
            <w:pPr>
              <w:keepNext/>
              <w:spacing w:before="40" w:after="40"/>
              <w:jc w:val="center"/>
              <w:rPr>
                <w:rFonts w:ascii="Arial Narrow" w:hAnsi="Arial Narrow"/>
                <w:sz w:val="20"/>
              </w:rPr>
            </w:pPr>
            <w:r w:rsidRPr="00D55AB4">
              <w:rPr>
                <w:rFonts w:ascii="Arial Narrow" w:hAnsi="Arial Narrow" w:cs="Tahoma"/>
                <w:sz w:val="20"/>
              </w:rPr>
              <w:t>$redacted</w:t>
            </w:r>
          </w:p>
        </w:tc>
      </w:tr>
      <w:tr w:rsidR="00E47DC5" w:rsidRPr="00B915EF" w14:paraId="0CD9DE92" w14:textId="77777777" w:rsidTr="005462CA">
        <w:trPr>
          <w:trHeight w:val="139"/>
        </w:trPr>
        <w:tc>
          <w:tcPr>
            <w:tcW w:w="1728" w:type="pct"/>
          </w:tcPr>
          <w:p w14:paraId="113539A4" w14:textId="77777777" w:rsidR="00E47DC5" w:rsidRPr="00B915EF" w:rsidRDefault="00E47DC5" w:rsidP="004030AA">
            <w:pPr>
              <w:keepNext/>
              <w:spacing w:before="40" w:after="40"/>
              <w:rPr>
                <w:rFonts w:ascii="Arial Narrow" w:hAnsi="Arial Narrow"/>
                <w:sz w:val="20"/>
              </w:rPr>
            </w:pPr>
            <w:r w:rsidRPr="00B915EF">
              <w:rPr>
                <w:rFonts w:ascii="Arial Narrow" w:hAnsi="Arial Narrow"/>
                <w:sz w:val="20"/>
              </w:rPr>
              <w:t xml:space="preserve">Total combined </w:t>
            </w:r>
          </w:p>
        </w:tc>
        <w:tc>
          <w:tcPr>
            <w:tcW w:w="654" w:type="pct"/>
            <w:noWrap/>
          </w:tcPr>
          <w:p w14:paraId="41F0FF93" w14:textId="77777777" w:rsidR="00E47DC5" w:rsidRPr="00B915EF" w:rsidRDefault="00E47DC5" w:rsidP="004030AA">
            <w:pPr>
              <w:keepNext/>
              <w:spacing w:before="40" w:after="40"/>
              <w:jc w:val="center"/>
              <w:rPr>
                <w:rFonts w:ascii="Arial Narrow" w:hAnsi="Arial Narrow"/>
                <w:sz w:val="20"/>
              </w:rPr>
            </w:pPr>
          </w:p>
        </w:tc>
        <w:tc>
          <w:tcPr>
            <w:tcW w:w="654" w:type="pct"/>
          </w:tcPr>
          <w:p w14:paraId="558990AE" w14:textId="77777777" w:rsidR="00E47DC5" w:rsidRPr="00B915EF" w:rsidRDefault="00E47DC5" w:rsidP="004030AA">
            <w:pPr>
              <w:keepNext/>
              <w:spacing w:before="40" w:after="40"/>
              <w:jc w:val="center"/>
              <w:rPr>
                <w:rFonts w:ascii="Arial Narrow" w:hAnsi="Arial Narrow"/>
                <w:sz w:val="20"/>
              </w:rPr>
            </w:pPr>
          </w:p>
        </w:tc>
        <w:tc>
          <w:tcPr>
            <w:tcW w:w="654" w:type="pct"/>
          </w:tcPr>
          <w:p w14:paraId="19803ABB" w14:textId="77777777" w:rsidR="00E47DC5" w:rsidRPr="00B915EF" w:rsidRDefault="00E47DC5" w:rsidP="004030AA">
            <w:pPr>
              <w:keepNext/>
              <w:spacing w:before="40" w:after="40"/>
              <w:jc w:val="center"/>
              <w:rPr>
                <w:rFonts w:ascii="Arial Narrow" w:hAnsi="Arial Narrow"/>
                <w:sz w:val="20"/>
              </w:rPr>
            </w:pPr>
          </w:p>
        </w:tc>
        <w:tc>
          <w:tcPr>
            <w:tcW w:w="654" w:type="pct"/>
          </w:tcPr>
          <w:p w14:paraId="6759D167" w14:textId="77777777" w:rsidR="00E47DC5" w:rsidRPr="00B915EF" w:rsidRDefault="00E47DC5" w:rsidP="004030AA">
            <w:pPr>
              <w:keepNext/>
              <w:spacing w:before="40" w:after="40"/>
              <w:jc w:val="center"/>
              <w:rPr>
                <w:rFonts w:ascii="Arial Narrow" w:hAnsi="Arial Narrow"/>
                <w:sz w:val="20"/>
              </w:rPr>
            </w:pPr>
          </w:p>
        </w:tc>
        <w:tc>
          <w:tcPr>
            <w:tcW w:w="655" w:type="pct"/>
          </w:tcPr>
          <w:p w14:paraId="7BC34278" w14:textId="77777777" w:rsidR="00E47DC5" w:rsidRPr="00B915EF" w:rsidRDefault="00E47DC5" w:rsidP="004030AA">
            <w:pPr>
              <w:keepNext/>
              <w:spacing w:before="40" w:after="40"/>
              <w:jc w:val="center"/>
              <w:rPr>
                <w:rFonts w:ascii="Arial Narrow" w:hAnsi="Arial Narrow"/>
                <w:sz w:val="20"/>
              </w:rPr>
            </w:pPr>
          </w:p>
        </w:tc>
      </w:tr>
      <w:tr w:rsidR="00E47DC5" w:rsidRPr="00B915EF" w14:paraId="2F5178EA" w14:textId="77777777" w:rsidTr="005462CA">
        <w:trPr>
          <w:trHeight w:val="139"/>
        </w:trPr>
        <w:tc>
          <w:tcPr>
            <w:tcW w:w="1728" w:type="pct"/>
          </w:tcPr>
          <w:p w14:paraId="1D3C4CF3" w14:textId="77777777" w:rsidR="00E47DC5" w:rsidRPr="00B915EF" w:rsidRDefault="00E47DC5" w:rsidP="00E47DC5">
            <w:pPr>
              <w:keepNext/>
              <w:numPr>
                <w:ilvl w:val="0"/>
                <w:numId w:val="12"/>
              </w:numPr>
              <w:spacing w:before="40" w:after="40"/>
              <w:ind w:left="326" w:hanging="142"/>
              <w:rPr>
                <w:rFonts w:ascii="Arial Narrow" w:hAnsi="Arial Narrow"/>
                <w:sz w:val="20"/>
              </w:rPr>
            </w:pPr>
            <w:r w:rsidRPr="00B915EF">
              <w:rPr>
                <w:rFonts w:ascii="Arial Narrow" w:hAnsi="Arial Narrow"/>
                <w:sz w:val="20"/>
              </w:rPr>
              <w:t>In-hospital resource use</w:t>
            </w:r>
          </w:p>
        </w:tc>
        <w:tc>
          <w:tcPr>
            <w:tcW w:w="654" w:type="pct"/>
            <w:noWrap/>
          </w:tcPr>
          <w:p w14:paraId="2D60CBD0"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$3,122,769</w:t>
            </w:r>
          </w:p>
        </w:tc>
        <w:tc>
          <w:tcPr>
            <w:tcW w:w="654" w:type="pct"/>
          </w:tcPr>
          <w:p w14:paraId="7577B39D"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$4,231,865</w:t>
            </w:r>
          </w:p>
        </w:tc>
        <w:tc>
          <w:tcPr>
            <w:tcW w:w="654" w:type="pct"/>
          </w:tcPr>
          <w:p w14:paraId="0C329210"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$4,944,769</w:t>
            </w:r>
          </w:p>
        </w:tc>
        <w:tc>
          <w:tcPr>
            <w:tcW w:w="654" w:type="pct"/>
          </w:tcPr>
          <w:p w14:paraId="0B1A2564"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$5,458,784</w:t>
            </w:r>
          </w:p>
        </w:tc>
        <w:tc>
          <w:tcPr>
            <w:tcW w:w="655" w:type="pct"/>
          </w:tcPr>
          <w:p w14:paraId="05191BF0" w14:textId="77777777" w:rsidR="00E47DC5" w:rsidRPr="00B915EF" w:rsidRDefault="00E47DC5" w:rsidP="004030AA">
            <w:pPr>
              <w:keepNext/>
              <w:spacing w:before="40" w:after="40"/>
              <w:jc w:val="center"/>
              <w:rPr>
                <w:rFonts w:ascii="Arial Narrow" w:hAnsi="Arial Narrow"/>
                <w:sz w:val="20"/>
              </w:rPr>
            </w:pPr>
            <w:r w:rsidRPr="00B915EF">
              <w:rPr>
                <w:rFonts w:ascii="Arial Narrow" w:hAnsi="Arial Narrow"/>
                <w:sz w:val="20"/>
              </w:rPr>
              <w:t>$5,987,595</w:t>
            </w:r>
          </w:p>
        </w:tc>
      </w:tr>
      <w:tr w:rsidR="004E6496" w:rsidRPr="00B915EF" w14:paraId="07267D88" w14:textId="77777777" w:rsidTr="005462CA">
        <w:trPr>
          <w:trHeight w:val="139"/>
        </w:trPr>
        <w:tc>
          <w:tcPr>
            <w:tcW w:w="1728" w:type="pct"/>
          </w:tcPr>
          <w:p w14:paraId="639881B9" w14:textId="77777777" w:rsidR="004E6496" w:rsidRPr="00B915EF" w:rsidRDefault="004E6496" w:rsidP="0045134B">
            <w:pPr>
              <w:keepNext/>
              <w:numPr>
                <w:ilvl w:val="0"/>
                <w:numId w:val="12"/>
              </w:numPr>
              <w:spacing w:before="40" w:after="40"/>
              <w:ind w:left="326" w:hanging="142"/>
              <w:rPr>
                <w:rFonts w:ascii="Arial Narrow" w:hAnsi="Arial Narrow"/>
                <w:sz w:val="20"/>
              </w:rPr>
            </w:pPr>
            <w:r w:rsidRPr="00B915EF">
              <w:rPr>
                <w:rFonts w:ascii="Arial Narrow" w:hAnsi="Arial Narrow"/>
                <w:sz w:val="20"/>
              </w:rPr>
              <w:t xml:space="preserve">Prosthesis </w:t>
            </w:r>
          </w:p>
        </w:tc>
        <w:tc>
          <w:tcPr>
            <w:tcW w:w="654" w:type="pct"/>
            <w:noWrap/>
          </w:tcPr>
          <w:p w14:paraId="6CB57271" w14:textId="2D1D4B4A"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07F449E6" w14:textId="48BA5D1B"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41C39EF2" w14:textId="752F91A7"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08B59211" w14:textId="1F909593"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5" w:type="pct"/>
          </w:tcPr>
          <w:p w14:paraId="38B15C16" w14:textId="1A3A25BA"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r>
      <w:tr w:rsidR="004E6496" w:rsidRPr="00B915EF" w14:paraId="6902D0B7" w14:textId="77777777" w:rsidTr="005462CA">
        <w:trPr>
          <w:trHeight w:val="139"/>
        </w:trPr>
        <w:tc>
          <w:tcPr>
            <w:tcW w:w="1728" w:type="pct"/>
          </w:tcPr>
          <w:p w14:paraId="6AAA6D19" w14:textId="77777777" w:rsidR="004E6496" w:rsidRPr="00B915EF" w:rsidRDefault="004E6496" w:rsidP="0045134B">
            <w:pPr>
              <w:keepNext/>
              <w:spacing w:before="40" w:after="40"/>
              <w:rPr>
                <w:rFonts w:ascii="Arial Narrow" w:hAnsi="Arial Narrow"/>
                <w:sz w:val="20"/>
              </w:rPr>
            </w:pPr>
            <w:r w:rsidRPr="00B915EF">
              <w:rPr>
                <w:rFonts w:ascii="Arial Narrow" w:hAnsi="Arial Narrow"/>
                <w:sz w:val="20"/>
              </w:rPr>
              <w:t xml:space="preserve">  Total combined</w:t>
            </w:r>
          </w:p>
        </w:tc>
        <w:tc>
          <w:tcPr>
            <w:tcW w:w="654" w:type="pct"/>
            <w:noWrap/>
          </w:tcPr>
          <w:p w14:paraId="272835BF" w14:textId="7FCB958B"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4CA295CF" w14:textId="08BE2B66"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145A1399" w14:textId="688565EF"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4" w:type="pct"/>
          </w:tcPr>
          <w:p w14:paraId="5EAE8F8D" w14:textId="52131FB5"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c>
          <w:tcPr>
            <w:tcW w:w="655" w:type="pct"/>
          </w:tcPr>
          <w:p w14:paraId="69C5EC30" w14:textId="1F28AB70" w:rsidR="004E6496" w:rsidRPr="00B915EF" w:rsidRDefault="004E6496" w:rsidP="0045134B">
            <w:pPr>
              <w:keepNext/>
              <w:spacing w:before="40" w:after="40"/>
              <w:jc w:val="center"/>
              <w:rPr>
                <w:rFonts w:ascii="Arial Narrow" w:hAnsi="Arial Narrow"/>
                <w:sz w:val="20"/>
              </w:rPr>
            </w:pPr>
            <w:r w:rsidRPr="00E034C2">
              <w:rPr>
                <w:rFonts w:ascii="Arial Narrow" w:hAnsi="Arial Narrow" w:cs="Tahoma"/>
                <w:sz w:val="20"/>
              </w:rPr>
              <w:t>$redacted</w:t>
            </w:r>
          </w:p>
        </w:tc>
      </w:tr>
    </w:tbl>
    <w:p w14:paraId="2C0DF02C" w14:textId="77777777" w:rsidR="00E47DC5" w:rsidRDefault="00E47DC5" w:rsidP="00E47DC5">
      <w:pPr>
        <w:pStyle w:val="TableNote"/>
      </w:pPr>
      <w:r w:rsidRPr="004612D1">
        <w:t>DMR=Degenerative mitral regurgitation, FMR=Functional mitral regurgitation</w:t>
      </w:r>
      <w:r>
        <w:t xml:space="preserve">, </w:t>
      </w:r>
      <w:r w:rsidRPr="004612D1">
        <w:t>TMVr=Transcatheter mitral valve repai</w:t>
      </w:r>
      <w:r>
        <w:t>r</w:t>
      </w:r>
    </w:p>
    <w:p w14:paraId="2DC38CD8" w14:textId="77777777" w:rsidR="00E47DC5" w:rsidRDefault="00E47DC5" w:rsidP="00E47DC5">
      <w:pPr>
        <w:pStyle w:val="TableNote"/>
      </w:pPr>
      <w:r>
        <w:t>Source: Table 57, p94 of the commentary</w:t>
      </w:r>
    </w:p>
    <w:p w14:paraId="41FF1189" w14:textId="77777777" w:rsidR="00E47DC5" w:rsidRDefault="00E47DC5" w:rsidP="009C5AB3">
      <w:pPr>
        <w:widowControl w:val="0"/>
        <w:spacing w:before="240"/>
      </w:pPr>
      <w:r>
        <w:t>In the pre-ESC response, the applicant sought</w:t>
      </w:r>
      <w:r w:rsidRPr="001B671F">
        <w:t xml:space="preserve"> clarification on the following </w:t>
      </w:r>
      <w:r>
        <w:t>commentary statement</w:t>
      </w:r>
      <w:r w:rsidRPr="001B671F">
        <w:t>; “</w:t>
      </w:r>
      <w:r w:rsidRPr="001B671F">
        <w:rPr>
          <w:i/>
          <w:iCs/>
        </w:rPr>
        <w:t xml:space="preserve">as the MBS covers both private and public patients, all patients would be covered </w:t>
      </w:r>
      <w:r w:rsidRPr="001B671F">
        <w:rPr>
          <w:i/>
          <w:iCs/>
        </w:rPr>
        <w:lastRenderedPageBreak/>
        <w:t>by the MBS</w:t>
      </w:r>
      <w:r w:rsidRPr="001B671F">
        <w:t xml:space="preserve">” (pg 94). </w:t>
      </w:r>
      <w:r>
        <w:t>The applicant noted that in the circumstance whereby a patient is accessing MitraClip via the Prosthesis List, then it is true that this particular item number will only cover privately insured (or otherwise privately funded) patients. As such,</w:t>
      </w:r>
      <w:r w:rsidRPr="001B671F">
        <w:t xml:space="preserve"> Section E correctly accounts for a likely proportion of patients receiving </w:t>
      </w:r>
      <w:r>
        <w:t xml:space="preserve">the procedure </w:t>
      </w:r>
      <w:r w:rsidRPr="001B671F">
        <w:t xml:space="preserve">in </w:t>
      </w:r>
      <w:r>
        <w:t xml:space="preserve">a </w:t>
      </w:r>
      <w:r w:rsidRPr="001B671F">
        <w:t>private setting (5</w:t>
      </w:r>
      <w:r>
        <w:t>4</w:t>
      </w:r>
      <w:r w:rsidRPr="001B671F">
        <w:t xml:space="preserve">%; based on the private health insurance statistics on coverage among Australians aged </w:t>
      </w:r>
      <w:r>
        <w:rPr>
          <w:rFonts w:cstheme="minorHAnsi"/>
        </w:rPr>
        <w:t>≥</w:t>
      </w:r>
      <w:r>
        <w:t xml:space="preserve"> </w:t>
      </w:r>
      <w:r w:rsidRPr="001B671F">
        <w:t>65 y</w:t>
      </w:r>
      <w:r>
        <w:t>ears</w:t>
      </w:r>
      <w:r w:rsidRPr="001B671F">
        <w:t xml:space="preserve">). The </w:t>
      </w:r>
      <w:r w:rsidR="00F75D65">
        <w:t>a</w:t>
      </w:r>
      <w:r w:rsidRPr="001B671F">
        <w:t xml:space="preserve">pplicant acknowledges this estimate is a proxy as uninsured patients </w:t>
      </w:r>
      <w:r>
        <w:t>could</w:t>
      </w:r>
      <w:r w:rsidRPr="001B671F">
        <w:t xml:space="preserve"> privately pay for the procedure</w:t>
      </w:r>
      <w:r>
        <w:t xml:space="preserve"> and the MitraClip device</w:t>
      </w:r>
      <w:r w:rsidRPr="001B671F">
        <w:t xml:space="preserve">. However, this proportion </w:t>
      </w:r>
      <w:r>
        <w:t xml:space="preserve">is expected to be </w:t>
      </w:r>
      <w:r w:rsidRPr="000D0E31">
        <w:t>small</w:t>
      </w:r>
      <w:r w:rsidRPr="001B671F">
        <w:t xml:space="preserve"> (</w:t>
      </w:r>
      <w:r>
        <w:t xml:space="preserve">not 100% as assumed in </w:t>
      </w:r>
      <w:r w:rsidRPr="001B671F">
        <w:t>the Critique).</w:t>
      </w:r>
      <w:r>
        <w:t xml:space="preserve"> </w:t>
      </w:r>
    </w:p>
    <w:p w14:paraId="71509127" w14:textId="77777777" w:rsidR="00E47DC5" w:rsidRPr="00005A5E" w:rsidRDefault="00E47DC5" w:rsidP="009C5AB3">
      <w:pPr>
        <w:widowControl w:val="0"/>
        <w:spacing w:before="240"/>
      </w:pPr>
      <w:r>
        <w:t>In response to the commentary’s statement that</w:t>
      </w:r>
      <w:r w:rsidRPr="00CB47EF">
        <w:t xml:space="preserve"> the </w:t>
      </w:r>
      <w:r>
        <w:t>assumed uptake</w:t>
      </w:r>
      <w:r w:rsidRPr="00CB47EF">
        <w:t xml:space="preserve"> </w:t>
      </w:r>
      <w:r>
        <w:t>was</w:t>
      </w:r>
      <w:r w:rsidRPr="00CB47EF">
        <w:t xml:space="preserve"> underestimat</w:t>
      </w:r>
      <w:r>
        <w:t>ed, the a</w:t>
      </w:r>
      <w:r w:rsidRPr="00CB47EF">
        <w:t>pplicant acknowledge</w:t>
      </w:r>
      <w:r>
        <w:t>d</w:t>
      </w:r>
      <w:r w:rsidRPr="00CB47EF">
        <w:t xml:space="preserve"> it is difficult to estimate year to year uptake accu</w:t>
      </w:r>
      <w:r>
        <w:t>rately (ie, pattern of uptake). H</w:t>
      </w:r>
      <w:r w:rsidRPr="00CB47EF">
        <w:t xml:space="preserve">owever, </w:t>
      </w:r>
      <w:r>
        <w:t xml:space="preserve">the applicant stated that </w:t>
      </w:r>
      <w:r w:rsidRPr="00CB47EF">
        <w:t>the TAVI uptakes in practice in the first 2 years of listing would have little relevance in estimating the “steady state” uptake</w:t>
      </w:r>
      <w:r>
        <w:t xml:space="preserve"> of TMVr</w:t>
      </w:r>
      <w:r w:rsidRPr="00CB47EF">
        <w:t xml:space="preserve">. </w:t>
      </w:r>
      <w:r>
        <w:t>The applicant’s local clinical expert stated</w:t>
      </w:r>
      <w:r w:rsidRPr="00903166">
        <w:t xml:space="preserve"> “</w:t>
      </w:r>
      <w:r w:rsidRPr="00903166">
        <w:rPr>
          <w:i/>
        </w:rPr>
        <w:t>the driver for TAVI uptake is due to the new evidence which became available through</w:t>
      </w:r>
      <w:r>
        <w:rPr>
          <w:i/>
        </w:rPr>
        <w:t xml:space="preserve"> the</w:t>
      </w:r>
      <w:r w:rsidRPr="00903166">
        <w:rPr>
          <w:i/>
        </w:rPr>
        <w:t xml:space="preserve"> MBS listing and the TAVI technology has essentially supplanted Aortic Valve Replacement for the majority of patients. This assumption is unlikely to be the same for</w:t>
      </w:r>
      <w:r>
        <w:rPr>
          <w:i/>
        </w:rPr>
        <w:t xml:space="preserve"> TMVr</w:t>
      </w:r>
      <w:r w:rsidRPr="00903166">
        <w:rPr>
          <w:i/>
        </w:rPr>
        <w:t>”</w:t>
      </w:r>
      <w:r w:rsidRPr="00903166">
        <w:t>.</w:t>
      </w:r>
      <w:r>
        <w:t xml:space="preserve"> The applicant considered</w:t>
      </w:r>
      <w:r w:rsidRPr="00CB47EF">
        <w:t xml:space="preserve"> TMVr</w:t>
      </w:r>
      <w:r>
        <w:t xml:space="preserve"> to be</w:t>
      </w:r>
      <w:r w:rsidRPr="00CB47EF">
        <w:t xml:space="preserve"> a very specialised procedure, meaning the overall usage would be limited by the available caseload (ie, constrained by the supply). The </w:t>
      </w:r>
      <w:r>
        <w:t>applicant argued that their</w:t>
      </w:r>
      <w:r w:rsidRPr="00CB47EF">
        <w:t xml:space="preserve"> estimate of roughly “1 out of 3” is more realistic than </w:t>
      </w:r>
      <w:r>
        <w:t xml:space="preserve">the </w:t>
      </w:r>
      <w:r w:rsidRPr="00CB47EF">
        <w:t xml:space="preserve">100% uptake explored in the </w:t>
      </w:r>
      <w:r>
        <w:t>commentary</w:t>
      </w:r>
      <w:r w:rsidRPr="00CB47EF">
        <w:t>.</w:t>
      </w:r>
    </w:p>
    <w:p w14:paraId="3ADD83F3" w14:textId="77777777" w:rsidR="00E57DB1" w:rsidRPr="00F715D1" w:rsidRDefault="00E57DB1" w:rsidP="00E57DB1">
      <w:pPr>
        <w:pStyle w:val="Heading1"/>
      </w:pPr>
      <w:r w:rsidRPr="00F715D1">
        <w:t>Key issues from ESC for MSAC</w:t>
      </w:r>
    </w:p>
    <w:tbl>
      <w:tblPr>
        <w:tblStyle w:val="TableGrid"/>
        <w:tblW w:w="0" w:type="auto"/>
        <w:tblLook w:val="04A0" w:firstRow="1" w:lastRow="0" w:firstColumn="1" w:lastColumn="0" w:noHBand="0" w:noVBand="1"/>
        <w:tblDescription w:val="Key issues from ESC for MSAC"/>
      </w:tblPr>
      <w:tblGrid>
        <w:gridCol w:w="2235"/>
        <w:gridCol w:w="6781"/>
      </w:tblGrid>
      <w:tr w:rsidR="00E47DC5" w14:paraId="2F561A9B" w14:textId="77777777" w:rsidTr="00CE0375">
        <w:trPr>
          <w:tblHeader/>
        </w:trPr>
        <w:tc>
          <w:tcPr>
            <w:tcW w:w="2235" w:type="dxa"/>
          </w:tcPr>
          <w:p w14:paraId="5F1BC1A4" w14:textId="77777777" w:rsidR="00E47DC5" w:rsidRDefault="00E47DC5" w:rsidP="005D51E5">
            <w:pPr>
              <w:pStyle w:val="TableHeading"/>
              <w:keepNext w:val="0"/>
            </w:pPr>
            <w:r>
              <w:t>ESC key issue</w:t>
            </w:r>
          </w:p>
        </w:tc>
        <w:tc>
          <w:tcPr>
            <w:tcW w:w="6781" w:type="dxa"/>
          </w:tcPr>
          <w:p w14:paraId="46E08B8A" w14:textId="77777777" w:rsidR="00E47DC5" w:rsidRDefault="00E47DC5" w:rsidP="005D51E5">
            <w:pPr>
              <w:pStyle w:val="TableHeading"/>
              <w:keepNext w:val="0"/>
            </w:pPr>
            <w:r>
              <w:t>ESC advice to MSAC</w:t>
            </w:r>
          </w:p>
        </w:tc>
      </w:tr>
      <w:tr w:rsidR="00E47DC5" w14:paraId="43A2FB97" w14:textId="77777777" w:rsidTr="004030AA">
        <w:trPr>
          <w:trHeight w:val="378"/>
        </w:trPr>
        <w:tc>
          <w:tcPr>
            <w:tcW w:w="2235" w:type="dxa"/>
          </w:tcPr>
          <w:p w14:paraId="15476E40" w14:textId="77777777" w:rsidR="00E47DC5" w:rsidRDefault="00E47DC5" w:rsidP="005D51E5">
            <w:pPr>
              <w:pStyle w:val="TableText0"/>
              <w:keepNext w:val="0"/>
            </w:pPr>
            <w:r>
              <w:t>Population in the descriptor</w:t>
            </w:r>
          </w:p>
        </w:tc>
        <w:tc>
          <w:tcPr>
            <w:tcW w:w="6781" w:type="dxa"/>
          </w:tcPr>
          <w:p w14:paraId="705D3ABB" w14:textId="77777777" w:rsidR="00E47DC5" w:rsidRDefault="00E47DC5" w:rsidP="005D51E5">
            <w:pPr>
              <w:pStyle w:val="TableText0"/>
              <w:keepNext w:val="0"/>
            </w:pPr>
            <w:r>
              <w:t>ESC considered that f</w:t>
            </w:r>
            <w:r w:rsidRPr="00590197">
              <w:t>or the FMR population, only those with severe MR and some cardiac reserve (dilatation &lt;70</w:t>
            </w:r>
            <w:r>
              <w:t> </w:t>
            </w:r>
            <w:r w:rsidRPr="00590197">
              <w:t xml:space="preserve">mm and EF &gt;20%) </w:t>
            </w:r>
            <w:r>
              <w:t xml:space="preserve">should </w:t>
            </w:r>
            <w:r w:rsidRPr="00590197">
              <w:t>be considered for a TMVr item.</w:t>
            </w:r>
            <w:r>
              <w:t xml:space="preserve"> This matches the population in the COAPT trial, for which there is stronger evidence.</w:t>
            </w:r>
          </w:p>
        </w:tc>
      </w:tr>
      <w:tr w:rsidR="00E47DC5" w14:paraId="100A82D0" w14:textId="77777777" w:rsidTr="004030AA">
        <w:tc>
          <w:tcPr>
            <w:tcW w:w="2235" w:type="dxa"/>
          </w:tcPr>
          <w:p w14:paraId="5E9A99CF" w14:textId="77777777" w:rsidR="00E47DC5" w:rsidRDefault="00E47DC5" w:rsidP="005D51E5">
            <w:pPr>
              <w:pStyle w:val="TableText0"/>
              <w:keepNext w:val="0"/>
            </w:pPr>
            <w:r>
              <w:t>Comparative safety</w:t>
            </w:r>
          </w:p>
        </w:tc>
        <w:tc>
          <w:tcPr>
            <w:tcW w:w="6781" w:type="dxa"/>
          </w:tcPr>
          <w:p w14:paraId="6C0B7EC0" w14:textId="77777777" w:rsidR="00E47DC5" w:rsidRDefault="00E47DC5" w:rsidP="005D51E5">
            <w:pPr>
              <w:pStyle w:val="TableText0"/>
              <w:keepNext w:val="0"/>
            </w:pPr>
            <w:r>
              <w:t>ESC noted</w:t>
            </w:r>
            <w:r w:rsidRPr="00590197">
              <w:t xml:space="preserve"> continued uncertainty in the safety evidence</w:t>
            </w:r>
            <w:r>
              <w:t xml:space="preserve"> for </w:t>
            </w:r>
            <w:r w:rsidRPr="00C33152">
              <w:t>TMVr</w:t>
            </w:r>
            <w:r w:rsidRPr="00590197">
              <w:t xml:space="preserve"> in </w:t>
            </w:r>
            <w:r>
              <w:t xml:space="preserve">the </w:t>
            </w:r>
            <w:r w:rsidRPr="00590197">
              <w:t>DMR population. Evidence presented in the COAPT trial supports the claim for non-inferior safety</w:t>
            </w:r>
            <w:r>
              <w:t xml:space="preserve"> for the FMR population</w:t>
            </w:r>
            <w:r w:rsidRPr="00590197">
              <w:t>.</w:t>
            </w:r>
          </w:p>
        </w:tc>
      </w:tr>
      <w:tr w:rsidR="00E47DC5" w:rsidRPr="00590197" w14:paraId="2A656A16" w14:textId="77777777" w:rsidTr="004030AA">
        <w:tc>
          <w:tcPr>
            <w:tcW w:w="2235" w:type="dxa"/>
          </w:tcPr>
          <w:p w14:paraId="7E493129" w14:textId="77777777" w:rsidR="00E47DC5" w:rsidRDefault="00E47DC5" w:rsidP="005D51E5">
            <w:pPr>
              <w:pStyle w:val="TableText0"/>
              <w:keepNext w:val="0"/>
            </w:pPr>
            <w:r>
              <w:t>Comparative effectiveness</w:t>
            </w:r>
          </w:p>
        </w:tc>
        <w:tc>
          <w:tcPr>
            <w:tcW w:w="6781" w:type="dxa"/>
          </w:tcPr>
          <w:p w14:paraId="58EFFCA9" w14:textId="77777777" w:rsidR="00E47DC5" w:rsidRDefault="00E47DC5" w:rsidP="005D51E5">
            <w:pPr>
              <w:pStyle w:val="TableText0"/>
              <w:keepNext w:val="0"/>
            </w:pPr>
            <w:r>
              <w:t>ESC was of the opinion that e</w:t>
            </w:r>
            <w:r w:rsidRPr="00590197">
              <w:t xml:space="preserve">vidence </w:t>
            </w:r>
            <w:r>
              <w:t>continues to be lacking for the DMR po</w:t>
            </w:r>
            <w:r w:rsidRPr="00590197">
              <w:t>pulation.</w:t>
            </w:r>
            <w:r>
              <w:t xml:space="preserve"> However, a randomised clinical trial is planned. </w:t>
            </w:r>
          </w:p>
          <w:p w14:paraId="09BCC886" w14:textId="77777777" w:rsidR="00E47DC5" w:rsidRPr="00590197" w:rsidRDefault="00E47DC5" w:rsidP="005D51E5">
            <w:pPr>
              <w:pStyle w:val="TableText0"/>
              <w:keepNext w:val="0"/>
            </w:pPr>
            <w:r w:rsidRPr="00C33152">
              <w:t xml:space="preserve">There is evidence </w:t>
            </w:r>
            <w:r>
              <w:t>from the COAPT randomised controlled trial in</w:t>
            </w:r>
            <w:r w:rsidRPr="00C33152">
              <w:t xml:space="preserve"> the FMR population. Inconsistencies in published study results</w:t>
            </w:r>
            <w:r>
              <w:t xml:space="preserve"> from this study and the MITRA-FR study</w:t>
            </w:r>
            <w:r w:rsidRPr="00C33152">
              <w:t xml:space="preserve"> can be explained by risk of bias in the MITRA-FR trial, and a biologically plausible mechanism that better identifies those who would benefit from TMVr</w:t>
            </w:r>
            <w:r>
              <w:t>. Furth</w:t>
            </w:r>
            <w:r w:rsidR="009C5AB3">
              <w:t>er clinical trials are planned.</w:t>
            </w:r>
          </w:p>
        </w:tc>
      </w:tr>
      <w:tr w:rsidR="00E47DC5" w14:paraId="2F9A4BF5" w14:textId="77777777" w:rsidTr="004030AA">
        <w:tc>
          <w:tcPr>
            <w:tcW w:w="2235" w:type="dxa"/>
          </w:tcPr>
          <w:p w14:paraId="0FA3AAAF" w14:textId="77777777" w:rsidR="00E47DC5" w:rsidRDefault="00E47DC5" w:rsidP="005D51E5">
            <w:pPr>
              <w:pStyle w:val="TableText0"/>
              <w:keepNext w:val="0"/>
            </w:pPr>
            <w:r>
              <w:t>Proposed fee</w:t>
            </w:r>
          </w:p>
        </w:tc>
        <w:tc>
          <w:tcPr>
            <w:tcW w:w="6781" w:type="dxa"/>
          </w:tcPr>
          <w:p w14:paraId="14D7A324" w14:textId="77777777" w:rsidR="00E47DC5" w:rsidRDefault="00E47DC5" w:rsidP="005D51E5">
            <w:pPr>
              <w:pStyle w:val="TableText0"/>
              <w:keepNext w:val="0"/>
            </w:pPr>
            <w:r>
              <w:t xml:space="preserve">ESC considered the </w:t>
            </w:r>
            <w:r w:rsidR="00CA2A1A">
              <w:t>h</w:t>
            </w:r>
            <w:r>
              <w:t>igher fee for TMVr than for TAVI is not justified ($1,720.90 vs $1,432.20).</w:t>
            </w:r>
          </w:p>
        </w:tc>
      </w:tr>
      <w:tr w:rsidR="00E47DC5" w14:paraId="6E12AFA3" w14:textId="77777777" w:rsidTr="004030AA">
        <w:tc>
          <w:tcPr>
            <w:tcW w:w="2235" w:type="dxa"/>
          </w:tcPr>
          <w:p w14:paraId="4D60D277" w14:textId="77777777" w:rsidR="00E47DC5" w:rsidRDefault="00E47DC5" w:rsidP="005D51E5">
            <w:pPr>
              <w:pStyle w:val="TableText0"/>
              <w:keepNext w:val="0"/>
            </w:pPr>
            <w:r>
              <w:t>Modelled economic evaluation for DMR population</w:t>
            </w:r>
          </w:p>
        </w:tc>
        <w:tc>
          <w:tcPr>
            <w:tcW w:w="6781" w:type="dxa"/>
          </w:tcPr>
          <w:p w14:paraId="1676FE9E" w14:textId="77777777" w:rsidR="00E47DC5" w:rsidRDefault="00E47DC5" w:rsidP="005D51E5">
            <w:pPr>
              <w:pStyle w:val="TableText0"/>
              <w:keepNext w:val="0"/>
            </w:pPr>
            <w:r>
              <w:t>ESC noted the continued uncertainty in the benefit of TMVr over the comparator in the DMR population may make a cost-minimisation approach more appropriate for this population (see also MSAC PSD for 1192.2).</w:t>
            </w:r>
          </w:p>
        </w:tc>
      </w:tr>
      <w:tr w:rsidR="00E47DC5" w14:paraId="1B6D0592" w14:textId="77777777" w:rsidTr="004030AA">
        <w:tc>
          <w:tcPr>
            <w:tcW w:w="2235" w:type="dxa"/>
          </w:tcPr>
          <w:p w14:paraId="5DE901EA" w14:textId="77777777" w:rsidR="00E47DC5" w:rsidRDefault="00E47DC5" w:rsidP="005D51E5">
            <w:pPr>
              <w:pStyle w:val="TableText0"/>
              <w:keepNext w:val="0"/>
            </w:pPr>
            <w:r>
              <w:t>Survival curve analysis favours the intervention</w:t>
            </w:r>
          </w:p>
        </w:tc>
        <w:tc>
          <w:tcPr>
            <w:tcW w:w="6781" w:type="dxa"/>
          </w:tcPr>
          <w:p w14:paraId="4EFB5808" w14:textId="77777777" w:rsidR="00E47DC5" w:rsidRDefault="00E47DC5" w:rsidP="005D51E5">
            <w:pPr>
              <w:pStyle w:val="TableText0"/>
              <w:keepNext w:val="0"/>
            </w:pPr>
            <w:r>
              <w:t xml:space="preserve">ESC advised that the analysis assumes ongoing benefit over 10 years </w:t>
            </w:r>
            <w:r w:rsidR="009C5AB3">
              <w:t>which favours the intervention.</w:t>
            </w:r>
            <w:r>
              <w:t xml:space="preserve"> A shorter time horizon results in a large increase in the ICER.</w:t>
            </w:r>
          </w:p>
        </w:tc>
      </w:tr>
      <w:tr w:rsidR="00E47DC5" w14:paraId="0CB7FD91" w14:textId="77777777" w:rsidTr="004030AA">
        <w:tc>
          <w:tcPr>
            <w:tcW w:w="2235" w:type="dxa"/>
          </w:tcPr>
          <w:p w14:paraId="407B83A3" w14:textId="77777777" w:rsidR="00E47DC5" w:rsidRDefault="00E47DC5" w:rsidP="005D51E5">
            <w:pPr>
              <w:pStyle w:val="TableText0"/>
              <w:keepNext w:val="0"/>
            </w:pPr>
            <w:r>
              <w:t>Wide confidence intervals around the benefit (survival hazard ratio).</w:t>
            </w:r>
          </w:p>
        </w:tc>
        <w:tc>
          <w:tcPr>
            <w:tcW w:w="6781" w:type="dxa"/>
          </w:tcPr>
          <w:p w14:paraId="5D75D6A2" w14:textId="77777777" w:rsidR="00E47DC5" w:rsidRDefault="00E47DC5" w:rsidP="005D51E5">
            <w:pPr>
              <w:pStyle w:val="TableText0"/>
              <w:keepNext w:val="0"/>
            </w:pPr>
            <w:r>
              <w:t xml:space="preserve">ESC considered that the benefit may not be as high as modelled. </w:t>
            </w:r>
          </w:p>
        </w:tc>
      </w:tr>
      <w:tr w:rsidR="00E47DC5" w14:paraId="6272F098" w14:textId="77777777" w:rsidTr="004030AA">
        <w:tc>
          <w:tcPr>
            <w:tcW w:w="2235" w:type="dxa"/>
          </w:tcPr>
          <w:p w14:paraId="098748B2" w14:textId="77777777" w:rsidR="00E47DC5" w:rsidRDefault="00E47DC5" w:rsidP="005D51E5">
            <w:pPr>
              <w:pStyle w:val="TableText0"/>
              <w:keepNext w:val="0"/>
            </w:pPr>
            <w:r>
              <w:t>Accreditation for providers</w:t>
            </w:r>
          </w:p>
        </w:tc>
        <w:tc>
          <w:tcPr>
            <w:tcW w:w="6781" w:type="dxa"/>
          </w:tcPr>
          <w:p w14:paraId="25FC7DCD" w14:textId="77777777" w:rsidR="00E47DC5" w:rsidRDefault="00E47DC5" w:rsidP="005D51E5">
            <w:pPr>
              <w:pStyle w:val="TableText0"/>
              <w:keepNext w:val="0"/>
            </w:pPr>
            <w:r>
              <w:t>ESC advised that an accreditation process for providers may be appropriate.</w:t>
            </w:r>
          </w:p>
        </w:tc>
      </w:tr>
    </w:tbl>
    <w:p w14:paraId="6E84F03A" w14:textId="77777777" w:rsidR="00E57DB1" w:rsidRPr="005D51E5" w:rsidRDefault="00E57DB1" w:rsidP="005D51E5">
      <w:pPr>
        <w:spacing w:before="240" w:after="120"/>
        <w:rPr>
          <w:b/>
        </w:rPr>
      </w:pPr>
      <w:r w:rsidRPr="005D51E5">
        <w:rPr>
          <w:b/>
        </w:rPr>
        <w:lastRenderedPageBreak/>
        <w:t>ESC discussion</w:t>
      </w:r>
    </w:p>
    <w:p w14:paraId="7D00C851" w14:textId="77777777" w:rsidR="00E47DC5" w:rsidRDefault="00E47DC5" w:rsidP="009C5AB3">
      <w:pPr>
        <w:spacing w:after="240"/>
      </w:pPr>
      <w:r>
        <w:t>ESC noted this was the third resubmission for r</w:t>
      </w:r>
      <w:r w:rsidRPr="00A005B8">
        <w:t>eduction of mitral regurgitation through tissue approximation, using transvenous/transeptal techniques</w:t>
      </w:r>
      <w:r>
        <w:t>. ESC noted that MSAC did not support the previous submissions for TMVr on the basis that there was uncertain clinical effectiveness and cost-effectiveness due to the lack of hi</w:t>
      </w:r>
      <w:r w:rsidR="009C5AB3">
        <w:t>gh-quality clinical trial data.</w:t>
      </w:r>
    </w:p>
    <w:p w14:paraId="2211D752" w14:textId="3B3C0191" w:rsidR="00E47DC5" w:rsidRDefault="00E47DC5" w:rsidP="00E47DC5">
      <w:r>
        <w:t xml:space="preserve">ESC noted this resubmission included two patient populations: patients with degenerative mitral regurgitation (DMR; </w:t>
      </w:r>
      <w:r w:rsidR="00A92E3B">
        <w:t xml:space="preserve">Population </w:t>
      </w:r>
      <w:r>
        <w:t xml:space="preserve">1) and patients with functional mitral regurgitation (FMR; </w:t>
      </w:r>
      <w:r w:rsidR="00A92E3B">
        <w:t xml:space="preserve">Population </w:t>
      </w:r>
      <w:r>
        <w:t xml:space="preserve">2). ESC noted that </w:t>
      </w:r>
      <w:r w:rsidR="00A92E3B">
        <w:t xml:space="preserve">Population </w:t>
      </w:r>
      <w:r>
        <w:t>2, patients with FMR, was a new patient population that had not been included in the previous submissions.</w:t>
      </w:r>
    </w:p>
    <w:p w14:paraId="217E1D10" w14:textId="77777777" w:rsidR="00E47DC5" w:rsidRDefault="00E47DC5" w:rsidP="009C5AB3">
      <w:pPr>
        <w:spacing w:before="240"/>
      </w:pPr>
      <w:r>
        <w:t xml:space="preserve">ESC noted the proposed fee for TMVr ($1,748.45) was higher than the current MBS fee for </w:t>
      </w:r>
      <w:r w:rsidRPr="003F3EB3">
        <w:t>transcatheter aortic valve implantation</w:t>
      </w:r>
      <w:r>
        <w:t xml:space="preserve"> TAVI ($1,</w:t>
      </w:r>
      <w:r w:rsidR="00256190">
        <w:t>455.10</w:t>
      </w:r>
      <w:r>
        <w:t xml:space="preserve">). ESC considered the proposed higher fee for TMVr compared to TAVI was not justified. ESC noted the addition of case conference MBS items, which it considered to be crucial for proper patient selection for the procedure. </w:t>
      </w:r>
    </w:p>
    <w:p w14:paraId="7E2DB218" w14:textId="77777777" w:rsidR="00E47DC5" w:rsidRDefault="00E47DC5" w:rsidP="009C5AB3">
      <w:pPr>
        <w:spacing w:before="240"/>
        <w:rPr>
          <w:rFonts w:eastAsia="Calibri"/>
          <w:lang w:eastAsia="en-US"/>
        </w:rPr>
      </w:pPr>
      <w:r>
        <w:rPr>
          <w:rFonts w:eastAsia="Calibri"/>
          <w:lang w:eastAsia="en-US"/>
        </w:rPr>
        <w:t>ESC accepted the proposed clinical management algorithms for the DMR and FMR populations. ESC noted that patients not eligible for TMVr would likely undergo medical management or may qualify for another device or a transplant.</w:t>
      </w:r>
    </w:p>
    <w:p w14:paraId="3A164745" w14:textId="77777777" w:rsidR="00E47DC5" w:rsidRDefault="00E47DC5" w:rsidP="009C5AB3">
      <w:pPr>
        <w:spacing w:before="240"/>
        <w:rPr>
          <w:rFonts w:eastAsia="Calibri"/>
          <w:lang w:eastAsia="en-US"/>
        </w:rPr>
      </w:pPr>
      <w:r>
        <w:rPr>
          <w:rFonts w:eastAsia="Calibri"/>
          <w:lang w:eastAsia="en-US"/>
        </w:rPr>
        <w:t>ESC noted that, for the DMR population, the only new data since the 2016 submission was observational data from</w:t>
      </w:r>
      <w:r w:rsidR="009C5AB3">
        <w:rPr>
          <w:rFonts w:eastAsia="Calibri"/>
          <w:lang w:eastAsia="en-US"/>
        </w:rPr>
        <w:t xml:space="preserve"> a </w:t>
      </w:r>
      <w:r>
        <w:rPr>
          <w:rFonts w:eastAsia="Calibri"/>
          <w:lang w:eastAsia="en-US"/>
        </w:rPr>
        <w:t>TVT registry. ESC agreed with the commentary that the new registry data (Sorajja et al. 2017) supported the evidence presented in the previous submissions in terms of clinical effectiveness and safety, but it did not resolve the uncertainty in the evidence due to the ongoing lack of high-quality comparative clinical evidence. ESC also noted there is a potentially rele</w:t>
      </w:r>
      <w:r w:rsidR="009C5AB3">
        <w:rPr>
          <w:rFonts w:eastAsia="Calibri"/>
          <w:lang w:eastAsia="en-US"/>
        </w:rPr>
        <w:t xml:space="preserve">vant </w:t>
      </w:r>
      <w:r>
        <w:rPr>
          <w:rFonts w:eastAsia="Calibri"/>
          <w:lang w:eastAsia="en-US"/>
        </w:rPr>
        <w:t>RCT, the REPAIR-MR</w:t>
      </w:r>
      <w:r>
        <w:rPr>
          <w:rStyle w:val="FootnoteReference"/>
          <w:rFonts w:eastAsia="Calibri"/>
          <w:lang w:eastAsia="en-US"/>
        </w:rPr>
        <w:footnoteReference w:id="2"/>
      </w:r>
      <w:r>
        <w:rPr>
          <w:rFonts w:eastAsia="Calibri"/>
          <w:lang w:eastAsia="en-US"/>
        </w:rPr>
        <w:t xml:space="preserve"> (n = 500), planned to be completed February </w:t>
      </w:r>
      <w:r w:rsidRPr="00A371B8">
        <w:rPr>
          <w:rFonts w:eastAsia="Calibri"/>
          <w:lang w:eastAsia="en-US"/>
        </w:rPr>
        <w:t>2027</w:t>
      </w:r>
      <w:r>
        <w:rPr>
          <w:rFonts w:eastAsia="Calibri"/>
          <w:lang w:eastAsia="en-US"/>
        </w:rPr>
        <w:t xml:space="preserve">. </w:t>
      </w:r>
    </w:p>
    <w:p w14:paraId="03B8E1FC" w14:textId="77777777" w:rsidR="00E47DC5" w:rsidRDefault="00E47DC5" w:rsidP="009C5AB3">
      <w:pPr>
        <w:spacing w:before="240" w:after="240"/>
        <w:rPr>
          <w:rFonts w:eastAsia="Calibri"/>
          <w:lang w:eastAsia="en-US"/>
        </w:rPr>
      </w:pPr>
      <w:r>
        <w:rPr>
          <w:rFonts w:eastAsia="Calibri"/>
          <w:lang w:eastAsia="en-US"/>
        </w:rPr>
        <w:t xml:space="preserve">For the FMR population, ESC considered that the </w:t>
      </w:r>
      <w:r w:rsidRPr="00AC084E">
        <w:rPr>
          <w:rFonts w:eastAsia="Calibri"/>
          <w:lang w:eastAsia="en-US"/>
        </w:rPr>
        <w:t>COAPT</w:t>
      </w:r>
      <w:r w:rsidRPr="00AC084E">
        <w:rPr>
          <w:rStyle w:val="FootnoteReference"/>
          <w:rFonts w:eastAsia="Calibri"/>
          <w:lang w:eastAsia="en-US"/>
        </w:rPr>
        <w:footnoteReference w:id="3"/>
      </w:r>
      <w:r>
        <w:rPr>
          <w:rFonts w:eastAsia="Calibri"/>
          <w:lang w:eastAsia="en-US"/>
        </w:rPr>
        <w:t xml:space="preserve"> trial supports the applicant’s claim of superior clinical effectiveness and non-inferior safety. This study had low risk of bias and was sufficiently powered to detect differences in interventions. ESC considered that the </w:t>
      </w:r>
      <w:r w:rsidRPr="00AC084E">
        <w:rPr>
          <w:rFonts w:eastAsia="Calibri"/>
          <w:lang w:eastAsia="en-US"/>
        </w:rPr>
        <w:t>MITRA-FR</w:t>
      </w:r>
      <w:r w:rsidRPr="00AC084E">
        <w:rPr>
          <w:rStyle w:val="FootnoteReference"/>
          <w:rFonts w:eastAsia="Calibri"/>
          <w:lang w:eastAsia="en-US"/>
        </w:rPr>
        <w:footnoteReference w:id="4"/>
      </w:r>
      <w:r>
        <w:rPr>
          <w:rFonts w:eastAsia="Calibri"/>
          <w:lang w:eastAsia="en-US"/>
        </w:rPr>
        <w:t xml:space="preserve"> trial did not support the conclusion of superior effectiveness, but noted that the trial had a high risk of bias and was underpowered. T</w:t>
      </w:r>
      <w:r w:rsidR="009C5AB3">
        <w:rPr>
          <w:rFonts w:eastAsia="Calibri"/>
          <w:lang w:eastAsia="en-US"/>
        </w:rPr>
        <w:t xml:space="preserve">he </w:t>
      </w:r>
      <w:r w:rsidRPr="0080530D">
        <w:rPr>
          <w:rFonts w:eastAsia="Calibri"/>
          <w:lang w:eastAsia="en-US"/>
        </w:rPr>
        <w:t xml:space="preserve">MR of the patients included in the MITRA-FR trial was proportionate to the degree of </w:t>
      </w:r>
      <w:r w:rsidR="009C5AB3">
        <w:rPr>
          <w:rFonts w:eastAsia="Calibri"/>
          <w:lang w:eastAsia="en-US"/>
        </w:rPr>
        <w:t>left ventricle</w:t>
      </w:r>
      <w:r w:rsidRPr="0080530D">
        <w:rPr>
          <w:rFonts w:eastAsia="Calibri"/>
          <w:lang w:eastAsia="en-US"/>
        </w:rPr>
        <w:t xml:space="preserve"> dilatation</w:t>
      </w:r>
      <w:r>
        <w:rPr>
          <w:rFonts w:eastAsia="Calibri"/>
          <w:lang w:eastAsia="en-US"/>
        </w:rPr>
        <w:t xml:space="preserve">. </w:t>
      </w:r>
      <w:r w:rsidRPr="0080530D">
        <w:rPr>
          <w:rFonts w:eastAsia="Calibri"/>
          <w:lang w:eastAsia="en-US"/>
        </w:rPr>
        <w:t xml:space="preserve">The finding of no significant differences between TMVr and </w:t>
      </w:r>
      <w:r>
        <w:rPr>
          <w:rFonts w:eastAsia="Calibri"/>
          <w:lang w:eastAsia="en-US"/>
        </w:rPr>
        <w:t>optimal medical therapy</w:t>
      </w:r>
      <w:r w:rsidRPr="0080530D">
        <w:rPr>
          <w:rFonts w:eastAsia="Calibri"/>
          <w:lang w:eastAsia="en-US"/>
        </w:rPr>
        <w:t xml:space="preserve"> in the overall MITRA-FR trial population </w:t>
      </w:r>
      <w:r>
        <w:rPr>
          <w:rFonts w:eastAsia="Calibri"/>
          <w:lang w:eastAsia="en-US"/>
        </w:rPr>
        <w:t xml:space="preserve">is biologically plausible and </w:t>
      </w:r>
      <w:r w:rsidRPr="0080530D">
        <w:rPr>
          <w:rFonts w:eastAsia="Calibri"/>
          <w:lang w:eastAsia="en-US"/>
        </w:rPr>
        <w:t xml:space="preserve">consistent with the recruitment of patients in whom MR is </w:t>
      </w:r>
      <w:r>
        <w:rPr>
          <w:rFonts w:eastAsia="Calibri"/>
          <w:lang w:eastAsia="en-US"/>
        </w:rPr>
        <w:t>p</w:t>
      </w:r>
      <w:r w:rsidRPr="0080530D">
        <w:rPr>
          <w:rFonts w:eastAsia="Calibri"/>
          <w:lang w:eastAsia="en-US"/>
        </w:rPr>
        <w:t>roportionately severe to the degree of LV dilation and in whom an effect is not expected</w:t>
      </w:r>
      <w:r>
        <w:rPr>
          <w:rFonts w:eastAsia="Calibri"/>
          <w:lang w:eastAsia="en-US"/>
        </w:rPr>
        <w:t xml:space="preserve">. ESC agreed with the pre-ESC response that the MITRA-FR study may therefore not be relevant to the application and advised that MSAC may wish to consider its exclusion from the clinical claim. ESC considered that the appropriate FMR population is the one included in the COAPT trial. ESC also noted there are two </w:t>
      </w:r>
      <w:r w:rsidRPr="009B2E6F">
        <w:t xml:space="preserve">potentially relevant ongoing </w:t>
      </w:r>
      <w:r>
        <w:lastRenderedPageBreak/>
        <w:t>RCTs:</w:t>
      </w:r>
      <w:r w:rsidRPr="009B2E6F">
        <w:t xml:space="preserve"> </w:t>
      </w:r>
      <w:r>
        <w:t>RESHAPE-HF2</w:t>
      </w:r>
      <w:r>
        <w:rPr>
          <w:rStyle w:val="FootnoteReference"/>
        </w:rPr>
        <w:footnoteReference w:id="5"/>
      </w:r>
      <w:r>
        <w:t xml:space="preserve"> (</w:t>
      </w:r>
      <w:r w:rsidRPr="009B2E6F">
        <w:rPr>
          <w:iCs/>
        </w:rPr>
        <w:t>n</w:t>
      </w:r>
      <w:r w:rsidRPr="009B2E6F">
        <w:rPr>
          <w:i/>
          <w:iCs/>
        </w:rPr>
        <w:t> </w:t>
      </w:r>
      <w:r w:rsidRPr="009B2E6F">
        <w:t>= 420) planned to be</w:t>
      </w:r>
      <w:r>
        <w:t xml:space="preserve"> completed March 2021 and</w:t>
      </w:r>
      <w:r w:rsidRPr="009B2E6F">
        <w:t xml:space="preserve"> EVOLVE-MR</w:t>
      </w:r>
      <w:r>
        <w:rPr>
          <w:rStyle w:val="FootnoteReference"/>
        </w:rPr>
        <w:footnoteReference w:id="6"/>
      </w:r>
      <w:r>
        <w:t xml:space="preserve"> (</w:t>
      </w:r>
      <w:r w:rsidRPr="009B2E6F">
        <w:rPr>
          <w:iCs/>
        </w:rPr>
        <w:t>n</w:t>
      </w:r>
      <w:r w:rsidRPr="009B2E6F">
        <w:rPr>
          <w:i/>
          <w:iCs/>
        </w:rPr>
        <w:t> </w:t>
      </w:r>
      <w:r w:rsidRPr="009B2E6F">
        <w:t>= 174) planned to be completed January 2022.</w:t>
      </w:r>
    </w:p>
    <w:p w14:paraId="66C231B3" w14:textId="77777777" w:rsidR="00E47DC5" w:rsidRPr="003872D2" w:rsidRDefault="00E47DC5" w:rsidP="00E47DC5">
      <w:pPr>
        <w:rPr>
          <w:rFonts w:eastAsia="Calibri"/>
          <w:lang w:eastAsia="en-US"/>
        </w:rPr>
      </w:pPr>
      <w:r w:rsidRPr="003872D2">
        <w:rPr>
          <w:rFonts w:eastAsia="Calibri"/>
          <w:lang w:eastAsia="en-US"/>
        </w:rPr>
        <w:t xml:space="preserve">In summary, ESC advised MSAC it considers the applicant’s clinical claim may not be substantiated for the DMR population but may be reasonable for the FMR population. </w:t>
      </w:r>
    </w:p>
    <w:p w14:paraId="42F97FDC" w14:textId="77777777" w:rsidR="00E47DC5" w:rsidRPr="003872D2" w:rsidRDefault="00E47DC5" w:rsidP="009C5AB3">
      <w:pPr>
        <w:spacing w:before="240"/>
        <w:rPr>
          <w:rFonts w:eastAsia="Calibri"/>
          <w:lang w:eastAsia="en-US"/>
        </w:rPr>
      </w:pPr>
      <w:r w:rsidRPr="003872D2">
        <w:rPr>
          <w:rFonts w:eastAsia="Calibri"/>
          <w:lang w:eastAsia="en-US"/>
        </w:rPr>
        <w:t>ESC considered</w:t>
      </w:r>
      <w:r>
        <w:rPr>
          <w:rFonts w:eastAsia="Calibri"/>
          <w:lang w:eastAsia="en-US"/>
        </w:rPr>
        <w:t xml:space="preserve"> that</w:t>
      </w:r>
      <w:r w:rsidRPr="003872D2">
        <w:rPr>
          <w:rFonts w:eastAsia="Calibri"/>
          <w:lang w:eastAsia="en-US"/>
        </w:rPr>
        <w:t xml:space="preserve"> the issue of whether Cardiac Accreditation Services Limited (CASL) should be the appropriate accreditation provider for this service is an issue which should be considered further by the Department. </w:t>
      </w:r>
    </w:p>
    <w:p w14:paraId="78AB00F9" w14:textId="77777777" w:rsidR="00E47DC5" w:rsidRPr="003872D2" w:rsidRDefault="00E47DC5" w:rsidP="009C5AB3">
      <w:pPr>
        <w:spacing w:before="240"/>
      </w:pPr>
      <w:r w:rsidRPr="003872D2">
        <w:rPr>
          <w:rFonts w:eastAsia="Calibri"/>
          <w:lang w:eastAsia="en-US"/>
        </w:rPr>
        <w:t xml:space="preserve">ESC noted the applicant has used the same modelling approach to the DMR population as in the previous MSAC submission (1192.2). ESC noted that MSAC, in its consideration of the previous submission, been </w:t>
      </w:r>
      <w:r w:rsidRPr="003872D2">
        <w:t>concerned about the uncertainty inherent in the cost effectiveness model (given the uncertainty in the clinical claim) and suggested that a cost minimisation analysi</w:t>
      </w:r>
      <w:r w:rsidR="009C5AB3">
        <w:t xml:space="preserve">s would have been informative. </w:t>
      </w:r>
      <w:r w:rsidRPr="003872D2">
        <w:t>ESC advise</w:t>
      </w:r>
      <w:r w:rsidR="009C5AB3">
        <w:t>d</w:t>
      </w:r>
      <w:r w:rsidRPr="003872D2">
        <w:t xml:space="preserve"> MSAC that given the current application does not appear to address the clinical uncertainty, the same concerns with the approach taken to the economic analysis remain.</w:t>
      </w:r>
    </w:p>
    <w:p w14:paraId="5351396E" w14:textId="6424B318" w:rsidR="00E47DC5" w:rsidRDefault="00E47DC5" w:rsidP="009C5AB3">
      <w:pPr>
        <w:spacing w:before="240"/>
        <w:rPr>
          <w:rFonts w:eastAsia="Calibri"/>
          <w:lang w:eastAsia="en-US"/>
        </w:rPr>
      </w:pPr>
      <w:r>
        <w:rPr>
          <w:rFonts w:eastAsia="Calibri"/>
          <w:lang w:eastAsia="en-US"/>
        </w:rPr>
        <w:t>If MSAC considers the modelled evaluation appropriate for the DMR p</w:t>
      </w:r>
      <w:r w:rsidR="009C5AB3">
        <w:rPr>
          <w:rFonts w:eastAsia="Calibri"/>
          <w:lang w:eastAsia="en-US"/>
        </w:rPr>
        <w:t xml:space="preserve">opulation, ESC advised the </w:t>
      </w:r>
      <w:r>
        <w:rPr>
          <w:rFonts w:eastAsia="Calibri"/>
          <w:lang w:eastAsia="en-US"/>
        </w:rPr>
        <w:t xml:space="preserve">ICER of </w:t>
      </w:r>
      <w:r w:rsidR="00293F30">
        <w:rPr>
          <w:rFonts w:eastAsia="Calibri"/>
          <w:lang w:eastAsia="en-US"/>
        </w:rPr>
        <w:t>$</w:t>
      </w:r>
      <w:r w:rsidR="00293F30" w:rsidRPr="00293F30">
        <w:rPr>
          <w:rFonts w:eastAsia="Calibri"/>
          <w:b/>
          <w:lang w:eastAsia="en-US"/>
        </w:rPr>
        <w:t>redacted</w:t>
      </w:r>
      <w:r w:rsidR="00293F30" w:rsidRPr="003E0DDE" w:rsidDel="003E0DDE">
        <w:rPr>
          <w:rFonts w:eastAsia="Calibri"/>
          <w:lang w:eastAsia="en-US"/>
        </w:rPr>
        <w:t xml:space="preserve"> </w:t>
      </w:r>
      <w:r>
        <w:rPr>
          <w:rFonts w:eastAsia="Calibri"/>
          <w:lang w:eastAsia="en-US"/>
        </w:rPr>
        <w:t xml:space="preserve">per QALY to be highly uncertain. As with the previous application, sensitivity analysis showed that changing the assumed survival benefit and time-horizon substantially increased the ICER for this population </w:t>
      </w:r>
      <w:r w:rsidRPr="009C181F">
        <w:rPr>
          <w:rFonts w:eastAsia="Calibri"/>
          <w:lang w:eastAsia="en-US"/>
        </w:rPr>
        <w:t>(see</w:t>
      </w:r>
      <w:r>
        <w:rPr>
          <w:rFonts w:eastAsia="Calibri"/>
          <w:lang w:eastAsia="en-US"/>
        </w:rPr>
        <w:t xml:space="preserve"> </w:t>
      </w:r>
      <w:r w:rsidRPr="009C181F">
        <w:rPr>
          <w:rFonts w:eastAsia="Calibri"/>
          <w:lang w:eastAsia="en-US"/>
        </w:rPr>
        <w:fldChar w:fldCharType="begin"/>
      </w:r>
      <w:r w:rsidRPr="009C181F">
        <w:rPr>
          <w:rFonts w:eastAsia="Calibri"/>
          <w:lang w:eastAsia="en-US"/>
        </w:rPr>
        <w:instrText xml:space="preserve"> REF _Ref34046604 \h </w:instrText>
      </w:r>
      <w:r>
        <w:rPr>
          <w:rFonts w:eastAsia="Calibri"/>
          <w:lang w:eastAsia="en-US"/>
        </w:rPr>
        <w:instrText xml:space="preserve"> \* MERGEFORMAT </w:instrText>
      </w:r>
      <w:r w:rsidRPr="009C181F">
        <w:rPr>
          <w:rFonts w:eastAsia="Calibri"/>
          <w:lang w:eastAsia="en-US"/>
        </w:rPr>
      </w:r>
      <w:r w:rsidRPr="009C181F">
        <w:rPr>
          <w:rFonts w:eastAsia="Calibri"/>
          <w:lang w:eastAsia="en-US"/>
        </w:rPr>
        <w:fldChar w:fldCharType="separate"/>
      </w:r>
      <w:r w:rsidRPr="009C181F">
        <w:t xml:space="preserve">Table </w:t>
      </w:r>
      <w:r w:rsidRPr="009C181F">
        <w:rPr>
          <w:noProof/>
        </w:rPr>
        <w:t>8</w:t>
      </w:r>
      <w:r w:rsidRPr="009C181F">
        <w:rPr>
          <w:rFonts w:eastAsia="Calibri"/>
          <w:lang w:eastAsia="en-US"/>
        </w:rPr>
        <w:fldChar w:fldCharType="end"/>
      </w:r>
      <w:r w:rsidRPr="009C181F">
        <w:rPr>
          <w:rFonts w:eastAsia="Calibri"/>
          <w:lang w:eastAsia="en-US"/>
        </w:rPr>
        <w:t>).</w:t>
      </w:r>
    </w:p>
    <w:p w14:paraId="6E151D3B" w14:textId="77777777" w:rsidR="00E47DC5" w:rsidRDefault="00E47DC5" w:rsidP="009C5AB3">
      <w:pPr>
        <w:spacing w:before="240"/>
        <w:rPr>
          <w:rFonts w:eastAsia="Calibri"/>
          <w:lang w:eastAsia="en-US"/>
        </w:rPr>
      </w:pPr>
      <w:r>
        <w:rPr>
          <w:rFonts w:eastAsia="Calibri"/>
          <w:lang w:eastAsia="en-US"/>
        </w:rPr>
        <w:t xml:space="preserve">In particular, ESC considered the extrapolated survival curves for DMR to be inappropriate, as 9% of patients who received the intervention would be alive at age 100, compared with 1% for the control group. ESC noted that the curves cannot be altered in the model, unlike the model for the FMR population. </w:t>
      </w:r>
      <w:r w:rsidRPr="001D2DB0">
        <w:rPr>
          <w:rFonts w:eastAsia="Calibri"/>
          <w:lang w:eastAsia="en-US"/>
        </w:rPr>
        <w:t xml:space="preserve">ESC advised that </w:t>
      </w:r>
      <w:r>
        <w:rPr>
          <w:rFonts w:eastAsia="Calibri"/>
          <w:lang w:eastAsia="en-US"/>
        </w:rPr>
        <w:t>alternatively it may be appropriate for the model to switch off benefits in the intervention group after 5 years post-intervention.</w:t>
      </w:r>
    </w:p>
    <w:p w14:paraId="3B0F4C55" w14:textId="5F328CD4" w:rsidR="00E47DC5" w:rsidRDefault="00E47DC5" w:rsidP="009C5AB3">
      <w:pPr>
        <w:spacing w:before="240"/>
        <w:rPr>
          <w:rFonts w:eastAsia="Calibri"/>
          <w:lang w:eastAsia="en-US"/>
        </w:rPr>
      </w:pPr>
      <w:r>
        <w:rPr>
          <w:rFonts w:eastAsia="Calibri"/>
          <w:lang w:eastAsia="en-US"/>
        </w:rPr>
        <w:t xml:space="preserve">However, ESC considered that the ICER for the FMR population of </w:t>
      </w:r>
      <w:r w:rsidR="00293F30">
        <w:rPr>
          <w:rFonts w:eastAsia="Calibri"/>
          <w:lang w:eastAsia="en-US"/>
        </w:rPr>
        <w:t>$</w:t>
      </w:r>
      <w:r w:rsidR="00293F30" w:rsidRPr="00293F30">
        <w:rPr>
          <w:rFonts w:eastAsia="Calibri"/>
          <w:b/>
          <w:lang w:eastAsia="en-US"/>
        </w:rPr>
        <w:t>redacted</w:t>
      </w:r>
      <w:r w:rsidR="00293F30" w:rsidRPr="003B1017" w:rsidDel="003B1017">
        <w:rPr>
          <w:rFonts w:eastAsia="Calibri"/>
          <w:lang w:eastAsia="en-US"/>
        </w:rPr>
        <w:t xml:space="preserve"> </w:t>
      </w:r>
      <w:r>
        <w:rPr>
          <w:rFonts w:eastAsia="Calibri"/>
          <w:lang w:eastAsia="en-US"/>
        </w:rPr>
        <w:t xml:space="preserve">per QALY was more certain. The sensitivity analyses showed that the ICERs do not change substantially when model parameters are changed, especially in the first 2 years. However, the time horizon is also an issue for this mode. </w:t>
      </w:r>
    </w:p>
    <w:p w14:paraId="54F021EF" w14:textId="77777777" w:rsidR="00E47DC5" w:rsidRPr="00044947" w:rsidRDefault="00E47DC5" w:rsidP="009C5AB3">
      <w:pPr>
        <w:spacing w:before="240"/>
        <w:rPr>
          <w:rFonts w:eastAsia="Calibri"/>
          <w:lang w:eastAsia="en-US"/>
        </w:rPr>
      </w:pPr>
      <w:r>
        <w:rPr>
          <w:rFonts w:eastAsia="Calibri"/>
          <w:lang w:eastAsia="en-US"/>
        </w:rPr>
        <w:t xml:space="preserve">The ESC also noted </w:t>
      </w:r>
      <w:r w:rsidR="009C5AB3">
        <w:rPr>
          <w:rFonts w:eastAsia="Calibri"/>
          <w:lang w:eastAsia="en-US"/>
        </w:rPr>
        <w:t>the cost of mitral valve</w:t>
      </w:r>
      <w:r w:rsidRPr="00044947">
        <w:rPr>
          <w:rFonts w:eastAsia="Calibri"/>
          <w:lang w:eastAsia="en-US"/>
        </w:rPr>
        <w:t xml:space="preserve"> surgery was included in the comparator group costs</w:t>
      </w:r>
      <w:r>
        <w:rPr>
          <w:rFonts w:eastAsia="Calibri"/>
          <w:lang w:eastAsia="en-US"/>
        </w:rPr>
        <w:t xml:space="preserve"> in the economic models</w:t>
      </w:r>
      <w:r w:rsidRPr="00044947">
        <w:rPr>
          <w:rFonts w:eastAsia="Calibri"/>
          <w:lang w:eastAsia="en-US"/>
        </w:rPr>
        <w:t xml:space="preserve"> but was not included in the intervention group. The commentary stated this to be inappropriate, given that the Australian indication is explicitly for people not considered eligible for </w:t>
      </w:r>
      <w:r w:rsidR="004418AF">
        <w:rPr>
          <w:rFonts w:eastAsia="Calibri"/>
          <w:lang w:eastAsia="en-US"/>
        </w:rPr>
        <w:t>mitral valve</w:t>
      </w:r>
      <w:r w:rsidRPr="00044947">
        <w:rPr>
          <w:rFonts w:eastAsia="Calibri"/>
          <w:lang w:eastAsia="en-US"/>
        </w:rPr>
        <w:t xml:space="preserve"> surgery. ESC considered that the multi-disciplinary heart team (MDHT) would ensure patients are not eligible for </w:t>
      </w:r>
      <w:r w:rsidR="004418AF">
        <w:rPr>
          <w:rFonts w:eastAsia="Calibri"/>
          <w:lang w:eastAsia="en-US"/>
        </w:rPr>
        <w:t>mitral valve</w:t>
      </w:r>
      <w:r w:rsidRPr="00044947">
        <w:rPr>
          <w:rFonts w:eastAsia="Calibri"/>
          <w:lang w:eastAsia="en-US"/>
        </w:rPr>
        <w:t xml:space="preserve"> surgery therefore, the costs of </w:t>
      </w:r>
      <w:r w:rsidR="004418AF">
        <w:rPr>
          <w:rFonts w:eastAsia="Calibri"/>
          <w:lang w:eastAsia="en-US"/>
        </w:rPr>
        <w:t>mitral valve</w:t>
      </w:r>
      <w:r w:rsidRPr="00044947">
        <w:rPr>
          <w:rFonts w:eastAsia="Calibri"/>
          <w:lang w:eastAsia="en-US"/>
        </w:rPr>
        <w:t xml:space="preserve"> surgery should not be included in the comparator group. </w:t>
      </w:r>
    </w:p>
    <w:p w14:paraId="1B52AB7D" w14:textId="77777777" w:rsidR="00E47DC5" w:rsidRDefault="00E47DC5" w:rsidP="009C5AB3">
      <w:pPr>
        <w:spacing w:before="240"/>
        <w:rPr>
          <w:rFonts w:eastAsia="Calibri"/>
          <w:lang w:eastAsia="en-US"/>
        </w:rPr>
      </w:pPr>
      <w:r>
        <w:rPr>
          <w:rFonts w:eastAsia="Calibri"/>
          <w:lang w:eastAsia="en-US"/>
        </w:rPr>
        <w:t xml:space="preserve">ESC disagreed with the commentary advice that MR grade should have been used to assign utilities, and </w:t>
      </w:r>
      <w:r w:rsidR="00540A5C">
        <w:rPr>
          <w:rFonts w:eastAsia="Calibri"/>
          <w:lang w:eastAsia="en-US"/>
        </w:rPr>
        <w:t xml:space="preserve">not </w:t>
      </w:r>
      <w:r>
        <w:rPr>
          <w:rFonts w:eastAsia="Calibri"/>
          <w:lang w:eastAsia="en-US"/>
        </w:rPr>
        <w:t>NYHA class. ESC noted that this would be ideal, but MR grade data are not available, and other studies use NYHA class as standard. ESC queried why the FMR model did not use the utility weights from the COAPT trial.</w:t>
      </w:r>
    </w:p>
    <w:p w14:paraId="4D898FD5" w14:textId="77777777" w:rsidR="00E47DC5" w:rsidRPr="00CE7F86" w:rsidRDefault="00E47DC5" w:rsidP="00540A5C">
      <w:pPr>
        <w:spacing w:before="240" w:after="240"/>
        <w:rPr>
          <w:rFonts w:eastAsia="Calibri"/>
          <w:lang w:eastAsia="en-US"/>
        </w:rPr>
      </w:pPr>
      <w:r>
        <w:rPr>
          <w:rFonts w:eastAsia="Calibri"/>
          <w:lang w:eastAsia="en-US"/>
        </w:rPr>
        <w:t>ESC also disagreed with commentary’s argument that the inability to move health states beyond month 24 is problematic to assigning utility values. ESC instead agreed with the pre-</w:t>
      </w:r>
      <w:r>
        <w:rPr>
          <w:rFonts w:eastAsia="Calibri"/>
          <w:lang w:eastAsia="en-US"/>
        </w:rPr>
        <w:lastRenderedPageBreak/>
        <w:t>ESC response, that it would be inappropriate to model changes in NYHA without data, and that this would create additional uncertainty. This uncertainty p</w:t>
      </w:r>
      <w:r w:rsidR="00540A5C">
        <w:rPr>
          <w:rFonts w:eastAsia="Calibri"/>
          <w:lang w:eastAsia="en-US"/>
        </w:rPr>
        <w:t xml:space="preserve">ertains to the DMR population. </w:t>
      </w:r>
    </w:p>
    <w:p w14:paraId="315FCBC7" w14:textId="77777777" w:rsidR="00E47DC5" w:rsidRDefault="00E47DC5" w:rsidP="00E47DC5">
      <w:pPr>
        <w:rPr>
          <w:rFonts w:eastAsia="Calibri"/>
          <w:lang w:eastAsia="en-US"/>
        </w:rPr>
      </w:pPr>
      <w:r>
        <w:rPr>
          <w:rFonts w:eastAsia="Calibri"/>
          <w:lang w:eastAsia="en-US"/>
        </w:rPr>
        <w:t>ESC noted that for the financial impact modelling, the c</w:t>
      </w:r>
      <w:r w:rsidR="00540A5C">
        <w:rPr>
          <w:rFonts w:eastAsia="Calibri"/>
          <w:lang w:eastAsia="en-US"/>
        </w:rPr>
        <w:t xml:space="preserve">ommentary presented additional </w:t>
      </w:r>
      <w:r>
        <w:rPr>
          <w:rFonts w:eastAsia="Calibri"/>
          <w:lang w:eastAsia="en-US"/>
        </w:rPr>
        <w:t xml:space="preserve">sensitivity analyses </w:t>
      </w:r>
      <w:r w:rsidRPr="00926764">
        <w:rPr>
          <w:rFonts w:eastAsia="Calibri"/>
          <w:lang w:eastAsia="en-US"/>
        </w:rPr>
        <w:t xml:space="preserve">considering only MBS costs and </w:t>
      </w:r>
      <w:r>
        <w:rPr>
          <w:rFonts w:eastAsia="Calibri"/>
          <w:lang w:eastAsia="en-US"/>
        </w:rPr>
        <w:t xml:space="preserve">assuming that 100% of patients will be funded through the MBS. The ESC agreed with the applicant’s pre-ESC response that a proportion of patients will continue to be treated in a public hospital and will not be eligible for MBS funding. However, ESC </w:t>
      </w:r>
      <w:r w:rsidRPr="00CE7F86">
        <w:rPr>
          <w:rFonts w:eastAsia="Calibri"/>
          <w:lang w:eastAsia="en-US"/>
        </w:rPr>
        <w:t xml:space="preserve">agreed </w:t>
      </w:r>
      <w:r>
        <w:rPr>
          <w:rFonts w:eastAsia="Calibri"/>
          <w:lang w:eastAsia="en-US"/>
        </w:rPr>
        <w:t xml:space="preserve">with the commentary </w:t>
      </w:r>
      <w:r w:rsidRPr="00CE7F86">
        <w:rPr>
          <w:rFonts w:eastAsia="Calibri"/>
          <w:lang w:eastAsia="en-US"/>
        </w:rPr>
        <w:t xml:space="preserve">there would be </w:t>
      </w:r>
      <w:r>
        <w:rPr>
          <w:rFonts w:eastAsia="Calibri"/>
          <w:lang w:eastAsia="en-US"/>
        </w:rPr>
        <w:t xml:space="preserve">potential for </w:t>
      </w:r>
      <w:r w:rsidRPr="00CE7F86">
        <w:rPr>
          <w:rFonts w:eastAsia="Calibri"/>
          <w:lang w:eastAsia="en-US"/>
        </w:rPr>
        <w:t xml:space="preserve">cost shifting from </w:t>
      </w:r>
      <w:r>
        <w:rPr>
          <w:rFonts w:eastAsia="Calibri"/>
          <w:lang w:eastAsia="en-US"/>
        </w:rPr>
        <w:t>the public to private setting.</w:t>
      </w:r>
    </w:p>
    <w:p w14:paraId="43194C43" w14:textId="6FB3B46B" w:rsidR="00E47DC5" w:rsidRPr="00E47DC5" w:rsidRDefault="00E47DC5" w:rsidP="00540A5C">
      <w:pPr>
        <w:spacing w:before="240"/>
      </w:pPr>
      <w:r>
        <w:rPr>
          <w:rFonts w:eastAsia="Calibri"/>
          <w:lang w:eastAsia="en-US"/>
        </w:rPr>
        <w:t>ESC noted the small financial impacts to the MBS if TMVr were to be publicly funded, as there are a small number of patients that would be eligible for the procedure. However, the cost of the device itself would have a large impact on the Prostheses List. ESC noted a procedure can use more than one device</w:t>
      </w:r>
      <w:r w:rsidR="00CD186E">
        <w:rPr>
          <w:rFonts w:eastAsia="Calibri"/>
          <w:lang w:eastAsia="en-US"/>
        </w:rPr>
        <w:t xml:space="preserve">; </w:t>
      </w:r>
      <w:r>
        <w:rPr>
          <w:rFonts w:eastAsia="Calibri"/>
          <w:lang w:eastAsia="en-US"/>
        </w:rPr>
        <w:t>however the sponsor proposes to charge the same device fee, irrespective the number of devices used.</w:t>
      </w:r>
    </w:p>
    <w:p w14:paraId="3C8F7E4E" w14:textId="77777777" w:rsidR="00E57DB1" w:rsidRPr="00F715D1" w:rsidRDefault="00E57DB1" w:rsidP="00E57DB1">
      <w:pPr>
        <w:pStyle w:val="Heading1"/>
      </w:pPr>
      <w:r w:rsidRPr="00F715D1">
        <w:t>Other significant factors</w:t>
      </w:r>
    </w:p>
    <w:p w14:paraId="67ED599D" w14:textId="77777777" w:rsidR="00E57DB1" w:rsidRPr="00540A5C" w:rsidRDefault="00540A5C" w:rsidP="00E57DB1">
      <w:pPr>
        <w:spacing w:after="240"/>
        <w:rPr>
          <w:szCs w:val="24"/>
        </w:rPr>
      </w:pPr>
      <w:r w:rsidRPr="00540A5C">
        <w:rPr>
          <w:szCs w:val="24"/>
        </w:rPr>
        <w:t>Nil</w:t>
      </w:r>
    </w:p>
    <w:p w14:paraId="1793CFBA" w14:textId="77777777" w:rsidR="00E57DB1" w:rsidRPr="00F715D1" w:rsidRDefault="00E57DB1" w:rsidP="00E57DB1">
      <w:pPr>
        <w:pStyle w:val="Heading1"/>
      </w:pPr>
      <w:r>
        <w:t>Applicant</w:t>
      </w:r>
      <w:r w:rsidRPr="00F715D1">
        <w:t xml:space="preserve"> comments on MSAC’s Public Summary Document</w:t>
      </w:r>
    </w:p>
    <w:p w14:paraId="38EA3CEB" w14:textId="71AF4EC3" w:rsidR="00112B9D" w:rsidRDefault="00CB18D6" w:rsidP="00B46446">
      <w:pPr>
        <w:jc w:val="both"/>
      </w:pPr>
      <w:r w:rsidRPr="004F61C2">
        <w:t xml:space="preserve">Abbott Australasia Pty Ltd. (Abbott) is pleased with the advice made by MSAC for public funding of TMVr for the patients with DMR and FMR, thereby addressing a high clinical need for an effective and safe treatment option in these patients. Abbott </w:t>
      </w:r>
      <w:r w:rsidR="00112B9D" w:rsidRPr="004F61C2">
        <w:t xml:space="preserve">would like to kindly request from the </w:t>
      </w:r>
      <w:r w:rsidR="008320E7" w:rsidRPr="004F61C2">
        <w:t>Government</w:t>
      </w:r>
      <w:r w:rsidR="00112B9D" w:rsidRPr="004F61C2">
        <w:t xml:space="preserve"> to endeavour to make this technology available at the earliest cycle on the M</w:t>
      </w:r>
      <w:r w:rsidR="00CD78FC" w:rsidRPr="004F61C2">
        <w:t xml:space="preserve">edicare Benefits Schedule </w:t>
      </w:r>
      <w:r w:rsidR="00112B9D" w:rsidRPr="004F61C2">
        <w:t>and on the Prostheses List.</w:t>
      </w:r>
      <w:r w:rsidR="00112B9D">
        <w:t xml:space="preserve"> </w:t>
      </w:r>
    </w:p>
    <w:p w14:paraId="15196E08" w14:textId="77777777" w:rsidR="00E57DB1" w:rsidRPr="00F715D1" w:rsidRDefault="00E57DB1" w:rsidP="00E57DB1">
      <w:pPr>
        <w:pStyle w:val="Heading1"/>
      </w:pPr>
      <w:r w:rsidRPr="00F715D1">
        <w:t>Further information on MSAC</w:t>
      </w:r>
    </w:p>
    <w:p w14:paraId="0B9EDEEF" w14:textId="77777777" w:rsidR="00280050" w:rsidRPr="00540A5C" w:rsidRDefault="00E57DB1" w:rsidP="00540A5C">
      <w:pPr>
        <w:spacing w:after="240"/>
        <w:rPr>
          <w:szCs w:val="24"/>
        </w:rPr>
      </w:pPr>
      <w:r w:rsidRPr="00F715D1">
        <w:rPr>
          <w:szCs w:val="24"/>
        </w:rPr>
        <w:t xml:space="preserve">MSAC Terms of Reference and other information are available on the MSAC Website: </w:t>
      </w:r>
      <w:r>
        <w:rPr>
          <w:szCs w:val="24"/>
        </w:rPr>
        <w:br/>
      </w:r>
      <w:hyperlink r:id="rId15" w:tooltip="Link to Medical Services Advisory Committee website" w:history="1">
        <w:r w:rsidRPr="00F715D1">
          <w:rPr>
            <w:rStyle w:val="Hyperlink"/>
            <w:szCs w:val="24"/>
          </w:rPr>
          <w:t>visit the MSAC website</w:t>
        </w:r>
      </w:hyperlink>
    </w:p>
    <w:sectPr w:rsidR="00280050" w:rsidRPr="00540A5C" w:rsidSect="004030AA">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F332" w14:textId="77777777" w:rsidR="00A73DA9" w:rsidRDefault="00A73DA9">
      <w:r>
        <w:separator/>
      </w:r>
    </w:p>
  </w:endnote>
  <w:endnote w:type="continuationSeparator" w:id="0">
    <w:p w14:paraId="68A86F48" w14:textId="77777777" w:rsidR="00A73DA9" w:rsidRDefault="00A73DA9">
      <w:r>
        <w:continuationSeparator/>
      </w:r>
    </w:p>
  </w:endnote>
  <w:endnote w:type="continuationNotice" w:id="1">
    <w:p w14:paraId="4E668CB4" w14:textId="77777777" w:rsidR="00A73DA9" w:rsidRDefault="00A73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3539" w14:textId="77777777" w:rsidR="00BE70ED" w:rsidRDefault="00BE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4A1F5052" w14:textId="38A0AF0A" w:rsidR="00BE70ED" w:rsidRDefault="00BE70ED">
        <w:pPr>
          <w:pStyle w:val="Footer"/>
          <w:jc w:val="right"/>
        </w:pPr>
        <w:r>
          <w:fldChar w:fldCharType="begin"/>
        </w:r>
        <w:r>
          <w:instrText xml:space="preserve"> PAGE   \* MERGEFORMAT </w:instrText>
        </w:r>
        <w:r>
          <w:fldChar w:fldCharType="separate"/>
        </w:r>
        <w:r w:rsidR="0054782A">
          <w:rPr>
            <w:noProof/>
          </w:rPr>
          <w:t>28</w:t>
        </w:r>
        <w:r>
          <w:rPr>
            <w:noProof/>
          </w:rPr>
          <w:fldChar w:fldCharType="end"/>
        </w:r>
      </w:p>
    </w:sdtContent>
  </w:sdt>
  <w:p w14:paraId="2E5937AD" w14:textId="77777777" w:rsidR="00BE70ED" w:rsidRDefault="00BE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8C0A" w14:textId="77777777" w:rsidR="00BE70ED" w:rsidRDefault="00BE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0D5B8" w14:textId="77777777" w:rsidR="00A73DA9" w:rsidRDefault="00A73DA9">
      <w:r>
        <w:separator/>
      </w:r>
    </w:p>
  </w:footnote>
  <w:footnote w:type="continuationSeparator" w:id="0">
    <w:p w14:paraId="43CD42E5" w14:textId="77777777" w:rsidR="00A73DA9" w:rsidRDefault="00A73DA9">
      <w:r>
        <w:continuationSeparator/>
      </w:r>
    </w:p>
  </w:footnote>
  <w:footnote w:type="continuationNotice" w:id="1">
    <w:p w14:paraId="0207B7F7" w14:textId="77777777" w:rsidR="00A73DA9" w:rsidRDefault="00A73DA9"/>
  </w:footnote>
  <w:footnote w:id="2">
    <w:p w14:paraId="3A0CF0B2" w14:textId="77777777" w:rsidR="00BE70ED" w:rsidRDefault="00BE70ED" w:rsidP="00E47DC5">
      <w:pPr>
        <w:pStyle w:val="FootnoteText"/>
      </w:pPr>
      <w:r>
        <w:rPr>
          <w:rStyle w:val="FootnoteReference"/>
        </w:rPr>
        <w:footnoteRef/>
      </w:r>
      <w:r>
        <w:t xml:space="preserve"> </w:t>
      </w:r>
      <w:r w:rsidRPr="006B3FB7">
        <w:t>Percutaneous MitraClip Device or Surgical Mitral Valve REpair in PAtients With PrImaRy MItral Regurgitation Who Are Candidates for Surgery (</w:t>
      </w:r>
      <w:r>
        <w:t>REPAIR-MR)</w:t>
      </w:r>
    </w:p>
  </w:footnote>
  <w:footnote w:id="3">
    <w:p w14:paraId="1D7AAA12" w14:textId="77777777" w:rsidR="00BE70ED" w:rsidRDefault="00BE70ED" w:rsidP="00E47DC5">
      <w:pPr>
        <w:pStyle w:val="FootnoteText"/>
      </w:pPr>
      <w:r>
        <w:rPr>
          <w:rStyle w:val="FootnoteReference"/>
        </w:rPr>
        <w:footnoteRef/>
      </w:r>
      <w:r>
        <w:t xml:space="preserve"> </w:t>
      </w:r>
      <w:r w:rsidRPr="006B3FB7">
        <w:t>Cardiovascular Outcomes Assessment of the MitraClip Percutaneous Therapy for Heart Failure Patients With Functional Mitral Regurgitation</w:t>
      </w:r>
      <w:r>
        <w:t xml:space="preserve"> (COAPT)</w:t>
      </w:r>
    </w:p>
  </w:footnote>
  <w:footnote w:id="4">
    <w:p w14:paraId="05DB3103" w14:textId="77777777" w:rsidR="00BE70ED" w:rsidRDefault="00BE70ED" w:rsidP="00E47DC5">
      <w:pPr>
        <w:pStyle w:val="FootnoteText"/>
      </w:pPr>
      <w:r>
        <w:rPr>
          <w:rStyle w:val="FootnoteReference"/>
        </w:rPr>
        <w:footnoteRef/>
      </w:r>
      <w:r>
        <w:t xml:space="preserve"> </w:t>
      </w:r>
      <w:r w:rsidRPr="00AC084E">
        <w:t>Multicentre Study of Percutaneous Mitral Valve Repair MitraClip Device in Patients With Severe Secondary Mitral Regurgitation</w:t>
      </w:r>
    </w:p>
  </w:footnote>
  <w:footnote w:id="5">
    <w:p w14:paraId="44F3E39B" w14:textId="77777777" w:rsidR="00BE70ED" w:rsidRDefault="00BE70ED" w:rsidP="00E47DC5">
      <w:pPr>
        <w:pStyle w:val="FootnoteText"/>
      </w:pPr>
      <w:r>
        <w:rPr>
          <w:rStyle w:val="FootnoteReference"/>
        </w:rPr>
        <w:footnoteRef/>
      </w:r>
      <w:r>
        <w:t xml:space="preserve"> A </w:t>
      </w:r>
      <w:r w:rsidRPr="009B2E6F">
        <w:t>Clinical Evaluation of the Safety and Effectiveness of the MitraClip System in the Treatment of Clinically Significant Functional Mi</w:t>
      </w:r>
      <w:r>
        <w:t>tral Regurgitation (RESHAPE-HF2)</w:t>
      </w:r>
    </w:p>
  </w:footnote>
  <w:footnote w:id="6">
    <w:p w14:paraId="5B6F8EE5" w14:textId="77777777" w:rsidR="00BE70ED" w:rsidRDefault="00BE70ED" w:rsidP="00E47DC5">
      <w:pPr>
        <w:pStyle w:val="FootnoteText"/>
      </w:pPr>
      <w:r>
        <w:rPr>
          <w:rStyle w:val="FootnoteReference"/>
        </w:rPr>
        <w:footnoteRef/>
      </w:r>
      <w:r>
        <w:t xml:space="preserve"> </w:t>
      </w:r>
      <w:r w:rsidRPr="009B2E6F">
        <w:t>Transcatheter Mitral Valve Repair for the Treatment of Mitral Valve Regurgitation In Heart Failure (</w:t>
      </w:r>
      <w:r>
        <w:t>EVOLVE-MR)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CCC78" w14:textId="77777777" w:rsidR="00BE70ED" w:rsidRDefault="00BE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0D5B" w14:textId="77777777" w:rsidR="00BE70ED" w:rsidRDefault="00BE7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57DB" w14:textId="77777777" w:rsidR="00BE70ED" w:rsidRDefault="00BE7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E02"/>
    <w:multiLevelType w:val="hybridMultilevel"/>
    <w:tmpl w:val="91E454CA"/>
    <w:lvl w:ilvl="0" w:tplc="7A940A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E7457"/>
    <w:multiLevelType w:val="hybridMultilevel"/>
    <w:tmpl w:val="12D4AD60"/>
    <w:lvl w:ilvl="0" w:tplc="1AB0593A">
      <w:start w:val="46"/>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7693D"/>
    <w:multiLevelType w:val="hybridMultilevel"/>
    <w:tmpl w:val="77EAB93A"/>
    <w:lvl w:ilvl="0" w:tplc="1C5A29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1431C6"/>
    <w:multiLevelType w:val="hybridMultilevel"/>
    <w:tmpl w:val="D9F8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911B4"/>
    <w:multiLevelType w:val="hybridMultilevel"/>
    <w:tmpl w:val="95F0BDF8"/>
    <w:lvl w:ilvl="0" w:tplc="0C090001">
      <w:start w:val="1"/>
      <w:numFmt w:val="bullet"/>
      <w:lvlText w:val=""/>
      <w:lvlJc w:val="left"/>
      <w:pPr>
        <w:ind w:left="1375" w:hanging="360"/>
      </w:pPr>
      <w:rPr>
        <w:rFonts w:ascii="Symbol" w:hAnsi="Symbol" w:hint="default"/>
      </w:rPr>
    </w:lvl>
    <w:lvl w:ilvl="1" w:tplc="0C090003" w:tentative="1">
      <w:start w:val="1"/>
      <w:numFmt w:val="bullet"/>
      <w:lvlText w:val="o"/>
      <w:lvlJc w:val="left"/>
      <w:pPr>
        <w:ind w:left="2095" w:hanging="360"/>
      </w:pPr>
      <w:rPr>
        <w:rFonts w:ascii="Courier New" w:hAnsi="Courier New" w:cs="Courier New" w:hint="default"/>
      </w:rPr>
    </w:lvl>
    <w:lvl w:ilvl="2" w:tplc="0C090005" w:tentative="1">
      <w:start w:val="1"/>
      <w:numFmt w:val="bullet"/>
      <w:lvlText w:val=""/>
      <w:lvlJc w:val="left"/>
      <w:pPr>
        <w:ind w:left="2815" w:hanging="360"/>
      </w:pPr>
      <w:rPr>
        <w:rFonts w:ascii="Wingdings" w:hAnsi="Wingdings" w:hint="default"/>
      </w:rPr>
    </w:lvl>
    <w:lvl w:ilvl="3" w:tplc="0C090001" w:tentative="1">
      <w:start w:val="1"/>
      <w:numFmt w:val="bullet"/>
      <w:lvlText w:val=""/>
      <w:lvlJc w:val="left"/>
      <w:pPr>
        <w:ind w:left="3535" w:hanging="360"/>
      </w:pPr>
      <w:rPr>
        <w:rFonts w:ascii="Symbol" w:hAnsi="Symbol" w:hint="default"/>
      </w:rPr>
    </w:lvl>
    <w:lvl w:ilvl="4" w:tplc="0C090003" w:tentative="1">
      <w:start w:val="1"/>
      <w:numFmt w:val="bullet"/>
      <w:lvlText w:val="o"/>
      <w:lvlJc w:val="left"/>
      <w:pPr>
        <w:ind w:left="4255" w:hanging="360"/>
      </w:pPr>
      <w:rPr>
        <w:rFonts w:ascii="Courier New" w:hAnsi="Courier New" w:cs="Courier New" w:hint="default"/>
      </w:rPr>
    </w:lvl>
    <w:lvl w:ilvl="5" w:tplc="0C090005" w:tentative="1">
      <w:start w:val="1"/>
      <w:numFmt w:val="bullet"/>
      <w:lvlText w:val=""/>
      <w:lvlJc w:val="left"/>
      <w:pPr>
        <w:ind w:left="4975" w:hanging="360"/>
      </w:pPr>
      <w:rPr>
        <w:rFonts w:ascii="Wingdings" w:hAnsi="Wingdings" w:hint="default"/>
      </w:rPr>
    </w:lvl>
    <w:lvl w:ilvl="6" w:tplc="0C090001" w:tentative="1">
      <w:start w:val="1"/>
      <w:numFmt w:val="bullet"/>
      <w:lvlText w:val=""/>
      <w:lvlJc w:val="left"/>
      <w:pPr>
        <w:ind w:left="5695" w:hanging="360"/>
      </w:pPr>
      <w:rPr>
        <w:rFonts w:ascii="Symbol" w:hAnsi="Symbol" w:hint="default"/>
      </w:rPr>
    </w:lvl>
    <w:lvl w:ilvl="7" w:tplc="0C090003" w:tentative="1">
      <w:start w:val="1"/>
      <w:numFmt w:val="bullet"/>
      <w:lvlText w:val="o"/>
      <w:lvlJc w:val="left"/>
      <w:pPr>
        <w:ind w:left="6415" w:hanging="360"/>
      </w:pPr>
      <w:rPr>
        <w:rFonts w:ascii="Courier New" w:hAnsi="Courier New" w:cs="Courier New" w:hint="default"/>
      </w:rPr>
    </w:lvl>
    <w:lvl w:ilvl="8" w:tplc="0C090005" w:tentative="1">
      <w:start w:val="1"/>
      <w:numFmt w:val="bullet"/>
      <w:lvlText w:val=""/>
      <w:lvlJc w:val="left"/>
      <w:pPr>
        <w:ind w:left="7135" w:hanging="360"/>
      </w:pPr>
      <w:rPr>
        <w:rFonts w:ascii="Wingdings" w:hAnsi="Wingdings" w:hint="default"/>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C1D1D"/>
    <w:multiLevelType w:val="hybridMultilevel"/>
    <w:tmpl w:val="1034F90A"/>
    <w:lvl w:ilvl="0" w:tplc="1AB0593A">
      <w:start w:val="46"/>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42976"/>
    <w:multiLevelType w:val="hybridMultilevel"/>
    <w:tmpl w:val="D17C126E"/>
    <w:lvl w:ilvl="0" w:tplc="4FB2E0F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33AE5F6D"/>
    <w:multiLevelType w:val="hybridMultilevel"/>
    <w:tmpl w:val="3FBCA3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3F73E69"/>
    <w:multiLevelType w:val="hybridMultilevel"/>
    <w:tmpl w:val="F13625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94BB2"/>
    <w:multiLevelType w:val="hybridMultilevel"/>
    <w:tmpl w:val="475C13C0"/>
    <w:lvl w:ilvl="0" w:tplc="3C1C5822">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D46146"/>
    <w:multiLevelType w:val="hybridMultilevel"/>
    <w:tmpl w:val="79F06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C43C3F"/>
    <w:multiLevelType w:val="hybridMultilevel"/>
    <w:tmpl w:val="F8A0DA30"/>
    <w:lvl w:ilvl="0" w:tplc="E6B2B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97FB9"/>
    <w:multiLevelType w:val="hybridMultilevel"/>
    <w:tmpl w:val="C9A2D95A"/>
    <w:lvl w:ilvl="0" w:tplc="4D2291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C74EBF"/>
    <w:multiLevelType w:val="hybridMultilevel"/>
    <w:tmpl w:val="DB5E41DE"/>
    <w:lvl w:ilvl="0" w:tplc="A3D0CB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BA0B51"/>
    <w:multiLevelType w:val="hybridMultilevel"/>
    <w:tmpl w:val="42F07C96"/>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A46586"/>
    <w:multiLevelType w:val="hybridMultilevel"/>
    <w:tmpl w:val="2CBA395E"/>
    <w:lvl w:ilvl="0" w:tplc="1AB0593A">
      <w:start w:val="46"/>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6"/>
  </w:num>
  <w:num w:numId="4">
    <w:abstractNumId w:val="5"/>
  </w:num>
  <w:num w:numId="5">
    <w:abstractNumId w:val="4"/>
  </w:num>
  <w:num w:numId="6">
    <w:abstractNumId w:val="12"/>
  </w:num>
  <w:num w:numId="7">
    <w:abstractNumId w:val="9"/>
  </w:num>
  <w:num w:numId="8">
    <w:abstractNumId w:val="17"/>
  </w:num>
  <w:num w:numId="9">
    <w:abstractNumId w:val="13"/>
  </w:num>
  <w:num w:numId="10">
    <w:abstractNumId w:val="7"/>
  </w:num>
  <w:num w:numId="11">
    <w:abstractNumId w:val="1"/>
  </w:num>
  <w:num w:numId="12">
    <w:abstractNumId w:val="18"/>
  </w:num>
  <w:num w:numId="13">
    <w:abstractNumId w:val="10"/>
  </w:num>
  <w:num w:numId="14">
    <w:abstractNumId w:val="8"/>
  </w:num>
  <w:num w:numId="15">
    <w:abstractNumId w:val="0"/>
  </w:num>
  <w:num w:numId="16">
    <w:abstractNumId w:val="16"/>
  </w:num>
  <w:num w:numId="17">
    <w:abstractNumId w:val="1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B1"/>
    <w:rsid w:val="00010256"/>
    <w:rsid w:val="00042CB0"/>
    <w:rsid w:val="00064C92"/>
    <w:rsid w:val="000657A9"/>
    <w:rsid w:val="00076F2C"/>
    <w:rsid w:val="000A0764"/>
    <w:rsid w:val="000B7F4C"/>
    <w:rsid w:val="000E663B"/>
    <w:rsid w:val="000E669E"/>
    <w:rsid w:val="00112B9D"/>
    <w:rsid w:val="00134B10"/>
    <w:rsid w:val="00135E2A"/>
    <w:rsid w:val="001566BF"/>
    <w:rsid w:val="00171585"/>
    <w:rsid w:val="001A3974"/>
    <w:rsid w:val="001B4863"/>
    <w:rsid w:val="001F006F"/>
    <w:rsid w:val="00252E13"/>
    <w:rsid w:val="00256190"/>
    <w:rsid w:val="00256605"/>
    <w:rsid w:val="00280050"/>
    <w:rsid w:val="00293F30"/>
    <w:rsid w:val="00297F04"/>
    <w:rsid w:val="002B78E2"/>
    <w:rsid w:val="002E28BE"/>
    <w:rsid w:val="002E3A0E"/>
    <w:rsid w:val="002E5816"/>
    <w:rsid w:val="00300A53"/>
    <w:rsid w:val="003104D1"/>
    <w:rsid w:val="003428F9"/>
    <w:rsid w:val="00350A54"/>
    <w:rsid w:val="00377CB4"/>
    <w:rsid w:val="00393F9D"/>
    <w:rsid w:val="00394466"/>
    <w:rsid w:val="003B00BE"/>
    <w:rsid w:val="003B1017"/>
    <w:rsid w:val="003C0709"/>
    <w:rsid w:val="003C130B"/>
    <w:rsid w:val="003C2FA8"/>
    <w:rsid w:val="003D64F3"/>
    <w:rsid w:val="003E0DDE"/>
    <w:rsid w:val="003F0960"/>
    <w:rsid w:val="004030AA"/>
    <w:rsid w:val="004418AF"/>
    <w:rsid w:val="0045134B"/>
    <w:rsid w:val="004844E7"/>
    <w:rsid w:val="0048581D"/>
    <w:rsid w:val="004E6496"/>
    <w:rsid w:val="004F61C2"/>
    <w:rsid w:val="00527DE7"/>
    <w:rsid w:val="00540A5C"/>
    <w:rsid w:val="005462CA"/>
    <w:rsid w:val="0054782A"/>
    <w:rsid w:val="00570BFC"/>
    <w:rsid w:val="005C63DD"/>
    <w:rsid w:val="005D51E5"/>
    <w:rsid w:val="005F0F74"/>
    <w:rsid w:val="005F54B4"/>
    <w:rsid w:val="006018EF"/>
    <w:rsid w:val="00646A8C"/>
    <w:rsid w:val="00683623"/>
    <w:rsid w:val="006A336B"/>
    <w:rsid w:val="006C314C"/>
    <w:rsid w:val="006C4E20"/>
    <w:rsid w:val="006C50F1"/>
    <w:rsid w:val="006F2477"/>
    <w:rsid w:val="006F2F5B"/>
    <w:rsid w:val="006F3124"/>
    <w:rsid w:val="0073088B"/>
    <w:rsid w:val="00732939"/>
    <w:rsid w:val="00732A99"/>
    <w:rsid w:val="00754DF9"/>
    <w:rsid w:val="00757CF8"/>
    <w:rsid w:val="0079336D"/>
    <w:rsid w:val="00794A11"/>
    <w:rsid w:val="007B4A0B"/>
    <w:rsid w:val="007C5481"/>
    <w:rsid w:val="007D66E6"/>
    <w:rsid w:val="007F53A0"/>
    <w:rsid w:val="00815302"/>
    <w:rsid w:val="00822210"/>
    <w:rsid w:val="008320E7"/>
    <w:rsid w:val="008519F8"/>
    <w:rsid w:val="00897D72"/>
    <w:rsid w:val="008A5D48"/>
    <w:rsid w:val="008C264B"/>
    <w:rsid w:val="008C3EE0"/>
    <w:rsid w:val="008C79F2"/>
    <w:rsid w:val="008E52E9"/>
    <w:rsid w:val="008E5E3A"/>
    <w:rsid w:val="008F60BE"/>
    <w:rsid w:val="00906602"/>
    <w:rsid w:val="00911692"/>
    <w:rsid w:val="0091399A"/>
    <w:rsid w:val="00934FA2"/>
    <w:rsid w:val="0094467C"/>
    <w:rsid w:val="00981A33"/>
    <w:rsid w:val="0099284F"/>
    <w:rsid w:val="00997430"/>
    <w:rsid w:val="009B3B4D"/>
    <w:rsid w:val="009C5AB3"/>
    <w:rsid w:val="009D717D"/>
    <w:rsid w:val="009F2A94"/>
    <w:rsid w:val="00A25000"/>
    <w:rsid w:val="00A30633"/>
    <w:rsid w:val="00A3391B"/>
    <w:rsid w:val="00A73DA9"/>
    <w:rsid w:val="00A90E5D"/>
    <w:rsid w:val="00A92E3B"/>
    <w:rsid w:val="00A94921"/>
    <w:rsid w:val="00AC672C"/>
    <w:rsid w:val="00AD2377"/>
    <w:rsid w:val="00AF68D7"/>
    <w:rsid w:val="00B04C4E"/>
    <w:rsid w:val="00B1361B"/>
    <w:rsid w:val="00B205DB"/>
    <w:rsid w:val="00B23FB0"/>
    <w:rsid w:val="00B2671A"/>
    <w:rsid w:val="00B46446"/>
    <w:rsid w:val="00B514D8"/>
    <w:rsid w:val="00B54C09"/>
    <w:rsid w:val="00B6216F"/>
    <w:rsid w:val="00BD3BE9"/>
    <w:rsid w:val="00BE70ED"/>
    <w:rsid w:val="00C00674"/>
    <w:rsid w:val="00C24FF8"/>
    <w:rsid w:val="00C401AB"/>
    <w:rsid w:val="00C668F8"/>
    <w:rsid w:val="00C961CD"/>
    <w:rsid w:val="00CA2A1A"/>
    <w:rsid w:val="00CB18D6"/>
    <w:rsid w:val="00CD0B66"/>
    <w:rsid w:val="00CD186E"/>
    <w:rsid w:val="00CD78FC"/>
    <w:rsid w:val="00CE0375"/>
    <w:rsid w:val="00CE4C72"/>
    <w:rsid w:val="00CF74CA"/>
    <w:rsid w:val="00D17040"/>
    <w:rsid w:val="00D43E2A"/>
    <w:rsid w:val="00D471BA"/>
    <w:rsid w:val="00D56575"/>
    <w:rsid w:val="00D77420"/>
    <w:rsid w:val="00D85498"/>
    <w:rsid w:val="00D86666"/>
    <w:rsid w:val="00DB3B50"/>
    <w:rsid w:val="00DB5988"/>
    <w:rsid w:val="00DC34CF"/>
    <w:rsid w:val="00DF4852"/>
    <w:rsid w:val="00DF5A85"/>
    <w:rsid w:val="00E06EC5"/>
    <w:rsid w:val="00E10ED5"/>
    <w:rsid w:val="00E32355"/>
    <w:rsid w:val="00E47DC5"/>
    <w:rsid w:val="00E57DB1"/>
    <w:rsid w:val="00E9109E"/>
    <w:rsid w:val="00E91E06"/>
    <w:rsid w:val="00EA55E0"/>
    <w:rsid w:val="00EA5972"/>
    <w:rsid w:val="00EA6D49"/>
    <w:rsid w:val="00ED24C6"/>
    <w:rsid w:val="00EF2AB0"/>
    <w:rsid w:val="00EF5C7B"/>
    <w:rsid w:val="00F05B2E"/>
    <w:rsid w:val="00F14D6C"/>
    <w:rsid w:val="00F35C43"/>
    <w:rsid w:val="00F372A6"/>
    <w:rsid w:val="00F648A1"/>
    <w:rsid w:val="00F657E0"/>
    <w:rsid w:val="00F736DF"/>
    <w:rsid w:val="00F75D65"/>
    <w:rsid w:val="00FD2BF9"/>
    <w:rsid w:val="00FD5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A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DB1"/>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E57DB1"/>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E47DC5"/>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7DB1"/>
    <w:rPr>
      <w:rFonts w:ascii="Arial" w:eastAsia="Times New Roman" w:hAnsi="Arial"/>
      <w:b/>
      <w:bCs/>
      <w:szCs w:val="28"/>
      <w:lang w:eastAsia="en-AU"/>
    </w:rPr>
  </w:style>
  <w:style w:type="character" w:styleId="Hyperlink">
    <w:name w:val="Hyperlink"/>
    <w:basedOn w:val="DefaultParagraphFont"/>
    <w:uiPriority w:val="99"/>
    <w:rsid w:val="00E57DB1"/>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E57DB1"/>
    <w:pPr>
      <w:ind w:left="720"/>
      <w:contextualSpacing/>
    </w:pPr>
  </w:style>
  <w:style w:type="paragraph" w:styleId="Footer">
    <w:name w:val="footer"/>
    <w:basedOn w:val="Normal"/>
    <w:link w:val="FooterChar"/>
    <w:uiPriority w:val="99"/>
    <w:rsid w:val="00E57DB1"/>
    <w:pPr>
      <w:tabs>
        <w:tab w:val="center" w:pos="4513"/>
        <w:tab w:val="right" w:pos="9026"/>
      </w:tabs>
    </w:pPr>
  </w:style>
  <w:style w:type="character" w:customStyle="1" w:styleId="FooterChar">
    <w:name w:val="Footer Char"/>
    <w:basedOn w:val="DefaultParagraphFont"/>
    <w:link w:val="Footer"/>
    <w:uiPriority w:val="99"/>
    <w:rsid w:val="00E57DB1"/>
    <w:rPr>
      <w:rFonts w:eastAsia="Times New Roman"/>
      <w:szCs w:val="20"/>
      <w:lang w:eastAsia="en-AU"/>
    </w:rPr>
  </w:style>
  <w:style w:type="paragraph" w:customStyle="1" w:styleId="Default">
    <w:name w:val="Default"/>
    <w:rsid w:val="00E57DB1"/>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E57DB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E57DB1"/>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E57DB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E57DB1"/>
    <w:rPr>
      <w:rFonts w:ascii="Arial" w:eastAsia="Times New Roman" w:hAnsi="Arial" w:cs="Arial"/>
      <w:b/>
      <w:bCs/>
      <w:i/>
      <w:color w:val="000080"/>
      <w:sz w:val="28"/>
      <w:szCs w:val="28"/>
      <w:lang w:eastAsia="en-AU"/>
    </w:rPr>
  </w:style>
  <w:style w:type="table" w:styleId="TableGrid">
    <w:name w:val="Table Grid"/>
    <w:aliases w:val="Summary box,Table Gridbeth"/>
    <w:basedOn w:val="TableNormal"/>
    <w:uiPriority w:val="59"/>
    <w:rsid w:val="00E57DB1"/>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2"/>
    <w:qFormat/>
    <w:rsid w:val="00E47DC5"/>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uiPriority w:val="2"/>
    <w:rsid w:val="00E47DC5"/>
    <w:rPr>
      <w:rFonts w:ascii="Arial Narrow" w:eastAsia="Times New Roman" w:hAnsi="Arial Narrow"/>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E47DC5"/>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47DC5"/>
    <w:rPr>
      <w:rFonts w:ascii="Arial Narrow" w:eastAsia="Times New Roman" w:hAnsi="Arial Narrow" w:cs="Arial"/>
      <w:b/>
      <w:bCs/>
      <w:iCs/>
      <w:sz w:val="20"/>
      <w:szCs w:val="20"/>
    </w:rPr>
  </w:style>
  <w:style w:type="paragraph" w:customStyle="1" w:styleId="TableNote">
    <w:name w:val="Table Note"/>
    <w:basedOn w:val="Normal"/>
    <w:qFormat/>
    <w:rsid w:val="00E47DC5"/>
    <w:pPr>
      <w:keepNext/>
      <w:keepLines/>
    </w:pPr>
    <w:rPr>
      <w:rFonts w:ascii="Arial Narrow" w:eastAsia="Calibri" w:hAnsi="Arial Narrow" w:cs="Arial"/>
      <w:sz w:val="18"/>
      <w:szCs w:val="16"/>
      <w:lang w:eastAsia="en-US"/>
    </w:rPr>
  </w:style>
  <w:style w:type="paragraph" w:customStyle="1" w:styleId="Tablenotes">
    <w:name w:val="Tablenotes"/>
    <w:basedOn w:val="Normal"/>
    <w:link w:val="TablenotesChar"/>
    <w:autoRedefine/>
    <w:qFormat/>
    <w:rsid w:val="00F657E0"/>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657E0"/>
    <w:rPr>
      <w:rFonts w:ascii="Arial Narrow" w:eastAsia="Times New Roman" w:hAnsi="Arial Narrow" w:cs="Arial"/>
      <w:snapToGrid w:val="0"/>
      <w:sz w:val="18"/>
      <w:szCs w:val="20"/>
    </w:rPr>
  </w:style>
  <w:style w:type="character" w:customStyle="1" w:styleId="ListParagraphChar">
    <w:name w:val="List Paragraph Char"/>
    <w:aliases w:val="Styl moj Char,Akapit z listą1 Char,Akapit z listą11 Char"/>
    <w:link w:val="ListParagraph"/>
    <w:uiPriority w:val="34"/>
    <w:rsid w:val="00E47DC5"/>
    <w:rPr>
      <w:rFonts w:eastAsia="Times New Roman"/>
      <w:szCs w:val="20"/>
      <w:lang w:eastAsia="en-AU"/>
    </w:rPr>
  </w:style>
  <w:style w:type="character" w:customStyle="1" w:styleId="Heading2Char">
    <w:name w:val="Heading 2 Char"/>
    <w:basedOn w:val="DefaultParagraphFont"/>
    <w:link w:val="Heading2"/>
    <w:uiPriority w:val="9"/>
    <w:rsid w:val="00E47DC5"/>
    <w:rPr>
      <w:rFonts w:eastAsiaTheme="majorEastAsia" w:cstheme="majorBidi"/>
      <w:b/>
      <w:szCs w:val="26"/>
      <w:lang w:eastAsia="en-AU"/>
    </w:rPr>
  </w:style>
  <w:style w:type="paragraph" w:customStyle="1" w:styleId="EStext">
    <w:name w:val="ES text"/>
    <w:basedOn w:val="Normal"/>
    <w:link w:val="EStextChar"/>
    <w:qFormat/>
    <w:rsid w:val="00E47DC5"/>
    <w:pPr>
      <w:spacing w:after="120"/>
    </w:pPr>
    <w:rPr>
      <w:rFonts w:ascii="Calibri" w:hAnsi="Calibri" w:cs="Tahoma"/>
      <w:sz w:val="22"/>
      <w:szCs w:val="22"/>
    </w:rPr>
  </w:style>
  <w:style w:type="character" w:customStyle="1" w:styleId="EStextChar">
    <w:name w:val="ES text Char"/>
    <w:basedOn w:val="DefaultParagraphFont"/>
    <w:link w:val="EStext"/>
    <w:rsid w:val="00E47DC5"/>
    <w:rPr>
      <w:rFonts w:ascii="Calibri" w:eastAsia="Times New Roman" w:hAnsi="Calibri" w:cs="Tahoma"/>
      <w:sz w:val="22"/>
      <w:szCs w:val="22"/>
      <w:lang w:eastAsia="en-AU"/>
    </w:rPr>
  </w:style>
  <w:style w:type="character" w:styleId="Emphasis">
    <w:name w:val="Emphasis"/>
    <w:uiPriority w:val="20"/>
    <w:qFormat/>
    <w:rsid w:val="00E47DC5"/>
    <w:rPr>
      <w:rFonts w:ascii="Garamond" w:eastAsia="Times New Roman" w:hAnsi="Garamond" w:cs="Times New Roman"/>
      <w:i/>
      <w:sz w:val="24"/>
      <w:szCs w:val="24"/>
    </w:rPr>
  </w:style>
  <w:style w:type="paragraph" w:customStyle="1" w:styleId="TableHeading">
    <w:name w:val="TableHeading"/>
    <w:basedOn w:val="Normal"/>
    <w:link w:val="TableHeadingChar"/>
    <w:qFormat/>
    <w:rsid w:val="00E47DC5"/>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47DC5"/>
    <w:rPr>
      <w:rFonts w:ascii="Arial Narrow" w:eastAsia="Times New Roman" w:hAnsi="Arial Narrow" w:cs="Tahoma"/>
      <w:b/>
      <w:noProof/>
      <w:sz w:val="20"/>
      <w:szCs w:val="20"/>
      <w:lang w:eastAsia="en-AU"/>
    </w:rPr>
  </w:style>
  <w:style w:type="paragraph" w:customStyle="1" w:styleId="TableText0">
    <w:name w:val="TableText"/>
    <w:basedOn w:val="Normal"/>
    <w:rsid w:val="00E47DC5"/>
    <w:pPr>
      <w:keepNext/>
      <w:spacing w:before="60" w:after="60"/>
    </w:pPr>
    <w:rPr>
      <w:color w:val="000000"/>
      <w:sz w:val="21"/>
      <w:szCs w:val="21"/>
    </w:rPr>
  </w:style>
  <w:style w:type="paragraph" w:styleId="FootnoteText">
    <w:name w:val="footnote text"/>
    <w:basedOn w:val="Normal"/>
    <w:link w:val="FootnoteTextChar"/>
    <w:semiHidden/>
    <w:rsid w:val="00E47DC5"/>
    <w:rPr>
      <w:sz w:val="20"/>
    </w:rPr>
  </w:style>
  <w:style w:type="character" w:customStyle="1" w:styleId="FootnoteTextChar">
    <w:name w:val="Footnote Text Char"/>
    <w:basedOn w:val="DefaultParagraphFont"/>
    <w:link w:val="FootnoteText"/>
    <w:semiHidden/>
    <w:rsid w:val="00E47DC5"/>
    <w:rPr>
      <w:rFonts w:eastAsia="Times New Roman"/>
      <w:sz w:val="20"/>
      <w:szCs w:val="20"/>
      <w:lang w:eastAsia="en-AU"/>
    </w:rPr>
  </w:style>
  <w:style w:type="character" w:styleId="FootnoteReference">
    <w:name w:val="footnote reference"/>
    <w:basedOn w:val="DefaultParagraphFont"/>
    <w:semiHidden/>
    <w:rsid w:val="00E47DC5"/>
    <w:rPr>
      <w:vertAlign w:val="superscript"/>
    </w:rPr>
  </w:style>
  <w:style w:type="character" w:styleId="CommentReference">
    <w:name w:val="annotation reference"/>
    <w:basedOn w:val="DefaultParagraphFont"/>
    <w:uiPriority w:val="99"/>
    <w:semiHidden/>
    <w:unhideWhenUsed/>
    <w:rsid w:val="00E47DC5"/>
    <w:rPr>
      <w:sz w:val="16"/>
      <w:szCs w:val="16"/>
    </w:rPr>
  </w:style>
  <w:style w:type="paragraph" w:styleId="CommentText">
    <w:name w:val="annotation text"/>
    <w:basedOn w:val="Normal"/>
    <w:link w:val="CommentTextChar"/>
    <w:uiPriority w:val="99"/>
    <w:semiHidden/>
    <w:unhideWhenUsed/>
    <w:rsid w:val="00E47DC5"/>
    <w:rPr>
      <w:sz w:val="20"/>
    </w:rPr>
  </w:style>
  <w:style w:type="character" w:customStyle="1" w:styleId="CommentTextChar">
    <w:name w:val="Comment Text Char"/>
    <w:basedOn w:val="DefaultParagraphFont"/>
    <w:link w:val="CommentText"/>
    <w:uiPriority w:val="99"/>
    <w:semiHidden/>
    <w:rsid w:val="00E47DC5"/>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47DC5"/>
    <w:rPr>
      <w:b/>
      <w:bCs/>
    </w:rPr>
  </w:style>
  <w:style w:type="character" w:customStyle="1" w:styleId="CommentSubjectChar">
    <w:name w:val="Comment Subject Char"/>
    <w:basedOn w:val="CommentTextChar"/>
    <w:link w:val="CommentSubject"/>
    <w:uiPriority w:val="99"/>
    <w:semiHidden/>
    <w:rsid w:val="00E47DC5"/>
    <w:rPr>
      <w:rFonts w:eastAsia="Times New Roman"/>
      <w:b/>
      <w:bCs/>
      <w:sz w:val="20"/>
      <w:szCs w:val="20"/>
      <w:lang w:eastAsia="en-AU"/>
    </w:rPr>
  </w:style>
  <w:style w:type="paragraph" w:styleId="BalloonText">
    <w:name w:val="Balloon Text"/>
    <w:basedOn w:val="Normal"/>
    <w:link w:val="BalloonTextChar"/>
    <w:uiPriority w:val="99"/>
    <w:semiHidden/>
    <w:unhideWhenUsed/>
    <w:rsid w:val="00E47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C5"/>
    <w:rPr>
      <w:rFonts w:ascii="Segoe UI" w:eastAsia="Times New Roman" w:hAnsi="Segoe UI" w:cs="Segoe UI"/>
      <w:sz w:val="18"/>
      <w:szCs w:val="18"/>
      <w:lang w:eastAsia="en-AU"/>
    </w:rPr>
  </w:style>
  <w:style w:type="paragraph" w:styleId="Header">
    <w:name w:val="header"/>
    <w:basedOn w:val="Normal"/>
    <w:link w:val="HeaderChar"/>
    <w:uiPriority w:val="99"/>
    <w:unhideWhenUsed/>
    <w:rsid w:val="007F53A0"/>
    <w:pPr>
      <w:tabs>
        <w:tab w:val="center" w:pos="4513"/>
        <w:tab w:val="right" w:pos="9026"/>
      </w:tabs>
    </w:pPr>
  </w:style>
  <w:style w:type="character" w:customStyle="1" w:styleId="HeaderChar">
    <w:name w:val="Header Char"/>
    <w:basedOn w:val="DefaultParagraphFont"/>
    <w:link w:val="Header"/>
    <w:uiPriority w:val="99"/>
    <w:rsid w:val="007F53A0"/>
    <w:rPr>
      <w:rFonts w:eastAsia="Times New Roman"/>
      <w:szCs w:val="20"/>
      <w:lang w:eastAsia="en-AU"/>
    </w:rPr>
  </w:style>
  <w:style w:type="paragraph" w:customStyle="1" w:styleId="TFListNotes">
    <w:name w:val="TFListNotes"/>
    <w:basedOn w:val="Normal"/>
    <w:rsid w:val="00C00674"/>
    <w:pPr>
      <w:keepNext/>
      <w:keepLines/>
      <w:ind w:left="170" w:hanging="170"/>
    </w:pPr>
    <w:rPr>
      <w:color w:val="000000"/>
      <w:sz w:val="18"/>
      <w:szCs w:val="18"/>
    </w:rPr>
  </w:style>
  <w:style w:type="paragraph" w:customStyle="1" w:styleId="BoxText">
    <w:name w:val="BoxText"/>
    <w:basedOn w:val="Normal"/>
    <w:qFormat/>
    <w:rsid w:val="00C00674"/>
    <w:pPr>
      <w:pBdr>
        <w:top w:val="single" w:sz="4" w:space="4" w:color="000000"/>
        <w:left w:val="single" w:sz="4" w:space="4" w:color="000000"/>
        <w:bottom w:val="single" w:sz="4" w:space="4" w:color="000000"/>
        <w:right w:val="single" w:sz="4" w:space="4" w:color="000000"/>
      </w:pBdr>
      <w:spacing w:after="120"/>
    </w:pPr>
    <w:rPr>
      <w:color w:val="000000"/>
    </w:rPr>
  </w:style>
  <w:style w:type="table" w:customStyle="1" w:styleId="TableGrid1">
    <w:name w:val="Table Grid1"/>
    <w:basedOn w:val="TableNormal"/>
    <w:next w:val="TableGrid"/>
    <w:uiPriority w:val="59"/>
    <w:rsid w:val="000657A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2939"/>
    <w:pPr>
      <w:spacing w:before="100" w:beforeAutospacing="1" w:after="100" w:afterAutospacing="1"/>
    </w:pPr>
    <w:rPr>
      <w:szCs w:val="24"/>
    </w:rPr>
  </w:style>
  <w:style w:type="paragraph" w:styleId="Revision">
    <w:name w:val="Revision"/>
    <w:hidden/>
    <w:uiPriority w:val="99"/>
    <w:semiHidden/>
    <w:rsid w:val="0048581D"/>
    <w:pPr>
      <w:spacing w:after="0" w:line="240" w:lineRule="auto"/>
    </w:pPr>
    <w:rPr>
      <w:rFonts w:eastAsia="Times New Roman"/>
      <w:szCs w:val="20"/>
      <w:lang w:eastAsia="en-AU"/>
    </w:rPr>
  </w:style>
  <w:style w:type="character" w:styleId="FollowedHyperlink">
    <w:name w:val="FollowedHyperlink"/>
    <w:basedOn w:val="DefaultParagraphFont"/>
    <w:uiPriority w:val="99"/>
    <w:semiHidden/>
    <w:unhideWhenUsed/>
    <w:rsid w:val="00CE0375"/>
    <w:rPr>
      <w:color w:val="954F72" w:themeColor="followedHyperlink"/>
      <w:u w:val="single"/>
    </w:rPr>
  </w:style>
  <w:style w:type="paragraph" w:customStyle="1" w:styleId="xmsonormal">
    <w:name w:val="x_msonormal"/>
    <w:basedOn w:val="Normal"/>
    <w:uiPriority w:val="99"/>
    <w:rsid w:val="00DB5988"/>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3912">
      <w:bodyDiv w:val="1"/>
      <w:marLeft w:val="0"/>
      <w:marRight w:val="0"/>
      <w:marTop w:val="0"/>
      <w:marBottom w:val="0"/>
      <w:divBdr>
        <w:top w:val="none" w:sz="0" w:space="0" w:color="auto"/>
        <w:left w:val="none" w:sz="0" w:space="0" w:color="auto"/>
        <w:bottom w:val="none" w:sz="0" w:space="0" w:color="auto"/>
        <w:right w:val="none" w:sz="0" w:space="0" w:color="auto"/>
      </w:divBdr>
    </w:div>
    <w:div w:id="363599904">
      <w:bodyDiv w:val="1"/>
      <w:marLeft w:val="0"/>
      <w:marRight w:val="0"/>
      <w:marTop w:val="0"/>
      <w:marBottom w:val="0"/>
      <w:divBdr>
        <w:top w:val="none" w:sz="0" w:space="0" w:color="auto"/>
        <w:left w:val="none" w:sz="0" w:space="0" w:color="auto"/>
        <w:bottom w:val="none" w:sz="0" w:space="0" w:color="auto"/>
        <w:right w:val="none" w:sz="0" w:space="0" w:color="auto"/>
      </w:divBdr>
    </w:div>
    <w:div w:id="420955484">
      <w:bodyDiv w:val="1"/>
      <w:marLeft w:val="0"/>
      <w:marRight w:val="0"/>
      <w:marTop w:val="0"/>
      <w:marBottom w:val="0"/>
      <w:divBdr>
        <w:top w:val="none" w:sz="0" w:space="0" w:color="auto"/>
        <w:left w:val="none" w:sz="0" w:space="0" w:color="auto"/>
        <w:bottom w:val="none" w:sz="0" w:space="0" w:color="auto"/>
        <w:right w:val="none" w:sz="0" w:space="0" w:color="auto"/>
      </w:divBdr>
    </w:div>
    <w:div w:id="988484389">
      <w:bodyDiv w:val="1"/>
      <w:marLeft w:val="0"/>
      <w:marRight w:val="0"/>
      <w:marTop w:val="0"/>
      <w:marBottom w:val="0"/>
      <w:divBdr>
        <w:top w:val="none" w:sz="0" w:space="0" w:color="auto"/>
        <w:left w:val="none" w:sz="0" w:space="0" w:color="auto"/>
        <w:bottom w:val="none" w:sz="0" w:space="0" w:color="auto"/>
        <w:right w:val="none" w:sz="0" w:space="0" w:color="auto"/>
      </w:divBdr>
    </w:div>
    <w:div w:id="1210535301">
      <w:bodyDiv w:val="1"/>
      <w:marLeft w:val="0"/>
      <w:marRight w:val="0"/>
      <w:marTop w:val="0"/>
      <w:marBottom w:val="0"/>
      <w:divBdr>
        <w:top w:val="none" w:sz="0" w:space="0" w:color="auto"/>
        <w:left w:val="none" w:sz="0" w:space="0" w:color="auto"/>
        <w:bottom w:val="none" w:sz="0" w:space="0" w:color="auto"/>
        <w:right w:val="none" w:sz="0" w:space="0" w:color="auto"/>
      </w:divBdr>
    </w:div>
    <w:div w:id="1305626334">
      <w:bodyDiv w:val="1"/>
      <w:marLeft w:val="0"/>
      <w:marRight w:val="0"/>
      <w:marTop w:val="0"/>
      <w:marBottom w:val="0"/>
      <w:divBdr>
        <w:top w:val="none" w:sz="0" w:space="0" w:color="auto"/>
        <w:left w:val="none" w:sz="0" w:space="0" w:color="auto"/>
        <w:bottom w:val="none" w:sz="0" w:space="0" w:color="auto"/>
        <w:right w:val="none" w:sz="0" w:space="0" w:color="auto"/>
      </w:divBdr>
    </w:div>
    <w:div w:id="1371488938">
      <w:bodyDiv w:val="1"/>
      <w:marLeft w:val="0"/>
      <w:marRight w:val="0"/>
      <w:marTop w:val="0"/>
      <w:marBottom w:val="0"/>
      <w:divBdr>
        <w:top w:val="none" w:sz="0" w:space="0" w:color="auto"/>
        <w:left w:val="none" w:sz="0" w:space="0" w:color="auto"/>
        <w:bottom w:val="none" w:sz="0" w:space="0" w:color="auto"/>
        <w:right w:val="none" w:sz="0" w:space="0" w:color="auto"/>
      </w:divBdr>
    </w:div>
    <w:div w:id="1442262460">
      <w:bodyDiv w:val="1"/>
      <w:marLeft w:val="0"/>
      <w:marRight w:val="0"/>
      <w:marTop w:val="0"/>
      <w:marBottom w:val="0"/>
      <w:divBdr>
        <w:top w:val="none" w:sz="0" w:space="0" w:color="auto"/>
        <w:left w:val="none" w:sz="0" w:space="0" w:color="auto"/>
        <w:bottom w:val="none" w:sz="0" w:space="0" w:color="auto"/>
        <w:right w:val="none" w:sz="0" w:space="0" w:color="auto"/>
      </w:divBdr>
    </w:div>
    <w:div w:id="1635872673">
      <w:bodyDiv w:val="1"/>
      <w:marLeft w:val="0"/>
      <w:marRight w:val="0"/>
      <w:marTop w:val="0"/>
      <w:marBottom w:val="0"/>
      <w:divBdr>
        <w:top w:val="none" w:sz="0" w:space="0" w:color="auto"/>
        <w:left w:val="none" w:sz="0" w:space="0" w:color="auto"/>
        <w:bottom w:val="none" w:sz="0" w:space="0" w:color="auto"/>
        <w:right w:val="none" w:sz="0" w:space="0" w:color="auto"/>
      </w:divBdr>
    </w:div>
    <w:div w:id="1847476799">
      <w:bodyDiv w:val="1"/>
      <w:marLeft w:val="0"/>
      <w:marRight w:val="0"/>
      <w:marTop w:val="0"/>
      <w:marBottom w:val="0"/>
      <w:divBdr>
        <w:top w:val="none" w:sz="0" w:space="0" w:color="auto"/>
        <w:left w:val="none" w:sz="0" w:space="0" w:color="auto"/>
        <w:bottom w:val="none" w:sz="0" w:space="0" w:color="auto"/>
        <w:right w:val="none" w:sz="0" w:space="0" w:color="auto"/>
      </w:divBdr>
    </w:div>
    <w:div w:id="1901673322">
      <w:bodyDiv w:val="1"/>
      <w:marLeft w:val="0"/>
      <w:marRight w:val="0"/>
      <w:marTop w:val="0"/>
      <w:marBottom w:val="0"/>
      <w:divBdr>
        <w:top w:val="none" w:sz="0" w:space="0" w:color="auto"/>
        <w:left w:val="none" w:sz="0" w:space="0" w:color="auto"/>
        <w:bottom w:val="none" w:sz="0" w:space="0" w:color="auto"/>
        <w:right w:val="none" w:sz="0" w:space="0" w:color="auto"/>
      </w:divBdr>
    </w:div>
    <w:div w:id="1948998806">
      <w:bodyDiv w:val="1"/>
      <w:marLeft w:val="0"/>
      <w:marRight w:val="0"/>
      <w:marTop w:val="0"/>
      <w:marBottom w:val="0"/>
      <w:divBdr>
        <w:top w:val="none" w:sz="0" w:space="0" w:color="auto"/>
        <w:left w:val="none" w:sz="0" w:space="0" w:color="auto"/>
        <w:bottom w:val="none" w:sz="0" w:space="0" w:color="auto"/>
        <w:right w:val="none" w:sz="0" w:space="0" w:color="auto"/>
      </w:divBdr>
    </w:div>
    <w:div w:id="210044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hyperlink" Target="http://www.msac.gov.au/internet/msac/publishing.nsf/Content/1192-publi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apra.gov.au/private-health-insurance-annual-coverage-surv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039D6-A6A6-4E2A-B5B2-AFDB4750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15331</Words>
  <Characters>87390</Characters>
  <Application>Microsoft Office Word</Application>
  <DocSecurity>0</DocSecurity>
  <Lines>728</Lines>
  <Paragraphs>205</Paragraphs>
  <ScaleCrop>false</ScaleCrop>
  <Company/>
  <LinksUpToDate>false</LinksUpToDate>
  <CharactersWithSpaces>102516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1192.3 Final PSD_updated Sept2020</dc:title>
  <dc:subject/>
  <dc:creator/>
  <cp:keywords/>
  <dc:description/>
  <cp:lastModifiedBy/>
  <cp:revision>1</cp:revision>
  <dcterms:created xsi:type="dcterms:W3CDTF">2020-11-01T21:25:00Z</dcterms:created>
  <dcterms:modified xsi:type="dcterms:W3CDTF">2020-11-01T21:26:00Z</dcterms:modified>
</cp:coreProperties>
</file>