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359E6B" w14:textId="77777777" w:rsidR="00BC1364" w:rsidRPr="00707064" w:rsidRDefault="00C67DD2" w:rsidP="00F715D1">
      <w:pPr>
        <w:spacing w:after="240"/>
        <w:jc w:val="center"/>
        <w:rPr>
          <w:b/>
          <w:i/>
          <w:szCs w:val="24"/>
          <w:highlight w:val="yellow"/>
        </w:rPr>
      </w:pPr>
      <w:r>
        <w:rPr>
          <w:rFonts w:ascii="Arial" w:hAnsi="Arial" w:cs="Arial"/>
          <w:b/>
          <w:noProof/>
          <w:color w:val="000080"/>
          <w:sz w:val="28"/>
          <w:szCs w:val="28"/>
        </w:rPr>
        <w:drawing>
          <wp:inline distT="0" distB="0" distL="0" distR="0" wp14:anchorId="6308F1A7" wp14:editId="692B70E0">
            <wp:extent cx="2627630" cy="1078865"/>
            <wp:effectExtent l="0" t="0" r="1270" b="6985"/>
            <wp:docPr id="2" name="Picture 2" descr="Medical Services Advisory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14:paraId="680B1AB4" w14:textId="77777777" w:rsidR="00BC1364" w:rsidRPr="00F715D1" w:rsidRDefault="00F715D1" w:rsidP="00F715D1">
      <w:pPr>
        <w:pStyle w:val="Title"/>
        <w:tabs>
          <w:tab w:val="left" w:pos="1926"/>
          <w:tab w:val="center" w:pos="4513"/>
        </w:tabs>
        <w:jc w:val="left"/>
      </w:pPr>
      <w:r>
        <w:tab/>
      </w:r>
      <w:r>
        <w:tab/>
      </w:r>
      <w:r w:rsidR="00BF479B" w:rsidRPr="00F715D1">
        <w:t>Public Summary Document</w:t>
      </w:r>
    </w:p>
    <w:p w14:paraId="0D0C4F33" w14:textId="77777777" w:rsidR="00BC1364" w:rsidRPr="00F715D1" w:rsidRDefault="00BC1364" w:rsidP="00F715D1">
      <w:pPr>
        <w:pStyle w:val="Subtitle"/>
      </w:pPr>
      <w:r w:rsidRPr="00F715D1">
        <w:t xml:space="preserve">Application No. </w:t>
      </w:r>
      <w:r w:rsidR="00F878CB">
        <w:t>15</w:t>
      </w:r>
      <w:r w:rsidR="00640A46">
        <w:t>9</w:t>
      </w:r>
      <w:r w:rsidR="00AF4529">
        <w:t>3</w:t>
      </w:r>
      <w:r w:rsidRPr="00F715D1">
        <w:t xml:space="preserve"> – </w:t>
      </w:r>
      <w:r w:rsidR="00AF4529">
        <w:t>Bovine bio-inductive collagen implant (REGENETEN™)</w:t>
      </w:r>
      <w:r w:rsidR="008B5356">
        <w:t xml:space="preserve"> for repair of rotator cuff tear</w:t>
      </w:r>
    </w:p>
    <w:p w14:paraId="2C4708E8" w14:textId="302A0478" w:rsidR="00BC1364" w:rsidRPr="00F715D1" w:rsidRDefault="00B35595" w:rsidP="00D64355">
      <w:pPr>
        <w:tabs>
          <w:tab w:val="left" w:pos="3686"/>
        </w:tabs>
        <w:spacing w:after="240"/>
        <w:rPr>
          <w:rFonts w:ascii="Arial" w:hAnsi="Arial" w:cs="Arial"/>
          <w:b/>
          <w:szCs w:val="24"/>
        </w:rPr>
      </w:pPr>
      <w:r w:rsidRPr="00F715D1">
        <w:rPr>
          <w:rFonts w:ascii="Arial" w:hAnsi="Arial" w:cs="Arial"/>
          <w:b/>
          <w:szCs w:val="24"/>
        </w:rPr>
        <w:t>Applicant</w:t>
      </w:r>
      <w:r w:rsidR="00D64355">
        <w:rPr>
          <w:rFonts w:ascii="Arial" w:hAnsi="Arial" w:cs="Arial"/>
          <w:b/>
          <w:szCs w:val="24"/>
        </w:rPr>
        <w:t>:</w:t>
      </w:r>
      <w:r w:rsidR="00D64355">
        <w:rPr>
          <w:rFonts w:ascii="Arial" w:hAnsi="Arial" w:cs="Arial"/>
          <w:b/>
          <w:szCs w:val="24"/>
        </w:rPr>
        <w:tab/>
      </w:r>
      <w:r w:rsidR="00AF4529">
        <w:rPr>
          <w:rFonts w:ascii="Arial" w:hAnsi="Arial" w:cs="Arial"/>
          <w:b/>
          <w:szCs w:val="24"/>
        </w:rPr>
        <w:t xml:space="preserve">Smith </w:t>
      </w:r>
      <w:r w:rsidR="00FF2ABF">
        <w:rPr>
          <w:rFonts w:ascii="Arial" w:hAnsi="Arial" w:cs="Arial"/>
          <w:b/>
          <w:szCs w:val="24"/>
        </w:rPr>
        <w:t xml:space="preserve">&amp; </w:t>
      </w:r>
      <w:r w:rsidR="00AF4529">
        <w:rPr>
          <w:rFonts w:ascii="Arial" w:hAnsi="Arial" w:cs="Arial"/>
          <w:b/>
          <w:szCs w:val="24"/>
        </w:rPr>
        <w:t>Nephew Pty Ltd</w:t>
      </w:r>
    </w:p>
    <w:p w14:paraId="3C2D7AA8" w14:textId="77777777" w:rsidR="00BC1364" w:rsidRPr="00F715D1" w:rsidRDefault="00BC1364" w:rsidP="00D64355">
      <w:pPr>
        <w:tabs>
          <w:tab w:val="left" w:pos="3686"/>
        </w:tabs>
        <w:spacing w:after="240"/>
        <w:rPr>
          <w:rFonts w:ascii="Arial" w:hAnsi="Arial" w:cs="Arial"/>
          <w:b/>
          <w:szCs w:val="24"/>
        </w:rPr>
      </w:pPr>
      <w:r w:rsidRPr="00F715D1">
        <w:rPr>
          <w:rFonts w:ascii="Arial" w:hAnsi="Arial" w:cs="Arial"/>
          <w:b/>
          <w:szCs w:val="24"/>
        </w:rPr>
        <w:t>Date of MSAC consideration:</w:t>
      </w:r>
      <w:r w:rsidRPr="00F715D1">
        <w:rPr>
          <w:rFonts w:ascii="Arial" w:hAnsi="Arial" w:cs="Arial"/>
          <w:b/>
          <w:szCs w:val="24"/>
        </w:rPr>
        <w:tab/>
      </w:r>
      <w:r w:rsidR="00C67DD2" w:rsidRPr="00F715D1">
        <w:rPr>
          <w:rFonts w:ascii="Arial" w:hAnsi="Arial" w:cs="Arial"/>
          <w:b/>
          <w:szCs w:val="24"/>
        </w:rPr>
        <w:t xml:space="preserve">MSAC </w:t>
      </w:r>
      <w:r w:rsidR="00F878CB">
        <w:rPr>
          <w:rFonts w:ascii="Arial" w:hAnsi="Arial" w:cs="Arial"/>
          <w:b/>
          <w:szCs w:val="24"/>
        </w:rPr>
        <w:t>79</w:t>
      </w:r>
      <w:r w:rsidR="00EB6B6F" w:rsidRPr="00F715D1">
        <w:rPr>
          <w:rFonts w:ascii="Arial" w:hAnsi="Arial" w:cs="Arial"/>
          <w:b/>
          <w:szCs w:val="24"/>
          <w:vertAlign w:val="superscript"/>
        </w:rPr>
        <w:t>th</w:t>
      </w:r>
      <w:r w:rsidR="00EB6B6F" w:rsidRPr="00F715D1">
        <w:rPr>
          <w:rFonts w:ascii="Arial" w:hAnsi="Arial" w:cs="Arial"/>
          <w:b/>
          <w:szCs w:val="24"/>
        </w:rPr>
        <w:t xml:space="preserve"> </w:t>
      </w:r>
      <w:r w:rsidRPr="00F715D1">
        <w:rPr>
          <w:rFonts w:ascii="Arial" w:hAnsi="Arial" w:cs="Arial"/>
          <w:b/>
          <w:szCs w:val="24"/>
        </w:rPr>
        <w:t xml:space="preserve">Meeting, </w:t>
      </w:r>
      <w:r w:rsidR="00F878CB">
        <w:rPr>
          <w:rFonts w:ascii="Arial" w:hAnsi="Arial" w:cs="Arial"/>
          <w:b/>
          <w:szCs w:val="24"/>
        </w:rPr>
        <w:t>28-29 July 2020</w:t>
      </w:r>
    </w:p>
    <w:p w14:paraId="37C758B9" w14:textId="77777777" w:rsidR="0041184F" w:rsidRPr="00B03EAB" w:rsidRDefault="006A0D97" w:rsidP="00B03EAB">
      <w:pPr>
        <w:spacing w:after="360"/>
        <w:rPr>
          <w:color w:val="0000FF"/>
          <w:szCs w:val="24"/>
          <w:u w:val="single"/>
        </w:rPr>
      </w:pPr>
      <w:r w:rsidRPr="00F715D1">
        <w:rPr>
          <w:szCs w:val="24"/>
        </w:rPr>
        <w:t xml:space="preserve">Context for decision: </w:t>
      </w:r>
      <w:proofErr w:type="gramStart"/>
      <w:r w:rsidRPr="00F715D1">
        <w:rPr>
          <w:szCs w:val="24"/>
        </w:rPr>
        <w:t>MSAC makes its advice in accordance wit</w:t>
      </w:r>
      <w:r w:rsidR="00F715D1">
        <w:rPr>
          <w:szCs w:val="24"/>
        </w:rPr>
        <w:t>h its Terms of Reference</w:t>
      </w:r>
      <w:proofErr w:type="gramEnd"/>
      <w:r w:rsidR="00F715D1">
        <w:rPr>
          <w:szCs w:val="24"/>
        </w:rPr>
        <w:t>,</w:t>
      </w:r>
      <w:r w:rsidRPr="00F715D1">
        <w:rPr>
          <w:szCs w:val="24"/>
        </w:rPr>
        <w:t xml:space="preserve"> </w:t>
      </w:r>
      <w:hyperlink r:id="rId9" w:tooltip="Link to Medical Services Advisory Committee website" w:history="1">
        <w:proofErr w:type="gramStart"/>
        <w:r w:rsidR="00F715D1" w:rsidRPr="00F715D1">
          <w:rPr>
            <w:rStyle w:val="Hyperlink"/>
            <w:szCs w:val="24"/>
          </w:rPr>
          <w:t>visit the MSAC website</w:t>
        </w:r>
        <w:proofErr w:type="gramEnd"/>
      </w:hyperlink>
    </w:p>
    <w:p w14:paraId="75A374F0" w14:textId="77777777" w:rsidR="003D7F29" w:rsidRPr="00F715D1" w:rsidRDefault="003D7F29" w:rsidP="00F715D1">
      <w:pPr>
        <w:pStyle w:val="Heading1"/>
      </w:pPr>
      <w:r w:rsidRPr="00F715D1">
        <w:t>Purpose of application</w:t>
      </w:r>
      <w:r w:rsidR="00822C7E" w:rsidRPr="00F715D1">
        <w:t xml:space="preserve"> </w:t>
      </w:r>
    </w:p>
    <w:p w14:paraId="1ACA232F" w14:textId="77E8EC2E" w:rsidR="00447BAB" w:rsidRDefault="00447BAB" w:rsidP="00447BAB">
      <w:r>
        <w:t xml:space="preserve">An application </w:t>
      </w:r>
      <w:r w:rsidRPr="002F0D22">
        <w:t xml:space="preserve">requesting Prostheses List listing of bovine </w:t>
      </w:r>
      <w:proofErr w:type="spellStart"/>
      <w:r w:rsidRPr="002F0D22">
        <w:t>bioinductive</w:t>
      </w:r>
      <w:proofErr w:type="spellEnd"/>
      <w:r w:rsidRPr="002F0D22">
        <w:t xml:space="preserve"> collagen implant (REGENETEN</w:t>
      </w:r>
      <w:r>
        <w:t>™</w:t>
      </w:r>
      <w:r w:rsidRPr="002F0D22">
        <w:t xml:space="preserve">) for the repair of rotator cuff tear </w:t>
      </w:r>
      <w:proofErr w:type="gramStart"/>
      <w:r w:rsidRPr="002F0D22">
        <w:t>was received</w:t>
      </w:r>
      <w:proofErr w:type="gramEnd"/>
      <w:r w:rsidRPr="002F0D22">
        <w:t xml:space="preserve"> from Smith &amp; Nephew Pty Ltd by the Depar</w:t>
      </w:r>
      <w:r w:rsidR="00A32AEF">
        <w:t>tment of Health</w:t>
      </w:r>
      <w:r w:rsidRPr="002F0D22">
        <w:t>.</w:t>
      </w:r>
    </w:p>
    <w:p w14:paraId="57B48FA0" w14:textId="77777777" w:rsidR="00E977EE" w:rsidRPr="00F715D1" w:rsidRDefault="00E977EE" w:rsidP="00F715D1">
      <w:pPr>
        <w:pStyle w:val="Heading1"/>
      </w:pPr>
      <w:r w:rsidRPr="00F715D1">
        <w:t>MSAC’s advice to the Minister</w:t>
      </w:r>
    </w:p>
    <w:p w14:paraId="5717DF76" w14:textId="2B3A019C" w:rsidR="005929A3" w:rsidRPr="00D32FC9" w:rsidRDefault="005929A3" w:rsidP="00D32FC9">
      <w:pPr>
        <w:spacing w:after="240"/>
      </w:pPr>
      <w:r w:rsidRPr="00D32FC9">
        <w:t xml:space="preserve">After considering the strength of the available evidence in relation to comparative safety, clinical effectiveness and cost-effectiveness, MSAC did not support public funding for </w:t>
      </w:r>
      <w:proofErr w:type="gramStart"/>
      <w:r w:rsidRPr="00D32FC9">
        <w:t>bovine</w:t>
      </w:r>
      <w:proofErr w:type="gramEnd"/>
      <w:r w:rsidRPr="00D32FC9">
        <w:t xml:space="preserve"> </w:t>
      </w:r>
      <w:proofErr w:type="spellStart"/>
      <w:r w:rsidRPr="00D32FC9">
        <w:t>bioinduct</w:t>
      </w:r>
      <w:r w:rsidR="00A32AEF" w:rsidRPr="00D32FC9">
        <w:t>ive</w:t>
      </w:r>
      <w:proofErr w:type="spellEnd"/>
      <w:r w:rsidR="00A32AEF" w:rsidRPr="00D32FC9">
        <w:t xml:space="preserve"> collagen implant (REGENETEN</w:t>
      </w:r>
      <w:r w:rsidRPr="00D32FC9">
        <w:t>) for the repair of rotator cuff tear. MSAC will advise the Prostheses List Advisory Committee (PLAC) that it considered the evidence for comparative safety and effectiveness to be highly uncertain relative to standard surgical repair in both subpopulations (symptomatic partial and full thickness tears), and as a consequence, the incremental cost-effectiveness was also uncertain.</w:t>
      </w:r>
    </w:p>
    <w:tbl>
      <w:tblPr>
        <w:tblStyle w:val="TableGrid"/>
        <w:tblW w:w="0" w:type="auto"/>
        <w:tblLook w:val="04A0" w:firstRow="1" w:lastRow="0" w:firstColumn="1" w:lastColumn="0" w:noHBand="0" w:noVBand="1"/>
        <w:tblDescription w:val="Consumer summary of MSAC consideration"/>
      </w:tblPr>
      <w:tblGrid>
        <w:gridCol w:w="9016"/>
      </w:tblGrid>
      <w:tr w:rsidR="00885C08" w14:paraId="6F4499FA" w14:textId="77777777" w:rsidTr="00D32FC9">
        <w:trPr>
          <w:tblHeader/>
        </w:trPr>
        <w:tc>
          <w:tcPr>
            <w:tcW w:w="9016" w:type="dxa"/>
          </w:tcPr>
          <w:p w14:paraId="0B4B9FF8" w14:textId="069AD77D" w:rsidR="00885C08" w:rsidRPr="00885C08" w:rsidRDefault="00885C08" w:rsidP="00885C08">
            <w:pPr>
              <w:spacing w:before="120" w:after="120"/>
              <w:rPr>
                <w:b/>
              </w:rPr>
            </w:pPr>
            <w:r w:rsidRPr="00885C08">
              <w:rPr>
                <w:b/>
              </w:rPr>
              <w:t>Consumer summary</w:t>
            </w:r>
          </w:p>
        </w:tc>
      </w:tr>
      <w:tr w:rsidR="00885C08" w14:paraId="1F6E1F7E" w14:textId="77777777" w:rsidTr="00885C08">
        <w:tc>
          <w:tcPr>
            <w:tcW w:w="9016" w:type="dxa"/>
          </w:tcPr>
          <w:p w14:paraId="62FA9106" w14:textId="77777777" w:rsidR="00885C08" w:rsidRDefault="00885C08" w:rsidP="00885C08">
            <w:pPr>
              <w:spacing w:before="120"/>
            </w:pPr>
            <w:r>
              <w:t xml:space="preserve">Smith &amp; Nephew Pty Ltd made an application to the Prostheses List Advisory Committee (PLAC) to list a bovine </w:t>
            </w:r>
            <w:proofErr w:type="spellStart"/>
            <w:r>
              <w:t>bioinductive</w:t>
            </w:r>
            <w:proofErr w:type="spellEnd"/>
            <w:r>
              <w:t xml:space="preserve"> collagen implant (REGENETEN) on the Prostheses List (PL) to repair rotator cuff tears. PLAC requested that MSAC perform a health technology assessment for REGENETEN to determine its comparative effectiveness, safety and cost-effectiveness. </w:t>
            </w:r>
          </w:p>
          <w:p w14:paraId="419A7722" w14:textId="77777777" w:rsidR="00885C08" w:rsidRDefault="00885C08" w:rsidP="00885C08">
            <w:pPr>
              <w:spacing w:before="240"/>
            </w:pPr>
            <w:r>
              <w:t xml:space="preserve">The rotator cuff is a group of muscles and tendons around the shoulder joint. Damage to the rotator cuff, such as a tear in a tendon, can cause shoulder pain and weakness. </w:t>
            </w:r>
          </w:p>
          <w:p w14:paraId="5DD93907" w14:textId="77777777" w:rsidR="00885C08" w:rsidRDefault="00885C08" w:rsidP="00885C08">
            <w:pPr>
              <w:spacing w:before="240"/>
            </w:pPr>
            <w:r>
              <w:t xml:space="preserve">REGENETEN </w:t>
            </w:r>
            <w:proofErr w:type="gramStart"/>
            <w:r>
              <w:t>is implanted</w:t>
            </w:r>
            <w:proofErr w:type="gramEnd"/>
            <w:r>
              <w:t xml:space="preserve"> during shoulder surgery to provide a layer of collagen over injured tendons. It is meant to provide a base on which the body can grow new tissue to repair the tendons. </w:t>
            </w:r>
          </w:p>
          <w:p w14:paraId="716DAE09" w14:textId="77777777" w:rsidR="00885C08" w:rsidRDefault="00885C08" w:rsidP="00885C08">
            <w:r>
              <w:lastRenderedPageBreak/>
              <w:t>The application was for two types of tears: chronic partial tears and full tears, which have not healed on their own after 3 months of standard care. This application was not for tears due to acute injury or trauma.</w:t>
            </w:r>
          </w:p>
          <w:p w14:paraId="17BA9013" w14:textId="77777777" w:rsidR="00885C08" w:rsidRDefault="00885C08" w:rsidP="00885C08">
            <w:pPr>
              <w:spacing w:before="240"/>
            </w:pPr>
            <w:r>
              <w:t xml:space="preserve">MSAC noted that there were no studies directly comparing REGENETEN with standard care, which makes effectiveness and safety difficult to assess. Further, the studies that did exist were of low quality. Using magnetic resonance imaging (MRI), it looked like the tendons repaired with REGENETEN were healing better than those without </w:t>
            </w:r>
            <w:proofErr w:type="gramStart"/>
            <w:r>
              <w:t>REGENETEN</w:t>
            </w:r>
            <w:proofErr w:type="gramEnd"/>
            <w:r>
              <w:t xml:space="preserve">. However, REGENETEN patients did not report any significant improvements in pain or function in their injured shoulder. Further, REGENETEN appeared to be associated with some adverse events, such as infection and allergic skin reactions. MSAC considered that less pain and better function were more important outcomes than an improved MRI scan from a patient’s point of view. </w:t>
            </w:r>
          </w:p>
          <w:p w14:paraId="6B35E5AB" w14:textId="77777777" w:rsidR="00885C08" w:rsidRDefault="00885C08" w:rsidP="00885C08">
            <w:pPr>
              <w:spacing w:before="240"/>
            </w:pPr>
            <w:r>
              <w:t>Because the effectiveness and safety were uncertain, MSAC could not say whether REGENETEN was cost-effective.</w:t>
            </w:r>
          </w:p>
          <w:p w14:paraId="0DB8B6E1" w14:textId="77777777" w:rsidR="00885C08" w:rsidRPr="00885C08" w:rsidRDefault="00885C08" w:rsidP="00885C08">
            <w:pPr>
              <w:spacing w:before="240" w:after="120"/>
              <w:rPr>
                <w:b/>
              </w:rPr>
            </w:pPr>
            <w:r w:rsidRPr="00885C08">
              <w:rPr>
                <w:b/>
              </w:rPr>
              <w:t>MSAC’s advice to PLAC</w:t>
            </w:r>
          </w:p>
          <w:p w14:paraId="35D3F516" w14:textId="024C7CA1" w:rsidR="00885C08" w:rsidRDefault="00885C08" w:rsidP="00885C08">
            <w:pPr>
              <w:spacing w:after="120"/>
            </w:pPr>
            <w:r>
              <w:t>MSAC advised PLAC that REGENETEN’s comparative effectiveness, safety and cost-effectiveness were all uncertain due to low-quality evidence. MSAC also disagreed with the application focusing on MRI results as a main outcome. It considered that patient-reported outcomes such as pain and function were more appropriate; and that compared with standard surgery, these outcomes did not improve after surgery with REGENETEN.</w:t>
            </w:r>
          </w:p>
        </w:tc>
      </w:tr>
    </w:tbl>
    <w:p w14:paraId="01A067F8" w14:textId="77777777" w:rsidR="00550354" w:rsidRPr="00F715D1" w:rsidRDefault="00550354" w:rsidP="00F715D1">
      <w:pPr>
        <w:pStyle w:val="Heading1"/>
      </w:pPr>
      <w:r w:rsidRPr="00F715D1">
        <w:lastRenderedPageBreak/>
        <w:t xml:space="preserve">Summary of consideration and rationale for MSAC’s advice </w:t>
      </w:r>
    </w:p>
    <w:p w14:paraId="53F0FB42" w14:textId="037C8646" w:rsidR="005929A3" w:rsidRDefault="005929A3" w:rsidP="00A32AEF">
      <w:pPr>
        <w:spacing w:after="240"/>
      </w:pPr>
      <w:r>
        <w:t xml:space="preserve">MSAC noted that this application came from PLAC, which requested that MSAC perform a full health technology assessment for the listing of </w:t>
      </w:r>
      <w:r w:rsidRPr="00882B77">
        <w:t xml:space="preserve">bovine </w:t>
      </w:r>
      <w:proofErr w:type="spellStart"/>
      <w:r w:rsidRPr="00882B77">
        <w:t>bioinductive</w:t>
      </w:r>
      <w:proofErr w:type="spellEnd"/>
      <w:r w:rsidRPr="00882B77">
        <w:t xml:space="preserve"> collagen implant (REGENETEN™) </w:t>
      </w:r>
      <w:r>
        <w:t xml:space="preserve">on the Prostheses List (PL) </w:t>
      </w:r>
      <w:r w:rsidRPr="00882B77">
        <w:t>for the repair of rotator cuff tear</w:t>
      </w:r>
      <w:r>
        <w:t xml:space="preserve">. MSAC noted that </w:t>
      </w:r>
      <w:r w:rsidRPr="00882B77">
        <w:t>REGENETE</w:t>
      </w:r>
      <w:r w:rsidR="00AA0F61">
        <w:t>N</w:t>
      </w:r>
      <w:r>
        <w:t xml:space="preserve"> </w:t>
      </w:r>
      <w:proofErr w:type="gramStart"/>
      <w:r>
        <w:t>is not currently funded or reimbursed in the private or public setting</w:t>
      </w:r>
      <w:proofErr w:type="gramEnd"/>
      <w:r>
        <w:t>.</w:t>
      </w:r>
    </w:p>
    <w:p w14:paraId="0D6FCF0E" w14:textId="191CE3DF" w:rsidR="005929A3" w:rsidRDefault="005929A3" w:rsidP="005929A3">
      <w:pPr>
        <w:pStyle w:val="NormalBeforeBullet"/>
      </w:pPr>
      <w:r>
        <w:t>MSAC noted the application was for two subpopulations:</w:t>
      </w:r>
    </w:p>
    <w:p w14:paraId="1566F6B9" w14:textId="56FA4B01" w:rsidR="005929A3" w:rsidRPr="007E0011" w:rsidRDefault="005929A3" w:rsidP="005929A3">
      <w:pPr>
        <w:pStyle w:val="NumberList"/>
      </w:pPr>
      <w:r>
        <w:t>1.</w:t>
      </w:r>
      <w:r>
        <w:tab/>
        <w:t>P</w:t>
      </w:r>
      <w:r w:rsidRPr="007E0011">
        <w:t xml:space="preserve">atients with symptomatic partial-thickness rotator cuff tear (PTRCT) who have failed at least </w:t>
      </w:r>
      <w:r w:rsidR="00BC3D52">
        <w:t>three</w:t>
      </w:r>
      <w:r w:rsidRPr="007E0011">
        <w:t xml:space="preserve"> months of conservative (non-surgical) management and ar</w:t>
      </w:r>
      <w:r w:rsidR="00A32AEF">
        <w:t>e considered eligible for (or i</w:t>
      </w:r>
      <w:r w:rsidR="006B1D1D">
        <w:t>n</w:t>
      </w:r>
      <w:r w:rsidRPr="007E0011">
        <w:t>dicated for) surgical repair</w:t>
      </w:r>
    </w:p>
    <w:p w14:paraId="2A13D83F" w14:textId="3C2687BF" w:rsidR="005929A3" w:rsidRDefault="005929A3" w:rsidP="005929A3">
      <w:pPr>
        <w:pStyle w:val="NumberList"/>
      </w:pPr>
      <w:r w:rsidRPr="007E0011">
        <w:t>2</w:t>
      </w:r>
      <w:r>
        <w:t>.</w:t>
      </w:r>
      <w:r>
        <w:tab/>
        <w:t>P</w:t>
      </w:r>
      <w:r w:rsidRPr="007E0011">
        <w:t xml:space="preserve">atients with symptomatic full-thickness rotator cuff tear (FTRCT) who have failed at least </w:t>
      </w:r>
      <w:r w:rsidR="00BC3D52">
        <w:t>three</w:t>
      </w:r>
      <w:r w:rsidRPr="007E0011">
        <w:t xml:space="preserve"> months of conservative (non-surgical) management and are considered eligible for (or indicated for) surgical repair.</w:t>
      </w:r>
    </w:p>
    <w:p w14:paraId="565BB5D6" w14:textId="657C87C3" w:rsidR="005929A3" w:rsidRDefault="005929A3" w:rsidP="005929A3">
      <w:r>
        <w:t xml:space="preserve">MSAC noted that the </w:t>
      </w:r>
      <w:r w:rsidR="00BC3D52">
        <w:t xml:space="preserve">Applicant Developed Assessment Report’s (ADARs) </w:t>
      </w:r>
      <w:r w:rsidRPr="007E0011">
        <w:t>treatment algorithm proposes that REGENETEN is an alternative to surgical repair for patients with PTRCTs and in addition to surgical repair for patients with FTRCTs</w:t>
      </w:r>
      <w:r>
        <w:t>.</w:t>
      </w:r>
    </w:p>
    <w:p w14:paraId="175BC17D" w14:textId="458B341A" w:rsidR="005929A3" w:rsidRDefault="005929A3" w:rsidP="00885C08">
      <w:pPr>
        <w:spacing w:before="240"/>
      </w:pPr>
      <w:r w:rsidRPr="00F04142">
        <w:t>MSAC noted that the ADAR relied on low-quality evidence from na</w:t>
      </w:r>
      <w:r>
        <w:t>i</w:t>
      </w:r>
      <w:r w:rsidRPr="00F04142">
        <w:t>ve indirect comparisons</w:t>
      </w:r>
      <w:r w:rsidRPr="000E6E62">
        <w:t xml:space="preserve"> to derive estimates of the comparative effectiveness and safety of REGENETEN versus standard surgery in both subpopulations</w:t>
      </w:r>
      <w:r w:rsidR="00A32AEF">
        <w:t>. The REGEN</w:t>
      </w:r>
      <w:r>
        <w:t xml:space="preserve">ETEN studies had small sample sizes (&lt;30) and a high risk of bias. The ADAR presented meta-analyses for each population, and MSAC noted that the indirect comparisons did not have a common comparator and </w:t>
      </w:r>
      <w:proofErr w:type="gramStart"/>
      <w:r>
        <w:t xml:space="preserve">were not </w:t>
      </w:r>
      <w:r>
        <w:lastRenderedPageBreak/>
        <w:t>adjusted</w:t>
      </w:r>
      <w:proofErr w:type="gramEnd"/>
      <w:r>
        <w:t>. The standard surgery studies were also highly heterogeneous, especially for FTRCTs.</w:t>
      </w:r>
    </w:p>
    <w:p w14:paraId="7B2A901E" w14:textId="77777777" w:rsidR="00153309" w:rsidRDefault="00153309" w:rsidP="00C14EA6">
      <w:pPr>
        <w:pStyle w:val="NormalBeforeBullet"/>
        <w:spacing w:before="240"/>
      </w:pPr>
      <w:r>
        <w:t>MSAC noted the procedural complications and adverse events reported post-surgery:</w:t>
      </w:r>
    </w:p>
    <w:p w14:paraId="2AE7C669" w14:textId="77777777" w:rsidR="00153309" w:rsidRDefault="00153309" w:rsidP="00153309">
      <w:pPr>
        <w:pStyle w:val="Bullet"/>
      </w:pPr>
      <w:r>
        <w:t>For PTRCTs using REGENETEN: 0–9.1% rate, including cardiac ablation, allergic skin reaction, wound drainage due to stitch abscess</w:t>
      </w:r>
    </w:p>
    <w:p w14:paraId="18B37932" w14:textId="77777777" w:rsidR="00153309" w:rsidRDefault="00153309" w:rsidP="00153309">
      <w:pPr>
        <w:pStyle w:val="Bullet"/>
      </w:pPr>
      <w:r>
        <w:t>For PTRCTs using standard surgery: 0–7.1% rate, including adhesive capsulitis</w:t>
      </w:r>
    </w:p>
    <w:p w14:paraId="383D3ED8" w14:textId="77777777" w:rsidR="00153309" w:rsidRDefault="00153309" w:rsidP="00153309">
      <w:pPr>
        <w:pStyle w:val="BulletLast"/>
      </w:pPr>
      <w:r>
        <w:t>For FTRCTs using REGENETEN: 0–3.6% rate, including post-operative infection, deep vein thrombosis, graft remaining and loosening in bursa at 4 months post-surgery.</w:t>
      </w:r>
    </w:p>
    <w:p w14:paraId="4E929253" w14:textId="19650466" w:rsidR="00153309" w:rsidRDefault="00153309" w:rsidP="00153309">
      <w:r>
        <w:t xml:space="preserve">Adverse events </w:t>
      </w:r>
      <w:proofErr w:type="gramStart"/>
      <w:r>
        <w:t>were not reported</w:t>
      </w:r>
      <w:proofErr w:type="gramEnd"/>
      <w:r>
        <w:t xml:space="preserve"> in the studies for standard surgery in p</w:t>
      </w:r>
      <w:r w:rsidR="00520AF0">
        <w:t>atients</w:t>
      </w:r>
      <w:r>
        <w:t xml:space="preserve"> with FTRCTs.</w:t>
      </w:r>
      <w:r w:rsidR="00520AF0">
        <w:t xml:space="preserve"> </w:t>
      </w:r>
      <w:r>
        <w:t xml:space="preserve">MSAC noted that the pooled risk of revision of surgery rates was statistically significantly higher for REGENETEN for FTRCTs (0.069 </w:t>
      </w:r>
      <w:r w:rsidRPr="00A350F5">
        <w:rPr>
          <w:i/>
        </w:rPr>
        <w:t>vs</w:t>
      </w:r>
      <w:r>
        <w:t>. 0.027 for standard surgery)</w:t>
      </w:r>
      <w:r w:rsidR="00520AF0">
        <w:t>.</w:t>
      </w:r>
      <w:r>
        <w:t xml:space="preserve"> MSAC noted that the same risk was higher for standard surgery than for REGENETEN for PTRCTs (0.018 </w:t>
      </w:r>
      <w:r w:rsidRPr="00A350F5">
        <w:rPr>
          <w:i/>
        </w:rPr>
        <w:t>vs.</w:t>
      </w:r>
      <w:r>
        <w:t xml:space="preserve"> 0.078 for standard surgery).</w:t>
      </w:r>
      <w:r w:rsidR="00520AF0">
        <w:t xml:space="preserve"> MSAC noted the applicant highlighted concerns of publication bias among standard surgery studies, which would bias against REGENETEN.</w:t>
      </w:r>
    </w:p>
    <w:p w14:paraId="361A9DB8" w14:textId="536680CA" w:rsidR="005929A3" w:rsidRDefault="005929A3" w:rsidP="00885C08">
      <w:pPr>
        <w:spacing w:before="240"/>
      </w:pPr>
      <w:r>
        <w:t>MSAC noted that there were statistically significant improvements in imaging outcomes for REGENETEN compared with standard surgery for both subpopulations. However, MSAC also noted that the imaging results were problematic due to the lack of definitions for “</w:t>
      </w:r>
      <w:proofErr w:type="spellStart"/>
      <w:r>
        <w:t>retear</w:t>
      </w:r>
      <w:proofErr w:type="spellEnd"/>
      <w:r>
        <w:t>”, “incomplete healing” and “treatment failure”.</w:t>
      </w:r>
    </w:p>
    <w:p w14:paraId="3621765C" w14:textId="226A0B47" w:rsidR="005929A3" w:rsidRDefault="005929A3" w:rsidP="00885C08">
      <w:pPr>
        <w:spacing w:before="240"/>
      </w:pPr>
      <w:r>
        <w:t xml:space="preserve">MSAC considered using imaging results </w:t>
      </w:r>
      <w:r w:rsidRPr="007B6616">
        <w:t>as the primary outcome to be inappropriate</w:t>
      </w:r>
      <w:r>
        <w:t>, as there is no evidence to support correlating imaging results to patient-reported outcomes (PROs)</w:t>
      </w:r>
      <w:r w:rsidR="00520AF0">
        <w:t>,</w:t>
      </w:r>
      <w:r>
        <w:t xml:space="preserve"> or to predict a reduced rate of osteoarthritis</w:t>
      </w:r>
      <w:r w:rsidR="00A32AEF">
        <w:t xml:space="preserve">. </w:t>
      </w:r>
      <w:r w:rsidR="0036256C">
        <w:t xml:space="preserve">MSAC noted the </w:t>
      </w:r>
      <w:r w:rsidR="00C51F6C">
        <w:t xml:space="preserve">systematic review and meta-analysis which concluded that structural integrity of the rotator cuff after repair does not correlate with clinically important differences in validated functional outcome scores </w:t>
      </w:r>
      <w:r w:rsidR="00A32AEF">
        <w:t>(e.g. </w:t>
      </w:r>
      <w:r w:rsidR="00C51F6C" w:rsidRPr="00865D51">
        <w:t>American Shoulder and Elbow Surgeons Shoulder Score</w:t>
      </w:r>
      <w:r w:rsidR="00C51F6C">
        <w:t xml:space="preserve"> [ASES]) or pain (Russell et al. 2014</w:t>
      </w:r>
      <w:r w:rsidR="00C51F6C">
        <w:rPr>
          <w:rStyle w:val="FootnoteReference"/>
        </w:rPr>
        <w:footnoteReference w:id="1"/>
      </w:r>
      <w:r w:rsidR="00C51F6C">
        <w:t>), and many tears do no</w:t>
      </w:r>
      <w:r w:rsidR="00A32AEF">
        <w:t xml:space="preserve">t progress if left unrepaired. </w:t>
      </w:r>
      <w:r>
        <w:t>MSAC considered the core outcomes (pain reduction, function and adverse events) to be the most important outcomes. MSAC agreed with the pre-MSAC response that proof of repair is important, but not as important as the core</w:t>
      </w:r>
      <w:r w:rsidR="00762785">
        <w:t xml:space="preserve"> outcomes.</w:t>
      </w:r>
    </w:p>
    <w:p w14:paraId="1BEFFC2D" w14:textId="50694BCB" w:rsidR="005929A3" w:rsidRDefault="005929A3" w:rsidP="00885C08">
      <w:pPr>
        <w:spacing w:before="240"/>
      </w:pPr>
      <w:r>
        <w:t xml:space="preserve">MSAC noted that there were no statistically significant differences in the pooled risk for core functional outcomes for REGENETEN and standard surgery for either subpopulation over 12–24 months follow-up. MSAC considered that the results trended towards better PROs for standard surgery. MSAC </w:t>
      </w:r>
      <w:r w:rsidR="00153309">
        <w:t xml:space="preserve">noted no power calculations were undertaken </w:t>
      </w:r>
      <w:r w:rsidR="00153309">
        <w:rPr>
          <w:color w:val="000000"/>
        </w:rPr>
        <w:t xml:space="preserve">for REGENETEN studies, as they were case series </w:t>
      </w:r>
      <w:proofErr w:type="gramStart"/>
      <w:r w:rsidR="00153309">
        <w:rPr>
          <w:color w:val="000000"/>
        </w:rPr>
        <w:t>data</w:t>
      </w:r>
      <w:r>
        <w:t>,</w:t>
      </w:r>
      <w:proofErr w:type="gramEnd"/>
      <w:r>
        <w:t xml:space="preserve"> and that there is some contention about the minimal clinically important difference for the </w:t>
      </w:r>
      <w:r w:rsidR="00153309">
        <w:t>ASES</w:t>
      </w:r>
      <w:r>
        <w:t xml:space="preserve">. </w:t>
      </w:r>
      <w:r w:rsidR="00153309">
        <w:t xml:space="preserve">Overall, </w:t>
      </w:r>
      <w:r>
        <w:t>MSAC considered the evidence to be low quality, leading to low confidence in the effect estimate.</w:t>
      </w:r>
    </w:p>
    <w:p w14:paraId="18C2ED8F" w14:textId="3EC6EAC2" w:rsidR="005929A3" w:rsidRDefault="005929A3" w:rsidP="00885C08">
      <w:pPr>
        <w:spacing w:before="240"/>
      </w:pPr>
      <w:r>
        <w:t xml:space="preserve">MSAC noted that the uncertainties in clinical effectiveness led to key uncertainties in the economic evaluation, because very low-quality evidence was used </w:t>
      </w:r>
      <w:r w:rsidR="00A91808">
        <w:t xml:space="preserve">to inform the key model inputs. </w:t>
      </w:r>
      <w:r w:rsidRPr="00D36366">
        <w:t xml:space="preserve">The economic model </w:t>
      </w:r>
      <w:r w:rsidR="00762785" w:rsidRPr="00D36366">
        <w:t>assumes</w:t>
      </w:r>
      <w:r w:rsidRPr="00D36366">
        <w:t xml:space="preserve"> non-inferior safety, which is uncertain, and superior functional outcomes, for which there is no evidence.</w:t>
      </w:r>
      <w:r>
        <w:t xml:space="preserve"> The ADAR</w:t>
      </w:r>
      <w:r w:rsidR="00520AF0">
        <w:t xml:space="preserve">s model </w:t>
      </w:r>
      <w:r>
        <w:t>relied</w:t>
      </w:r>
      <w:r w:rsidR="00520AF0">
        <w:t xml:space="preserve"> heavily</w:t>
      </w:r>
      <w:r>
        <w:t xml:space="preserve"> on imaging outcomes, which MSAC considered </w:t>
      </w:r>
      <w:proofErr w:type="gramStart"/>
      <w:r>
        <w:t>to be inappropriate</w:t>
      </w:r>
      <w:proofErr w:type="gramEnd"/>
      <w:r>
        <w:t xml:space="preserve">. MSAC also agreed with ESC, which noted several other structural issues with the model. </w:t>
      </w:r>
      <w:r w:rsidR="0012120A">
        <w:rPr>
          <w:color w:val="000000"/>
        </w:rPr>
        <w:t xml:space="preserve">MSAC noted that the </w:t>
      </w:r>
      <w:r w:rsidR="0012120A">
        <w:rPr>
          <w:color w:val="000000"/>
        </w:rPr>
        <w:lastRenderedPageBreak/>
        <w:t>Commentary’s respecified base case model attempted to address some of these issues resulting in much higher incremental cost-effectiveness ratios (ICERs) for both subpopulations in the base case (see Table 9) and sensitivity analysis (see Table 10) and scenario analyses (see Table 12).</w:t>
      </w:r>
    </w:p>
    <w:p w14:paraId="0920339C" w14:textId="509884E9" w:rsidR="005929A3" w:rsidRDefault="005929A3" w:rsidP="00885C08">
      <w:pPr>
        <w:spacing w:before="240"/>
      </w:pPr>
      <w:r>
        <w:t xml:space="preserve">MSAC considered the </w:t>
      </w:r>
      <w:r w:rsidR="002D40A5">
        <w:t xml:space="preserve">ADARs original estimate of </w:t>
      </w:r>
      <w:r>
        <w:t xml:space="preserve">prevalence of </w:t>
      </w:r>
      <w:r w:rsidRPr="00D36366">
        <w:t xml:space="preserve">PTRCT (71%) </w:t>
      </w:r>
      <w:r w:rsidRPr="00A350F5">
        <w:rPr>
          <w:i/>
        </w:rPr>
        <w:t>vs</w:t>
      </w:r>
      <w:r w:rsidR="0012120A" w:rsidRPr="00A350F5">
        <w:rPr>
          <w:i/>
        </w:rPr>
        <w:t>.</w:t>
      </w:r>
      <w:r w:rsidRPr="00D36366">
        <w:t xml:space="preserve"> FTRCT (29%) </w:t>
      </w:r>
      <w:r>
        <w:t xml:space="preserve">to be </w:t>
      </w:r>
      <w:r w:rsidRPr="00D36366">
        <w:t>uncertain</w:t>
      </w:r>
      <w:r>
        <w:t>,</w:t>
      </w:r>
      <w:r w:rsidRPr="00D36366">
        <w:t xml:space="preserve"> </w:t>
      </w:r>
      <w:r w:rsidR="004A7F5D">
        <w:t>which had an</w:t>
      </w:r>
      <w:r>
        <w:t xml:space="preserve"> </w:t>
      </w:r>
      <w:r w:rsidRPr="00D36366">
        <w:t xml:space="preserve">impact on pooled </w:t>
      </w:r>
      <w:r w:rsidR="004A7F5D">
        <w:t>ICERs</w:t>
      </w:r>
      <w:r>
        <w:t xml:space="preserve">. </w:t>
      </w:r>
      <w:r w:rsidR="004A7F5D">
        <w:t>MSAC</w:t>
      </w:r>
      <w:r w:rsidR="00B86B78">
        <w:t xml:space="preserve"> also</w:t>
      </w:r>
      <w:r w:rsidR="004A7F5D">
        <w:t xml:space="preserve"> noted the pre</w:t>
      </w:r>
      <w:r w:rsidR="00D84F90">
        <w:noBreakHyphen/>
      </w:r>
      <w:r w:rsidR="004A7F5D">
        <w:t>MSAC response</w:t>
      </w:r>
      <w:r w:rsidR="00A91808">
        <w:t>,</w:t>
      </w:r>
      <w:r w:rsidR="004A7F5D">
        <w:t xml:space="preserve"> which the applicant aimed to provide more certainty around the updated prevalence estimate from an Australian retrospective study (PTRCT: 39%; FTRCT: 61%).</w:t>
      </w:r>
    </w:p>
    <w:p w14:paraId="3368A50A" w14:textId="713272C2" w:rsidR="005929A3" w:rsidRDefault="005929A3" w:rsidP="00885C08">
      <w:pPr>
        <w:spacing w:before="240"/>
      </w:pPr>
      <w:r>
        <w:t xml:space="preserve">MSAC noted that the financial impact presented in the commentary, which </w:t>
      </w:r>
      <w:r w:rsidR="00AA0F61">
        <w:t xml:space="preserve">was </w:t>
      </w:r>
      <w:r>
        <w:t xml:space="preserve">re-calculated using costs to private payers and inclusion of costs related to other </w:t>
      </w:r>
      <w:r w:rsidR="00A91808">
        <w:t>Medicare Benefits Schedule (</w:t>
      </w:r>
      <w:r>
        <w:t>MBS</w:t>
      </w:r>
      <w:r w:rsidR="00A91808">
        <w:t>)</w:t>
      </w:r>
      <w:r>
        <w:t xml:space="preserve"> items, and showed that the total budget impact may be 20% higher</w:t>
      </w:r>
      <w:r w:rsidR="00DE3007">
        <w:t xml:space="preserve"> in the respecified base case financial model</w:t>
      </w:r>
      <w:r>
        <w:t xml:space="preserve"> than that presented in the ADAR (</w:t>
      </w:r>
      <w:r w:rsidR="00DE3007">
        <w:t>see Table 15</w:t>
      </w:r>
      <w:r>
        <w:t>).</w:t>
      </w:r>
    </w:p>
    <w:p w14:paraId="5284134B" w14:textId="7028FC53" w:rsidR="00C51F6C" w:rsidRPr="00882B77" w:rsidRDefault="002B586B" w:rsidP="00885C08">
      <w:pPr>
        <w:spacing w:before="240"/>
      </w:pPr>
      <w:r>
        <w:t xml:space="preserve">MSAC noted the upcoming cohort study that would provide comparative evidence of REGENETEN </w:t>
      </w:r>
      <w:r w:rsidRPr="00A350F5">
        <w:rPr>
          <w:i/>
        </w:rPr>
        <w:t>vs.</w:t>
      </w:r>
      <w:r>
        <w:t xml:space="preserve"> standard surgery in PTRCT </w:t>
      </w:r>
      <w:r w:rsidRPr="00D57F76">
        <w:rPr>
          <w:color w:val="000000"/>
        </w:rPr>
        <w:t>(</w:t>
      </w:r>
      <w:r>
        <w:rPr>
          <w:color w:val="000000"/>
        </w:rPr>
        <w:t>NCT03734536</w:t>
      </w:r>
      <w:r w:rsidRPr="00D57F76">
        <w:rPr>
          <w:color w:val="000000"/>
        </w:rPr>
        <w:t>)</w:t>
      </w:r>
      <w:r>
        <w:t xml:space="preserve">. MSAC also noted the primary outcome was ASES, but the study </w:t>
      </w:r>
      <w:proofErr w:type="gramStart"/>
      <w:r>
        <w:t>is now delayed</w:t>
      </w:r>
      <w:proofErr w:type="gramEnd"/>
      <w:r>
        <w:t xml:space="preserve"> (until possibl</w:t>
      </w:r>
      <w:r w:rsidR="002C7BBE">
        <w:t>y</w:t>
      </w:r>
      <w:r>
        <w:t xml:space="preserve"> 2022). However, </w:t>
      </w:r>
      <w:r w:rsidR="00C51F6C">
        <w:t>MSAC considered that the applicant would need to provide high quality evidence before they could resubmit to MSAC</w:t>
      </w:r>
      <w:r w:rsidR="00762785">
        <w:t>.</w:t>
      </w:r>
    </w:p>
    <w:p w14:paraId="50904168" w14:textId="3BF3B4D0" w:rsidR="005929A3" w:rsidRDefault="005929A3" w:rsidP="005929A3">
      <w:pPr>
        <w:pStyle w:val="Heading2"/>
        <w:rPr>
          <w:b/>
        </w:rPr>
      </w:pPr>
      <w:r w:rsidRPr="005929A3">
        <w:rPr>
          <w:b/>
        </w:rPr>
        <w:t>Other discussion</w:t>
      </w:r>
    </w:p>
    <w:p w14:paraId="492A0547" w14:textId="2A87A63D" w:rsidR="005929A3" w:rsidRDefault="005929A3" w:rsidP="00885C08">
      <w:pPr>
        <w:spacing w:before="120"/>
      </w:pPr>
      <w:r>
        <w:t xml:space="preserve">MSAC noted the uncertainty around surgical repair for these types of injuries, as they tend to improve over time. </w:t>
      </w:r>
      <w:r w:rsidR="0036256C">
        <w:t xml:space="preserve">MSAC noted from high certainty evidence (2 trials; n=284) that </w:t>
      </w:r>
      <w:r w:rsidR="0036256C" w:rsidRPr="0036256C">
        <w:t>decompression for rotator cuff disease (incl</w:t>
      </w:r>
      <w:r w:rsidR="0036256C">
        <w:t>uding PTRCTs</w:t>
      </w:r>
      <w:r w:rsidR="0036256C" w:rsidRPr="0036256C">
        <w:t>) does not provide clinically important benefits over placebo in pain, function or health-related quality of life</w:t>
      </w:r>
      <w:r w:rsidR="0036256C">
        <w:t xml:space="preserve"> (</w:t>
      </w:r>
      <w:proofErr w:type="spellStart"/>
      <w:r w:rsidR="0036256C">
        <w:t>Karjalainen</w:t>
      </w:r>
      <w:proofErr w:type="spellEnd"/>
      <w:r w:rsidR="0036256C">
        <w:t xml:space="preserve"> et al. 2019</w:t>
      </w:r>
      <w:r w:rsidR="0036256C">
        <w:rPr>
          <w:rStyle w:val="FootnoteReference"/>
        </w:rPr>
        <w:footnoteReference w:id="2"/>
      </w:r>
      <w:r w:rsidR="0036256C">
        <w:t xml:space="preserve">). </w:t>
      </w:r>
      <w:r>
        <w:t>MSAC</w:t>
      </w:r>
      <w:r w:rsidR="0036256C">
        <w:t xml:space="preserve"> also</w:t>
      </w:r>
      <w:r>
        <w:t xml:space="preserve"> noted</w:t>
      </w:r>
      <w:r w:rsidR="00F9230A">
        <w:t xml:space="preserve"> from moderate to low certainty evidence (</w:t>
      </w:r>
      <w:proofErr w:type="gramStart"/>
      <w:r w:rsidR="00F9230A">
        <w:t>3</w:t>
      </w:r>
      <w:proofErr w:type="gramEnd"/>
      <w:r w:rsidR="00F9230A">
        <w:t xml:space="preserve"> trials; n=258)</w:t>
      </w:r>
      <w:r>
        <w:t xml:space="preserve"> that surgery for FTRCTs was not superior to non-operative treatment</w:t>
      </w:r>
      <w:r w:rsidR="00F9230A">
        <w:t>, and also there was no added benefit of</w:t>
      </w:r>
      <w:r>
        <w:t xml:space="preserve"> decompression during surgery</w:t>
      </w:r>
      <w:r w:rsidR="00F9230A">
        <w:t xml:space="preserve"> (</w:t>
      </w:r>
      <w:proofErr w:type="spellStart"/>
      <w:r w:rsidR="00F9230A">
        <w:t>Karjalainen</w:t>
      </w:r>
      <w:proofErr w:type="spellEnd"/>
      <w:r w:rsidR="00F9230A">
        <w:t xml:space="preserve"> et al. 2019</w:t>
      </w:r>
      <w:r w:rsidR="00F9230A">
        <w:rPr>
          <w:rStyle w:val="FootnoteReference"/>
        </w:rPr>
        <w:footnoteReference w:id="3"/>
      </w:r>
      <w:r w:rsidR="00F9230A">
        <w:t>)</w:t>
      </w:r>
      <w:r w:rsidR="00A91808">
        <w:t>.</w:t>
      </w:r>
      <w:r w:rsidR="00F9230A">
        <w:t xml:space="preserve"> Thus, MSAC </w:t>
      </w:r>
      <w:r>
        <w:t xml:space="preserve">recommended that the MSAC Executive review the MBS item 48903 for </w:t>
      </w:r>
      <w:proofErr w:type="gramStart"/>
      <w:r>
        <w:t xml:space="preserve">shoulder </w:t>
      </w:r>
      <w:proofErr w:type="spellStart"/>
      <w:r w:rsidRPr="00C95E66">
        <w:t>subacrom</w:t>
      </w:r>
      <w:r>
        <w:t>i</w:t>
      </w:r>
      <w:r w:rsidRPr="00C95E66">
        <w:t>al</w:t>
      </w:r>
      <w:proofErr w:type="spellEnd"/>
      <w:r w:rsidRPr="00C95E66">
        <w:t xml:space="preserve"> decompression</w:t>
      </w:r>
      <w:r>
        <w:t xml:space="preserve"> surgery</w:t>
      </w:r>
      <w:proofErr w:type="gramEnd"/>
      <w:r w:rsidR="00D54C5E">
        <w:t>.</w:t>
      </w:r>
    </w:p>
    <w:p w14:paraId="52350AF3" w14:textId="6F09899C" w:rsidR="00416206" w:rsidRPr="00C95E66" w:rsidRDefault="00416206" w:rsidP="00885C08">
      <w:pPr>
        <w:spacing w:before="240"/>
      </w:pPr>
      <w:r>
        <w:t xml:space="preserve">MSAC also noted </w:t>
      </w:r>
      <w:proofErr w:type="gramStart"/>
      <w:r>
        <w:t>that surgical</w:t>
      </w:r>
      <w:proofErr w:type="gramEnd"/>
      <w:r>
        <w:t xml:space="preserve"> repair of PRCTs is not standard practice </w:t>
      </w:r>
      <w:r w:rsidR="00762785">
        <w:t>other than for</w:t>
      </w:r>
      <w:r w:rsidR="00A91808">
        <w:t xml:space="preserve"> </w:t>
      </w:r>
      <w:r>
        <w:t xml:space="preserve">very large almost full thickness tears; and that PTRCTs would be usually treated with non-operative treatment. MSAC noted for FTRCTs, there was an upcoming </w:t>
      </w:r>
      <w:r w:rsidRPr="00416206">
        <w:t xml:space="preserve">Australian Rotator Cuff (ARC) trial: multicentre placebo-controlled RCT of repair for </w:t>
      </w:r>
      <w:r w:rsidRPr="007A0E3B">
        <w:t>full thickness</w:t>
      </w:r>
      <w:r w:rsidRPr="00416206">
        <w:t xml:space="preserve"> supraspinatus tears</w:t>
      </w:r>
      <w:r>
        <w:t xml:space="preserve"> </w:t>
      </w:r>
      <w:r w:rsidRPr="00D93DC5">
        <w:rPr>
          <w:i/>
        </w:rPr>
        <w:t>vs.</w:t>
      </w:r>
      <w:r>
        <w:t xml:space="preserve"> placebo.</w:t>
      </w:r>
      <w:r w:rsidR="00046C15">
        <w:t xml:space="preserve"> MSAC considered that it might be informative to see these results </w:t>
      </w:r>
      <w:r w:rsidR="00762785">
        <w:t xml:space="preserve">and then consider the need and design of research </w:t>
      </w:r>
      <w:proofErr w:type="gramStart"/>
      <w:r w:rsidR="00762785">
        <w:t>studies which</w:t>
      </w:r>
      <w:proofErr w:type="gramEnd"/>
      <w:r w:rsidR="00762785">
        <w:t xml:space="preserve"> could be referred to the Medic</w:t>
      </w:r>
      <w:r w:rsidR="00A8106A">
        <w:t>al Research Future Fund (MRFF).</w:t>
      </w:r>
    </w:p>
    <w:p w14:paraId="65BA99DB" w14:textId="77777777" w:rsidR="00BC1364" w:rsidRPr="00F715D1" w:rsidRDefault="00BC1364" w:rsidP="00F715D1">
      <w:pPr>
        <w:pStyle w:val="Heading1"/>
      </w:pPr>
      <w:r w:rsidRPr="00F715D1">
        <w:t>Background</w:t>
      </w:r>
    </w:p>
    <w:p w14:paraId="42AD542E" w14:textId="77777777" w:rsidR="00043809" w:rsidRDefault="00043809" w:rsidP="00043809">
      <w:r>
        <w:t xml:space="preserve">This is the first submission of REGENETEN </w:t>
      </w:r>
      <w:proofErr w:type="spellStart"/>
      <w:r w:rsidRPr="00D96903">
        <w:t>bioinductive</w:t>
      </w:r>
      <w:proofErr w:type="spellEnd"/>
      <w:r w:rsidRPr="00D96903">
        <w:t xml:space="preserve"> implant</w:t>
      </w:r>
      <w:r>
        <w:t xml:space="preserve"> for patients with symptomatic PTRCT or FTRCT. MSAC has not previously considered this application.</w:t>
      </w:r>
    </w:p>
    <w:p w14:paraId="5B1E9E18" w14:textId="17ECCFFF" w:rsidR="00043809" w:rsidRDefault="00043809" w:rsidP="00885C08">
      <w:pPr>
        <w:spacing w:before="240"/>
      </w:pPr>
      <w:r>
        <w:t>The PLAC considered this application in December 2018. The PLAC noted that this device is a high cost option for treatment of rotator cuff tear,</w:t>
      </w:r>
      <w:r w:rsidR="009A68BC">
        <w:t xml:space="preserve"> </w:t>
      </w:r>
      <w:r>
        <w:t xml:space="preserve">and referred the application to the MSAC </w:t>
      </w:r>
      <w:r>
        <w:lastRenderedPageBreak/>
        <w:t xml:space="preserve">for a health technology assessment to determine the comparative </w:t>
      </w:r>
      <w:r w:rsidRPr="009E3FDB">
        <w:t>clinical and cost effectiveness of the device for listing on the Prostheses List.</w:t>
      </w:r>
    </w:p>
    <w:p w14:paraId="6A4D0562" w14:textId="717537B7" w:rsidR="00043809" w:rsidRPr="00D96903" w:rsidRDefault="00043809" w:rsidP="00C14EA6">
      <w:pPr>
        <w:spacing w:before="240"/>
      </w:pPr>
      <w:r w:rsidRPr="00D96903">
        <w:t xml:space="preserve">The REGENETEN </w:t>
      </w:r>
      <w:proofErr w:type="spellStart"/>
      <w:r w:rsidRPr="00D96903">
        <w:t>bioinductive</w:t>
      </w:r>
      <w:proofErr w:type="spellEnd"/>
      <w:r w:rsidRPr="00D96903">
        <w:t xml:space="preserve"> implant </w:t>
      </w:r>
      <w:proofErr w:type="gramStart"/>
      <w:r w:rsidRPr="00D96903">
        <w:t>is not currently funded or reimbursed in the private or public setting</w:t>
      </w:r>
      <w:proofErr w:type="gramEnd"/>
      <w:r w:rsidRPr="00D96903">
        <w:t>.</w:t>
      </w:r>
    </w:p>
    <w:p w14:paraId="27D47ABD" w14:textId="77777777" w:rsidR="00BC1364" w:rsidRPr="00F715D1" w:rsidRDefault="00BC1364" w:rsidP="00F715D1">
      <w:pPr>
        <w:pStyle w:val="Heading1"/>
      </w:pPr>
      <w:r w:rsidRPr="00F715D1">
        <w:t>Prerequisites to implementation of any funding advice</w:t>
      </w:r>
    </w:p>
    <w:p w14:paraId="3A304379" w14:textId="55451992" w:rsidR="00043809" w:rsidRPr="003F6E4B" w:rsidRDefault="00A35967" w:rsidP="00043809">
      <w:r>
        <w:t xml:space="preserve">At the time of application lodgement, </w:t>
      </w:r>
      <w:r w:rsidR="00043809" w:rsidRPr="00D91638">
        <w:t xml:space="preserve">REGENETEN </w:t>
      </w:r>
      <w:r>
        <w:t>wa</w:t>
      </w:r>
      <w:r w:rsidR="00043809" w:rsidRPr="003E0B3F">
        <w:t xml:space="preserve">s not included </w:t>
      </w:r>
      <w:r w:rsidR="00043809" w:rsidRPr="00D91638">
        <w:t xml:space="preserve">on the </w:t>
      </w:r>
      <w:r w:rsidR="00043809" w:rsidRPr="00F76903">
        <w:t xml:space="preserve">Australian Register of Therapeutic Goods </w:t>
      </w:r>
      <w:r w:rsidR="00043809">
        <w:t>(</w:t>
      </w:r>
      <w:r w:rsidR="00043809" w:rsidRPr="003F6E4B">
        <w:t>ARTG</w:t>
      </w:r>
      <w:r w:rsidR="00043809">
        <w:t>)</w:t>
      </w:r>
      <w:r w:rsidR="00043809" w:rsidRPr="003F6E4B">
        <w:t>. The REGENETEN collagen implant is a Class III medical device. A</w:t>
      </w:r>
      <w:r w:rsidR="00043809">
        <w:t>n</w:t>
      </w:r>
      <w:r w:rsidR="00043809" w:rsidRPr="003F6E4B">
        <w:t xml:space="preserve"> application for REGENETEN </w:t>
      </w:r>
      <w:r w:rsidR="00043809">
        <w:t>(</w:t>
      </w:r>
      <w:r w:rsidR="00043809" w:rsidRPr="003F6E4B">
        <w:t>Class III medical device</w:t>
      </w:r>
      <w:r w:rsidR="00043809">
        <w:t>)</w:t>
      </w:r>
      <w:r w:rsidR="00043809" w:rsidRPr="003F6E4B">
        <w:t xml:space="preserve"> </w:t>
      </w:r>
      <w:proofErr w:type="gramStart"/>
      <w:r w:rsidR="00043809" w:rsidRPr="003F6E4B">
        <w:t>was submitted</w:t>
      </w:r>
      <w:proofErr w:type="gramEnd"/>
      <w:r w:rsidR="00043809" w:rsidRPr="003F6E4B">
        <w:t xml:space="preserve"> </w:t>
      </w:r>
      <w:r w:rsidR="00043809">
        <w:t xml:space="preserve">to the Therapeutic Goods Administration (TGA) </w:t>
      </w:r>
      <w:r w:rsidR="00043809" w:rsidRPr="003F6E4B">
        <w:t>on 31 August 2018 (Application Number DV-2018-CA-16564-1)</w:t>
      </w:r>
      <w:r w:rsidR="00043809">
        <w:t>.</w:t>
      </w:r>
    </w:p>
    <w:p w14:paraId="5C8033FD" w14:textId="5799D405" w:rsidR="00043809" w:rsidRPr="00885C08" w:rsidRDefault="00043809" w:rsidP="00885C08">
      <w:pPr>
        <w:spacing w:before="240"/>
        <w:rPr>
          <w:szCs w:val="24"/>
        </w:rPr>
      </w:pPr>
      <w:r w:rsidRPr="00885C08">
        <w:rPr>
          <w:szCs w:val="24"/>
        </w:rPr>
        <w:t>The proposed TGA indication is for the management and protection of rotator cuff tendon injuries in which there has been no substantial loss of tendon tissue.</w:t>
      </w:r>
    </w:p>
    <w:p w14:paraId="59B02FDA" w14:textId="0A2866BD" w:rsidR="00043809" w:rsidRDefault="00043809" w:rsidP="00885C08">
      <w:pPr>
        <w:spacing w:before="240"/>
      </w:pPr>
      <w:r>
        <w:t xml:space="preserve">In the </w:t>
      </w:r>
      <w:r w:rsidR="004F7C04">
        <w:t>pre-MSAC</w:t>
      </w:r>
      <w:r w:rsidR="000A1BE7">
        <w:t xml:space="preserve"> response, the applicant indicated that that the REGENETEN implant has received a positive TGA Conformity Assessment and that inclusion of REGENETEN in the ARTG </w:t>
      </w:r>
      <w:proofErr w:type="gramStart"/>
      <w:r w:rsidR="000A1BE7">
        <w:t>is expected</w:t>
      </w:r>
      <w:proofErr w:type="gramEnd"/>
      <w:r w:rsidR="000A1BE7">
        <w:t xml:space="preserve"> by the end of July 2020.</w:t>
      </w:r>
    </w:p>
    <w:p w14:paraId="57289988" w14:textId="77777777" w:rsidR="00043809" w:rsidRPr="003F6E4B" w:rsidRDefault="00043809" w:rsidP="00885C08">
      <w:pPr>
        <w:spacing w:before="240"/>
        <w:rPr>
          <w:i/>
        </w:rPr>
      </w:pPr>
      <w:r>
        <w:t>The applicant stated</w:t>
      </w:r>
      <w:r w:rsidRPr="003F6E4B">
        <w:t xml:space="preserve"> that, to date, REGENETEN </w:t>
      </w:r>
      <w:proofErr w:type="gramStart"/>
      <w:r w:rsidRPr="003F6E4B">
        <w:t>has only been used</w:t>
      </w:r>
      <w:proofErr w:type="gramEnd"/>
      <w:r w:rsidRPr="003F6E4B">
        <w:t xml:space="preserve"> in Australia through the TGA Special Access Scheme</w:t>
      </w:r>
      <w:r>
        <w:t xml:space="preserve"> (SAS)</w:t>
      </w:r>
      <w:r w:rsidRPr="003F6E4B">
        <w:t>.</w:t>
      </w:r>
    </w:p>
    <w:p w14:paraId="4B96E05B" w14:textId="77777777" w:rsidR="00BC1364" w:rsidRPr="00F715D1" w:rsidRDefault="00BC1364" w:rsidP="00F715D1">
      <w:pPr>
        <w:pStyle w:val="Heading1"/>
      </w:pPr>
      <w:r w:rsidRPr="00F715D1">
        <w:t>Proposal for public funding</w:t>
      </w:r>
    </w:p>
    <w:p w14:paraId="20E448F4" w14:textId="36F9AE3A" w:rsidR="00EB359F" w:rsidRDefault="00EB359F" w:rsidP="00EB359F">
      <w:r>
        <w:t>The ADAR stated that this application is for a Prostheses List listing of REGENETEN for use in the surgical repair of rotator cuff tears in conjunction with existing MBS items (48960</w:t>
      </w:r>
      <w:r>
        <w:rPr>
          <w:rStyle w:val="FootnoteReference"/>
        </w:rPr>
        <w:footnoteReference w:id="4"/>
      </w:r>
      <w:r>
        <w:t xml:space="preserve">, 48906 and 48909). This application </w:t>
      </w:r>
      <w:r w:rsidRPr="00D91638">
        <w:t xml:space="preserve">does </w:t>
      </w:r>
      <w:r w:rsidRPr="003E0B3F">
        <w:t xml:space="preserve">not seek </w:t>
      </w:r>
      <w:r w:rsidRPr="00D91638">
        <w:t xml:space="preserve">a new </w:t>
      </w:r>
      <w:r>
        <w:t xml:space="preserve">MBS item number or </w:t>
      </w:r>
      <w:r w:rsidR="009A68BC">
        <w:t xml:space="preserve">to </w:t>
      </w:r>
      <w:r>
        <w:t>ame</w:t>
      </w:r>
      <w:r w:rsidR="00A8106A">
        <w:t>nd an existing MBS item number.</w:t>
      </w:r>
    </w:p>
    <w:p w14:paraId="62E9103F" w14:textId="4CEB4BBA" w:rsidR="00EB359F" w:rsidRDefault="00EB359F" w:rsidP="00885C08">
      <w:pPr>
        <w:spacing w:before="240"/>
      </w:pPr>
      <w:r>
        <w:t xml:space="preserve">The Commentary noted that these </w:t>
      </w:r>
      <w:r w:rsidRPr="00C42250">
        <w:t xml:space="preserve">MBS items do not include restrictions associated with clinical indications (e.g. partial versus full thickness rotator cuff tear; symptomatic versus asymptomatic, degenerative tears versus acute trauma) or prior interventions (e.g. previous repair of rotator cuff). These MBS items are therefore unable to restrict access to REGENETEN according to the </w:t>
      </w:r>
      <w:r>
        <w:t>ADARs proposed population</w:t>
      </w:r>
      <w:r w:rsidRPr="00C42250">
        <w:t>.</w:t>
      </w:r>
      <w:r>
        <w:t xml:space="preserve"> </w:t>
      </w:r>
      <w:proofErr w:type="gramStart"/>
      <w:r>
        <w:t>In the pre-ESC response, the applicant highlighted that i</w:t>
      </w:r>
      <w:r w:rsidRPr="00E322D4">
        <w:t xml:space="preserve">t was accepted by PLAC, agreed to by PASC as reflected in the Ratified PICO and acknowledged by the </w:t>
      </w:r>
      <w:r>
        <w:t>Commentary</w:t>
      </w:r>
      <w:r w:rsidRPr="00E322D4">
        <w:t xml:space="preserve"> that the current MBS items are relevant, clinically appropriate and “suitable for this procedure”; allowing the use of REGENETEN in PTRCT and FTRCT patients when the product obtains listing on the Prostheses List (PL).</w:t>
      </w:r>
      <w:proofErr w:type="gramEnd"/>
    </w:p>
    <w:p w14:paraId="22212C90" w14:textId="1AE31F92" w:rsidR="00EB359F" w:rsidRPr="00D96903" w:rsidRDefault="00EB359F" w:rsidP="00885C08">
      <w:pPr>
        <w:spacing w:before="240"/>
      </w:pPr>
      <w:r>
        <w:t xml:space="preserve">The ADAR stated that REGENETEN is considered </w:t>
      </w:r>
      <w:proofErr w:type="gramStart"/>
      <w:r w:rsidRPr="00173304">
        <w:t>to be a</w:t>
      </w:r>
      <w:proofErr w:type="gramEnd"/>
      <w:r w:rsidRPr="00173304">
        <w:t xml:space="preserve"> ‘once-only’ procedure per tendon</w:t>
      </w:r>
      <w:r>
        <w:t xml:space="preserve">. The Commentary considered it was </w:t>
      </w:r>
      <w:r w:rsidRPr="00D91638">
        <w:t xml:space="preserve">unclear </w:t>
      </w:r>
      <w:r w:rsidRPr="003E0B3F">
        <w:t xml:space="preserve">how this restriction </w:t>
      </w:r>
      <w:proofErr w:type="gramStart"/>
      <w:r w:rsidRPr="003E0B3F">
        <w:t>could</w:t>
      </w:r>
      <w:r w:rsidRPr="00D91638">
        <w:t xml:space="preserve"> be implemented </w:t>
      </w:r>
      <w:r w:rsidRPr="00E322D4">
        <w:t>or monitored in practice</w:t>
      </w:r>
      <w:proofErr w:type="gramEnd"/>
      <w:r w:rsidRPr="00E322D4">
        <w:t xml:space="preserve">. Should the proposed device be listed on the Prostheses List, the relevant authorities may wish to consider introduction of measures to implement the </w:t>
      </w:r>
      <w:proofErr w:type="gramStart"/>
      <w:r w:rsidRPr="00E322D4">
        <w:t>once-only</w:t>
      </w:r>
      <w:proofErr w:type="gramEnd"/>
      <w:r w:rsidR="00046C15">
        <w:t xml:space="preserve"> per shoulder</w:t>
      </w:r>
      <w:r w:rsidRPr="00E322D4">
        <w:t xml:space="preserve"> restriction, for example in the form of maximum life-time limit for orthodontic benefits by private health providers.</w:t>
      </w:r>
      <w:r>
        <w:t xml:space="preserve"> In the pre-ESC response, the applicant highlighted that c</w:t>
      </w:r>
      <w:r w:rsidRPr="00E322D4">
        <w:t xml:space="preserve">onsistent with Australian Expert Clinical advice and with the Ratified PICO, evidence from the current Australian REGENETEN TGA SAS program show that all of the </w:t>
      </w:r>
      <w:r w:rsidR="006F0205" w:rsidRPr="006F0205">
        <w:rPr>
          <w:b/>
        </w:rPr>
        <w:t>redacted</w:t>
      </w:r>
      <w:r w:rsidR="006F0205" w:rsidRPr="00E322D4">
        <w:t xml:space="preserve"> </w:t>
      </w:r>
      <w:r w:rsidRPr="00E322D4">
        <w:t xml:space="preserve">patients to date received just the one single implant which demonstrates that </w:t>
      </w:r>
      <w:r w:rsidRPr="00E322D4">
        <w:lastRenderedPageBreak/>
        <w:t>REGENETEN is used only once per tendon in all patients. Th</w:t>
      </w:r>
      <w:r w:rsidR="00A35967">
        <w:t>e</w:t>
      </w:r>
      <w:r>
        <w:t xml:space="preserve"> applicant considered this</w:t>
      </w:r>
      <w:r w:rsidRPr="00E322D4">
        <w:t xml:space="preserve"> is</w:t>
      </w:r>
      <w:r>
        <w:t xml:space="preserve"> also </w:t>
      </w:r>
      <w:r w:rsidRPr="00E322D4">
        <w:t>supported by (</w:t>
      </w:r>
      <w:proofErr w:type="spellStart"/>
      <w:r w:rsidRPr="00E322D4">
        <w:t>i</w:t>
      </w:r>
      <w:proofErr w:type="spellEnd"/>
      <w:r w:rsidRPr="00E322D4">
        <w:t>) the data collected the currently running USPMCF study</w:t>
      </w:r>
      <w:r>
        <w:t xml:space="preserve"> (n=138; 33 PTRCT, 115 FTRCT)</w:t>
      </w:r>
      <w:proofErr w:type="gramStart"/>
      <w:r>
        <w:t>;</w:t>
      </w:r>
      <w:proofErr w:type="gramEnd"/>
      <w:r>
        <w:t xml:space="preserve"> </w:t>
      </w:r>
      <w:r w:rsidRPr="00E322D4">
        <w:t>and (ii) real-world-evidence from a retrospective analysis of the Premier database (a USA hospital discharge data from more than 400 hospitals) from</w:t>
      </w:r>
      <w:r>
        <w:t xml:space="preserve"> January 2018 to September 2019.</w:t>
      </w:r>
    </w:p>
    <w:p w14:paraId="7FD4E06C" w14:textId="77777777" w:rsidR="00BC1364" w:rsidRPr="00F715D1" w:rsidRDefault="00BC1364" w:rsidP="00F715D1">
      <w:pPr>
        <w:pStyle w:val="Heading1"/>
      </w:pPr>
      <w:r w:rsidRPr="00F715D1">
        <w:t xml:space="preserve">Summary of </w:t>
      </w:r>
      <w:r w:rsidR="00C06B0B">
        <w:t>public c</w:t>
      </w:r>
      <w:r w:rsidR="003D7F29" w:rsidRPr="00F715D1">
        <w:t>onsultation</w:t>
      </w:r>
      <w:r w:rsidR="00C06B0B">
        <w:t xml:space="preserve"> f</w:t>
      </w:r>
      <w:r w:rsidRPr="00F715D1">
        <w:t>eedback</w:t>
      </w:r>
      <w:r w:rsidR="00C06B0B">
        <w:t>/c</w:t>
      </w:r>
      <w:r w:rsidR="003D7F29" w:rsidRPr="00F715D1">
        <w:t>onsumer Issues</w:t>
      </w:r>
    </w:p>
    <w:p w14:paraId="24B28B78" w14:textId="77777777" w:rsidR="008219E7" w:rsidRDefault="008219E7" w:rsidP="008219E7">
      <w:r>
        <w:t>Nil.</w:t>
      </w:r>
    </w:p>
    <w:p w14:paraId="709D345C" w14:textId="77777777" w:rsidR="00BC1364" w:rsidRPr="00F715D1" w:rsidRDefault="00BC1364" w:rsidP="00F715D1">
      <w:pPr>
        <w:pStyle w:val="Heading1"/>
      </w:pPr>
      <w:r w:rsidRPr="00F715D1">
        <w:t>Proposed intervention’s place in clinical management</w:t>
      </w:r>
    </w:p>
    <w:p w14:paraId="59EEAF59" w14:textId="77777777" w:rsidR="00CF4E81" w:rsidRDefault="00CF4E81" w:rsidP="00447BAB">
      <w:pPr>
        <w:rPr>
          <w:b/>
          <w:szCs w:val="24"/>
        </w:rPr>
      </w:pPr>
      <w:r w:rsidRPr="00CF4E81">
        <w:rPr>
          <w:b/>
          <w:szCs w:val="24"/>
        </w:rPr>
        <w:t>Description of Proposed Intervention</w:t>
      </w:r>
    </w:p>
    <w:p w14:paraId="3B2342BA" w14:textId="2AEE544B" w:rsidR="00447BAB" w:rsidRPr="00447BAB" w:rsidRDefault="00447BAB" w:rsidP="00447BAB">
      <w:r w:rsidRPr="00D96903">
        <w:t xml:space="preserve">The proposed medical service is surgical repair of rotator cuff tear including a bovine </w:t>
      </w:r>
      <w:proofErr w:type="spellStart"/>
      <w:r w:rsidRPr="00D96903">
        <w:t>bioinductive</w:t>
      </w:r>
      <w:proofErr w:type="spellEnd"/>
      <w:r w:rsidRPr="00D96903">
        <w:t xml:space="preserve"> collagen implant. The REGENETEN </w:t>
      </w:r>
      <w:proofErr w:type="spellStart"/>
      <w:r w:rsidRPr="00D96903">
        <w:t>bioinductive</w:t>
      </w:r>
      <w:proofErr w:type="spellEnd"/>
      <w:r w:rsidRPr="00D96903">
        <w:t xml:space="preserve"> implant is a </w:t>
      </w:r>
      <w:proofErr w:type="spellStart"/>
      <w:r w:rsidRPr="00D96903">
        <w:t>bioabsorbable</w:t>
      </w:r>
      <w:proofErr w:type="spellEnd"/>
      <w:r w:rsidRPr="00D96903">
        <w:t xml:space="preserve"> implant device that provides a layer of collagen over injured </w:t>
      </w:r>
      <w:proofErr w:type="gramStart"/>
      <w:r w:rsidRPr="00D96903">
        <w:t>tendons,</w:t>
      </w:r>
      <w:proofErr w:type="gramEnd"/>
      <w:r w:rsidRPr="00D96903">
        <w:t xml:space="preserve"> intended to induce new host tissue growth.</w:t>
      </w:r>
    </w:p>
    <w:p w14:paraId="52C3A82B" w14:textId="77777777" w:rsidR="00CF4E81" w:rsidRDefault="00CF4E81" w:rsidP="00885C08">
      <w:pPr>
        <w:autoSpaceDE w:val="0"/>
        <w:autoSpaceDN w:val="0"/>
        <w:adjustRightInd w:val="0"/>
        <w:spacing w:before="240" w:after="120"/>
        <w:rPr>
          <w:b/>
        </w:rPr>
      </w:pPr>
      <w:r w:rsidRPr="00CF4E81">
        <w:rPr>
          <w:b/>
        </w:rPr>
        <w:t>Description of Medical Condition(s)</w:t>
      </w:r>
    </w:p>
    <w:p w14:paraId="1805E3B8" w14:textId="727F9CC2" w:rsidR="00447BAB" w:rsidRDefault="00447BAB" w:rsidP="00447BAB">
      <w:r w:rsidRPr="00E55236">
        <w:t xml:space="preserve">Prevalence of rotator cuff abnormalities rises steeply with increasing age, from 9.7% in patients aged ≤20 years to 62% in patients aged ≥80 years. The incidence of rotator cuff tears ranges from 5% to 40%. However, since not all rotator cuff tears are symptomatic, the true incidence is difficult to determine. </w:t>
      </w:r>
      <w:r>
        <w:t>The ADAR, quoting Sher (1995)</w:t>
      </w:r>
      <w:r>
        <w:rPr>
          <w:rStyle w:val="FootnoteReference"/>
        </w:rPr>
        <w:footnoteReference w:id="5"/>
      </w:r>
      <w:r>
        <w:t>, reported that p</w:t>
      </w:r>
      <w:r w:rsidRPr="00E55236">
        <w:t>artial-thickness tears are two to three times more likely to occur, and are often much more painful, than full-thickness tears</w:t>
      </w:r>
      <w:r>
        <w:t>. The risk of tear progression correlates with percentage tendon thickness at presentation: progression has been observed in 55% of patients with ≥</w:t>
      </w:r>
      <w:proofErr w:type="gramStart"/>
      <w:r>
        <w:t>50%</w:t>
      </w:r>
      <w:proofErr w:type="gramEnd"/>
      <w:r>
        <w:t xml:space="preserve"> tearing of tendon thickness at presentation compared to 14% of patients with &lt;50% tearing</w:t>
      </w:r>
      <w:r>
        <w:rPr>
          <w:rStyle w:val="FootnoteReference"/>
        </w:rPr>
        <w:footnoteReference w:id="6"/>
      </w:r>
      <w:r>
        <w:t xml:space="preserve">. Progression of symptomatic PTRCTs to FTRCTs with non‐operative treatment </w:t>
      </w:r>
      <w:proofErr w:type="gramStart"/>
      <w:r>
        <w:t>has been seen</w:t>
      </w:r>
      <w:proofErr w:type="gramEnd"/>
      <w:r>
        <w:t xml:space="preserve"> in 18% of patients followed up for over 1 year, with a further 34% exhibiting increase in partial tear size</w:t>
      </w:r>
      <w:r w:rsidR="009A68BC">
        <w:t>.</w:t>
      </w:r>
      <w:r>
        <w:rPr>
          <w:rStyle w:val="FootnoteReference"/>
        </w:rPr>
        <w:footnoteReference w:id="7"/>
      </w:r>
    </w:p>
    <w:p w14:paraId="34FDC63D" w14:textId="77777777" w:rsidR="00447BAB" w:rsidRDefault="00447BAB" w:rsidP="00885C08">
      <w:pPr>
        <w:spacing w:before="240"/>
      </w:pPr>
      <w:r w:rsidRPr="00E55236">
        <w:t>The intended population is patients who have symptomatic rota</w:t>
      </w:r>
      <w:r>
        <w:t xml:space="preserve">tor cuff tears of the shoulder. </w:t>
      </w:r>
      <w:r w:rsidRPr="00E55236">
        <w:t>There are two subpopulations, grouped by</w:t>
      </w:r>
      <w:r>
        <w:t xml:space="preserve"> depth of the rotator cuff tear:</w:t>
      </w:r>
    </w:p>
    <w:p w14:paraId="06AAD513" w14:textId="77777777" w:rsidR="00447BAB" w:rsidRPr="00E55236" w:rsidRDefault="00447BAB" w:rsidP="00447BAB">
      <w:pPr>
        <w:pStyle w:val="ListParagraph"/>
        <w:numPr>
          <w:ilvl w:val="0"/>
          <w:numId w:val="28"/>
        </w:numPr>
      </w:pPr>
      <w:r w:rsidRPr="00CC38ED">
        <w:rPr>
          <w:bCs/>
        </w:rPr>
        <w:t>Subpopulation 1:</w:t>
      </w:r>
      <w:r w:rsidRPr="00E55236">
        <w:t xml:space="preserve"> patients with symptomatic </w:t>
      </w:r>
      <w:r>
        <w:t>partial-thickness rotator cuff tear (</w:t>
      </w:r>
      <w:r w:rsidRPr="00E55236">
        <w:t>PTRCT</w:t>
      </w:r>
      <w:r>
        <w:t>)</w:t>
      </w:r>
      <w:r w:rsidRPr="00E55236">
        <w:t xml:space="preserve"> who have failed at least three months of conservative (non-surgical) management and are considered eligible for (or</w:t>
      </w:r>
      <w:r>
        <w:t xml:space="preserve"> indicated for) surgical repair</w:t>
      </w:r>
    </w:p>
    <w:p w14:paraId="06194656" w14:textId="51194FFE" w:rsidR="0087276B" w:rsidRDefault="00447BAB" w:rsidP="0087276B">
      <w:pPr>
        <w:pStyle w:val="ListParagraph"/>
        <w:numPr>
          <w:ilvl w:val="0"/>
          <w:numId w:val="28"/>
        </w:numPr>
      </w:pPr>
      <w:r w:rsidRPr="00CC38ED">
        <w:rPr>
          <w:bCs/>
        </w:rPr>
        <w:t>Subpopulation 2:</w:t>
      </w:r>
      <w:r w:rsidRPr="00E55236">
        <w:t xml:space="preserve"> patients with </w:t>
      </w:r>
      <w:r>
        <w:t>symptomatic full-thickness rotator cuff tear (</w:t>
      </w:r>
      <w:r w:rsidRPr="00E55236">
        <w:t>FTRCT</w:t>
      </w:r>
      <w:r>
        <w:t>)</w:t>
      </w:r>
      <w:r w:rsidRPr="00E55236">
        <w:t xml:space="preserve"> who have failed at least three months of conservative (non-surgical) management and are considered eligible for (or indicated for) surgical repair.</w:t>
      </w:r>
    </w:p>
    <w:p w14:paraId="2642DA42" w14:textId="662CBD96" w:rsidR="004A7F5D" w:rsidRDefault="0087276B" w:rsidP="00885C08">
      <w:pPr>
        <w:spacing w:before="240"/>
      </w:pPr>
      <w:r w:rsidRPr="00704966">
        <w:t xml:space="preserve">The </w:t>
      </w:r>
      <w:r>
        <w:t xml:space="preserve">ADAR estimated </w:t>
      </w:r>
      <w:r w:rsidRPr="00704966">
        <w:t>prevalence of PTRCTS was 71% and FTRCTs was 29%</w:t>
      </w:r>
      <w:r>
        <w:t xml:space="preserve"> from Sher (1995). In the pre-MSAC response, the applicant provided Australian estimates of prevalence rates of PTRCT and FTRCT</w:t>
      </w:r>
      <w:r w:rsidR="007A30C9">
        <w:t xml:space="preserve"> (</w:t>
      </w:r>
      <w:r w:rsidR="00317054" w:rsidRPr="004D2A95">
        <w:rPr>
          <w:szCs w:val="24"/>
        </w:rPr>
        <w:fldChar w:fldCharType="begin"/>
      </w:r>
      <w:r w:rsidR="00317054" w:rsidRPr="004D2A95">
        <w:rPr>
          <w:szCs w:val="24"/>
        </w:rPr>
        <w:instrText xml:space="preserve"> REF _Ref49846763 \h </w:instrText>
      </w:r>
      <w:r w:rsidR="00317054" w:rsidRPr="004D2A95">
        <w:rPr>
          <w:szCs w:val="24"/>
        </w:rPr>
      </w:r>
      <w:r w:rsidR="004D2A95" w:rsidRPr="004D2A95">
        <w:rPr>
          <w:szCs w:val="24"/>
        </w:rPr>
        <w:instrText xml:space="preserve"> \* MERGEFORMAT </w:instrText>
      </w:r>
      <w:r w:rsidR="00317054" w:rsidRPr="004D2A95">
        <w:rPr>
          <w:szCs w:val="24"/>
        </w:rPr>
        <w:fldChar w:fldCharType="separate"/>
      </w:r>
      <w:r w:rsidR="00455942" w:rsidRPr="00455942">
        <w:rPr>
          <w:szCs w:val="24"/>
        </w:rPr>
        <w:t xml:space="preserve">Table </w:t>
      </w:r>
      <w:r w:rsidR="00455942" w:rsidRPr="00455942">
        <w:rPr>
          <w:noProof/>
          <w:szCs w:val="24"/>
        </w:rPr>
        <w:t>1</w:t>
      </w:r>
      <w:r w:rsidR="00317054" w:rsidRPr="004D2A95">
        <w:rPr>
          <w:szCs w:val="24"/>
        </w:rPr>
        <w:fldChar w:fldCharType="end"/>
      </w:r>
      <w:r w:rsidR="007A30C9">
        <w:t>).</w:t>
      </w:r>
    </w:p>
    <w:p w14:paraId="6A918BC8" w14:textId="5348713E" w:rsidR="0087276B" w:rsidRPr="00D32FC9" w:rsidRDefault="00317054" w:rsidP="00D32FC9">
      <w:pPr>
        <w:keepNext/>
        <w:keepLines/>
        <w:spacing w:before="240"/>
        <w:rPr>
          <w:rFonts w:ascii="Arial Narrow" w:hAnsi="Arial Narrow"/>
          <w:b/>
          <w:sz w:val="20"/>
        </w:rPr>
      </w:pPr>
      <w:bookmarkStart w:id="0" w:name="_Ref49846763"/>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1</w:t>
      </w:r>
      <w:r w:rsidR="00F62D1A" w:rsidRPr="00D32FC9">
        <w:rPr>
          <w:rFonts w:ascii="Arial Narrow" w:hAnsi="Arial Narrow"/>
          <w:b/>
          <w:sz w:val="20"/>
        </w:rPr>
        <w:fldChar w:fldCharType="end"/>
      </w:r>
      <w:bookmarkEnd w:id="0"/>
      <w:r w:rsidR="0087276B" w:rsidRPr="00D32FC9">
        <w:rPr>
          <w:rFonts w:ascii="Arial Narrow" w:hAnsi="Arial Narrow"/>
          <w:b/>
          <w:sz w:val="20"/>
        </w:rPr>
        <w:t xml:space="preserve">: Australian Prevalence rates of PTRCT and FTRCT </w:t>
      </w:r>
    </w:p>
    <w:tbl>
      <w:tblPr>
        <w:tblStyle w:val="CMATableTemplate1"/>
        <w:tblW w:w="5000" w:type="pct"/>
        <w:jc w:val="center"/>
        <w:tblCellMar>
          <w:left w:w="28" w:type="dxa"/>
          <w:right w:w="28" w:type="dxa"/>
        </w:tblCellMar>
        <w:tblLook w:val="04A0" w:firstRow="1" w:lastRow="0" w:firstColumn="1" w:lastColumn="0" w:noHBand="0" w:noVBand="1"/>
        <w:tblDescription w:val="Australian Prevalence rates of PTRCT and FTRCT "/>
      </w:tblPr>
      <w:tblGrid>
        <w:gridCol w:w="1744"/>
        <w:gridCol w:w="2164"/>
        <w:gridCol w:w="2175"/>
        <w:gridCol w:w="1471"/>
        <w:gridCol w:w="1462"/>
      </w:tblGrid>
      <w:tr w:rsidR="0087276B" w:rsidRPr="00EF3842" w14:paraId="1EB3C2E7" w14:textId="77777777" w:rsidTr="0087276B">
        <w:trPr>
          <w:tblHeader/>
          <w:jc w:val="center"/>
        </w:trPr>
        <w:tc>
          <w:tcPr>
            <w:tcW w:w="967" w:type="pct"/>
            <w:shd w:val="clear" w:color="auto" w:fill="F2F2F2"/>
          </w:tcPr>
          <w:p w14:paraId="6CAC77A2" w14:textId="77777777" w:rsidR="0087276B" w:rsidRPr="0087276B" w:rsidRDefault="0087276B" w:rsidP="00D32FC9">
            <w:pPr>
              <w:pStyle w:val="Tabletext"/>
              <w:keepNext/>
              <w:keepLines/>
              <w:widowControl w:val="0"/>
              <w:spacing w:before="0" w:after="0"/>
              <w:ind w:left="0"/>
              <w:rPr>
                <w:b/>
              </w:rPr>
            </w:pPr>
            <w:r w:rsidRPr="0087276B">
              <w:rPr>
                <w:b/>
              </w:rPr>
              <w:t>Reference</w:t>
            </w:r>
          </w:p>
        </w:tc>
        <w:tc>
          <w:tcPr>
            <w:tcW w:w="1200" w:type="pct"/>
            <w:shd w:val="clear" w:color="auto" w:fill="F2F2F2"/>
          </w:tcPr>
          <w:p w14:paraId="2F7664FC" w14:textId="77777777" w:rsidR="0087276B" w:rsidRPr="0087276B" w:rsidRDefault="0087276B" w:rsidP="00D32FC9">
            <w:pPr>
              <w:pStyle w:val="Tabletext"/>
              <w:keepNext/>
              <w:keepLines/>
              <w:widowControl w:val="0"/>
              <w:spacing w:before="0" w:after="0"/>
              <w:ind w:left="0"/>
              <w:rPr>
                <w:b/>
              </w:rPr>
            </w:pPr>
            <w:r w:rsidRPr="0087276B">
              <w:rPr>
                <w:b/>
              </w:rPr>
              <w:t>Setting (dates, location)</w:t>
            </w:r>
          </w:p>
        </w:tc>
        <w:tc>
          <w:tcPr>
            <w:tcW w:w="1206" w:type="pct"/>
            <w:shd w:val="clear" w:color="auto" w:fill="F2F2F2"/>
          </w:tcPr>
          <w:p w14:paraId="6C0CD702" w14:textId="77777777" w:rsidR="0087276B" w:rsidRPr="0087276B" w:rsidRDefault="0087276B" w:rsidP="00D32FC9">
            <w:pPr>
              <w:pStyle w:val="Tabletext"/>
              <w:keepNext/>
              <w:keepLines/>
              <w:widowControl w:val="0"/>
              <w:spacing w:before="0" w:after="0"/>
              <w:ind w:left="0"/>
              <w:rPr>
                <w:b/>
              </w:rPr>
            </w:pPr>
            <w:r w:rsidRPr="0087276B">
              <w:rPr>
                <w:b/>
              </w:rPr>
              <w:t>Rotator cuff surgery population</w:t>
            </w:r>
          </w:p>
        </w:tc>
        <w:tc>
          <w:tcPr>
            <w:tcW w:w="816" w:type="pct"/>
            <w:shd w:val="clear" w:color="auto" w:fill="F2F2F2"/>
          </w:tcPr>
          <w:p w14:paraId="43A16229" w14:textId="77777777" w:rsidR="0087276B" w:rsidRPr="0087276B" w:rsidRDefault="0087276B" w:rsidP="00D32FC9">
            <w:pPr>
              <w:pStyle w:val="Tabletext"/>
              <w:keepNext/>
              <w:keepLines/>
              <w:widowControl w:val="0"/>
              <w:spacing w:before="0" w:after="0"/>
              <w:ind w:left="0"/>
              <w:rPr>
                <w:b/>
              </w:rPr>
            </w:pPr>
            <w:r w:rsidRPr="0087276B">
              <w:rPr>
                <w:b/>
              </w:rPr>
              <w:t>PTRCT</w:t>
            </w:r>
          </w:p>
        </w:tc>
        <w:tc>
          <w:tcPr>
            <w:tcW w:w="811" w:type="pct"/>
            <w:shd w:val="clear" w:color="auto" w:fill="F2F2F2"/>
          </w:tcPr>
          <w:p w14:paraId="213F913E" w14:textId="77777777" w:rsidR="0087276B" w:rsidRPr="0087276B" w:rsidRDefault="0087276B" w:rsidP="00D32FC9">
            <w:pPr>
              <w:pStyle w:val="Tabletext"/>
              <w:keepNext/>
              <w:keepLines/>
              <w:widowControl w:val="0"/>
              <w:spacing w:before="0" w:after="0"/>
              <w:ind w:left="0"/>
              <w:rPr>
                <w:b/>
              </w:rPr>
            </w:pPr>
            <w:r w:rsidRPr="0087276B">
              <w:rPr>
                <w:b/>
              </w:rPr>
              <w:t>FTRCT</w:t>
            </w:r>
          </w:p>
        </w:tc>
      </w:tr>
      <w:tr w:rsidR="0087276B" w:rsidRPr="00EF3842" w14:paraId="21449F55" w14:textId="77777777" w:rsidTr="0087276B">
        <w:trPr>
          <w:tblHeader/>
          <w:jc w:val="center"/>
        </w:trPr>
        <w:tc>
          <w:tcPr>
            <w:tcW w:w="967" w:type="pct"/>
            <w:shd w:val="clear" w:color="auto" w:fill="auto"/>
          </w:tcPr>
          <w:p w14:paraId="7148E76A" w14:textId="77777777" w:rsidR="0087276B" w:rsidRPr="00EF3842" w:rsidRDefault="0087276B" w:rsidP="00885C08">
            <w:pPr>
              <w:pStyle w:val="Tabletext"/>
              <w:widowControl w:val="0"/>
              <w:spacing w:before="0" w:after="0"/>
              <w:ind w:left="0"/>
            </w:pPr>
            <w:r w:rsidRPr="00EF3842">
              <w:t>Yeo 2017</w:t>
            </w:r>
          </w:p>
        </w:tc>
        <w:tc>
          <w:tcPr>
            <w:tcW w:w="1200" w:type="pct"/>
            <w:shd w:val="clear" w:color="auto" w:fill="auto"/>
          </w:tcPr>
          <w:p w14:paraId="14E2C300" w14:textId="77777777" w:rsidR="0087276B" w:rsidRPr="00EF3842" w:rsidRDefault="0087276B" w:rsidP="00885C08">
            <w:pPr>
              <w:pStyle w:val="Tabletext"/>
              <w:widowControl w:val="0"/>
              <w:spacing w:before="0" w:after="0"/>
              <w:ind w:left="0"/>
            </w:pPr>
            <w:r w:rsidRPr="00EF3842">
              <w:t>Australia</w:t>
            </w:r>
          </w:p>
          <w:p w14:paraId="5A5F8348" w14:textId="77777777" w:rsidR="0087276B" w:rsidRPr="00EF3842" w:rsidRDefault="0087276B" w:rsidP="00885C08">
            <w:pPr>
              <w:pStyle w:val="Tabletext"/>
              <w:widowControl w:val="0"/>
              <w:spacing w:before="0" w:after="0"/>
              <w:ind w:left="0"/>
            </w:pPr>
            <w:r w:rsidRPr="00EF3842">
              <w:t>Aug 2005- Dec 2012</w:t>
            </w:r>
          </w:p>
          <w:p w14:paraId="1D3C4869" w14:textId="77777777" w:rsidR="0087276B" w:rsidRPr="00EF3842" w:rsidRDefault="0087276B" w:rsidP="00885C08">
            <w:pPr>
              <w:pStyle w:val="Tabletext"/>
              <w:widowControl w:val="0"/>
              <w:spacing w:before="0" w:after="0"/>
              <w:ind w:left="0"/>
            </w:pPr>
            <w:r w:rsidRPr="00EF3842">
              <w:t>Orthopaedic Research Institute, St. George Hospital Campus, NSW</w:t>
            </w:r>
          </w:p>
        </w:tc>
        <w:tc>
          <w:tcPr>
            <w:tcW w:w="1206" w:type="pct"/>
            <w:shd w:val="clear" w:color="auto" w:fill="auto"/>
          </w:tcPr>
          <w:p w14:paraId="2CB2A329" w14:textId="77777777" w:rsidR="0087276B" w:rsidRPr="00EF3842" w:rsidRDefault="0087276B" w:rsidP="00885C08">
            <w:pPr>
              <w:pStyle w:val="Tabletext"/>
              <w:widowControl w:val="0"/>
              <w:spacing w:before="0" w:after="0"/>
              <w:ind w:left="0"/>
            </w:pPr>
            <w:r w:rsidRPr="00EF3842">
              <w:t>N=1,624</w:t>
            </w:r>
          </w:p>
          <w:p w14:paraId="5C2A2C84" w14:textId="77777777" w:rsidR="0087276B" w:rsidRPr="00EF3842" w:rsidRDefault="0087276B" w:rsidP="00885C08">
            <w:pPr>
              <w:pStyle w:val="Tabletext"/>
              <w:widowControl w:val="0"/>
              <w:spacing w:before="0" w:after="0"/>
              <w:ind w:left="0"/>
            </w:pPr>
            <w:r w:rsidRPr="00EF3842">
              <w:t xml:space="preserve">Retrospective cohort study of patients who underwent arthroscopic rotator cuff repair </w:t>
            </w:r>
          </w:p>
        </w:tc>
        <w:tc>
          <w:tcPr>
            <w:tcW w:w="816" w:type="pct"/>
            <w:shd w:val="clear" w:color="auto" w:fill="auto"/>
          </w:tcPr>
          <w:p w14:paraId="58FAAEE0" w14:textId="77777777" w:rsidR="0087276B" w:rsidRPr="00EF3842" w:rsidRDefault="0087276B" w:rsidP="00885C08">
            <w:pPr>
              <w:pStyle w:val="Tabletext"/>
              <w:widowControl w:val="0"/>
              <w:spacing w:before="0" w:after="0"/>
              <w:ind w:left="0"/>
            </w:pPr>
            <w:r w:rsidRPr="00EF3842">
              <w:t>626 (39%)</w:t>
            </w:r>
          </w:p>
        </w:tc>
        <w:tc>
          <w:tcPr>
            <w:tcW w:w="811" w:type="pct"/>
            <w:shd w:val="clear" w:color="auto" w:fill="auto"/>
          </w:tcPr>
          <w:p w14:paraId="2413A8EF" w14:textId="77777777" w:rsidR="0087276B" w:rsidRPr="00EF3842" w:rsidRDefault="0087276B" w:rsidP="00885C08">
            <w:pPr>
              <w:pStyle w:val="Tabletext"/>
              <w:widowControl w:val="0"/>
              <w:spacing w:before="0" w:after="0"/>
              <w:ind w:left="0"/>
            </w:pPr>
            <w:r w:rsidRPr="00EF3842">
              <w:t>998 (61%)</w:t>
            </w:r>
          </w:p>
        </w:tc>
      </w:tr>
      <w:tr w:rsidR="0087276B" w:rsidRPr="00EF3842" w14:paraId="1A0E2EC6" w14:textId="77777777" w:rsidTr="0087276B">
        <w:trPr>
          <w:tblHeader/>
          <w:jc w:val="center"/>
        </w:trPr>
        <w:tc>
          <w:tcPr>
            <w:tcW w:w="967" w:type="pct"/>
            <w:shd w:val="clear" w:color="auto" w:fill="auto"/>
          </w:tcPr>
          <w:p w14:paraId="60A156CB" w14:textId="77777777" w:rsidR="0087276B" w:rsidRPr="00EF3842" w:rsidRDefault="0087276B" w:rsidP="00885C08">
            <w:pPr>
              <w:pStyle w:val="Tabletext"/>
              <w:widowControl w:val="0"/>
              <w:spacing w:before="0" w:after="0"/>
              <w:ind w:left="0"/>
            </w:pPr>
            <w:r w:rsidRPr="00EF3842">
              <w:t>Elkins 2019</w:t>
            </w:r>
          </w:p>
        </w:tc>
        <w:tc>
          <w:tcPr>
            <w:tcW w:w="1200" w:type="pct"/>
            <w:shd w:val="clear" w:color="auto" w:fill="auto"/>
          </w:tcPr>
          <w:p w14:paraId="288B9E90" w14:textId="77777777" w:rsidR="0087276B" w:rsidRPr="00EF3842" w:rsidRDefault="0087276B" w:rsidP="00885C08">
            <w:pPr>
              <w:pStyle w:val="Tabletext"/>
              <w:widowControl w:val="0"/>
              <w:spacing w:before="0" w:after="0"/>
              <w:ind w:left="0"/>
            </w:pPr>
            <w:r w:rsidRPr="00EF3842">
              <w:t>Australia</w:t>
            </w:r>
          </w:p>
          <w:p w14:paraId="0F4EB49C" w14:textId="77777777" w:rsidR="0087276B" w:rsidRPr="00EF3842" w:rsidRDefault="0087276B" w:rsidP="00885C08">
            <w:pPr>
              <w:pStyle w:val="Tabletext"/>
              <w:widowControl w:val="0"/>
              <w:spacing w:before="0" w:after="0"/>
              <w:ind w:left="0"/>
            </w:pPr>
            <w:r w:rsidRPr="00EF3842">
              <w:t>May 2005- May 2016</w:t>
            </w:r>
          </w:p>
          <w:p w14:paraId="59738449" w14:textId="77777777" w:rsidR="0087276B" w:rsidRPr="00EF3842" w:rsidRDefault="0087276B" w:rsidP="00885C08">
            <w:pPr>
              <w:pStyle w:val="Tabletext"/>
              <w:widowControl w:val="0"/>
              <w:spacing w:before="0" w:after="0"/>
              <w:ind w:left="0"/>
            </w:pPr>
            <w:r w:rsidRPr="00EF3842">
              <w:t>Orthopaedic Research Institute, St. George Hospital Campus, NSW</w:t>
            </w:r>
          </w:p>
        </w:tc>
        <w:tc>
          <w:tcPr>
            <w:tcW w:w="1206" w:type="pct"/>
            <w:shd w:val="clear" w:color="auto" w:fill="auto"/>
          </w:tcPr>
          <w:p w14:paraId="3FA6C687" w14:textId="77777777" w:rsidR="0087276B" w:rsidRPr="00EF3842" w:rsidRDefault="0087276B" w:rsidP="00885C08">
            <w:pPr>
              <w:pStyle w:val="Tabletext"/>
              <w:widowControl w:val="0"/>
              <w:spacing w:before="0" w:after="0"/>
              <w:ind w:left="0"/>
            </w:pPr>
            <w:r w:rsidRPr="00EF3842">
              <w:t>N=1,000</w:t>
            </w:r>
          </w:p>
          <w:p w14:paraId="7C1AF2FE" w14:textId="77777777" w:rsidR="0087276B" w:rsidRPr="00EF3842" w:rsidRDefault="0087276B" w:rsidP="00885C08">
            <w:pPr>
              <w:pStyle w:val="Tabletext"/>
              <w:widowControl w:val="0"/>
              <w:spacing w:before="0" w:after="0"/>
              <w:ind w:left="0"/>
            </w:pPr>
            <w:r w:rsidRPr="00EF3842">
              <w:rPr>
                <w:rFonts w:eastAsiaTheme="minorHAnsi" w:cs="AdvPA183"/>
              </w:rPr>
              <w:t>Retrospective analysis of prospectively collected data in patients undergoing arthroscopic rotator cuff repair by the under</w:t>
            </w:r>
            <w:r>
              <w:rPr>
                <w:rFonts w:eastAsiaTheme="minorHAnsi" w:cs="AdvPA183"/>
              </w:rPr>
              <w:t>-</w:t>
            </w:r>
            <w:r w:rsidRPr="00EF3842">
              <w:rPr>
                <w:rFonts w:eastAsiaTheme="minorHAnsi" w:cs="AdvPA183"/>
              </w:rPr>
              <w:t>surface repair technique</w:t>
            </w:r>
          </w:p>
        </w:tc>
        <w:tc>
          <w:tcPr>
            <w:tcW w:w="816" w:type="pct"/>
            <w:shd w:val="clear" w:color="auto" w:fill="auto"/>
          </w:tcPr>
          <w:p w14:paraId="30E90531" w14:textId="77777777" w:rsidR="0087276B" w:rsidRPr="00EF3842" w:rsidRDefault="0087276B" w:rsidP="00885C08">
            <w:pPr>
              <w:pStyle w:val="Tabletext"/>
              <w:widowControl w:val="0"/>
              <w:spacing w:before="0" w:after="0"/>
              <w:ind w:left="0"/>
            </w:pPr>
            <w:r w:rsidRPr="00EF3842">
              <w:t>478 (48%)</w:t>
            </w:r>
          </w:p>
        </w:tc>
        <w:tc>
          <w:tcPr>
            <w:tcW w:w="811" w:type="pct"/>
            <w:shd w:val="clear" w:color="auto" w:fill="auto"/>
          </w:tcPr>
          <w:p w14:paraId="7678F9A5" w14:textId="77777777" w:rsidR="0087276B" w:rsidRPr="00EF3842" w:rsidRDefault="0087276B" w:rsidP="00885C08">
            <w:pPr>
              <w:pStyle w:val="Tabletext"/>
              <w:widowControl w:val="0"/>
              <w:spacing w:before="0" w:after="0"/>
              <w:ind w:left="0"/>
            </w:pPr>
            <w:r w:rsidRPr="00EF3842">
              <w:t>522 (52%)</w:t>
            </w:r>
          </w:p>
        </w:tc>
      </w:tr>
      <w:tr w:rsidR="0087276B" w:rsidRPr="00EF3842" w14:paraId="57906F8A" w14:textId="77777777" w:rsidTr="0087276B">
        <w:trPr>
          <w:tblHeader/>
          <w:jc w:val="center"/>
        </w:trPr>
        <w:tc>
          <w:tcPr>
            <w:tcW w:w="967" w:type="pct"/>
            <w:shd w:val="clear" w:color="auto" w:fill="auto"/>
          </w:tcPr>
          <w:p w14:paraId="2D2510E9" w14:textId="77777777" w:rsidR="0087276B" w:rsidRPr="00EF3842" w:rsidRDefault="0087276B" w:rsidP="00885C08">
            <w:pPr>
              <w:pStyle w:val="Tabletext"/>
              <w:widowControl w:val="0"/>
              <w:spacing w:before="0" w:after="0"/>
              <w:ind w:left="0"/>
            </w:pPr>
            <w:r w:rsidRPr="00EF3842">
              <w:t>McColl 2019</w:t>
            </w:r>
          </w:p>
        </w:tc>
        <w:tc>
          <w:tcPr>
            <w:tcW w:w="1200" w:type="pct"/>
            <w:shd w:val="clear" w:color="auto" w:fill="auto"/>
          </w:tcPr>
          <w:p w14:paraId="02069037" w14:textId="77777777" w:rsidR="0087276B" w:rsidRPr="00EF3842" w:rsidRDefault="0087276B" w:rsidP="00885C08">
            <w:pPr>
              <w:pStyle w:val="Tabletext"/>
              <w:widowControl w:val="0"/>
              <w:spacing w:before="0" w:after="0"/>
              <w:ind w:left="0"/>
            </w:pPr>
            <w:r w:rsidRPr="00EF3842">
              <w:t>Australia</w:t>
            </w:r>
          </w:p>
          <w:p w14:paraId="50D75217" w14:textId="77777777" w:rsidR="0087276B" w:rsidRPr="00EF3842" w:rsidRDefault="0087276B" w:rsidP="00885C08">
            <w:pPr>
              <w:pStyle w:val="Tabletext"/>
              <w:widowControl w:val="0"/>
              <w:spacing w:before="0" w:after="0"/>
              <w:ind w:left="0"/>
            </w:pPr>
            <w:r w:rsidRPr="00EF3842">
              <w:t>Oct 2005- Oct 2013</w:t>
            </w:r>
          </w:p>
          <w:p w14:paraId="6F751A77" w14:textId="77777777" w:rsidR="0087276B" w:rsidRPr="00EF3842" w:rsidRDefault="0087276B" w:rsidP="00885C08">
            <w:pPr>
              <w:pStyle w:val="Tabletext"/>
              <w:widowControl w:val="0"/>
              <w:spacing w:before="0" w:after="0"/>
              <w:ind w:left="0"/>
            </w:pPr>
            <w:r w:rsidRPr="00EF3842">
              <w:t>Orthopaedic Research Institute, St. George Hospital Campus, NSW</w:t>
            </w:r>
          </w:p>
        </w:tc>
        <w:tc>
          <w:tcPr>
            <w:tcW w:w="1206" w:type="pct"/>
            <w:shd w:val="clear" w:color="auto" w:fill="auto"/>
          </w:tcPr>
          <w:p w14:paraId="7A853D77" w14:textId="77777777" w:rsidR="0087276B" w:rsidRPr="00EF3842" w:rsidRDefault="0087276B" w:rsidP="00885C08">
            <w:pPr>
              <w:pStyle w:val="Tabletext"/>
              <w:widowControl w:val="0"/>
              <w:spacing w:before="0" w:after="0"/>
              <w:ind w:left="0"/>
            </w:pPr>
            <w:r w:rsidRPr="00EF3842">
              <w:t>N=</w:t>
            </w:r>
            <w:r>
              <w:t>1471 (</w:t>
            </w:r>
            <w:r w:rsidRPr="00EF3842">
              <w:t>1,600*</w:t>
            </w:r>
            <w:r>
              <w:t>)</w:t>
            </w:r>
          </w:p>
          <w:p w14:paraId="6493F058" w14:textId="77777777" w:rsidR="0087276B" w:rsidRPr="00EF3842" w:rsidRDefault="0087276B" w:rsidP="00885C08">
            <w:pPr>
              <w:pStyle w:val="Tabletext"/>
              <w:widowControl w:val="0"/>
              <w:spacing w:before="0" w:after="0"/>
              <w:ind w:left="0"/>
            </w:pPr>
            <w:r w:rsidRPr="00EF3842">
              <w:t>Retrospective cohort study of patients who underwent arthroscopic rotator cuff repair</w:t>
            </w:r>
          </w:p>
        </w:tc>
        <w:tc>
          <w:tcPr>
            <w:tcW w:w="816" w:type="pct"/>
            <w:shd w:val="clear" w:color="auto" w:fill="auto"/>
          </w:tcPr>
          <w:p w14:paraId="1A785263" w14:textId="77777777" w:rsidR="0087276B" w:rsidRPr="00EF3842" w:rsidRDefault="0087276B" w:rsidP="00885C08">
            <w:pPr>
              <w:pStyle w:val="Tabletext"/>
              <w:widowControl w:val="0"/>
              <w:spacing w:before="0" w:after="0"/>
              <w:ind w:left="0"/>
            </w:pPr>
            <w:r w:rsidRPr="00EF3842">
              <w:t>660 (45%)</w:t>
            </w:r>
          </w:p>
        </w:tc>
        <w:tc>
          <w:tcPr>
            <w:tcW w:w="811" w:type="pct"/>
            <w:shd w:val="clear" w:color="auto" w:fill="auto"/>
          </w:tcPr>
          <w:p w14:paraId="14FD6175" w14:textId="77777777" w:rsidR="0087276B" w:rsidRPr="00EF3842" w:rsidRDefault="0087276B" w:rsidP="00885C08">
            <w:pPr>
              <w:pStyle w:val="Tabletext"/>
              <w:widowControl w:val="0"/>
              <w:spacing w:before="0" w:after="0"/>
              <w:ind w:left="0"/>
            </w:pPr>
            <w:r w:rsidRPr="00EF3842">
              <w:t>811 (55%)</w:t>
            </w:r>
          </w:p>
        </w:tc>
      </w:tr>
      <w:tr w:rsidR="0087276B" w:rsidRPr="00EF3842" w14:paraId="6358CB55" w14:textId="77777777" w:rsidTr="0087276B">
        <w:trPr>
          <w:tblHeader/>
          <w:jc w:val="center"/>
        </w:trPr>
        <w:tc>
          <w:tcPr>
            <w:tcW w:w="967" w:type="pct"/>
            <w:shd w:val="clear" w:color="auto" w:fill="auto"/>
          </w:tcPr>
          <w:p w14:paraId="5B13D726" w14:textId="77777777" w:rsidR="0087276B" w:rsidRPr="00EF3842" w:rsidRDefault="0087276B" w:rsidP="00885C08">
            <w:pPr>
              <w:pStyle w:val="Tabletext"/>
              <w:widowControl w:val="0"/>
              <w:spacing w:before="0" w:after="0"/>
              <w:ind w:left="0"/>
            </w:pPr>
            <w:proofErr w:type="spellStart"/>
            <w:r w:rsidRPr="00EF3842">
              <w:t>Klironomos</w:t>
            </w:r>
            <w:proofErr w:type="spellEnd"/>
            <w:r w:rsidRPr="00EF3842">
              <w:t xml:space="preserve"> 2020</w:t>
            </w:r>
          </w:p>
        </w:tc>
        <w:tc>
          <w:tcPr>
            <w:tcW w:w="1200" w:type="pct"/>
            <w:shd w:val="clear" w:color="auto" w:fill="auto"/>
          </w:tcPr>
          <w:p w14:paraId="2331BABA" w14:textId="77777777" w:rsidR="0087276B" w:rsidRPr="00EF3842" w:rsidRDefault="0087276B" w:rsidP="00885C08">
            <w:pPr>
              <w:pStyle w:val="Tabletext"/>
              <w:widowControl w:val="0"/>
              <w:spacing w:before="0" w:after="0"/>
              <w:ind w:left="0"/>
            </w:pPr>
            <w:r w:rsidRPr="00EF3842">
              <w:t>Australia</w:t>
            </w:r>
          </w:p>
          <w:p w14:paraId="45D536F4" w14:textId="77777777" w:rsidR="0087276B" w:rsidRPr="00EF3842" w:rsidRDefault="0087276B" w:rsidP="00885C08">
            <w:pPr>
              <w:pStyle w:val="Tabletext"/>
              <w:widowControl w:val="0"/>
              <w:spacing w:before="0" w:after="0"/>
              <w:ind w:left="0"/>
            </w:pPr>
            <w:r w:rsidRPr="00EF3842">
              <w:t>Feb 2004 – Dec 2015</w:t>
            </w:r>
          </w:p>
          <w:p w14:paraId="1FAA1020" w14:textId="77777777" w:rsidR="0087276B" w:rsidRPr="00EF3842" w:rsidRDefault="0087276B" w:rsidP="00885C08">
            <w:pPr>
              <w:pStyle w:val="Tabletext"/>
              <w:widowControl w:val="0"/>
              <w:spacing w:before="0" w:after="0"/>
              <w:ind w:left="0"/>
            </w:pPr>
            <w:r w:rsidRPr="00EF3842">
              <w:t>Orthopaedic Research Institute, St. George Hospital Campus, NSW</w:t>
            </w:r>
          </w:p>
        </w:tc>
        <w:tc>
          <w:tcPr>
            <w:tcW w:w="1206" w:type="pct"/>
            <w:shd w:val="clear" w:color="auto" w:fill="auto"/>
          </w:tcPr>
          <w:p w14:paraId="5A395B2A" w14:textId="77777777" w:rsidR="0087276B" w:rsidRPr="00EF3842" w:rsidRDefault="0087276B" w:rsidP="00885C08">
            <w:pPr>
              <w:pStyle w:val="Tabletext"/>
              <w:widowControl w:val="0"/>
              <w:spacing w:before="0" w:after="0"/>
              <w:ind w:left="0"/>
            </w:pPr>
            <w:r w:rsidRPr="00EF3842">
              <w:t>N=1,747</w:t>
            </w:r>
          </w:p>
          <w:p w14:paraId="656B354B" w14:textId="77777777" w:rsidR="0087276B" w:rsidRPr="00EF3842" w:rsidRDefault="0087276B" w:rsidP="00885C08">
            <w:pPr>
              <w:pStyle w:val="Tabletext"/>
              <w:widowControl w:val="0"/>
              <w:spacing w:before="0" w:after="0"/>
              <w:ind w:left="0"/>
            </w:pPr>
            <w:r w:rsidRPr="00EF3842">
              <w:t>Retrospective cohort study of patients who was diagnosed with rotator cuff tear</w:t>
            </w:r>
          </w:p>
        </w:tc>
        <w:tc>
          <w:tcPr>
            <w:tcW w:w="816" w:type="pct"/>
            <w:shd w:val="clear" w:color="auto" w:fill="auto"/>
          </w:tcPr>
          <w:p w14:paraId="5CE872AF" w14:textId="77777777" w:rsidR="0087276B" w:rsidRPr="00EF3842" w:rsidRDefault="0087276B" w:rsidP="00885C08">
            <w:pPr>
              <w:pStyle w:val="Tabletext"/>
              <w:widowControl w:val="0"/>
              <w:spacing w:before="0" w:after="0"/>
              <w:ind w:left="0"/>
            </w:pPr>
            <w:r w:rsidRPr="00EF3842">
              <w:t>721 (41%)</w:t>
            </w:r>
          </w:p>
        </w:tc>
        <w:tc>
          <w:tcPr>
            <w:tcW w:w="811" w:type="pct"/>
            <w:shd w:val="clear" w:color="auto" w:fill="auto"/>
          </w:tcPr>
          <w:p w14:paraId="5C8487C0" w14:textId="77777777" w:rsidR="0087276B" w:rsidRPr="00EF3842" w:rsidRDefault="0087276B" w:rsidP="00885C08">
            <w:pPr>
              <w:pStyle w:val="Tabletext"/>
              <w:widowControl w:val="0"/>
              <w:spacing w:before="0" w:after="0"/>
              <w:ind w:left="0"/>
            </w:pPr>
            <w:r w:rsidRPr="00EF3842">
              <w:t>1,026 (59%)</w:t>
            </w:r>
          </w:p>
        </w:tc>
      </w:tr>
    </w:tbl>
    <w:p w14:paraId="607D5C03" w14:textId="77777777" w:rsidR="0087276B" w:rsidRPr="0087276B" w:rsidRDefault="0087276B" w:rsidP="0087276B">
      <w:pPr>
        <w:jc w:val="both"/>
        <w:rPr>
          <w:rFonts w:ascii="Arial Narrow" w:hAnsi="Arial Narrow"/>
          <w:sz w:val="18"/>
          <w:szCs w:val="16"/>
        </w:rPr>
      </w:pPr>
      <w:r w:rsidRPr="0087276B">
        <w:rPr>
          <w:rFonts w:ascii="Arial Narrow" w:hAnsi="Arial Narrow"/>
          <w:sz w:val="18"/>
          <w:szCs w:val="16"/>
        </w:rPr>
        <w:t>Source: Table 1, p6 of applicant pre-MSAC response</w:t>
      </w:r>
    </w:p>
    <w:p w14:paraId="5BE87128" w14:textId="50CCAA17" w:rsidR="00447BAB" w:rsidRPr="00885C08" w:rsidRDefault="0087276B" w:rsidP="00885C08">
      <w:pPr>
        <w:jc w:val="both"/>
        <w:rPr>
          <w:rFonts w:ascii="Arial Narrow" w:hAnsi="Arial Narrow"/>
          <w:sz w:val="18"/>
          <w:szCs w:val="16"/>
        </w:rPr>
      </w:pPr>
      <w:r w:rsidRPr="0087276B">
        <w:rPr>
          <w:rFonts w:ascii="Arial Narrow" w:hAnsi="Arial Narrow"/>
          <w:sz w:val="18"/>
          <w:szCs w:val="16"/>
        </w:rPr>
        <w:t xml:space="preserve">N, number of patients. Notes: * 129 (8%) of patients, </w:t>
      </w:r>
      <w:r>
        <w:rPr>
          <w:rFonts w:ascii="Arial Narrow" w:hAnsi="Arial Narrow"/>
          <w:sz w:val="18"/>
          <w:szCs w:val="16"/>
        </w:rPr>
        <w:t>tear thickness was not recorded</w:t>
      </w:r>
    </w:p>
    <w:p w14:paraId="7F49F939" w14:textId="77777777" w:rsidR="00447BAB" w:rsidRDefault="00447BAB" w:rsidP="00885C08">
      <w:pPr>
        <w:autoSpaceDE w:val="0"/>
        <w:autoSpaceDN w:val="0"/>
        <w:adjustRightInd w:val="0"/>
        <w:spacing w:before="240" w:after="120"/>
        <w:rPr>
          <w:b/>
        </w:rPr>
      </w:pPr>
      <w:r>
        <w:rPr>
          <w:b/>
        </w:rPr>
        <w:t>Place in clinical management</w:t>
      </w:r>
    </w:p>
    <w:p w14:paraId="78F56490" w14:textId="2B14278C" w:rsidR="00447BAB" w:rsidRDefault="00317054" w:rsidP="00885C08">
      <w:pPr>
        <w:keepNext/>
      </w:pPr>
      <w:r>
        <w:t xml:space="preserve">The </w:t>
      </w:r>
      <w:proofErr w:type="gramStart"/>
      <w:r>
        <w:t>a</w:t>
      </w:r>
      <w:r w:rsidR="00447BAB" w:rsidRPr="00695F36">
        <w:t>pplicant’s</w:t>
      </w:r>
      <w:proofErr w:type="gramEnd"/>
      <w:r w:rsidR="00447BAB" w:rsidRPr="00695F36">
        <w:t xml:space="preserve"> current and proposed clinical management algorithms</w:t>
      </w:r>
      <w:r w:rsidR="00447BAB">
        <w:t xml:space="preserve"> (</w:t>
      </w:r>
      <w:r w:rsidRPr="004D2A95">
        <w:rPr>
          <w:szCs w:val="24"/>
        </w:rPr>
        <w:fldChar w:fldCharType="begin"/>
      </w:r>
      <w:r w:rsidRPr="004D2A95">
        <w:rPr>
          <w:szCs w:val="24"/>
        </w:rPr>
        <w:instrText xml:space="preserve"> REF _Ref38025094 \h </w:instrText>
      </w:r>
      <w:r w:rsidRPr="004D2A95">
        <w:rPr>
          <w:szCs w:val="24"/>
        </w:rPr>
      </w:r>
      <w:r w:rsidR="004D2A95" w:rsidRPr="004D2A95">
        <w:rPr>
          <w:szCs w:val="24"/>
        </w:rPr>
        <w:instrText xml:space="preserve"> \* MERGEFORMAT </w:instrText>
      </w:r>
      <w:r w:rsidRPr="004D2A95">
        <w:rPr>
          <w:szCs w:val="24"/>
        </w:rPr>
        <w:fldChar w:fldCharType="separate"/>
      </w:r>
      <w:r w:rsidR="00455942" w:rsidRPr="00455942">
        <w:rPr>
          <w:szCs w:val="24"/>
        </w:rPr>
        <w:t xml:space="preserve">Figure </w:t>
      </w:r>
      <w:r w:rsidR="00455942" w:rsidRPr="00455942">
        <w:rPr>
          <w:noProof/>
          <w:szCs w:val="24"/>
        </w:rPr>
        <w:t>1</w:t>
      </w:r>
      <w:r w:rsidRPr="004D2A95">
        <w:rPr>
          <w:szCs w:val="24"/>
        </w:rPr>
        <w:fldChar w:fldCharType="end"/>
      </w:r>
      <w:r w:rsidR="00447BAB">
        <w:t>)</w:t>
      </w:r>
      <w:r w:rsidR="00447BAB" w:rsidRPr="00695F36">
        <w:t xml:space="preserve"> are based on consultation with experts as there are no Australian-specific guidelines</w:t>
      </w:r>
      <w:r w:rsidR="00447BAB">
        <w:t xml:space="preserve">. </w:t>
      </w:r>
      <w:r w:rsidR="00447BAB" w:rsidRPr="00695F36">
        <w:t>The treatment algorithm proposes that REGENETEN is an alternative to surgical repair for patients with PTRCTs and in addition to surgical repair for patients with FTRCTs.</w:t>
      </w:r>
    </w:p>
    <w:p w14:paraId="791FD40E" w14:textId="77777777" w:rsidR="00447BAB" w:rsidRDefault="00447BAB" w:rsidP="00885C08">
      <w:pPr>
        <w:spacing w:before="240"/>
      </w:pPr>
      <w:r>
        <w:t>The Commentary noted there were some minor differences regarding the removal of footnotes in the ADARs algorithm compared with the Ratified PICO confirmation’s algorithm, which noted:</w:t>
      </w:r>
    </w:p>
    <w:p w14:paraId="55172514" w14:textId="2A6462BC" w:rsidR="00447BAB" w:rsidRDefault="00447BAB" w:rsidP="00447BAB">
      <w:pPr>
        <w:pStyle w:val="ListParagraph"/>
        <w:numPr>
          <w:ilvl w:val="0"/>
          <w:numId w:val="29"/>
        </w:numPr>
      </w:pPr>
      <w:proofErr w:type="gramStart"/>
      <w:r>
        <w:t>one</w:t>
      </w:r>
      <w:proofErr w:type="gramEnd"/>
      <w:r>
        <w:t xml:space="preserve"> patient in </w:t>
      </w:r>
      <w:proofErr w:type="spellStart"/>
      <w:r>
        <w:t>Bokor</w:t>
      </w:r>
      <w:proofErr w:type="spellEnd"/>
      <w:r>
        <w:t xml:space="preserve"> (2015) received REGENETEN following a take-down repair of PTRCT. The Commentary stated that this is not consistent with the application’s claim that REGENETEN will replace surgical repair of PTRCTs. In the pre-ESC response, the applicant recalled PASC accepted that the </w:t>
      </w:r>
      <w:proofErr w:type="spellStart"/>
      <w:r w:rsidRPr="009108CC">
        <w:t>Bokor</w:t>
      </w:r>
      <w:proofErr w:type="spellEnd"/>
      <w:r w:rsidRPr="009108CC">
        <w:t xml:space="preserve"> 2015 study was an early feasibility study investigating use of REGENETEN in patients with FTRCTs (</w:t>
      </w:r>
      <w:r w:rsidRPr="009108CC">
        <w:rPr>
          <w:i/>
        </w:rPr>
        <w:t>not PTRCTs</w:t>
      </w:r>
      <w:r w:rsidRPr="009108CC">
        <w:t xml:space="preserve">) and the one patient mentioned in the Commentary had a high-grade PT </w:t>
      </w:r>
      <w:proofErr w:type="gramStart"/>
      <w:r w:rsidRPr="009108CC">
        <w:t>tear which</w:t>
      </w:r>
      <w:proofErr w:type="gramEnd"/>
      <w:r w:rsidRPr="009108CC">
        <w:t xml:space="preserve"> was converted to FTRCT before repair with REGENETEN following the treatment algorithm of FTRCTs. Thus, the </w:t>
      </w:r>
      <w:r>
        <w:t xml:space="preserve">applicant considered that the </w:t>
      </w:r>
      <w:r w:rsidRPr="009108CC">
        <w:t xml:space="preserve">surgical technique used in this study/patient does not represent the management algorithm currently </w:t>
      </w:r>
      <w:proofErr w:type="gramStart"/>
      <w:r w:rsidRPr="009108CC">
        <w:t>being used</w:t>
      </w:r>
      <w:proofErr w:type="gramEnd"/>
      <w:r w:rsidRPr="009108CC">
        <w:t xml:space="preserve"> in patients with PTRCTs. </w:t>
      </w:r>
      <w:r>
        <w:t xml:space="preserve">Furthermore, the </w:t>
      </w:r>
      <w:r w:rsidR="00B524D4">
        <w:t xml:space="preserve">applicant considered </w:t>
      </w:r>
      <w:r>
        <w:t xml:space="preserve">use of REGENETEN as an alternative treatment option to standard surgical repair in symptomatic PTRCTs (subpopulation 1) </w:t>
      </w:r>
      <w:r w:rsidRPr="009108CC">
        <w:t xml:space="preserve">is supported by the body of evidence provided in the ADAR and by the use of REGENETEN in the </w:t>
      </w:r>
      <w:r w:rsidR="006F0205" w:rsidRPr="006F0205">
        <w:rPr>
          <w:b/>
        </w:rPr>
        <w:t>redacted</w:t>
      </w:r>
      <w:r w:rsidR="006F0205" w:rsidRPr="009108CC">
        <w:t xml:space="preserve"> </w:t>
      </w:r>
      <w:r w:rsidRPr="009108CC">
        <w:t>patients to date in the cur</w:t>
      </w:r>
      <w:r>
        <w:t>rent Australian TGA SAS program</w:t>
      </w:r>
    </w:p>
    <w:p w14:paraId="73F6642D" w14:textId="77777777" w:rsidR="00447BAB" w:rsidRDefault="00447BAB" w:rsidP="00447BAB">
      <w:pPr>
        <w:pStyle w:val="ListParagraph"/>
        <w:numPr>
          <w:ilvl w:val="0"/>
          <w:numId w:val="29"/>
        </w:numPr>
      </w:pPr>
      <w:r>
        <w:t xml:space="preserve">Two patients in Thon (2019) with FTRCTs experienced clinical failure. One of these patients received revision surgery. This is not considered in the ADARs economic </w:t>
      </w:r>
      <w:proofErr w:type="gramStart"/>
      <w:r>
        <w:t>model which</w:t>
      </w:r>
      <w:proofErr w:type="gramEnd"/>
      <w:r>
        <w:t xml:space="preserve"> assumed that revision surgery to be equal to the re-tear rate.</w:t>
      </w:r>
    </w:p>
    <w:p w14:paraId="4E6E1279" w14:textId="2FD4E7B6" w:rsidR="00447BAB" w:rsidRPr="00D32FC9" w:rsidRDefault="00317054" w:rsidP="00D32FC9">
      <w:pPr>
        <w:keepNext/>
        <w:keepLines/>
        <w:spacing w:before="240"/>
        <w:rPr>
          <w:rFonts w:ascii="Arial Narrow" w:hAnsi="Arial Narrow"/>
          <w:b/>
          <w:sz w:val="20"/>
        </w:rPr>
      </w:pPr>
      <w:bookmarkStart w:id="1" w:name="_Ref38025094"/>
      <w:bookmarkStart w:id="2" w:name="_Toc36643058"/>
      <w:r w:rsidRPr="00D32FC9">
        <w:rPr>
          <w:rFonts w:ascii="Arial Narrow" w:hAnsi="Arial Narrow"/>
          <w:b/>
          <w:sz w:val="20"/>
        </w:rPr>
        <w:lastRenderedPageBreak/>
        <w:t xml:space="preserve">Figure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Figure \* ARABIC </w:instrText>
      </w:r>
      <w:r w:rsidR="00F62D1A" w:rsidRPr="00D32FC9">
        <w:rPr>
          <w:rFonts w:ascii="Arial Narrow" w:hAnsi="Arial Narrow"/>
          <w:b/>
          <w:sz w:val="20"/>
        </w:rPr>
        <w:fldChar w:fldCharType="separate"/>
      </w:r>
      <w:r w:rsidR="00455942">
        <w:rPr>
          <w:rFonts w:ascii="Arial Narrow" w:hAnsi="Arial Narrow"/>
          <w:b/>
          <w:noProof/>
          <w:sz w:val="20"/>
        </w:rPr>
        <w:t>1</w:t>
      </w:r>
      <w:r w:rsidR="00F62D1A" w:rsidRPr="00D32FC9">
        <w:rPr>
          <w:rFonts w:ascii="Arial Narrow" w:hAnsi="Arial Narrow"/>
          <w:b/>
          <w:sz w:val="20"/>
        </w:rPr>
        <w:fldChar w:fldCharType="end"/>
      </w:r>
      <w:bookmarkEnd w:id="1"/>
      <w:r w:rsidR="00447BAB" w:rsidRPr="00D32FC9">
        <w:rPr>
          <w:rFonts w:ascii="Arial Narrow" w:hAnsi="Arial Narrow"/>
          <w:b/>
          <w:sz w:val="20"/>
        </w:rPr>
        <w:t xml:space="preserve"> Current and proposed treatment algorithms for subpopulations 1 and 2 </w:t>
      </w:r>
      <w:bookmarkEnd w:id="2"/>
      <w:r w:rsidR="00447BAB" w:rsidRPr="00D32FC9">
        <w:rPr>
          <w:rFonts w:ascii="Arial Narrow" w:hAnsi="Arial Narrow"/>
          <w:b/>
          <w:sz w:val="20"/>
        </w:rPr>
        <w:t>in the ADAR</w:t>
      </w:r>
    </w:p>
    <w:p w14:paraId="6FC79D2C" w14:textId="77777777" w:rsidR="00447BAB" w:rsidRPr="00695F36" w:rsidRDefault="00447BAB" w:rsidP="00D32FC9">
      <w:pPr>
        <w:keepNext/>
        <w:keepLines/>
        <w:spacing w:after="40"/>
      </w:pPr>
      <w:r w:rsidRPr="00357209">
        <w:rPr>
          <w:noProof/>
        </w:rPr>
        <w:drawing>
          <wp:inline distT="0" distB="0" distL="0" distR="0" wp14:anchorId="42964014" wp14:editId="19251F07">
            <wp:extent cx="5029200" cy="7622317"/>
            <wp:effectExtent l="0" t="0" r="0" b="0"/>
            <wp:docPr id="6" name="Picture 6" title="&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31467" cy="7625752"/>
                    </a:xfrm>
                    <a:prstGeom prst="rect">
                      <a:avLst/>
                    </a:prstGeom>
                  </pic:spPr>
                </pic:pic>
              </a:graphicData>
            </a:graphic>
          </wp:inline>
        </w:drawing>
      </w:r>
    </w:p>
    <w:p w14:paraId="57E58C6E" w14:textId="77777777" w:rsidR="00447BAB" w:rsidRPr="00695F36" w:rsidRDefault="00447BAB" w:rsidP="00E772A0">
      <w:pPr>
        <w:pStyle w:val="Tablenotes"/>
      </w:pPr>
      <w:r w:rsidRPr="00695F36">
        <w:t xml:space="preserve">Source: Figure 8, p46 of the </w:t>
      </w:r>
      <w:r>
        <w:t>ADAR</w:t>
      </w:r>
      <w:r w:rsidRPr="00695F36">
        <w:br/>
        <w:t xml:space="preserve">BCI = </w:t>
      </w:r>
      <w:proofErr w:type="spellStart"/>
      <w:r w:rsidRPr="00695F36">
        <w:t>bioinductive</w:t>
      </w:r>
      <w:proofErr w:type="spellEnd"/>
      <w:r w:rsidRPr="00695F36">
        <w:t xml:space="preserve"> collagen implant, FTRCT = full thickness rotator cuff tear, MRI = magnetic resonance imaging, MRA = magnetic resonance arthrography, NSAID = non-steroidal anti-inflammatory drugs, PTRCT = partial thickness rotator cuff tear, U/S = ultrasound</w:t>
      </w:r>
    </w:p>
    <w:p w14:paraId="1C494416" w14:textId="77777777" w:rsidR="00447BAB" w:rsidRPr="00695F36" w:rsidRDefault="00447BAB" w:rsidP="00E772A0">
      <w:pPr>
        <w:pStyle w:val="Tablenotes"/>
      </w:pPr>
      <w:proofErr w:type="spellStart"/>
      <w:proofErr w:type="gramStart"/>
      <w:r w:rsidRPr="00695F36">
        <w:t>a</w:t>
      </w:r>
      <w:proofErr w:type="spellEnd"/>
      <w:proofErr w:type="gramEnd"/>
      <w:r w:rsidRPr="00695F36">
        <w:t xml:space="preserve"> All patients with FTRCTs in</w:t>
      </w:r>
      <w:r>
        <w:t xml:space="preserve"> </w:t>
      </w:r>
      <w:proofErr w:type="spellStart"/>
      <w:r>
        <w:t>Bokor</w:t>
      </w:r>
      <w:proofErr w:type="spellEnd"/>
      <w:r>
        <w:t xml:space="preserve"> 2015</w:t>
      </w:r>
      <w:r w:rsidRPr="00695F36">
        <w:t xml:space="preserve"> and </w:t>
      </w:r>
      <w:r>
        <w:t>Thon 2019</w:t>
      </w:r>
      <w:r w:rsidRPr="00695F36">
        <w:t xml:space="preserve"> received bovine BCI after surgical repair (sutures or anchors)</w:t>
      </w:r>
    </w:p>
    <w:p w14:paraId="41C5B797" w14:textId="77777777" w:rsidR="00447BAB" w:rsidRPr="00695F36" w:rsidRDefault="00447BAB" w:rsidP="00E772A0">
      <w:pPr>
        <w:pStyle w:val="Tablenotes"/>
      </w:pPr>
      <w:proofErr w:type="gramStart"/>
      <w:r w:rsidRPr="00695F36">
        <w:t>b</w:t>
      </w:r>
      <w:proofErr w:type="gramEnd"/>
      <w:r w:rsidRPr="00695F36">
        <w:t xml:space="preserve"> After receiving surgery patients are followed up for 3 months as routine practice</w:t>
      </w:r>
    </w:p>
    <w:p w14:paraId="5F36CE14" w14:textId="7575B23C" w:rsidR="00CF4E81" w:rsidRDefault="00447BAB" w:rsidP="00885C08">
      <w:pPr>
        <w:pStyle w:val="Tablenotes"/>
      </w:pPr>
      <w:proofErr w:type="gramStart"/>
      <w:r w:rsidRPr="00695F36">
        <w:t>c</w:t>
      </w:r>
      <w:proofErr w:type="gramEnd"/>
      <w:r w:rsidRPr="00695F36">
        <w:t xml:space="preserve"> Possible investigations could include MRI, physical therapy sessions, and treatments for pain management</w:t>
      </w:r>
    </w:p>
    <w:p w14:paraId="548CB818" w14:textId="77777777" w:rsidR="00BC1364" w:rsidRPr="00F715D1" w:rsidRDefault="00BC1364" w:rsidP="00F715D1">
      <w:pPr>
        <w:pStyle w:val="Heading1"/>
      </w:pPr>
      <w:r w:rsidRPr="00F715D1">
        <w:lastRenderedPageBreak/>
        <w:t xml:space="preserve">Comparator </w:t>
      </w:r>
    </w:p>
    <w:p w14:paraId="72B79AF3" w14:textId="050CB3EE" w:rsidR="00447BAB" w:rsidRDefault="00447BAB" w:rsidP="00447BAB">
      <w:r>
        <w:t xml:space="preserve">The proposed comparator for REGENETEN in both patient subpopulations is standard surgical repair. For PTRCTs, REGENETEN </w:t>
      </w:r>
      <w:proofErr w:type="gramStart"/>
      <w:r>
        <w:t>is applied</w:t>
      </w:r>
      <w:proofErr w:type="gramEnd"/>
      <w:r>
        <w:t xml:space="preserve"> instead of standard surgical repair with sutures or anchors; for FTRCTs, REGENETEN is applied in addition to standard surgical repair.</w:t>
      </w:r>
    </w:p>
    <w:p w14:paraId="55E81505" w14:textId="6C3E86F1" w:rsidR="00447BAB" w:rsidRDefault="00447BAB" w:rsidP="00885C08">
      <w:pPr>
        <w:spacing w:before="240"/>
      </w:pPr>
      <w:r>
        <w:t xml:space="preserve">Standard surgical repair in patients with PTRCTs includes debridement, diagnosis and </w:t>
      </w:r>
      <w:proofErr w:type="spellStart"/>
      <w:r>
        <w:t>bursectomy</w:t>
      </w:r>
      <w:proofErr w:type="spellEnd"/>
      <w:r>
        <w:t xml:space="preserve">; followed by surgical repair of the tendon using a trans-tendon or </w:t>
      </w:r>
      <w:proofErr w:type="gramStart"/>
      <w:r>
        <w:t>take-down</w:t>
      </w:r>
      <w:proofErr w:type="gramEnd"/>
      <w:r>
        <w:t xml:space="preserve"> technique. Trans-tendon repair involves maintaining the intact lateral portion of the tendon while repairing the medial aspect of the tendon. </w:t>
      </w:r>
      <w:proofErr w:type="gramStart"/>
      <w:r>
        <w:t>Take-down</w:t>
      </w:r>
      <w:proofErr w:type="gramEnd"/>
      <w:r>
        <w:t xml:space="preserve"> repair involves artificially completing the tear during the surgery followed by standard rotator cuff repair using anchors and sutures.</w:t>
      </w:r>
    </w:p>
    <w:p w14:paraId="6A97246A" w14:textId="00977CD9" w:rsidR="00447BAB" w:rsidRDefault="00447BAB" w:rsidP="00885C08">
      <w:pPr>
        <w:spacing w:before="240"/>
      </w:pPr>
      <w:r>
        <w:t xml:space="preserve">Standard surgical repair in patients with FTRCTs includes debridement, diagnosis and </w:t>
      </w:r>
      <w:proofErr w:type="spellStart"/>
      <w:r>
        <w:t>bursectomy</w:t>
      </w:r>
      <w:proofErr w:type="spellEnd"/>
      <w:r>
        <w:t>; followed by reattaching the muscle to the bone using anchors and sutures.</w:t>
      </w:r>
    </w:p>
    <w:p w14:paraId="435CEE65" w14:textId="77777777" w:rsidR="00447BAB" w:rsidRDefault="00447BAB" w:rsidP="00885C08">
      <w:pPr>
        <w:spacing w:before="240"/>
      </w:pPr>
      <w:r w:rsidRPr="000F688E">
        <w:t xml:space="preserve">The </w:t>
      </w:r>
      <w:r>
        <w:t>Commentary stated that the</w:t>
      </w:r>
      <w:r w:rsidRPr="000F688E">
        <w:t xml:space="preserve"> comparators are appropriate and consistent with the ratified PICO confirmation. The comparators are hospital based – when performed in the private setting they are associated with MBS item numbers</w:t>
      </w:r>
      <w:r>
        <w:t xml:space="preserve"> (48960, 48906 and 48909)</w:t>
      </w:r>
      <w:r w:rsidRPr="000F688E">
        <w:t>.</w:t>
      </w:r>
    </w:p>
    <w:p w14:paraId="5F326425" w14:textId="77777777" w:rsidR="00BC1364" w:rsidRPr="00F715D1" w:rsidRDefault="00BC1364" w:rsidP="00F715D1">
      <w:pPr>
        <w:pStyle w:val="Heading1"/>
      </w:pPr>
      <w:r w:rsidRPr="00F715D1">
        <w:t>Comparative safety</w:t>
      </w:r>
    </w:p>
    <w:p w14:paraId="06D3F2D9" w14:textId="61ADCD3D" w:rsidR="00294D27" w:rsidRPr="00885C08" w:rsidRDefault="00E772A0">
      <w:pPr>
        <w:rPr>
          <w:iCs/>
          <w:lang w:eastAsia="en-US"/>
        </w:rPr>
      </w:pPr>
      <w:r>
        <w:t xml:space="preserve">The ADAR reported that there were no direct randomised trials comparing REGENETEN versus standard </w:t>
      </w:r>
      <w:r w:rsidRPr="00D91638">
        <w:t xml:space="preserve">surgery in patients with partial or full-thickness rotator cuff tear, nor comparative studies that involved REGENETEN. </w:t>
      </w:r>
      <w:bookmarkStart w:id="3" w:name="_Hlk36495158"/>
      <w:r w:rsidRPr="00D91638">
        <w:t xml:space="preserve">Thus, the ADAR relied on </w:t>
      </w:r>
      <w:r w:rsidRPr="00D91638">
        <w:rPr>
          <w:i/>
          <w:iCs/>
          <w:lang w:eastAsia="en-US"/>
        </w:rPr>
        <w:t>naïve</w:t>
      </w:r>
      <w:r w:rsidRPr="00D91638">
        <w:rPr>
          <w:iCs/>
          <w:lang w:eastAsia="en-US"/>
        </w:rPr>
        <w:t xml:space="preserve"> indirect comparisons to derive </w:t>
      </w:r>
      <w:r>
        <w:rPr>
          <w:iCs/>
          <w:lang w:eastAsia="en-US"/>
        </w:rPr>
        <w:t xml:space="preserve">estimates of the comparative effectiveness and safety of REGENETEN versus standard surgery in both subpopulations </w:t>
      </w:r>
      <w:r w:rsidR="007A30C9">
        <w:t>(</w:t>
      </w:r>
      <w:r w:rsidR="005A160D">
        <w:t>Table 2</w:t>
      </w:r>
      <w:r>
        <w:t>)</w:t>
      </w:r>
      <w:r>
        <w:rPr>
          <w:iCs/>
          <w:lang w:eastAsia="en-US"/>
        </w:rPr>
        <w:t>.</w:t>
      </w:r>
      <w:bookmarkStart w:id="4" w:name="_Ref36023715"/>
      <w:bookmarkStart w:id="5" w:name="_Toc36643064"/>
      <w:r w:rsidR="00294D27">
        <w:br w:type="page"/>
      </w:r>
    </w:p>
    <w:p w14:paraId="687F9153" w14:textId="1C702B03" w:rsidR="00E772A0" w:rsidRPr="00D32FC9" w:rsidRDefault="00294D27" w:rsidP="00D32FC9">
      <w:pPr>
        <w:rPr>
          <w:rFonts w:ascii="Arial Narrow" w:hAnsi="Arial Narrow"/>
          <w:b/>
          <w:sz w:val="20"/>
        </w:rPr>
      </w:pPr>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2</w:t>
      </w:r>
      <w:r w:rsidR="00F62D1A" w:rsidRPr="00D32FC9">
        <w:rPr>
          <w:rFonts w:ascii="Arial Narrow" w:hAnsi="Arial Narrow"/>
          <w:b/>
          <w:sz w:val="20"/>
        </w:rPr>
        <w:fldChar w:fldCharType="end"/>
      </w:r>
      <w:bookmarkEnd w:id="4"/>
      <w:r w:rsidR="00E772A0" w:rsidRPr="00D32FC9">
        <w:rPr>
          <w:rFonts w:ascii="Arial Narrow" w:hAnsi="Arial Narrow"/>
          <w:b/>
          <w:sz w:val="20"/>
        </w:rPr>
        <w:tab/>
        <w:t>Overview of the evidence base presented in the ADAR</w:t>
      </w:r>
      <w:bookmarkEnd w:id="5"/>
    </w:p>
    <w:tbl>
      <w:tblPr>
        <w:tblStyle w:val="TableGrid"/>
        <w:tblW w:w="9180" w:type="dxa"/>
        <w:tblLayout w:type="fixed"/>
        <w:tblLook w:val="04A0" w:firstRow="1" w:lastRow="0" w:firstColumn="1" w:lastColumn="0" w:noHBand="0" w:noVBand="1"/>
        <w:tblDescription w:val="Overview of the evidence base presented in the ADAR"/>
      </w:tblPr>
      <w:tblGrid>
        <w:gridCol w:w="2376"/>
        <w:gridCol w:w="1276"/>
        <w:gridCol w:w="992"/>
        <w:gridCol w:w="1276"/>
        <w:gridCol w:w="1021"/>
        <w:gridCol w:w="1247"/>
        <w:gridCol w:w="992"/>
      </w:tblGrid>
      <w:tr w:rsidR="00E772A0" w:rsidRPr="00E81012" w14:paraId="62BC6EEB" w14:textId="77777777" w:rsidTr="00F07327">
        <w:trPr>
          <w:tblHeader/>
        </w:trPr>
        <w:tc>
          <w:tcPr>
            <w:tcW w:w="2376" w:type="dxa"/>
            <w:tcBorders>
              <w:bottom w:val="nil"/>
            </w:tcBorders>
            <w:vAlign w:val="center"/>
          </w:tcPr>
          <w:p w14:paraId="00F700E3" w14:textId="77777777" w:rsidR="00E772A0" w:rsidRPr="000A1E0A" w:rsidRDefault="00E772A0" w:rsidP="00E772A0">
            <w:pPr>
              <w:pStyle w:val="Tabletext"/>
              <w:widowControl w:val="0"/>
              <w:rPr>
                <w:b/>
              </w:rPr>
            </w:pPr>
          </w:p>
        </w:tc>
        <w:tc>
          <w:tcPr>
            <w:tcW w:w="2268" w:type="dxa"/>
            <w:gridSpan w:val="2"/>
            <w:tcBorders>
              <w:bottom w:val="single" w:sz="4" w:space="0" w:color="auto"/>
            </w:tcBorders>
            <w:shd w:val="clear" w:color="auto" w:fill="auto"/>
            <w:vAlign w:val="center"/>
          </w:tcPr>
          <w:p w14:paraId="1EE9AEE0" w14:textId="77777777" w:rsidR="00E772A0" w:rsidRPr="000A1E0A" w:rsidRDefault="00E772A0" w:rsidP="00E772A0">
            <w:pPr>
              <w:pStyle w:val="Tabletext"/>
              <w:widowControl w:val="0"/>
              <w:rPr>
                <w:b/>
                <w:bCs/>
              </w:rPr>
            </w:pPr>
            <w:r w:rsidRPr="000A1E0A">
              <w:rPr>
                <w:b/>
                <w:bCs/>
              </w:rPr>
              <w:t>Subpopulation 1 (PTRCT)</w:t>
            </w:r>
          </w:p>
        </w:tc>
        <w:tc>
          <w:tcPr>
            <w:tcW w:w="2297" w:type="dxa"/>
            <w:gridSpan w:val="2"/>
            <w:tcBorders>
              <w:bottom w:val="single" w:sz="4" w:space="0" w:color="auto"/>
            </w:tcBorders>
            <w:vAlign w:val="center"/>
          </w:tcPr>
          <w:p w14:paraId="05E699E0" w14:textId="77777777" w:rsidR="00E772A0" w:rsidRPr="000A1E0A" w:rsidRDefault="00E772A0" w:rsidP="00E772A0">
            <w:pPr>
              <w:pStyle w:val="Tabletext"/>
              <w:widowControl w:val="0"/>
              <w:rPr>
                <w:b/>
                <w:bCs/>
              </w:rPr>
            </w:pPr>
            <w:r w:rsidRPr="000A1E0A">
              <w:rPr>
                <w:b/>
                <w:bCs/>
              </w:rPr>
              <w:t>Subpopulation 2 (FTRCT)</w:t>
            </w:r>
          </w:p>
        </w:tc>
        <w:tc>
          <w:tcPr>
            <w:tcW w:w="2239" w:type="dxa"/>
            <w:gridSpan w:val="2"/>
            <w:tcBorders>
              <w:bottom w:val="single" w:sz="4" w:space="0" w:color="auto"/>
            </w:tcBorders>
            <w:vAlign w:val="center"/>
          </w:tcPr>
          <w:p w14:paraId="7AA9E4D3" w14:textId="77777777" w:rsidR="00E772A0" w:rsidRPr="000A1E0A" w:rsidRDefault="00E772A0" w:rsidP="00E772A0">
            <w:pPr>
              <w:pStyle w:val="Tabletext"/>
              <w:widowControl w:val="0"/>
              <w:rPr>
                <w:b/>
                <w:bCs/>
              </w:rPr>
            </w:pPr>
            <w:r w:rsidRPr="000A1E0A">
              <w:rPr>
                <w:b/>
                <w:bCs/>
              </w:rPr>
              <w:t>Total</w:t>
            </w:r>
          </w:p>
        </w:tc>
      </w:tr>
      <w:tr w:rsidR="00E772A0" w:rsidRPr="00E81012" w14:paraId="2C252B28" w14:textId="77777777" w:rsidTr="00F07327">
        <w:trPr>
          <w:tblHeader/>
        </w:trPr>
        <w:tc>
          <w:tcPr>
            <w:tcW w:w="2376" w:type="dxa"/>
            <w:tcBorders>
              <w:top w:val="nil"/>
              <w:right w:val="single" w:sz="4" w:space="0" w:color="auto"/>
            </w:tcBorders>
            <w:vAlign w:val="center"/>
          </w:tcPr>
          <w:p w14:paraId="71F82421" w14:textId="77777777" w:rsidR="00E772A0" w:rsidRPr="000A1E0A" w:rsidRDefault="00E772A0" w:rsidP="00E772A0">
            <w:pPr>
              <w:pStyle w:val="Tabletext"/>
              <w:widowControl w:val="0"/>
              <w:rPr>
                <w:b/>
              </w:rPr>
            </w:pPr>
          </w:p>
        </w:tc>
        <w:tc>
          <w:tcPr>
            <w:tcW w:w="1276" w:type="dxa"/>
            <w:tcBorders>
              <w:left w:val="single" w:sz="4" w:space="0" w:color="auto"/>
              <w:right w:val="nil"/>
            </w:tcBorders>
            <w:shd w:val="clear" w:color="auto" w:fill="auto"/>
            <w:vAlign w:val="center"/>
          </w:tcPr>
          <w:p w14:paraId="578F025E" w14:textId="77777777" w:rsidR="00E772A0" w:rsidRPr="000A1E0A" w:rsidRDefault="00E772A0" w:rsidP="00E772A0">
            <w:pPr>
              <w:pStyle w:val="Tabletext"/>
              <w:widowControl w:val="0"/>
              <w:rPr>
                <w:b/>
              </w:rPr>
            </w:pPr>
            <w:r w:rsidRPr="000A1E0A">
              <w:rPr>
                <w:rFonts w:cs="Arial"/>
                <w:b/>
                <w:bCs/>
                <w:iCs/>
              </w:rPr>
              <w:t>REGENETEN</w:t>
            </w:r>
          </w:p>
        </w:tc>
        <w:tc>
          <w:tcPr>
            <w:tcW w:w="992" w:type="dxa"/>
            <w:tcBorders>
              <w:left w:val="nil"/>
              <w:right w:val="single" w:sz="4" w:space="0" w:color="auto"/>
            </w:tcBorders>
            <w:shd w:val="clear" w:color="auto" w:fill="auto"/>
            <w:vAlign w:val="center"/>
          </w:tcPr>
          <w:p w14:paraId="245ABE12" w14:textId="77777777" w:rsidR="00E772A0" w:rsidRPr="000A1E0A" w:rsidRDefault="00E772A0" w:rsidP="00E772A0">
            <w:pPr>
              <w:pStyle w:val="Tabletext"/>
              <w:widowControl w:val="0"/>
              <w:rPr>
                <w:b/>
              </w:rPr>
            </w:pPr>
            <w:r w:rsidRPr="000A1E0A">
              <w:rPr>
                <w:b/>
                <w:bCs/>
              </w:rPr>
              <w:t>Standard Surgery</w:t>
            </w:r>
          </w:p>
        </w:tc>
        <w:tc>
          <w:tcPr>
            <w:tcW w:w="1276" w:type="dxa"/>
            <w:tcBorders>
              <w:left w:val="single" w:sz="4" w:space="0" w:color="auto"/>
              <w:right w:val="nil"/>
            </w:tcBorders>
            <w:shd w:val="clear" w:color="auto" w:fill="auto"/>
            <w:vAlign w:val="center"/>
          </w:tcPr>
          <w:p w14:paraId="483A7DEC" w14:textId="77777777" w:rsidR="00E772A0" w:rsidRPr="000A1E0A" w:rsidRDefault="00E772A0" w:rsidP="00E772A0">
            <w:pPr>
              <w:pStyle w:val="Tabletext"/>
              <w:widowControl w:val="0"/>
              <w:rPr>
                <w:b/>
                <w:bCs/>
              </w:rPr>
            </w:pPr>
            <w:r w:rsidRPr="000A1E0A">
              <w:rPr>
                <w:rFonts w:cs="Arial"/>
                <w:b/>
                <w:bCs/>
                <w:iCs/>
              </w:rPr>
              <w:t>REGENETEN</w:t>
            </w:r>
          </w:p>
        </w:tc>
        <w:tc>
          <w:tcPr>
            <w:tcW w:w="1021" w:type="dxa"/>
            <w:tcBorders>
              <w:left w:val="nil"/>
              <w:right w:val="single" w:sz="4" w:space="0" w:color="auto"/>
            </w:tcBorders>
            <w:shd w:val="clear" w:color="auto" w:fill="auto"/>
            <w:vAlign w:val="center"/>
          </w:tcPr>
          <w:p w14:paraId="06FDA838" w14:textId="77777777" w:rsidR="00E772A0" w:rsidRPr="000A1E0A" w:rsidRDefault="00E772A0" w:rsidP="00E772A0">
            <w:pPr>
              <w:pStyle w:val="Tabletext"/>
              <w:widowControl w:val="0"/>
              <w:rPr>
                <w:b/>
                <w:bCs/>
              </w:rPr>
            </w:pPr>
            <w:r w:rsidRPr="000A1E0A">
              <w:rPr>
                <w:b/>
                <w:bCs/>
              </w:rPr>
              <w:t>Standard Surgery</w:t>
            </w:r>
          </w:p>
        </w:tc>
        <w:tc>
          <w:tcPr>
            <w:tcW w:w="1247" w:type="dxa"/>
            <w:tcBorders>
              <w:left w:val="single" w:sz="4" w:space="0" w:color="auto"/>
              <w:right w:val="nil"/>
            </w:tcBorders>
            <w:shd w:val="clear" w:color="auto" w:fill="auto"/>
            <w:vAlign w:val="center"/>
          </w:tcPr>
          <w:p w14:paraId="4C2B2BE2" w14:textId="77777777" w:rsidR="00E772A0" w:rsidRPr="000A1E0A" w:rsidRDefault="00E772A0" w:rsidP="00E772A0">
            <w:pPr>
              <w:pStyle w:val="Tabletext"/>
              <w:widowControl w:val="0"/>
              <w:rPr>
                <w:b/>
                <w:bCs/>
              </w:rPr>
            </w:pPr>
            <w:r w:rsidRPr="000A1E0A">
              <w:rPr>
                <w:rFonts w:cs="Arial"/>
                <w:b/>
                <w:bCs/>
                <w:iCs/>
              </w:rPr>
              <w:t>REGENETEN</w:t>
            </w:r>
          </w:p>
        </w:tc>
        <w:tc>
          <w:tcPr>
            <w:tcW w:w="992" w:type="dxa"/>
            <w:tcBorders>
              <w:left w:val="nil"/>
              <w:right w:val="single" w:sz="4" w:space="0" w:color="auto"/>
            </w:tcBorders>
            <w:shd w:val="clear" w:color="auto" w:fill="auto"/>
            <w:vAlign w:val="center"/>
          </w:tcPr>
          <w:p w14:paraId="2F3F5824" w14:textId="77777777" w:rsidR="00E772A0" w:rsidRPr="000A1E0A" w:rsidRDefault="00E772A0" w:rsidP="00E772A0">
            <w:pPr>
              <w:pStyle w:val="Tabletext"/>
              <w:widowControl w:val="0"/>
              <w:rPr>
                <w:b/>
                <w:bCs/>
              </w:rPr>
            </w:pPr>
            <w:r w:rsidRPr="000A1E0A">
              <w:rPr>
                <w:b/>
                <w:bCs/>
              </w:rPr>
              <w:t>Standard Surgery</w:t>
            </w:r>
          </w:p>
        </w:tc>
      </w:tr>
      <w:tr w:rsidR="00E772A0" w:rsidRPr="00E81012" w14:paraId="21C911DA" w14:textId="77777777" w:rsidTr="00F07327">
        <w:tc>
          <w:tcPr>
            <w:tcW w:w="2376" w:type="dxa"/>
            <w:tcBorders>
              <w:right w:val="single" w:sz="4" w:space="0" w:color="auto"/>
            </w:tcBorders>
            <w:vAlign w:val="center"/>
          </w:tcPr>
          <w:p w14:paraId="28F55B59" w14:textId="77777777" w:rsidR="00E772A0" w:rsidRPr="00E81012" w:rsidRDefault="00E772A0" w:rsidP="00E772A0">
            <w:pPr>
              <w:pStyle w:val="Tabletext"/>
              <w:widowControl w:val="0"/>
              <w:rPr>
                <w:szCs w:val="20"/>
              </w:rPr>
            </w:pPr>
            <w:r w:rsidRPr="00E81012">
              <w:rPr>
                <w:szCs w:val="20"/>
              </w:rPr>
              <w:t xml:space="preserve">Number of treatment arms </w:t>
            </w:r>
            <w:r>
              <w:rPr>
                <w:szCs w:val="20"/>
              </w:rPr>
              <w:t xml:space="preserve">/ number of </w:t>
            </w:r>
            <w:r w:rsidRPr="00E81012">
              <w:rPr>
                <w:szCs w:val="20"/>
              </w:rPr>
              <w:t>studies</w:t>
            </w:r>
            <w:r>
              <w:rPr>
                <w:szCs w:val="20"/>
              </w:rPr>
              <w:t xml:space="preserve"> included</w:t>
            </w:r>
          </w:p>
        </w:tc>
        <w:tc>
          <w:tcPr>
            <w:tcW w:w="1276" w:type="dxa"/>
            <w:tcBorders>
              <w:left w:val="single" w:sz="4" w:space="0" w:color="auto"/>
              <w:right w:val="nil"/>
            </w:tcBorders>
            <w:vAlign w:val="center"/>
          </w:tcPr>
          <w:p w14:paraId="67BE398D" w14:textId="77777777" w:rsidR="00E772A0" w:rsidRPr="00E81012" w:rsidRDefault="00E772A0" w:rsidP="00E772A0">
            <w:pPr>
              <w:pStyle w:val="Tabletext"/>
              <w:widowControl w:val="0"/>
              <w:rPr>
                <w:szCs w:val="20"/>
              </w:rPr>
            </w:pPr>
            <w:r>
              <w:rPr>
                <w:szCs w:val="20"/>
              </w:rPr>
              <w:t>3 / 3</w:t>
            </w:r>
          </w:p>
        </w:tc>
        <w:tc>
          <w:tcPr>
            <w:tcW w:w="992" w:type="dxa"/>
            <w:tcBorders>
              <w:left w:val="nil"/>
              <w:right w:val="single" w:sz="4" w:space="0" w:color="auto"/>
            </w:tcBorders>
            <w:vAlign w:val="center"/>
          </w:tcPr>
          <w:p w14:paraId="07B2B65C" w14:textId="77777777" w:rsidR="00E772A0" w:rsidRPr="00E81012" w:rsidRDefault="00E772A0" w:rsidP="00E772A0">
            <w:pPr>
              <w:pStyle w:val="Tabletext"/>
              <w:widowControl w:val="0"/>
              <w:rPr>
                <w:szCs w:val="20"/>
              </w:rPr>
            </w:pPr>
            <w:r>
              <w:rPr>
                <w:szCs w:val="20"/>
              </w:rPr>
              <w:t>7 / 5</w:t>
            </w:r>
          </w:p>
        </w:tc>
        <w:tc>
          <w:tcPr>
            <w:tcW w:w="1276" w:type="dxa"/>
            <w:tcBorders>
              <w:left w:val="single" w:sz="4" w:space="0" w:color="auto"/>
              <w:right w:val="nil"/>
            </w:tcBorders>
            <w:vAlign w:val="center"/>
          </w:tcPr>
          <w:p w14:paraId="6E0A9C9E" w14:textId="77777777" w:rsidR="00E772A0" w:rsidRDefault="00E772A0" w:rsidP="00E772A0">
            <w:pPr>
              <w:pStyle w:val="Tabletext"/>
              <w:widowControl w:val="0"/>
              <w:rPr>
                <w:szCs w:val="20"/>
              </w:rPr>
            </w:pPr>
            <w:r>
              <w:rPr>
                <w:szCs w:val="20"/>
              </w:rPr>
              <w:t>3 / 3</w:t>
            </w:r>
          </w:p>
        </w:tc>
        <w:tc>
          <w:tcPr>
            <w:tcW w:w="1021" w:type="dxa"/>
            <w:tcBorders>
              <w:left w:val="nil"/>
              <w:right w:val="single" w:sz="4" w:space="0" w:color="auto"/>
            </w:tcBorders>
            <w:vAlign w:val="center"/>
          </w:tcPr>
          <w:p w14:paraId="28275841" w14:textId="77777777" w:rsidR="00E772A0" w:rsidRDefault="00E772A0" w:rsidP="00E772A0">
            <w:pPr>
              <w:pStyle w:val="Tabletext"/>
              <w:widowControl w:val="0"/>
              <w:rPr>
                <w:szCs w:val="20"/>
              </w:rPr>
            </w:pPr>
            <w:r>
              <w:rPr>
                <w:szCs w:val="20"/>
              </w:rPr>
              <w:t>62 / 42</w:t>
            </w:r>
          </w:p>
        </w:tc>
        <w:tc>
          <w:tcPr>
            <w:tcW w:w="1247" w:type="dxa"/>
            <w:tcBorders>
              <w:left w:val="single" w:sz="4" w:space="0" w:color="auto"/>
              <w:right w:val="nil"/>
            </w:tcBorders>
            <w:vAlign w:val="center"/>
          </w:tcPr>
          <w:p w14:paraId="08717D06" w14:textId="77777777" w:rsidR="00E772A0" w:rsidRDefault="00E772A0" w:rsidP="00E772A0">
            <w:pPr>
              <w:pStyle w:val="Tabletext"/>
              <w:widowControl w:val="0"/>
              <w:rPr>
                <w:szCs w:val="20"/>
              </w:rPr>
            </w:pPr>
            <w:r>
              <w:rPr>
                <w:szCs w:val="20"/>
              </w:rPr>
              <w:t>6 / 5</w:t>
            </w:r>
          </w:p>
        </w:tc>
        <w:tc>
          <w:tcPr>
            <w:tcW w:w="992" w:type="dxa"/>
            <w:tcBorders>
              <w:left w:val="nil"/>
            </w:tcBorders>
            <w:vAlign w:val="center"/>
          </w:tcPr>
          <w:p w14:paraId="04D606A1" w14:textId="77777777" w:rsidR="00E772A0" w:rsidRDefault="00E772A0" w:rsidP="00E772A0">
            <w:pPr>
              <w:pStyle w:val="Tabletext"/>
              <w:widowControl w:val="0"/>
              <w:rPr>
                <w:szCs w:val="20"/>
              </w:rPr>
            </w:pPr>
            <w:r>
              <w:rPr>
                <w:szCs w:val="20"/>
              </w:rPr>
              <w:t>69 / 45</w:t>
            </w:r>
          </w:p>
        </w:tc>
      </w:tr>
      <w:tr w:rsidR="00E772A0" w:rsidRPr="00E81012" w14:paraId="7D7D6FFE" w14:textId="77777777" w:rsidTr="00F07327">
        <w:tc>
          <w:tcPr>
            <w:tcW w:w="2376" w:type="dxa"/>
            <w:tcBorders>
              <w:right w:val="single" w:sz="4" w:space="0" w:color="auto"/>
            </w:tcBorders>
            <w:vAlign w:val="center"/>
          </w:tcPr>
          <w:p w14:paraId="39BE96FC" w14:textId="77777777" w:rsidR="00E772A0" w:rsidRPr="00E81012" w:rsidRDefault="00E772A0" w:rsidP="00E772A0">
            <w:pPr>
              <w:pStyle w:val="Tabletext"/>
              <w:widowControl w:val="0"/>
              <w:rPr>
                <w:szCs w:val="20"/>
              </w:rPr>
            </w:pPr>
            <w:r>
              <w:rPr>
                <w:szCs w:val="20"/>
              </w:rPr>
              <w:t>Study design = RCT</w:t>
            </w:r>
          </w:p>
        </w:tc>
        <w:tc>
          <w:tcPr>
            <w:tcW w:w="1276" w:type="dxa"/>
            <w:tcBorders>
              <w:left w:val="single" w:sz="4" w:space="0" w:color="auto"/>
              <w:right w:val="nil"/>
            </w:tcBorders>
            <w:vAlign w:val="center"/>
          </w:tcPr>
          <w:p w14:paraId="5FB323A0" w14:textId="77777777" w:rsidR="00E772A0" w:rsidRPr="00E81012" w:rsidRDefault="00E772A0" w:rsidP="00E772A0">
            <w:pPr>
              <w:pStyle w:val="Tabletext"/>
              <w:widowControl w:val="0"/>
              <w:rPr>
                <w:szCs w:val="20"/>
              </w:rPr>
            </w:pPr>
            <w:r>
              <w:rPr>
                <w:szCs w:val="20"/>
              </w:rPr>
              <w:t>0</w:t>
            </w:r>
          </w:p>
        </w:tc>
        <w:tc>
          <w:tcPr>
            <w:tcW w:w="992" w:type="dxa"/>
            <w:tcBorders>
              <w:left w:val="nil"/>
              <w:right w:val="single" w:sz="4" w:space="0" w:color="auto"/>
            </w:tcBorders>
            <w:vAlign w:val="center"/>
          </w:tcPr>
          <w:p w14:paraId="766AA868" w14:textId="77777777" w:rsidR="00E772A0" w:rsidRPr="00E81012" w:rsidRDefault="00E772A0" w:rsidP="00E772A0">
            <w:pPr>
              <w:pStyle w:val="Tabletext"/>
              <w:widowControl w:val="0"/>
              <w:rPr>
                <w:szCs w:val="20"/>
              </w:rPr>
            </w:pPr>
            <w:r>
              <w:rPr>
                <w:szCs w:val="20"/>
              </w:rPr>
              <w:t>5 / 3</w:t>
            </w:r>
          </w:p>
        </w:tc>
        <w:tc>
          <w:tcPr>
            <w:tcW w:w="1276" w:type="dxa"/>
            <w:tcBorders>
              <w:left w:val="single" w:sz="4" w:space="0" w:color="auto"/>
              <w:right w:val="nil"/>
            </w:tcBorders>
            <w:vAlign w:val="center"/>
          </w:tcPr>
          <w:p w14:paraId="74CBA493" w14:textId="77777777" w:rsidR="00E772A0" w:rsidRDefault="00E772A0" w:rsidP="00E772A0">
            <w:pPr>
              <w:pStyle w:val="Tabletext"/>
              <w:widowControl w:val="0"/>
              <w:rPr>
                <w:szCs w:val="20"/>
              </w:rPr>
            </w:pPr>
            <w:r>
              <w:rPr>
                <w:szCs w:val="20"/>
              </w:rPr>
              <w:t>0</w:t>
            </w:r>
          </w:p>
        </w:tc>
        <w:tc>
          <w:tcPr>
            <w:tcW w:w="1021" w:type="dxa"/>
            <w:tcBorders>
              <w:left w:val="nil"/>
              <w:right w:val="single" w:sz="4" w:space="0" w:color="auto"/>
            </w:tcBorders>
            <w:vAlign w:val="center"/>
          </w:tcPr>
          <w:p w14:paraId="437592EA" w14:textId="77777777" w:rsidR="00E772A0" w:rsidRDefault="00E772A0" w:rsidP="00E772A0">
            <w:pPr>
              <w:pStyle w:val="Tabletext"/>
              <w:widowControl w:val="0"/>
              <w:rPr>
                <w:szCs w:val="20"/>
              </w:rPr>
            </w:pPr>
            <w:r>
              <w:rPr>
                <w:szCs w:val="20"/>
              </w:rPr>
              <w:t>41 / 27</w:t>
            </w:r>
          </w:p>
        </w:tc>
        <w:tc>
          <w:tcPr>
            <w:tcW w:w="1247" w:type="dxa"/>
            <w:tcBorders>
              <w:left w:val="single" w:sz="4" w:space="0" w:color="auto"/>
              <w:right w:val="nil"/>
            </w:tcBorders>
            <w:vAlign w:val="center"/>
          </w:tcPr>
          <w:p w14:paraId="1091EA0F" w14:textId="77777777" w:rsidR="00E772A0" w:rsidRDefault="00E772A0" w:rsidP="00E772A0">
            <w:pPr>
              <w:pStyle w:val="Tabletext"/>
              <w:widowControl w:val="0"/>
              <w:rPr>
                <w:szCs w:val="20"/>
              </w:rPr>
            </w:pPr>
            <w:r>
              <w:rPr>
                <w:szCs w:val="20"/>
              </w:rPr>
              <w:t>0</w:t>
            </w:r>
          </w:p>
        </w:tc>
        <w:tc>
          <w:tcPr>
            <w:tcW w:w="992" w:type="dxa"/>
            <w:tcBorders>
              <w:left w:val="nil"/>
            </w:tcBorders>
            <w:vAlign w:val="center"/>
          </w:tcPr>
          <w:p w14:paraId="48CD0D20" w14:textId="77777777" w:rsidR="00E772A0" w:rsidRDefault="00E772A0" w:rsidP="00E772A0">
            <w:pPr>
              <w:pStyle w:val="Tabletext"/>
              <w:widowControl w:val="0"/>
              <w:rPr>
                <w:szCs w:val="20"/>
              </w:rPr>
            </w:pPr>
            <w:r>
              <w:rPr>
                <w:szCs w:val="20"/>
              </w:rPr>
              <w:t>46 / 29</w:t>
            </w:r>
          </w:p>
        </w:tc>
      </w:tr>
      <w:tr w:rsidR="00E772A0" w:rsidRPr="00E81012" w14:paraId="26E0A1F5" w14:textId="77777777" w:rsidTr="00F07327">
        <w:tc>
          <w:tcPr>
            <w:tcW w:w="2376" w:type="dxa"/>
            <w:tcBorders>
              <w:right w:val="single" w:sz="4" w:space="0" w:color="auto"/>
            </w:tcBorders>
            <w:vAlign w:val="center"/>
          </w:tcPr>
          <w:p w14:paraId="503E6EA4" w14:textId="77777777" w:rsidR="00E772A0" w:rsidRPr="00E81012" w:rsidRDefault="00E772A0" w:rsidP="00E772A0">
            <w:pPr>
              <w:pStyle w:val="Tabletext"/>
              <w:widowControl w:val="0"/>
              <w:rPr>
                <w:szCs w:val="20"/>
              </w:rPr>
            </w:pPr>
            <w:r>
              <w:rPr>
                <w:szCs w:val="20"/>
              </w:rPr>
              <w:t>Study design = NRCS</w:t>
            </w:r>
          </w:p>
        </w:tc>
        <w:tc>
          <w:tcPr>
            <w:tcW w:w="1276" w:type="dxa"/>
            <w:tcBorders>
              <w:left w:val="single" w:sz="4" w:space="0" w:color="auto"/>
              <w:right w:val="nil"/>
            </w:tcBorders>
            <w:vAlign w:val="center"/>
          </w:tcPr>
          <w:p w14:paraId="06275DBA" w14:textId="77777777" w:rsidR="00E772A0" w:rsidRPr="00E81012" w:rsidRDefault="00E772A0" w:rsidP="00E772A0">
            <w:pPr>
              <w:pStyle w:val="Tabletext"/>
              <w:widowControl w:val="0"/>
              <w:rPr>
                <w:szCs w:val="20"/>
              </w:rPr>
            </w:pPr>
            <w:r>
              <w:rPr>
                <w:szCs w:val="20"/>
              </w:rPr>
              <w:t>0</w:t>
            </w:r>
          </w:p>
        </w:tc>
        <w:tc>
          <w:tcPr>
            <w:tcW w:w="992" w:type="dxa"/>
            <w:tcBorders>
              <w:left w:val="nil"/>
              <w:right w:val="single" w:sz="4" w:space="0" w:color="auto"/>
            </w:tcBorders>
            <w:vAlign w:val="center"/>
          </w:tcPr>
          <w:p w14:paraId="2F435B5F" w14:textId="77777777" w:rsidR="00E772A0" w:rsidRPr="00E81012" w:rsidRDefault="00E772A0" w:rsidP="00E772A0">
            <w:pPr>
              <w:pStyle w:val="Tabletext"/>
              <w:widowControl w:val="0"/>
              <w:rPr>
                <w:szCs w:val="20"/>
              </w:rPr>
            </w:pPr>
            <w:r>
              <w:rPr>
                <w:szCs w:val="20"/>
              </w:rPr>
              <w:t>1 / 1</w:t>
            </w:r>
          </w:p>
        </w:tc>
        <w:tc>
          <w:tcPr>
            <w:tcW w:w="1276" w:type="dxa"/>
            <w:tcBorders>
              <w:left w:val="single" w:sz="4" w:space="0" w:color="auto"/>
              <w:right w:val="nil"/>
            </w:tcBorders>
            <w:vAlign w:val="center"/>
          </w:tcPr>
          <w:p w14:paraId="46152B32" w14:textId="77777777" w:rsidR="00E772A0" w:rsidRDefault="00E772A0" w:rsidP="00E772A0">
            <w:pPr>
              <w:pStyle w:val="Tabletext"/>
              <w:widowControl w:val="0"/>
              <w:rPr>
                <w:szCs w:val="20"/>
              </w:rPr>
            </w:pPr>
            <w:r>
              <w:rPr>
                <w:szCs w:val="20"/>
              </w:rPr>
              <w:t>0</w:t>
            </w:r>
          </w:p>
        </w:tc>
        <w:tc>
          <w:tcPr>
            <w:tcW w:w="1021" w:type="dxa"/>
            <w:tcBorders>
              <w:left w:val="nil"/>
              <w:right w:val="single" w:sz="4" w:space="0" w:color="auto"/>
            </w:tcBorders>
            <w:vAlign w:val="center"/>
          </w:tcPr>
          <w:p w14:paraId="3526F548" w14:textId="77777777" w:rsidR="00E772A0" w:rsidRDefault="00E772A0" w:rsidP="00E772A0">
            <w:pPr>
              <w:pStyle w:val="Tabletext"/>
              <w:widowControl w:val="0"/>
              <w:rPr>
                <w:szCs w:val="20"/>
              </w:rPr>
            </w:pPr>
            <w:r>
              <w:rPr>
                <w:szCs w:val="20"/>
              </w:rPr>
              <w:t>11 / 6</w:t>
            </w:r>
          </w:p>
        </w:tc>
        <w:tc>
          <w:tcPr>
            <w:tcW w:w="1247" w:type="dxa"/>
            <w:tcBorders>
              <w:left w:val="single" w:sz="4" w:space="0" w:color="auto"/>
              <w:right w:val="nil"/>
            </w:tcBorders>
            <w:vAlign w:val="center"/>
          </w:tcPr>
          <w:p w14:paraId="329C9603" w14:textId="77777777" w:rsidR="00E772A0" w:rsidRDefault="00E772A0" w:rsidP="00E772A0">
            <w:pPr>
              <w:pStyle w:val="Tabletext"/>
              <w:widowControl w:val="0"/>
              <w:rPr>
                <w:szCs w:val="20"/>
              </w:rPr>
            </w:pPr>
            <w:r>
              <w:rPr>
                <w:szCs w:val="20"/>
              </w:rPr>
              <w:t>0</w:t>
            </w:r>
          </w:p>
        </w:tc>
        <w:tc>
          <w:tcPr>
            <w:tcW w:w="992" w:type="dxa"/>
            <w:tcBorders>
              <w:left w:val="nil"/>
            </w:tcBorders>
            <w:vAlign w:val="center"/>
          </w:tcPr>
          <w:p w14:paraId="3C33B62D" w14:textId="77777777" w:rsidR="00E772A0" w:rsidRDefault="00E772A0" w:rsidP="00E772A0">
            <w:pPr>
              <w:pStyle w:val="Tabletext"/>
              <w:widowControl w:val="0"/>
              <w:rPr>
                <w:szCs w:val="20"/>
              </w:rPr>
            </w:pPr>
            <w:r>
              <w:rPr>
                <w:szCs w:val="20"/>
              </w:rPr>
              <w:t>12 / 6</w:t>
            </w:r>
          </w:p>
        </w:tc>
      </w:tr>
      <w:tr w:rsidR="00E772A0" w:rsidRPr="00E81012" w14:paraId="6FCB7B32" w14:textId="77777777" w:rsidTr="00F07327">
        <w:tc>
          <w:tcPr>
            <w:tcW w:w="2376" w:type="dxa"/>
            <w:tcBorders>
              <w:right w:val="single" w:sz="4" w:space="0" w:color="auto"/>
            </w:tcBorders>
            <w:vAlign w:val="center"/>
          </w:tcPr>
          <w:p w14:paraId="12B20408" w14:textId="77777777" w:rsidR="00E772A0" w:rsidRPr="00E81012" w:rsidRDefault="00E772A0" w:rsidP="00E772A0">
            <w:pPr>
              <w:pStyle w:val="Tabletext"/>
              <w:widowControl w:val="0"/>
              <w:rPr>
                <w:szCs w:val="20"/>
              </w:rPr>
            </w:pPr>
            <w:r>
              <w:rPr>
                <w:szCs w:val="20"/>
              </w:rPr>
              <w:t>Study design = CS</w:t>
            </w:r>
          </w:p>
        </w:tc>
        <w:tc>
          <w:tcPr>
            <w:tcW w:w="1276" w:type="dxa"/>
            <w:tcBorders>
              <w:left w:val="single" w:sz="4" w:space="0" w:color="auto"/>
              <w:right w:val="nil"/>
            </w:tcBorders>
            <w:vAlign w:val="center"/>
          </w:tcPr>
          <w:p w14:paraId="52515A15" w14:textId="77777777" w:rsidR="00E772A0" w:rsidRPr="00E81012" w:rsidRDefault="00E772A0" w:rsidP="00E772A0">
            <w:pPr>
              <w:pStyle w:val="Tabletext"/>
              <w:widowControl w:val="0"/>
              <w:rPr>
                <w:szCs w:val="20"/>
              </w:rPr>
            </w:pPr>
            <w:r>
              <w:rPr>
                <w:szCs w:val="20"/>
              </w:rPr>
              <w:t>3 / 3</w:t>
            </w:r>
          </w:p>
        </w:tc>
        <w:tc>
          <w:tcPr>
            <w:tcW w:w="992" w:type="dxa"/>
            <w:tcBorders>
              <w:left w:val="nil"/>
              <w:right w:val="single" w:sz="4" w:space="0" w:color="auto"/>
            </w:tcBorders>
            <w:vAlign w:val="center"/>
          </w:tcPr>
          <w:p w14:paraId="15F9B3CB" w14:textId="77777777" w:rsidR="00E772A0" w:rsidRPr="00E81012" w:rsidRDefault="00E772A0" w:rsidP="00E772A0">
            <w:pPr>
              <w:pStyle w:val="Tabletext"/>
              <w:widowControl w:val="0"/>
              <w:rPr>
                <w:szCs w:val="20"/>
              </w:rPr>
            </w:pPr>
            <w:r>
              <w:rPr>
                <w:szCs w:val="20"/>
              </w:rPr>
              <w:t>1 / 1</w:t>
            </w:r>
          </w:p>
        </w:tc>
        <w:tc>
          <w:tcPr>
            <w:tcW w:w="1276" w:type="dxa"/>
            <w:tcBorders>
              <w:left w:val="single" w:sz="4" w:space="0" w:color="auto"/>
              <w:right w:val="nil"/>
            </w:tcBorders>
            <w:vAlign w:val="center"/>
          </w:tcPr>
          <w:p w14:paraId="27733642" w14:textId="77777777" w:rsidR="00E772A0" w:rsidRDefault="00E772A0" w:rsidP="00E772A0">
            <w:pPr>
              <w:pStyle w:val="Tabletext"/>
              <w:widowControl w:val="0"/>
              <w:rPr>
                <w:szCs w:val="20"/>
              </w:rPr>
            </w:pPr>
            <w:r>
              <w:rPr>
                <w:szCs w:val="20"/>
              </w:rPr>
              <w:t>3 / 3</w:t>
            </w:r>
          </w:p>
        </w:tc>
        <w:tc>
          <w:tcPr>
            <w:tcW w:w="1021" w:type="dxa"/>
            <w:tcBorders>
              <w:left w:val="nil"/>
              <w:right w:val="single" w:sz="4" w:space="0" w:color="auto"/>
            </w:tcBorders>
            <w:vAlign w:val="center"/>
          </w:tcPr>
          <w:p w14:paraId="09F54EB5" w14:textId="77777777" w:rsidR="00E772A0" w:rsidRDefault="00E772A0" w:rsidP="00E772A0">
            <w:pPr>
              <w:pStyle w:val="Tabletext"/>
              <w:widowControl w:val="0"/>
              <w:rPr>
                <w:szCs w:val="20"/>
              </w:rPr>
            </w:pPr>
            <w:r>
              <w:rPr>
                <w:szCs w:val="20"/>
              </w:rPr>
              <w:t>10 / 9</w:t>
            </w:r>
          </w:p>
        </w:tc>
        <w:tc>
          <w:tcPr>
            <w:tcW w:w="1247" w:type="dxa"/>
            <w:tcBorders>
              <w:left w:val="single" w:sz="4" w:space="0" w:color="auto"/>
              <w:right w:val="nil"/>
            </w:tcBorders>
            <w:vAlign w:val="center"/>
          </w:tcPr>
          <w:p w14:paraId="22D9293B" w14:textId="77777777" w:rsidR="00E772A0" w:rsidRDefault="00E772A0" w:rsidP="00E772A0">
            <w:pPr>
              <w:pStyle w:val="Tabletext"/>
              <w:widowControl w:val="0"/>
              <w:rPr>
                <w:szCs w:val="20"/>
              </w:rPr>
            </w:pPr>
            <w:r>
              <w:rPr>
                <w:szCs w:val="20"/>
              </w:rPr>
              <w:t>6 / 5</w:t>
            </w:r>
          </w:p>
        </w:tc>
        <w:tc>
          <w:tcPr>
            <w:tcW w:w="992" w:type="dxa"/>
            <w:tcBorders>
              <w:left w:val="nil"/>
            </w:tcBorders>
            <w:vAlign w:val="center"/>
          </w:tcPr>
          <w:p w14:paraId="000F8E1C" w14:textId="77777777" w:rsidR="00E772A0" w:rsidRDefault="00E772A0" w:rsidP="00E772A0">
            <w:pPr>
              <w:pStyle w:val="Tabletext"/>
              <w:widowControl w:val="0"/>
              <w:rPr>
                <w:szCs w:val="20"/>
              </w:rPr>
            </w:pPr>
            <w:r>
              <w:rPr>
                <w:szCs w:val="20"/>
              </w:rPr>
              <w:t>11 / 10</w:t>
            </w:r>
          </w:p>
        </w:tc>
      </w:tr>
      <w:tr w:rsidR="00E772A0" w:rsidRPr="00E81012" w14:paraId="3130945D" w14:textId="77777777" w:rsidTr="00F07327">
        <w:tc>
          <w:tcPr>
            <w:tcW w:w="2376" w:type="dxa"/>
            <w:tcBorders>
              <w:bottom w:val="single" w:sz="4" w:space="0" w:color="auto"/>
              <w:right w:val="single" w:sz="4" w:space="0" w:color="auto"/>
            </w:tcBorders>
            <w:vAlign w:val="center"/>
          </w:tcPr>
          <w:p w14:paraId="6C4221C0" w14:textId="77777777" w:rsidR="00E772A0" w:rsidRPr="00E81012" w:rsidRDefault="00E772A0" w:rsidP="00E772A0">
            <w:pPr>
              <w:pStyle w:val="Tabletext"/>
              <w:widowControl w:val="0"/>
              <w:rPr>
                <w:szCs w:val="20"/>
              </w:rPr>
            </w:pPr>
            <w:r>
              <w:rPr>
                <w:szCs w:val="20"/>
              </w:rPr>
              <w:t>Total number of study participants</w:t>
            </w:r>
          </w:p>
        </w:tc>
        <w:tc>
          <w:tcPr>
            <w:tcW w:w="1276" w:type="dxa"/>
            <w:tcBorders>
              <w:left w:val="single" w:sz="4" w:space="0" w:color="auto"/>
              <w:bottom w:val="single" w:sz="4" w:space="0" w:color="auto"/>
              <w:right w:val="nil"/>
            </w:tcBorders>
            <w:vAlign w:val="center"/>
          </w:tcPr>
          <w:p w14:paraId="4015C2A7" w14:textId="77777777" w:rsidR="00E772A0" w:rsidRPr="00E81012" w:rsidRDefault="00E772A0" w:rsidP="00E772A0">
            <w:pPr>
              <w:pStyle w:val="Tabletext"/>
              <w:widowControl w:val="0"/>
              <w:rPr>
                <w:szCs w:val="20"/>
              </w:rPr>
            </w:pPr>
            <w:r>
              <w:rPr>
                <w:szCs w:val="20"/>
              </w:rPr>
              <w:t>136</w:t>
            </w:r>
          </w:p>
        </w:tc>
        <w:tc>
          <w:tcPr>
            <w:tcW w:w="992" w:type="dxa"/>
            <w:tcBorders>
              <w:left w:val="nil"/>
              <w:bottom w:val="single" w:sz="4" w:space="0" w:color="auto"/>
              <w:right w:val="single" w:sz="4" w:space="0" w:color="auto"/>
            </w:tcBorders>
            <w:vAlign w:val="center"/>
          </w:tcPr>
          <w:p w14:paraId="1DD95CE8" w14:textId="77777777" w:rsidR="00E772A0" w:rsidRPr="00E81012" w:rsidRDefault="00E772A0" w:rsidP="00E772A0">
            <w:pPr>
              <w:pStyle w:val="Tabletext"/>
              <w:widowControl w:val="0"/>
              <w:rPr>
                <w:szCs w:val="20"/>
              </w:rPr>
            </w:pPr>
            <w:r>
              <w:rPr>
                <w:szCs w:val="20"/>
              </w:rPr>
              <w:t>325*</w:t>
            </w:r>
          </w:p>
        </w:tc>
        <w:tc>
          <w:tcPr>
            <w:tcW w:w="1276" w:type="dxa"/>
            <w:tcBorders>
              <w:left w:val="single" w:sz="4" w:space="0" w:color="auto"/>
              <w:bottom w:val="single" w:sz="4" w:space="0" w:color="auto"/>
              <w:right w:val="nil"/>
            </w:tcBorders>
            <w:vAlign w:val="center"/>
          </w:tcPr>
          <w:p w14:paraId="36CDFAC3" w14:textId="77777777" w:rsidR="00E772A0" w:rsidRPr="00E81012" w:rsidRDefault="00E772A0" w:rsidP="00E772A0">
            <w:pPr>
              <w:pStyle w:val="Tabletext"/>
              <w:widowControl w:val="0"/>
              <w:rPr>
                <w:szCs w:val="20"/>
              </w:rPr>
            </w:pPr>
            <w:r>
              <w:rPr>
                <w:szCs w:val="20"/>
              </w:rPr>
              <w:t>115</w:t>
            </w:r>
          </w:p>
        </w:tc>
        <w:tc>
          <w:tcPr>
            <w:tcW w:w="1021" w:type="dxa"/>
            <w:tcBorders>
              <w:left w:val="nil"/>
              <w:bottom w:val="single" w:sz="4" w:space="0" w:color="auto"/>
              <w:right w:val="single" w:sz="4" w:space="0" w:color="auto"/>
            </w:tcBorders>
            <w:vAlign w:val="center"/>
          </w:tcPr>
          <w:p w14:paraId="1719D373" w14:textId="77777777" w:rsidR="00E772A0" w:rsidRPr="00E81012" w:rsidRDefault="00E772A0" w:rsidP="00E772A0">
            <w:pPr>
              <w:pStyle w:val="Tabletext"/>
              <w:widowControl w:val="0"/>
              <w:rPr>
                <w:szCs w:val="20"/>
              </w:rPr>
            </w:pPr>
            <w:r>
              <w:rPr>
                <w:szCs w:val="20"/>
              </w:rPr>
              <w:t>2,884*</w:t>
            </w:r>
          </w:p>
        </w:tc>
        <w:tc>
          <w:tcPr>
            <w:tcW w:w="1247" w:type="dxa"/>
            <w:tcBorders>
              <w:left w:val="single" w:sz="4" w:space="0" w:color="auto"/>
              <w:bottom w:val="single" w:sz="4" w:space="0" w:color="auto"/>
              <w:right w:val="nil"/>
            </w:tcBorders>
            <w:vAlign w:val="center"/>
          </w:tcPr>
          <w:p w14:paraId="54D196A0" w14:textId="77777777" w:rsidR="00E772A0" w:rsidRPr="00E81012" w:rsidRDefault="00E772A0" w:rsidP="00E772A0">
            <w:pPr>
              <w:pStyle w:val="Tabletext"/>
              <w:widowControl w:val="0"/>
              <w:rPr>
                <w:szCs w:val="20"/>
              </w:rPr>
            </w:pPr>
            <w:r>
              <w:rPr>
                <w:szCs w:val="20"/>
              </w:rPr>
              <w:t>251</w:t>
            </w:r>
          </w:p>
        </w:tc>
        <w:tc>
          <w:tcPr>
            <w:tcW w:w="992" w:type="dxa"/>
            <w:tcBorders>
              <w:left w:val="nil"/>
              <w:bottom w:val="single" w:sz="4" w:space="0" w:color="auto"/>
            </w:tcBorders>
            <w:vAlign w:val="center"/>
          </w:tcPr>
          <w:p w14:paraId="078C6CA4" w14:textId="77777777" w:rsidR="00E772A0" w:rsidRPr="00E81012" w:rsidRDefault="00E772A0" w:rsidP="00E772A0">
            <w:pPr>
              <w:pStyle w:val="Tabletext"/>
              <w:widowControl w:val="0"/>
              <w:rPr>
                <w:szCs w:val="20"/>
              </w:rPr>
            </w:pPr>
            <w:r>
              <w:rPr>
                <w:szCs w:val="20"/>
              </w:rPr>
              <w:t>3,209*</w:t>
            </w:r>
          </w:p>
        </w:tc>
      </w:tr>
      <w:tr w:rsidR="00E772A0" w:rsidRPr="00E81012" w14:paraId="54A8559C" w14:textId="77777777" w:rsidTr="00F07327">
        <w:tc>
          <w:tcPr>
            <w:tcW w:w="9180" w:type="dxa"/>
            <w:gridSpan w:val="7"/>
            <w:shd w:val="clear" w:color="auto" w:fill="C4BC96" w:themeFill="background2" w:themeFillShade="BF"/>
            <w:vAlign w:val="center"/>
          </w:tcPr>
          <w:p w14:paraId="2FB883E3" w14:textId="77777777" w:rsidR="00E772A0" w:rsidRPr="00E81012" w:rsidRDefault="00E772A0" w:rsidP="00E772A0">
            <w:pPr>
              <w:pStyle w:val="Tabletext"/>
              <w:widowControl w:val="0"/>
              <w:rPr>
                <w:szCs w:val="20"/>
              </w:rPr>
            </w:pPr>
            <w:r>
              <w:rPr>
                <w:szCs w:val="20"/>
              </w:rPr>
              <w:t>Key outcome measures used to support claim of superiority in comparative effectiveness</w:t>
            </w:r>
          </w:p>
        </w:tc>
      </w:tr>
      <w:tr w:rsidR="00E772A0" w:rsidRPr="00E81012" w14:paraId="320A984B" w14:textId="77777777" w:rsidTr="00F07327">
        <w:tc>
          <w:tcPr>
            <w:tcW w:w="2376" w:type="dxa"/>
            <w:tcBorders>
              <w:right w:val="single" w:sz="4" w:space="0" w:color="auto"/>
            </w:tcBorders>
            <w:vAlign w:val="center"/>
          </w:tcPr>
          <w:p w14:paraId="58E919B6" w14:textId="77777777" w:rsidR="00E772A0" w:rsidRDefault="00E772A0" w:rsidP="00E772A0">
            <w:pPr>
              <w:pStyle w:val="Tabletext"/>
              <w:widowControl w:val="0"/>
              <w:rPr>
                <w:szCs w:val="20"/>
              </w:rPr>
            </w:pPr>
          </w:p>
        </w:tc>
        <w:tc>
          <w:tcPr>
            <w:tcW w:w="4565" w:type="dxa"/>
            <w:gridSpan w:val="4"/>
            <w:tcBorders>
              <w:left w:val="single" w:sz="4" w:space="0" w:color="auto"/>
            </w:tcBorders>
            <w:vAlign w:val="center"/>
          </w:tcPr>
          <w:p w14:paraId="018C455F" w14:textId="77777777" w:rsidR="00E772A0" w:rsidRPr="0004372A" w:rsidRDefault="00E772A0" w:rsidP="00E772A0">
            <w:pPr>
              <w:pStyle w:val="Tabletext"/>
              <w:widowControl w:val="0"/>
              <w:rPr>
                <w:szCs w:val="20"/>
              </w:rPr>
            </w:pPr>
            <w:r w:rsidRPr="0004372A">
              <w:rPr>
                <w:szCs w:val="20"/>
              </w:rPr>
              <w:t>Total number of study participants</w:t>
            </w:r>
            <w:r>
              <w:rPr>
                <w:szCs w:val="20"/>
              </w:rPr>
              <w:t xml:space="preserve"> / </w:t>
            </w:r>
            <w:r w:rsidRPr="0004372A">
              <w:rPr>
                <w:szCs w:val="20"/>
              </w:rPr>
              <w:t>Number of treatment arms</w:t>
            </w:r>
          </w:p>
        </w:tc>
        <w:tc>
          <w:tcPr>
            <w:tcW w:w="2239" w:type="dxa"/>
            <w:gridSpan w:val="2"/>
            <w:tcBorders>
              <w:left w:val="single" w:sz="4" w:space="0" w:color="auto"/>
            </w:tcBorders>
            <w:vAlign w:val="center"/>
          </w:tcPr>
          <w:p w14:paraId="7D4DF05A" w14:textId="77777777" w:rsidR="00E772A0" w:rsidRPr="00E81012" w:rsidRDefault="00E772A0" w:rsidP="00E772A0">
            <w:pPr>
              <w:pStyle w:val="Tabletext"/>
              <w:widowControl w:val="0"/>
              <w:rPr>
                <w:szCs w:val="20"/>
              </w:rPr>
            </w:pPr>
          </w:p>
        </w:tc>
      </w:tr>
      <w:tr w:rsidR="00E772A0" w:rsidRPr="00E81012" w14:paraId="5A3CBCD4" w14:textId="77777777" w:rsidTr="00F07327">
        <w:tc>
          <w:tcPr>
            <w:tcW w:w="2376" w:type="dxa"/>
            <w:tcBorders>
              <w:right w:val="single" w:sz="4" w:space="0" w:color="auto"/>
            </w:tcBorders>
            <w:vAlign w:val="center"/>
          </w:tcPr>
          <w:p w14:paraId="5B815454" w14:textId="77777777" w:rsidR="00E772A0" w:rsidRDefault="00E772A0" w:rsidP="00E772A0">
            <w:pPr>
              <w:pStyle w:val="Tabletext"/>
              <w:widowControl w:val="0"/>
              <w:rPr>
                <w:szCs w:val="20"/>
              </w:rPr>
            </w:pPr>
            <w:r>
              <w:rPr>
                <w:szCs w:val="20"/>
              </w:rPr>
              <w:t>Re-tear (Imaging outcome)</w:t>
            </w:r>
          </w:p>
        </w:tc>
        <w:tc>
          <w:tcPr>
            <w:tcW w:w="1276" w:type="dxa"/>
            <w:tcBorders>
              <w:left w:val="single" w:sz="4" w:space="0" w:color="auto"/>
              <w:right w:val="nil"/>
            </w:tcBorders>
            <w:shd w:val="clear" w:color="auto" w:fill="auto"/>
            <w:vAlign w:val="center"/>
          </w:tcPr>
          <w:p w14:paraId="0B8D079D" w14:textId="77777777" w:rsidR="00E772A0" w:rsidRPr="0068766A" w:rsidRDefault="00E772A0" w:rsidP="00E772A0">
            <w:pPr>
              <w:pStyle w:val="Tabletext"/>
              <w:widowControl w:val="0"/>
              <w:rPr>
                <w:szCs w:val="20"/>
              </w:rPr>
            </w:pPr>
            <w:r w:rsidRPr="0068766A">
              <w:rPr>
                <w:szCs w:val="20"/>
              </w:rPr>
              <w:t>136 / 3</w:t>
            </w:r>
          </w:p>
        </w:tc>
        <w:tc>
          <w:tcPr>
            <w:tcW w:w="992" w:type="dxa"/>
            <w:tcBorders>
              <w:left w:val="nil"/>
              <w:right w:val="single" w:sz="4" w:space="0" w:color="auto"/>
            </w:tcBorders>
            <w:shd w:val="clear" w:color="auto" w:fill="auto"/>
            <w:vAlign w:val="center"/>
          </w:tcPr>
          <w:p w14:paraId="3C69D77F" w14:textId="77777777" w:rsidR="00E772A0" w:rsidRPr="0068766A" w:rsidRDefault="00E772A0" w:rsidP="00E772A0">
            <w:pPr>
              <w:pStyle w:val="Tabletext"/>
              <w:widowControl w:val="0"/>
              <w:rPr>
                <w:szCs w:val="20"/>
              </w:rPr>
            </w:pPr>
            <w:r w:rsidRPr="0068766A">
              <w:rPr>
                <w:szCs w:val="20"/>
              </w:rPr>
              <w:t>141 / 4</w:t>
            </w:r>
          </w:p>
        </w:tc>
        <w:tc>
          <w:tcPr>
            <w:tcW w:w="1276" w:type="dxa"/>
            <w:tcBorders>
              <w:left w:val="single" w:sz="4" w:space="0" w:color="auto"/>
              <w:bottom w:val="single" w:sz="4" w:space="0" w:color="auto"/>
              <w:right w:val="nil"/>
            </w:tcBorders>
            <w:shd w:val="clear" w:color="auto" w:fill="auto"/>
            <w:vAlign w:val="center"/>
          </w:tcPr>
          <w:p w14:paraId="437CE539" w14:textId="77777777" w:rsidR="00E772A0" w:rsidRDefault="00E772A0" w:rsidP="00E772A0">
            <w:pPr>
              <w:pStyle w:val="Tabletext"/>
              <w:widowControl w:val="0"/>
              <w:rPr>
                <w:szCs w:val="20"/>
              </w:rPr>
            </w:pPr>
            <w:r>
              <w:rPr>
                <w:szCs w:val="20"/>
              </w:rPr>
              <w:t>115 / 3</w:t>
            </w:r>
          </w:p>
        </w:tc>
        <w:tc>
          <w:tcPr>
            <w:tcW w:w="1021" w:type="dxa"/>
            <w:tcBorders>
              <w:left w:val="nil"/>
              <w:right w:val="single" w:sz="4" w:space="0" w:color="auto"/>
            </w:tcBorders>
            <w:shd w:val="clear" w:color="auto" w:fill="auto"/>
            <w:vAlign w:val="center"/>
          </w:tcPr>
          <w:p w14:paraId="29729D7D" w14:textId="77777777" w:rsidR="00E772A0" w:rsidRPr="00FB1B8C" w:rsidRDefault="00E772A0" w:rsidP="00E772A0">
            <w:pPr>
              <w:pStyle w:val="Tabletext"/>
              <w:widowControl w:val="0"/>
              <w:rPr>
                <w:szCs w:val="20"/>
              </w:rPr>
            </w:pPr>
            <w:r w:rsidRPr="00FB1B8C">
              <w:rPr>
                <w:szCs w:val="20"/>
              </w:rPr>
              <w:t>1,852</w:t>
            </w:r>
            <w:r>
              <w:rPr>
                <w:szCs w:val="20"/>
              </w:rPr>
              <w:t>^</w:t>
            </w:r>
            <w:r w:rsidRPr="00FB1B8C">
              <w:rPr>
                <w:szCs w:val="20"/>
              </w:rPr>
              <w:t xml:space="preserve"> / 4</w:t>
            </w:r>
            <w:r>
              <w:rPr>
                <w:szCs w:val="20"/>
              </w:rPr>
              <w:t>6</w:t>
            </w:r>
          </w:p>
        </w:tc>
        <w:tc>
          <w:tcPr>
            <w:tcW w:w="1247" w:type="dxa"/>
            <w:tcBorders>
              <w:left w:val="single" w:sz="4" w:space="0" w:color="auto"/>
              <w:bottom w:val="nil"/>
              <w:right w:val="nil"/>
            </w:tcBorders>
            <w:shd w:val="clear" w:color="auto" w:fill="auto"/>
            <w:vAlign w:val="center"/>
          </w:tcPr>
          <w:p w14:paraId="2D109FD3" w14:textId="77777777" w:rsidR="00E772A0" w:rsidRPr="00FB1B8C" w:rsidRDefault="00E772A0" w:rsidP="00E772A0">
            <w:pPr>
              <w:pStyle w:val="Tabletext"/>
              <w:widowControl w:val="0"/>
              <w:rPr>
                <w:szCs w:val="20"/>
              </w:rPr>
            </w:pPr>
          </w:p>
        </w:tc>
        <w:tc>
          <w:tcPr>
            <w:tcW w:w="992" w:type="dxa"/>
            <w:tcBorders>
              <w:left w:val="nil"/>
              <w:bottom w:val="nil"/>
            </w:tcBorders>
            <w:shd w:val="clear" w:color="auto" w:fill="auto"/>
            <w:vAlign w:val="center"/>
          </w:tcPr>
          <w:p w14:paraId="71D02C34" w14:textId="77777777" w:rsidR="00E772A0" w:rsidRPr="00FB1B8C" w:rsidRDefault="00E772A0" w:rsidP="00E772A0">
            <w:pPr>
              <w:pStyle w:val="Tabletext"/>
              <w:widowControl w:val="0"/>
              <w:rPr>
                <w:szCs w:val="20"/>
              </w:rPr>
            </w:pPr>
          </w:p>
        </w:tc>
      </w:tr>
      <w:tr w:rsidR="00E772A0" w:rsidRPr="00E81012" w14:paraId="22009A10" w14:textId="77777777" w:rsidTr="00F07327">
        <w:tc>
          <w:tcPr>
            <w:tcW w:w="2376" w:type="dxa"/>
            <w:tcBorders>
              <w:right w:val="single" w:sz="4" w:space="0" w:color="auto"/>
            </w:tcBorders>
            <w:vAlign w:val="center"/>
          </w:tcPr>
          <w:p w14:paraId="6724E742" w14:textId="77777777" w:rsidR="00E772A0" w:rsidRDefault="00E772A0" w:rsidP="00E772A0">
            <w:pPr>
              <w:pStyle w:val="Tabletext"/>
              <w:widowControl w:val="0"/>
              <w:rPr>
                <w:szCs w:val="20"/>
              </w:rPr>
            </w:pPr>
            <w:r>
              <w:rPr>
                <w:szCs w:val="20"/>
              </w:rPr>
              <w:t>Incomplete healing (Imaging outcome)</w:t>
            </w:r>
          </w:p>
        </w:tc>
        <w:tc>
          <w:tcPr>
            <w:tcW w:w="1276" w:type="dxa"/>
            <w:tcBorders>
              <w:left w:val="single" w:sz="4" w:space="0" w:color="auto"/>
              <w:right w:val="nil"/>
            </w:tcBorders>
            <w:shd w:val="clear" w:color="auto" w:fill="auto"/>
            <w:vAlign w:val="center"/>
          </w:tcPr>
          <w:p w14:paraId="0DC8AB71" w14:textId="77777777" w:rsidR="00E772A0" w:rsidRPr="0068766A" w:rsidRDefault="00E772A0" w:rsidP="00E772A0">
            <w:pPr>
              <w:pStyle w:val="Tabletext"/>
              <w:widowControl w:val="0"/>
              <w:rPr>
                <w:szCs w:val="20"/>
              </w:rPr>
            </w:pPr>
            <w:r w:rsidRPr="0068766A">
              <w:rPr>
                <w:szCs w:val="20"/>
              </w:rPr>
              <w:t>136 / 3</w:t>
            </w:r>
          </w:p>
        </w:tc>
        <w:tc>
          <w:tcPr>
            <w:tcW w:w="992" w:type="dxa"/>
            <w:tcBorders>
              <w:left w:val="nil"/>
              <w:right w:val="single" w:sz="4" w:space="0" w:color="auto"/>
            </w:tcBorders>
            <w:shd w:val="clear" w:color="auto" w:fill="auto"/>
            <w:vAlign w:val="center"/>
          </w:tcPr>
          <w:p w14:paraId="6665C712" w14:textId="77777777" w:rsidR="00E772A0" w:rsidRPr="0068766A" w:rsidRDefault="00E772A0" w:rsidP="00E772A0">
            <w:pPr>
              <w:pStyle w:val="Tabletext"/>
              <w:widowControl w:val="0"/>
              <w:rPr>
                <w:szCs w:val="20"/>
              </w:rPr>
            </w:pPr>
            <w:r w:rsidRPr="0068766A">
              <w:rPr>
                <w:szCs w:val="20"/>
              </w:rPr>
              <w:t>201 / 6</w:t>
            </w:r>
          </w:p>
        </w:tc>
        <w:tc>
          <w:tcPr>
            <w:tcW w:w="1276" w:type="dxa"/>
            <w:tcBorders>
              <w:top w:val="single" w:sz="4" w:space="0" w:color="auto"/>
              <w:left w:val="single" w:sz="4" w:space="0" w:color="auto"/>
              <w:bottom w:val="single" w:sz="4" w:space="0" w:color="auto"/>
              <w:right w:val="nil"/>
            </w:tcBorders>
            <w:shd w:val="clear" w:color="auto" w:fill="auto"/>
            <w:vAlign w:val="center"/>
          </w:tcPr>
          <w:p w14:paraId="6992E024" w14:textId="77777777" w:rsidR="00E772A0" w:rsidRDefault="00E772A0" w:rsidP="00E772A0">
            <w:pPr>
              <w:pStyle w:val="Tabletext"/>
              <w:widowControl w:val="0"/>
              <w:rPr>
                <w:szCs w:val="20"/>
              </w:rPr>
            </w:pPr>
            <w:r w:rsidRPr="00C02913">
              <w:rPr>
                <w:szCs w:val="20"/>
              </w:rPr>
              <w:t>115 / 3</w:t>
            </w:r>
          </w:p>
        </w:tc>
        <w:tc>
          <w:tcPr>
            <w:tcW w:w="1021" w:type="dxa"/>
            <w:tcBorders>
              <w:left w:val="nil"/>
              <w:right w:val="single" w:sz="4" w:space="0" w:color="auto"/>
            </w:tcBorders>
            <w:shd w:val="clear" w:color="auto" w:fill="auto"/>
            <w:vAlign w:val="center"/>
          </w:tcPr>
          <w:p w14:paraId="42ADC6C7" w14:textId="77777777" w:rsidR="00E772A0" w:rsidRPr="00FB1B8C" w:rsidRDefault="00E772A0" w:rsidP="00E772A0">
            <w:pPr>
              <w:pStyle w:val="Tabletext"/>
              <w:widowControl w:val="0"/>
              <w:rPr>
                <w:szCs w:val="20"/>
              </w:rPr>
            </w:pPr>
            <w:r w:rsidRPr="00FB1B8C">
              <w:rPr>
                <w:szCs w:val="20"/>
              </w:rPr>
              <w:t>1,965</w:t>
            </w:r>
            <w:r>
              <w:rPr>
                <w:szCs w:val="20"/>
              </w:rPr>
              <w:t>^</w:t>
            </w:r>
            <w:r w:rsidRPr="00FB1B8C">
              <w:rPr>
                <w:szCs w:val="20"/>
              </w:rPr>
              <w:t xml:space="preserve"> / 4</w:t>
            </w:r>
            <w:r>
              <w:rPr>
                <w:szCs w:val="20"/>
              </w:rPr>
              <w:t>7</w:t>
            </w:r>
          </w:p>
        </w:tc>
        <w:tc>
          <w:tcPr>
            <w:tcW w:w="1247" w:type="dxa"/>
            <w:tcBorders>
              <w:top w:val="nil"/>
              <w:left w:val="single" w:sz="4" w:space="0" w:color="auto"/>
              <w:bottom w:val="nil"/>
              <w:right w:val="nil"/>
            </w:tcBorders>
            <w:shd w:val="clear" w:color="auto" w:fill="auto"/>
            <w:vAlign w:val="center"/>
          </w:tcPr>
          <w:p w14:paraId="1FAFAA3E" w14:textId="77777777" w:rsidR="00E772A0" w:rsidRPr="00FB1B8C" w:rsidRDefault="00E772A0" w:rsidP="00E772A0">
            <w:pPr>
              <w:pStyle w:val="Tabletext"/>
              <w:widowControl w:val="0"/>
              <w:rPr>
                <w:szCs w:val="20"/>
              </w:rPr>
            </w:pPr>
          </w:p>
        </w:tc>
        <w:tc>
          <w:tcPr>
            <w:tcW w:w="992" w:type="dxa"/>
            <w:tcBorders>
              <w:top w:val="nil"/>
              <w:left w:val="nil"/>
              <w:bottom w:val="nil"/>
            </w:tcBorders>
            <w:shd w:val="clear" w:color="auto" w:fill="auto"/>
            <w:vAlign w:val="center"/>
          </w:tcPr>
          <w:p w14:paraId="3122E038" w14:textId="77777777" w:rsidR="00E772A0" w:rsidRPr="00FB1B8C" w:rsidRDefault="00E772A0" w:rsidP="00E772A0">
            <w:pPr>
              <w:pStyle w:val="Tabletext"/>
              <w:widowControl w:val="0"/>
              <w:rPr>
                <w:szCs w:val="20"/>
              </w:rPr>
            </w:pPr>
          </w:p>
        </w:tc>
      </w:tr>
      <w:tr w:rsidR="00E772A0" w:rsidRPr="00E81012" w14:paraId="378DF2FE" w14:textId="77777777" w:rsidTr="00F07327">
        <w:tc>
          <w:tcPr>
            <w:tcW w:w="2376" w:type="dxa"/>
            <w:tcBorders>
              <w:bottom w:val="single" w:sz="4" w:space="0" w:color="auto"/>
              <w:right w:val="single" w:sz="4" w:space="0" w:color="auto"/>
            </w:tcBorders>
            <w:vAlign w:val="center"/>
          </w:tcPr>
          <w:p w14:paraId="0C2329DD" w14:textId="77777777" w:rsidR="00E772A0" w:rsidRDefault="00E772A0" w:rsidP="00E772A0">
            <w:pPr>
              <w:pStyle w:val="Tabletext"/>
              <w:widowControl w:val="0"/>
              <w:rPr>
                <w:szCs w:val="20"/>
              </w:rPr>
            </w:pPr>
            <w:r>
              <w:rPr>
                <w:szCs w:val="20"/>
              </w:rPr>
              <w:t>Treatment failure (Imaging outcome)</w:t>
            </w:r>
          </w:p>
        </w:tc>
        <w:tc>
          <w:tcPr>
            <w:tcW w:w="1276" w:type="dxa"/>
            <w:tcBorders>
              <w:left w:val="single" w:sz="4" w:space="0" w:color="auto"/>
              <w:bottom w:val="single" w:sz="4" w:space="0" w:color="auto"/>
              <w:right w:val="nil"/>
            </w:tcBorders>
            <w:shd w:val="clear" w:color="auto" w:fill="auto"/>
            <w:vAlign w:val="center"/>
          </w:tcPr>
          <w:p w14:paraId="3C09B2CA" w14:textId="77777777" w:rsidR="00E772A0" w:rsidRPr="0068766A" w:rsidRDefault="00E772A0" w:rsidP="00E772A0">
            <w:pPr>
              <w:pStyle w:val="Tabletext"/>
              <w:widowControl w:val="0"/>
              <w:rPr>
                <w:szCs w:val="20"/>
              </w:rPr>
            </w:pPr>
            <w:r w:rsidRPr="0068766A">
              <w:rPr>
                <w:szCs w:val="20"/>
              </w:rPr>
              <w:t>136 / 3</w:t>
            </w:r>
          </w:p>
        </w:tc>
        <w:tc>
          <w:tcPr>
            <w:tcW w:w="992" w:type="dxa"/>
            <w:tcBorders>
              <w:left w:val="nil"/>
              <w:bottom w:val="single" w:sz="4" w:space="0" w:color="auto"/>
              <w:right w:val="single" w:sz="4" w:space="0" w:color="auto"/>
            </w:tcBorders>
            <w:shd w:val="clear" w:color="auto" w:fill="auto"/>
            <w:vAlign w:val="center"/>
          </w:tcPr>
          <w:p w14:paraId="5B1CCF5D" w14:textId="77777777" w:rsidR="00E772A0" w:rsidRPr="0068766A" w:rsidRDefault="00E772A0" w:rsidP="00E772A0">
            <w:pPr>
              <w:pStyle w:val="Tabletext"/>
              <w:widowControl w:val="0"/>
              <w:rPr>
                <w:szCs w:val="20"/>
              </w:rPr>
            </w:pPr>
            <w:r w:rsidRPr="0068766A">
              <w:rPr>
                <w:szCs w:val="20"/>
              </w:rPr>
              <w:t>201 / 6</w:t>
            </w:r>
          </w:p>
        </w:tc>
        <w:tc>
          <w:tcPr>
            <w:tcW w:w="1276" w:type="dxa"/>
            <w:tcBorders>
              <w:top w:val="single" w:sz="4" w:space="0" w:color="auto"/>
              <w:left w:val="single" w:sz="4" w:space="0" w:color="auto"/>
              <w:bottom w:val="single" w:sz="4" w:space="0" w:color="auto"/>
              <w:right w:val="nil"/>
            </w:tcBorders>
            <w:shd w:val="clear" w:color="auto" w:fill="auto"/>
            <w:vAlign w:val="center"/>
          </w:tcPr>
          <w:p w14:paraId="7B4C16C5" w14:textId="77777777" w:rsidR="00E772A0" w:rsidRDefault="00E772A0" w:rsidP="00E772A0">
            <w:pPr>
              <w:pStyle w:val="Tabletext"/>
              <w:widowControl w:val="0"/>
              <w:rPr>
                <w:szCs w:val="20"/>
              </w:rPr>
            </w:pPr>
            <w:r w:rsidRPr="00C02913">
              <w:rPr>
                <w:szCs w:val="20"/>
              </w:rPr>
              <w:t>115 / 3</w:t>
            </w:r>
          </w:p>
        </w:tc>
        <w:tc>
          <w:tcPr>
            <w:tcW w:w="1021" w:type="dxa"/>
            <w:tcBorders>
              <w:left w:val="nil"/>
              <w:bottom w:val="single" w:sz="4" w:space="0" w:color="auto"/>
              <w:right w:val="single" w:sz="4" w:space="0" w:color="auto"/>
            </w:tcBorders>
            <w:shd w:val="clear" w:color="auto" w:fill="auto"/>
            <w:vAlign w:val="center"/>
          </w:tcPr>
          <w:p w14:paraId="31128AAA" w14:textId="77777777" w:rsidR="00E772A0" w:rsidRPr="00FB1B8C" w:rsidRDefault="00E772A0" w:rsidP="00E772A0">
            <w:pPr>
              <w:pStyle w:val="Tabletext"/>
              <w:widowControl w:val="0"/>
              <w:rPr>
                <w:szCs w:val="20"/>
              </w:rPr>
            </w:pPr>
            <w:r w:rsidRPr="00FB1B8C">
              <w:rPr>
                <w:szCs w:val="20"/>
              </w:rPr>
              <w:t>2,256</w:t>
            </w:r>
            <w:r>
              <w:rPr>
                <w:szCs w:val="20"/>
              </w:rPr>
              <w:t>^</w:t>
            </w:r>
            <w:r w:rsidRPr="00FB1B8C">
              <w:rPr>
                <w:szCs w:val="20"/>
              </w:rPr>
              <w:t xml:space="preserve"> / 5</w:t>
            </w:r>
            <w:r>
              <w:rPr>
                <w:szCs w:val="20"/>
              </w:rPr>
              <w:t>3</w:t>
            </w:r>
          </w:p>
        </w:tc>
        <w:tc>
          <w:tcPr>
            <w:tcW w:w="1247" w:type="dxa"/>
            <w:tcBorders>
              <w:top w:val="nil"/>
              <w:left w:val="single" w:sz="4" w:space="0" w:color="auto"/>
              <w:bottom w:val="single" w:sz="4" w:space="0" w:color="auto"/>
              <w:right w:val="nil"/>
            </w:tcBorders>
            <w:shd w:val="clear" w:color="auto" w:fill="auto"/>
            <w:vAlign w:val="center"/>
          </w:tcPr>
          <w:p w14:paraId="2F5E626B" w14:textId="77777777" w:rsidR="00E772A0" w:rsidRPr="00FB1B8C" w:rsidRDefault="00E772A0" w:rsidP="00E772A0">
            <w:pPr>
              <w:pStyle w:val="Tabletext"/>
              <w:widowControl w:val="0"/>
              <w:rPr>
                <w:szCs w:val="20"/>
              </w:rPr>
            </w:pPr>
          </w:p>
        </w:tc>
        <w:tc>
          <w:tcPr>
            <w:tcW w:w="992" w:type="dxa"/>
            <w:tcBorders>
              <w:top w:val="nil"/>
              <w:left w:val="nil"/>
              <w:bottom w:val="single" w:sz="4" w:space="0" w:color="auto"/>
            </w:tcBorders>
            <w:shd w:val="clear" w:color="auto" w:fill="auto"/>
            <w:vAlign w:val="center"/>
          </w:tcPr>
          <w:p w14:paraId="52F2615C" w14:textId="77777777" w:rsidR="00E772A0" w:rsidRPr="00FB1B8C" w:rsidRDefault="00E772A0" w:rsidP="00E772A0">
            <w:pPr>
              <w:pStyle w:val="Tabletext"/>
              <w:widowControl w:val="0"/>
              <w:rPr>
                <w:szCs w:val="20"/>
              </w:rPr>
            </w:pPr>
          </w:p>
        </w:tc>
      </w:tr>
      <w:tr w:rsidR="00E772A0" w:rsidRPr="00E81012" w14:paraId="048B8126" w14:textId="77777777" w:rsidTr="00F07327">
        <w:tc>
          <w:tcPr>
            <w:tcW w:w="9180" w:type="dxa"/>
            <w:gridSpan w:val="7"/>
            <w:shd w:val="clear" w:color="auto" w:fill="C4BC96" w:themeFill="background2" w:themeFillShade="BF"/>
            <w:vAlign w:val="center"/>
          </w:tcPr>
          <w:p w14:paraId="5BAFDBAE" w14:textId="77777777" w:rsidR="00E772A0" w:rsidRPr="00E81012" w:rsidRDefault="00E772A0" w:rsidP="00E772A0">
            <w:pPr>
              <w:pStyle w:val="Tabletext"/>
              <w:widowControl w:val="0"/>
              <w:rPr>
                <w:szCs w:val="20"/>
              </w:rPr>
            </w:pPr>
            <w:r w:rsidRPr="0004372A">
              <w:rPr>
                <w:szCs w:val="20"/>
              </w:rPr>
              <w:t xml:space="preserve">Key outcome measures used to support claim of </w:t>
            </w:r>
            <w:r>
              <w:rPr>
                <w:szCs w:val="20"/>
              </w:rPr>
              <w:t>non-inferiority</w:t>
            </w:r>
            <w:r w:rsidRPr="0004372A">
              <w:rPr>
                <w:szCs w:val="20"/>
              </w:rPr>
              <w:t xml:space="preserve"> in comparative </w:t>
            </w:r>
            <w:r>
              <w:rPr>
                <w:szCs w:val="20"/>
              </w:rPr>
              <w:t>safety</w:t>
            </w:r>
          </w:p>
        </w:tc>
      </w:tr>
      <w:tr w:rsidR="00E772A0" w:rsidRPr="00E81012" w14:paraId="77F9E558" w14:textId="77777777" w:rsidTr="00F07327">
        <w:tc>
          <w:tcPr>
            <w:tcW w:w="2376" w:type="dxa"/>
            <w:tcBorders>
              <w:right w:val="single" w:sz="4" w:space="0" w:color="auto"/>
            </w:tcBorders>
            <w:vAlign w:val="center"/>
          </w:tcPr>
          <w:p w14:paraId="76E64799" w14:textId="77777777" w:rsidR="00E772A0" w:rsidRDefault="00E772A0" w:rsidP="00E772A0">
            <w:pPr>
              <w:pStyle w:val="Tabletext"/>
              <w:widowControl w:val="0"/>
              <w:rPr>
                <w:szCs w:val="20"/>
              </w:rPr>
            </w:pPr>
          </w:p>
        </w:tc>
        <w:tc>
          <w:tcPr>
            <w:tcW w:w="4565" w:type="dxa"/>
            <w:gridSpan w:val="4"/>
            <w:tcBorders>
              <w:left w:val="single" w:sz="4" w:space="0" w:color="auto"/>
            </w:tcBorders>
            <w:vAlign w:val="center"/>
          </w:tcPr>
          <w:p w14:paraId="7B55ACA5" w14:textId="77777777" w:rsidR="00E772A0" w:rsidRPr="0004372A" w:rsidRDefault="00E772A0" w:rsidP="00E772A0">
            <w:pPr>
              <w:pStyle w:val="Tabletext"/>
              <w:widowControl w:val="0"/>
              <w:rPr>
                <w:szCs w:val="20"/>
              </w:rPr>
            </w:pPr>
            <w:r w:rsidRPr="0004372A">
              <w:rPr>
                <w:szCs w:val="20"/>
              </w:rPr>
              <w:t>Total number of study participants / Number of treatment arms</w:t>
            </w:r>
          </w:p>
        </w:tc>
        <w:tc>
          <w:tcPr>
            <w:tcW w:w="2239" w:type="dxa"/>
            <w:gridSpan w:val="2"/>
            <w:tcBorders>
              <w:left w:val="single" w:sz="4" w:space="0" w:color="auto"/>
            </w:tcBorders>
            <w:vAlign w:val="center"/>
          </w:tcPr>
          <w:p w14:paraId="20CD1DB8" w14:textId="77777777" w:rsidR="00E772A0" w:rsidRPr="00E81012" w:rsidRDefault="00E772A0" w:rsidP="00E772A0">
            <w:pPr>
              <w:pStyle w:val="Tabletext"/>
              <w:widowControl w:val="0"/>
              <w:rPr>
                <w:szCs w:val="20"/>
              </w:rPr>
            </w:pPr>
          </w:p>
        </w:tc>
      </w:tr>
      <w:tr w:rsidR="00E772A0" w:rsidRPr="00E81012" w14:paraId="25453F8F" w14:textId="77777777" w:rsidTr="00F07327">
        <w:tc>
          <w:tcPr>
            <w:tcW w:w="2376" w:type="dxa"/>
            <w:tcBorders>
              <w:right w:val="single" w:sz="4" w:space="0" w:color="auto"/>
            </w:tcBorders>
            <w:vAlign w:val="center"/>
          </w:tcPr>
          <w:p w14:paraId="48E06870" w14:textId="77777777" w:rsidR="00E772A0" w:rsidRDefault="00E772A0" w:rsidP="00E772A0">
            <w:pPr>
              <w:pStyle w:val="Tabletext"/>
              <w:widowControl w:val="0"/>
              <w:rPr>
                <w:szCs w:val="20"/>
              </w:rPr>
            </w:pPr>
            <w:r>
              <w:rPr>
                <w:szCs w:val="20"/>
              </w:rPr>
              <w:t>Revision surgery</w:t>
            </w:r>
          </w:p>
        </w:tc>
        <w:tc>
          <w:tcPr>
            <w:tcW w:w="1276" w:type="dxa"/>
            <w:tcBorders>
              <w:left w:val="single" w:sz="4" w:space="0" w:color="auto"/>
              <w:right w:val="nil"/>
            </w:tcBorders>
            <w:shd w:val="clear" w:color="auto" w:fill="auto"/>
            <w:vAlign w:val="center"/>
          </w:tcPr>
          <w:p w14:paraId="64137A1C" w14:textId="77777777" w:rsidR="00E772A0" w:rsidRPr="0068766A" w:rsidRDefault="00E772A0" w:rsidP="00E772A0">
            <w:pPr>
              <w:pStyle w:val="Tabletext"/>
              <w:widowControl w:val="0"/>
              <w:rPr>
                <w:szCs w:val="20"/>
              </w:rPr>
            </w:pPr>
            <w:r w:rsidRPr="0068766A">
              <w:rPr>
                <w:szCs w:val="20"/>
              </w:rPr>
              <w:t>136 / 3</w:t>
            </w:r>
          </w:p>
        </w:tc>
        <w:tc>
          <w:tcPr>
            <w:tcW w:w="992" w:type="dxa"/>
            <w:tcBorders>
              <w:left w:val="nil"/>
              <w:right w:val="single" w:sz="4" w:space="0" w:color="auto"/>
            </w:tcBorders>
            <w:shd w:val="clear" w:color="auto" w:fill="auto"/>
            <w:vAlign w:val="center"/>
          </w:tcPr>
          <w:p w14:paraId="5A4073D0" w14:textId="77777777" w:rsidR="00E772A0" w:rsidRPr="0068766A" w:rsidRDefault="00E772A0" w:rsidP="00E772A0">
            <w:pPr>
              <w:pStyle w:val="Tabletext"/>
              <w:widowControl w:val="0"/>
              <w:rPr>
                <w:szCs w:val="20"/>
              </w:rPr>
            </w:pPr>
            <w:r w:rsidRPr="0068766A">
              <w:rPr>
                <w:szCs w:val="20"/>
              </w:rPr>
              <w:t>64 / 1</w:t>
            </w:r>
          </w:p>
        </w:tc>
        <w:tc>
          <w:tcPr>
            <w:tcW w:w="1276" w:type="dxa"/>
            <w:tcBorders>
              <w:left w:val="single" w:sz="4" w:space="0" w:color="auto"/>
              <w:right w:val="nil"/>
            </w:tcBorders>
            <w:shd w:val="clear" w:color="auto" w:fill="auto"/>
            <w:vAlign w:val="center"/>
          </w:tcPr>
          <w:p w14:paraId="75A7E520" w14:textId="77777777" w:rsidR="00E772A0" w:rsidRDefault="00E772A0" w:rsidP="00E772A0">
            <w:pPr>
              <w:pStyle w:val="Tabletext"/>
              <w:widowControl w:val="0"/>
              <w:rPr>
                <w:szCs w:val="20"/>
              </w:rPr>
            </w:pPr>
            <w:r w:rsidRPr="00393401">
              <w:rPr>
                <w:szCs w:val="20"/>
              </w:rPr>
              <w:t>115 / 3</w:t>
            </w:r>
          </w:p>
        </w:tc>
        <w:tc>
          <w:tcPr>
            <w:tcW w:w="1021" w:type="dxa"/>
            <w:tcBorders>
              <w:left w:val="nil"/>
              <w:right w:val="single" w:sz="4" w:space="0" w:color="auto"/>
            </w:tcBorders>
            <w:shd w:val="clear" w:color="auto" w:fill="auto"/>
            <w:vAlign w:val="center"/>
          </w:tcPr>
          <w:p w14:paraId="450DF26A" w14:textId="77777777" w:rsidR="00E772A0" w:rsidRPr="00FB1B8C" w:rsidRDefault="00E772A0" w:rsidP="00E772A0">
            <w:pPr>
              <w:pStyle w:val="Tabletext"/>
              <w:widowControl w:val="0"/>
              <w:rPr>
                <w:szCs w:val="20"/>
              </w:rPr>
            </w:pPr>
            <w:r w:rsidRPr="00FB1B8C">
              <w:rPr>
                <w:szCs w:val="20"/>
              </w:rPr>
              <w:t>912 / 1</w:t>
            </w:r>
            <w:r>
              <w:rPr>
                <w:szCs w:val="20"/>
              </w:rPr>
              <w:t>9</w:t>
            </w:r>
          </w:p>
        </w:tc>
        <w:tc>
          <w:tcPr>
            <w:tcW w:w="1247" w:type="dxa"/>
            <w:tcBorders>
              <w:left w:val="single" w:sz="4" w:space="0" w:color="auto"/>
              <w:right w:val="nil"/>
            </w:tcBorders>
            <w:shd w:val="clear" w:color="auto" w:fill="auto"/>
            <w:vAlign w:val="center"/>
          </w:tcPr>
          <w:p w14:paraId="431994AA" w14:textId="77777777" w:rsidR="00E772A0" w:rsidRPr="00FB1B8C" w:rsidRDefault="00E772A0" w:rsidP="00E772A0">
            <w:pPr>
              <w:pStyle w:val="Tabletext"/>
              <w:widowControl w:val="0"/>
              <w:rPr>
                <w:szCs w:val="20"/>
              </w:rPr>
            </w:pPr>
          </w:p>
        </w:tc>
        <w:tc>
          <w:tcPr>
            <w:tcW w:w="992" w:type="dxa"/>
            <w:tcBorders>
              <w:left w:val="nil"/>
            </w:tcBorders>
            <w:shd w:val="clear" w:color="auto" w:fill="auto"/>
            <w:vAlign w:val="center"/>
          </w:tcPr>
          <w:p w14:paraId="47691486" w14:textId="77777777" w:rsidR="00E772A0" w:rsidRPr="00FB1B8C" w:rsidRDefault="00E772A0" w:rsidP="00E772A0">
            <w:pPr>
              <w:pStyle w:val="Tabletext"/>
              <w:widowControl w:val="0"/>
              <w:rPr>
                <w:szCs w:val="20"/>
              </w:rPr>
            </w:pPr>
          </w:p>
        </w:tc>
      </w:tr>
    </w:tbl>
    <w:p w14:paraId="6CA4137C" w14:textId="77777777" w:rsidR="00E772A0" w:rsidRDefault="00E772A0" w:rsidP="00E772A0">
      <w:pPr>
        <w:pStyle w:val="Tablenotes"/>
      </w:pPr>
      <w:r w:rsidRPr="00182F21">
        <w:t xml:space="preserve">ADAR=Applicant Developed Assessment Report; </w:t>
      </w:r>
      <w:r>
        <w:t xml:space="preserve">CS=case series; </w:t>
      </w:r>
      <w:r w:rsidRPr="00182F21">
        <w:t xml:space="preserve">FTRCT=full-thickness rotator cuff tear; </w:t>
      </w:r>
      <w:r>
        <w:t xml:space="preserve">NRCS=non-randomised comparative studies; </w:t>
      </w:r>
      <w:r w:rsidRPr="00182F21">
        <w:t>PTRCT=partial-thickness rotator cuff tear; RCT=randomised controlled trial</w:t>
      </w:r>
    </w:p>
    <w:p w14:paraId="6D8C6146" w14:textId="77777777" w:rsidR="00E772A0" w:rsidRPr="00A535B7" w:rsidRDefault="00E772A0" w:rsidP="00E772A0">
      <w:pPr>
        <w:pStyle w:val="Tablenotes"/>
      </w:pPr>
      <w:r>
        <w:t xml:space="preserve">Note that this table </w:t>
      </w:r>
      <w:proofErr w:type="gramStart"/>
      <w:r>
        <w:t>was not provided</w:t>
      </w:r>
      <w:proofErr w:type="gramEnd"/>
      <w:r>
        <w:t xml:space="preserve"> in the ADAR but was constructed during the evaluation. While the numbers of participants for REGENETEN studies reported here were consistent with the main body of the ADAR and the spreadsheet provided in Appendix 13, the numbers of participants for the standard surgery studies are not. The number of participants for standard surgery for the different outcomes </w:t>
      </w:r>
      <w:proofErr w:type="gramStart"/>
      <w:r>
        <w:t>were computed</w:t>
      </w:r>
      <w:proofErr w:type="gramEnd"/>
      <w:r>
        <w:t xml:space="preserve"> based on the relevant spreadsheets supplied in Appendix 13. Where there are discrepancies between the main body and Appendix 13 of the ADAR, data from Appendix 13 </w:t>
      </w:r>
      <w:proofErr w:type="gramStart"/>
      <w:r>
        <w:t>are presented</w:t>
      </w:r>
      <w:proofErr w:type="gramEnd"/>
      <w:r>
        <w:t xml:space="preserve"> here.</w:t>
      </w:r>
    </w:p>
    <w:p w14:paraId="3D7CA38E" w14:textId="77777777" w:rsidR="00E772A0" w:rsidRPr="00873F1B" w:rsidRDefault="00E772A0" w:rsidP="00E772A0">
      <w:pPr>
        <w:pStyle w:val="Tablenotes"/>
      </w:pPr>
      <w:r>
        <w:t xml:space="preserve">* These numbers referred to the total number of study participants enrolled or randomized in the treatment arms. </w:t>
      </w:r>
    </w:p>
    <w:p w14:paraId="719B526E" w14:textId="77777777" w:rsidR="00E772A0" w:rsidRPr="005C0465" w:rsidRDefault="00E772A0" w:rsidP="00E772A0">
      <w:pPr>
        <w:pStyle w:val="Tablenotes"/>
      </w:pPr>
      <w:r>
        <w:t>^ These numbers referred to the total number of patients with follow-up scans.</w:t>
      </w:r>
    </w:p>
    <w:p w14:paraId="6EB6299D" w14:textId="77777777" w:rsidR="00E772A0" w:rsidRPr="00396FE7" w:rsidRDefault="00E772A0" w:rsidP="00E772A0">
      <w:pPr>
        <w:pStyle w:val="Tablenotes"/>
      </w:pPr>
      <w:r w:rsidRPr="00182F21">
        <w:t>Source: Tables 21-2</w:t>
      </w:r>
      <w:r>
        <w:t>4</w:t>
      </w:r>
      <w:r w:rsidRPr="00182F21">
        <w:t>, pp61-6</w:t>
      </w:r>
      <w:r>
        <w:t xml:space="preserve">7 of the </w:t>
      </w:r>
      <w:r w:rsidRPr="00182F21">
        <w:t>ADAR</w:t>
      </w:r>
      <w:r>
        <w:t>; Appendix 13 of the ADAR</w:t>
      </w:r>
    </w:p>
    <w:p w14:paraId="614ECD53" w14:textId="7A1C4AAD" w:rsidR="00E772A0" w:rsidRDefault="00E772A0" w:rsidP="00E772A0">
      <w:r w:rsidRPr="005531B5">
        <w:t xml:space="preserve">The ADAR identified five </w:t>
      </w:r>
      <w:r>
        <w:t>REGENETEN studies (all open prospective observational studies): two in PTRCT (</w:t>
      </w:r>
      <w:proofErr w:type="spellStart"/>
      <w:r>
        <w:t>Bokor</w:t>
      </w:r>
      <w:proofErr w:type="spellEnd"/>
      <w:r>
        <w:t xml:space="preserve"> 2016</w:t>
      </w:r>
      <w:r>
        <w:rPr>
          <w:rStyle w:val="FootnoteReference"/>
        </w:rPr>
        <w:footnoteReference w:id="8"/>
      </w:r>
      <w:r>
        <w:t>, n=13; Schlegel 2018</w:t>
      </w:r>
      <w:r>
        <w:rPr>
          <w:rStyle w:val="FootnoteReference"/>
        </w:rPr>
        <w:footnoteReference w:id="9"/>
      </w:r>
      <w:r>
        <w:t>, n=33), two in FTRCT (</w:t>
      </w:r>
      <w:proofErr w:type="spellStart"/>
      <w:r>
        <w:t>Bokor</w:t>
      </w:r>
      <w:proofErr w:type="spellEnd"/>
      <w:r>
        <w:t xml:space="preserve"> 2015</w:t>
      </w:r>
      <w:r>
        <w:rPr>
          <w:rStyle w:val="FootnoteReference"/>
        </w:rPr>
        <w:footnoteReference w:id="10"/>
      </w:r>
      <w:r>
        <w:t>, n=</w:t>
      </w:r>
      <w:proofErr w:type="gramStart"/>
      <w:r>
        <w:t>9</w:t>
      </w:r>
      <w:proofErr w:type="gramEnd"/>
      <w:r>
        <w:t>; Thon 2019</w:t>
      </w:r>
      <w:r>
        <w:rPr>
          <w:rStyle w:val="FootnoteReference"/>
        </w:rPr>
        <w:footnoteReference w:id="11"/>
      </w:r>
      <w:r>
        <w:t>, n=23) and one in both (McIntyre 2019</w:t>
      </w:r>
      <w:r>
        <w:rPr>
          <w:rStyle w:val="FootnoteReference"/>
        </w:rPr>
        <w:footnoteReference w:id="12"/>
      </w:r>
      <w:r>
        <w:t xml:space="preserve">; PTRCT: n=90; FTRCT: n=83). </w:t>
      </w:r>
      <w:proofErr w:type="spellStart"/>
      <w:r>
        <w:t>Bokor</w:t>
      </w:r>
      <w:proofErr w:type="spellEnd"/>
      <w:r>
        <w:t xml:space="preserve"> 2015, 2016 were Australian studies. The other three were </w:t>
      </w:r>
      <w:proofErr w:type="gramStart"/>
      <w:r>
        <w:t>US</w:t>
      </w:r>
      <w:proofErr w:type="gramEnd"/>
      <w:r>
        <w:t xml:space="preserve"> studies. The </w:t>
      </w:r>
      <w:r>
        <w:lastRenderedPageBreak/>
        <w:t>Commentary stated that t</w:t>
      </w:r>
      <w:r w:rsidRPr="004316B6">
        <w:t xml:space="preserve">he </w:t>
      </w:r>
      <w:r w:rsidRPr="004316B6">
        <w:rPr>
          <w:iCs/>
        </w:rPr>
        <w:t>non-randomised data for REGENETEN, which the majority had sample sizes &lt;30, had a high risk of bias, including selection bias.</w:t>
      </w:r>
    </w:p>
    <w:p w14:paraId="3B1CFFB2" w14:textId="31864B6E" w:rsidR="00E772A0" w:rsidRDefault="00E772A0" w:rsidP="00885C08">
      <w:pPr>
        <w:spacing w:before="240"/>
      </w:pPr>
      <w:r>
        <w:t>Forty-five studies for standard surgery were included, which the majority (64.4%) were randomised controlled trials (RCTs): five studies (n=325) in PTRCT and 42 (n=2,884) in FTRCT</w:t>
      </w:r>
      <w:r w:rsidR="006F271F">
        <w:t>.</w:t>
      </w:r>
      <w:r>
        <w:t xml:space="preserve"> The ADAR stated study duration ranged between 12 and 60 months with majority of studies following patients between 12 and 24 months.</w:t>
      </w:r>
    </w:p>
    <w:p w14:paraId="69FF64AE" w14:textId="4DE75130" w:rsidR="00E772A0" w:rsidRPr="00885C08" w:rsidRDefault="00E772A0" w:rsidP="00885C08">
      <w:pPr>
        <w:spacing w:before="240"/>
      </w:pPr>
      <w:r>
        <w:t xml:space="preserve">The ADAR performed meta-analyses for </w:t>
      </w:r>
      <w:r w:rsidRPr="00A83CA2">
        <w:t>REGENETEN and standard surgery studies within each population</w:t>
      </w:r>
      <w:r>
        <w:t>. The ADAR stated that v</w:t>
      </w:r>
      <w:r w:rsidRPr="00D61B5B">
        <w:t xml:space="preserve">ariation in the definition of outcomes, amount of follow-up and study design meant there was potential for a large degree of heterogeneity in the meta-analyses. Accordingly, the random effects models </w:t>
      </w:r>
      <w:proofErr w:type="gramStart"/>
      <w:r w:rsidRPr="00D61B5B">
        <w:t>were used</w:t>
      </w:r>
      <w:proofErr w:type="gramEnd"/>
      <w:r w:rsidRPr="00D61B5B">
        <w:t xml:space="preserve"> to produce pooled estimates of treatment effect. Due to the limitations of comparing single arm studies, it was not possible to compute, and, thus compare, relative risks.</w:t>
      </w:r>
      <w:r>
        <w:t xml:space="preserve"> </w:t>
      </w:r>
      <w:r w:rsidRPr="00A83CA2">
        <w:rPr>
          <w:rFonts w:eastAsiaTheme="minorHAnsi"/>
        </w:rPr>
        <w:t>The</w:t>
      </w:r>
      <w:r>
        <w:rPr>
          <w:rFonts w:eastAsiaTheme="minorHAnsi"/>
        </w:rPr>
        <w:t xml:space="preserve"> Commentary stated that the</w:t>
      </w:r>
      <w:r w:rsidRPr="00A83CA2">
        <w:rPr>
          <w:rFonts w:eastAsiaTheme="minorHAnsi"/>
        </w:rPr>
        <w:t xml:space="preserve"> indirect comparisons conducted </w:t>
      </w:r>
      <w:r>
        <w:rPr>
          <w:rFonts w:eastAsiaTheme="minorHAnsi"/>
        </w:rPr>
        <w:t xml:space="preserve">were naïve, not via a common comparator as </w:t>
      </w:r>
      <w:r w:rsidRPr="00A83CA2">
        <w:rPr>
          <w:rFonts w:eastAsiaTheme="minorHAnsi"/>
        </w:rPr>
        <w:t>described</w:t>
      </w:r>
      <w:r>
        <w:rPr>
          <w:rFonts w:eastAsiaTheme="minorHAnsi"/>
        </w:rPr>
        <w:t xml:space="preserve"> by Bucher et al. 1997</w:t>
      </w:r>
      <w:r>
        <w:rPr>
          <w:rStyle w:val="FootnoteReference"/>
          <w:rFonts w:eastAsiaTheme="minorHAnsi"/>
        </w:rPr>
        <w:footnoteReference w:id="13"/>
      </w:r>
      <w:r>
        <w:rPr>
          <w:rFonts w:eastAsiaTheme="minorHAnsi"/>
        </w:rPr>
        <w:t xml:space="preserve">. </w:t>
      </w:r>
      <w:r w:rsidRPr="00244CB2">
        <w:t xml:space="preserve">The relative effectiveness estimates presented </w:t>
      </w:r>
      <w:proofErr w:type="gramStart"/>
      <w:r w:rsidRPr="00244CB2">
        <w:t>were not adjusted</w:t>
      </w:r>
      <w:proofErr w:type="gramEnd"/>
      <w:r w:rsidRPr="00244CB2">
        <w:t xml:space="preserve"> via any common comparator between REGENETEN and standard surgery.</w:t>
      </w:r>
    </w:p>
    <w:p w14:paraId="236C6DDE" w14:textId="57CDA166" w:rsidR="00E772A0" w:rsidRDefault="00E772A0" w:rsidP="00885C08">
      <w:pPr>
        <w:spacing w:before="240"/>
        <w:rPr>
          <w:iCs/>
          <w:lang w:eastAsia="en-US"/>
        </w:rPr>
      </w:pPr>
      <w:r w:rsidRPr="007B236E">
        <w:rPr>
          <w:iCs/>
          <w:lang w:eastAsia="en-US"/>
        </w:rPr>
        <w:t xml:space="preserve">The ADAR stated that patients’ characteristics </w:t>
      </w:r>
      <w:proofErr w:type="gramStart"/>
      <w:r w:rsidRPr="007B236E">
        <w:rPr>
          <w:iCs/>
          <w:lang w:eastAsia="en-US"/>
        </w:rPr>
        <w:t>were well matched</w:t>
      </w:r>
      <w:proofErr w:type="gramEnd"/>
      <w:r w:rsidRPr="007B236E">
        <w:rPr>
          <w:iCs/>
          <w:lang w:eastAsia="en-US"/>
        </w:rPr>
        <w:t xml:space="preserve"> between the studies of REGENETEN and standard surgery in terms of age, gender and type of tear. The ADAR did note one key difference was that for some patients enrolled in the REGENETEN studies, the index procedure was a revision surgery, whereas revision surgeries </w:t>
      </w:r>
      <w:proofErr w:type="gramStart"/>
      <w:r w:rsidRPr="007B236E">
        <w:rPr>
          <w:iCs/>
          <w:lang w:eastAsia="en-US"/>
        </w:rPr>
        <w:t>were generally excluded</w:t>
      </w:r>
      <w:proofErr w:type="gramEnd"/>
      <w:r w:rsidRPr="007B236E">
        <w:rPr>
          <w:iCs/>
          <w:lang w:eastAsia="en-US"/>
        </w:rPr>
        <w:t xml:space="preserve"> in standard surgery studies. As revision surgeries are more prone to failure, this may bias the comparative clini</w:t>
      </w:r>
      <w:r>
        <w:rPr>
          <w:iCs/>
          <w:lang w:eastAsia="en-US"/>
        </w:rPr>
        <w:t>cal analysis against REGENETEN.</w:t>
      </w:r>
    </w:p>
    <w:p w14:paraId="11BFAE93" w14:textId="77777777" w:rsidR="00E772A0" w:rsidRDefault="00E772A0" w:rsidP="00885C08">
      <w:pPr>
        <w:spacing w:before="240"/>
        <w:rPr>
          <w:iCs/>
          <w:lang w:eastAsia="en-US"/>
        </w:rPr>
      </w:pPr>
      <w:r w:rsidRPr="007B236E">
        <w:rPr>
          <w:iCs/>
          <w:lang w:eastAsia="en-US"/>
        </w:rPr>
        <w:t xml:space="preserve">However, </w:t>
      </w:r>
      <w:r>
        <w:rPr>
          <w:iCs/>
          <w:lang w:eastAsia="en-US"/>
        </w:rPr>
        <w:t xml:space="preserve">the Commentary considered that </w:t>
      </w:r>
      <w:r w:rsidRPr="007B236E">
        <w:rPr>
          <w:iCs/>
          <w:lang w:eastAsia="en-US"/>
        </w:rPr>
        <w:t>the studies of standard surgery were highly heterogeneous, especial</w:t>
      </w:r>
      <w:r>
        <w:rPr>
          <w:iCs/>
          <w:lang w:eastAsia="en-US"/>
        </w:rPr>
        <w:t>ly for subpopulation 2 (FTRCT):</w:t>
      </w:r>
    </w:p>
    <w:p w14:paraId="0198F77A" w14:textId="77777777" w:rsidR="00E772A0" w:rsidRDefault="00E772A0" w:rsidP="00E772A0">
      <w:pPr>
        <w:pStyle w:val="ListParagraph"/>
        <w:numPr>
          <w:ilvl w:val="0"/>
          <w:numId w:val="30"/>
        </w:numPr>
        <w:rPr>
          <w:iCs/>
          <w:lang w:eastAsia="en-US"/>
        </w:rPr>
      </w:pPr>
      <w:r w:rsidRPr="007B236E">
        <w:rPr>
          <w:iCs/>
          <w:lang w:eastAsia="en-US"/>
        </w:rPr>
        <w:t xml:space="preserve">For both subpopulations, comparability of the patient population across the studies of standard surgery versus the REGENETEN studies at baseline was not clear. The ADAR only addressed the issue in terms of age and gender distribution in Section C.2. However, baseline patient population comparability should also include disease characteristics (e.g. tear location, extent, tear size) and co-existing shoulder pathology, as these might impact on the index surgical techniques and concomitant procedures performed, thereby impacting on effectiveness. Study-level information on these characteristics </w:t>
      </w:r>
      <w:proofErr w:type="gramStart"/>
      <w:r w:rsidRPr="007B236E">
        <w:rPr>
          <w:iCs/>
          <w:lang w:eastAsia="en-US"/>
        </w:rPr>
        <w:t>were not provided</w:t>
      </w:r>
      <w:proofErr w:type="gramEnd"/>
      <w:r w:rsidRPr="007B236E">
        <w:rPr>
          <w:iCs/>
          <w:lang w:eastAsia="en-US"/>
        </w:rPr>
        <w:t xml:space="preserve"> in the ADAR. Comparability of the REGENETEN and standard surgery studies were therefore unclear.</w:t>
      </w:r>
    </w:p>
    <w:p w14:paraId="645AAE07" w14:textId="77777777" w:rsidR="00E772A0" w:rsidRPr="00E772A0" w:rsidRDefault="00E772A0" w:rsidP="00E772A0">
      <w:pPr>
        <w:pStyle w:val="ListParagraph"/>
        <w:numPr>
          <w:ilvl w:val="0"/>
          <w:numId w:val="30"/>
        </w:numPr>
        <w:rPr>
          <w:iCs/>
          <w:lang w:eastAsia="en-US"/>
        </w:rPr>
      </w:pPr>
      <w:r w:rsidRPr="007B236E">
        <w:rPr>
          <w:iCs/>
          <w:lang w:eastAsia="en-US"/>
        </w:rPr>
        <w:t>For both subpopulations, comparability of the surgical intervention performed across the standard surgery studies versus the REGENETEN studies was also not clear. A wide variety of surgical procedures were performed across the standard surgery studies some of which may not be applicable to current practice, as most standard surgery studies were conducted 10-15 years ago. In addition, some studies included trauma repair, not included in the proposed use. Thus, there were applicability concerns with the comparator studies in</w:t>
      </w:r>
      <w:r>
        <w:rPr>
          <w:iCs/>
          <w:lang w:eastAsia="en-US"/>
        </w:rPr>
        <w:t>cluded in the naïve comparison.</w:t>
      </w:r>
      <w:bookmarkStart w:id="6" w:name="_Hlk36015834"/>
    </w:p>
    <w:p w14:paraId="05D330EB" w14:textId="77777777" w:rsidR="00E772A0" w:rsidRDefault="00E772A0" w:rsidP="00E772A0">
      <w:pPr>
        <w:pStyle w:val="Heading2"/>
      </w:pPr>
      <w:r>
        <w:t>Procedural complications and long-term adverse events</w:t>
      </w:r>
    </w:p>
    <w:bookmarkEnd w:id="6"/>
    <w:p w14:paraId="64BD5212" w14:textId="7DA0EFD6" w:rsidR="00E772A0" w:rsidRDefault="00E772A0" w:rsidP="00E772A0">
      <w:pPr>
        <w:rPr>
          <w:iCs/>
          <w:lang w:eastAsia="en-US"/>
        </w:rPr>
      </w:pPr>
      <w:r w:rsidRPr="00A71051">
        <w:rPr>
          <w:iCs/>
          <w:lang w:eastAsia="en-US"/>
        </w:rPr>
        <w:t>The ADAR reported that there were no long-term adverse events (AEs) across all REGENETEN studies</w:t>
      </w:r>
      <w:r w:rsidR="007A30C9">
        <w:rPr>
          <w:iCs/>
          <w:lang w:eastAsia="en-US"/>
        </w:rPr>
        <w:t xml:space="preserve"> (</w:t>
      </w:r>
      <w:r w:rsidR="00652916" w:rsidRPr="00E62E8F">
        <w:rPr>
          <w:iCs/>
          <w:szCs w:val="24"/>
          <w:lang w:eastAsia="en-US"/>
        </w:rPr>
        <w:fldChar w:fldCharType="begin"/>
      </w:r>
      <w:r w:rsidR="00652916" w:rsidRPr="00E62E8F">
        <w:rPr>
          <w:iCs/>
          <w:szCs w:val="24"/>
          <w:lang w:eastAsia="en-US"/>
        </w:rPr>
        <w:instrText xml:space="preserve"> REF _Ref36020651 \h </w:instrText>
      </w:r>
      <w:r w:rsidR="00652916" w:rsidRPr="00E62E8F">
        <w:rPr>
          <w:iCs/>
          <w:szCs w:val="24"/>
          <w:lang w:eastAsia="en-US"/>
        </w:rPr>
      </w:r>
      <w:r w:rsidR="00E62E8F" w:rsidRPr="00E62E8F">
        <w:rPr>
          <w:iCs/>
          <w:szCs w:val="24"/>
          <w:lang w:eastAsia="en-US"/>
        </w:rPr>
        <w:instrText xml:space="preserve"> \* MERGEFORMAT </w:instrText>
      </w:r>
      <w:r w:rsidR="00652916" w:rsidRPr="00E62E8F">
        <w:rPr>
          <w:iCs/>
          <w:szCs w:val="24"/>
          <w:lang w:eastAsia="en-US"/>
        </w:rPr>
        <w:fldChar w:fldCharType="separate"/>
      </w:r>
      <w:r w:rsidR="00455942" w:rsidRPr="00455942">
        <w:rPr>
          <w:szCs w:val="24"/>
        </w:rPr>
        <w:t xml:space="preserve">Table </w:t>
      </w:r>
      <w:r w:rsidR="00455942" w:rsidRPr="00455942">
        <w:rPr>
          <w:noProof/>
          <w:szCs w:val="24"/>
        </w:rPr>
        <w:t>3</w:t>
      </w:r>
      <w:r w:rsidR="00652916" w:rsidRPr="00E62E8F">
        <w:rPr>
          <w:iCs/>
          <w:szCs w:val="24"/>
          <w:lang w:eastAsia="en-US"/>
        </w:rPr>
        <w:fldChar w:fldCharType="end"/>
      </w:r>
      <w:r w:rsidR="007A30C9">
        <w:rPr>
          <w:iCs/>
          <w:lang w:eastAsia="en-US"/>
        </w:rPr>
        <w:t>)</w:t>
      </w:r>
      <w:r>
        <w:rPr>
          <w:iCs/>
          <w:lang w:eastAsia="en-US"/>
        </w:rPr>
        <w:t>.</w:t>
      </w:r>
    </w:p>
    <w:p w14:paraId="4E027A58" w14:textId="15E46057" w:rsidR="00E772A0" w:rsidRPr="00D32FC9" w:rsidRDefault="00652916" w:rsidP="00D32FC9">
      <w:pPr>
        <w:keepNext/>
        <w:keepLines/>
        <w:spacing w:before="240"/>
        <w:rPr>
          <w:rFonts w:ascii="Arial Narrow" w:hAnsi="Arial Narrow"/>
          <w:b/>
          <w:sz w:val="20"/>
        </w:rPr>
      </w:pPr>
      <w:bookmarkStart w:id="7" w:name="_Ref36020651"/>
      <w:bookmarkStart w:id="8" w:name="_Toc36643065"/>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3</w:t>
      </w:r>
      <w:r w:rsidR="00F62D1A" w:rsidRPr="00D32FC9">
        <w:rPr>
          <w:rFonts w:ascii="Arial Narrow" w:hAnsi="Arial Narrow"/>
          <w:b/>
          <w:sz w:val="20"/>
        </w:rPr>
        <w:fldChar w:fldCharType="end"/>
      </w:r>
      <w:bookmarkEnd w:id="7"/>
      <w:r w:rsidR="00E772A0" w:rsidRPr="00D32FC9">
        <w:rPr>
          <w:rFonts w:ascii="Arial Narrow" w:hAnsi="Arial Narrow"/>
          <w:b/>
          <w:sz w:val="20"/>
        </w:rPr>
        <w:tab/>
        <w:t>Summary of results of procedural complications</w:t>
      </w:r>
      <w:bookmarkEnd w:id="8"/>
      <w:r w:rsidR="00E772A0" w:rsidRPr="00D32FC9">
        <w:rPr>
          <w:rFonts w:ascii="Arial Narrow" w:hAnsi="Arial Narrow"/>
          <w:b/>
          <w:sz w:val="20"/>
        </w:rPr>
        <w:t xml:space="preserve"> </w:t>
      </w:r>
    </w:p>
    <w:tbl>
      <w:tblPr>
        <w:tblStyle w:val="TableGrid"/>
        <w:tblW w:w="9180" w:type="dxa"/>
        <w:tblLayout w:type="fixed"/>
        <w:tblLook w:val="04A0" w:firstRow="1" w:lastRow="0" w:firstColumn="1" w:lastColumn="0" w:noHBand="0" w:noVBand="1"/>
        <w:tblDescription w:val="Summary of results of procedural complications "/>
      </w:tblPr>
      <w:tblGrid>
        <w:gridCol w:w="3369"/>
        <w:gridCol w:w="3430"/>
        <w:gridCol w:w="2381"/>
      </w:tblGrid>
      <w:tr w:rsidR="00E772A0" w:rsidRPr="00E81012" w14:paraId="4331AC02" w14:textId="77777777" w:rsidTr="00F07327">
        <w:trPr>
          <w:tblHeader/>
        </w:trPr>
        <w:tc>
          <w:tcPr>
            <w:tcW w:w="3369" w:type="dxa"/>
            <w:tcBorders>
              <w:bottom w:val="single" w:sz="4" w:space="0" w:color="auto"/>
            </w:tcBorders>
            <w:vAlign w:val="center"/>
          </w:tcPr>
          <w:p w14:paraId="501C5AD5" w14:textId="77777777" w:rsidR="00E772A0" w:rsidRPr="00A71051" w:rsidRDefault="00E772A0" w:rsidP="00D32FC9">
            <w:pPr>
              <w:pStyle w:val="Tabletext"/>
              <w:keepNext/>
              <w:keepLines/>
              <w:rPr>
                <w:b/>
              </w:rPr>
            </w:pPr>
          </w:p>
        </w:tc>
        <w:tc>
          <w:tcPr>
            <w:tcW w:w="3430" w:type="dxa"/>
            <w:tcBorders>
              <w:bottom w:val="single" w:sz="4" w:space="0" w:color="auto"/>
            </w:tcBorders>
            <w:shd w:val="clear" w:color="auto" w:fill="auto"/>
            <w:vAlign w:val="center"/>
          </w:tcPr>
          <w:p w14:paraId="6AD5878D" w14:textId="77777777" w:rsidR="00E772A0" w:rsidRPr="00A71051" w:rsidRDefault="00E772A0" w:rsidP="00D32FC9">
            <w:pPr>
              <w:pStyle w:val="Tabletext"/>
              <w:keepNext/>
              <w:keepLines/>
              <w:rPr>
                <w:b/>
              </w:rPr>
            </w:pPr>
            <w:r w:rsidRPr="00A71051">
              <w:rPr>
                <w:rFonts w:cs="Arial"/>
                <w:b/>
                <w:bCs/>
                <w:iCs/>
              </w:rPr>
              <w:t>REGENETEN</w:t>
            </w:r>
          </w:p>
        </w:tc>
        <w:tc>
          <w:tcPr>
            <w:tcW w:w="2381" w:type="dxa"/>
            <w:tcBorders>
              <w:bottom w:val="single" w:sz="4" w:space="0" w:color="auto"/>
            </w:tcBorders>
            <w:shd w:val="clear" w:color="auto" w:fill="auto"/>
            <w:vAlign w:val="center"/>
          </w:tcPr>
          <w:p w14:paraId="1CBE14D3" w14:textId="77777777" w:rsidR="00E772A0" w:rsidRPr="00A71051" w:rsidRDefault="00E772A0" w:rsidP="00D32FC9">
            <w:pPr>
              <w:pStyle w:val="Tabletext"/>
              <w:keepNext/>
              <w:keepLines/>
              <w:rPr>
                <w:b/>
              </w:rPr>
            </w:pPr>
            <w:r w:rsidRPr="00A71051">
              <w:rPr>
                <w:b/>
                <w:bCs/>
              </w:rPr>
              <w:t>Standard Surgery</w:t>
            </w:r>
          </w:p>
        </w:tc>
      </w:tr>
      <w:tr w:rsidR="00E772A0" w:rsidRPr="00E81012" w14:paraId="6B4CCE62" w14:textId="77777777" w:rsidTr="00F07327">
        <w:tc>
          <w:tcPr>
            <w:tcW w:w="3369" w:type="dxa"/>
            <w:tcBorders>
              <w:right w:val="nil"/>
            </w:tcBorders>
            <w:shd w:val="clear" w:color="auto" w:fill="C4BC96" w:themeFill="background2" w:themeFillShade="BF"/>
            <w:vAlign w:val="center"/>
          </w:tcPr>
          <w:p w14:paraId="63A09BE5" w14:textId="77777777" w:rsidR="00E772A0" w:rsidRPr="00E81012" w:rsidRDefault="00E772A0" w:rsidP="00F07327">
            <w:pPr>
              <w:pStyle w:val="Tabletext"/>
              <w:rPr>
                <w:szCs w:val="20"/>
              </w:rPr>
            </w:pPr>
            <w:r>
              <w:rPr>
                <w:szCs w:val="20"/>
              </w:rPr>
              <w:t>Subpopulation 1 (</w:t>
            </w:r>
            <w:r w:rsidRPr="00E81012">
              <w:rPr>
                <w:szCs w:val="20"/>
              </w:rPr>
              <w:t>PTRCT</w:t>
            </w:r>
            <w:r>
              <w:rPr>
                <w:szCs w:val="20"/>
              </w:rPr>
              <w:t xml:space="preserve">) </w:t>
            </w:r>
          </w:p>
        </w:tc>
        <w:tc>
          <w:tcPr>
            <w:tcW w:w="3430" w:type="dxa"/>
            <w:tcBorders>
              <w:left w:val="nil"/>
              <w:right w:val="nil"/>
            </w:tcBorders>
            <w:shd w:val="clear" w:color="auto" w:fill="C4BC96" w:themeFill="background2" w:themeFillShade="BF"/>
            <w:vAlign w:val="center"/>
          </w:tcPr>
          <w:p w14:paraId="238991DC" w14:textId="77777777" w:rsidR="00E772A0" w:rsidRPr="00E81012" w:rsidRDefault="00E772A0" w:rsidP="00F07327">
            <w:pPr>
              <w:pStyle w:val="Tabletext"/>
              <w:rPr>
                <w:szCs w:val="20"/>
              </w:rPr>
            </w:pPr>
          </w:p>
        </w:tc>
        <w:tc>
          <w:tcPr>
            <w:tcW w:w="2381" w:type="dxa"/>
            <w:tcBorders>
              <w:left w:val="nil"/>
            </w:tcBorders>
            <w:shd w:val="clear" w:color="auto" w:fill="C4BC96" w:themeFill="background2" w:themeFillShade="BF"/>
            <w:vAlign w:val="center"/>
          </w:tcPr>
          <w:p w14:paraId="6FAD6D73" w14:textId="77777777" w:rsidR="00E772A0" w:rsidRPr="00E81012" w:rsidRDefault="00E772A0" w:rsidP="00F07327">
            <w:pPr>
              <w:pStyle w:val="Tabletext"/>
              <w:rPr>
                <w:szCs w:val="20"/>
              </w:rPr>
            </w:pPr>
          </w:p>
        </w:tc>
      </w:tr>
      <w:tr w:rsidR="00E772A0" w:rsidRPr="00E81012" w14:paraId="72EABE1B" w14:textId="77777777" w:rsidTr="00F07327">
        <w:tc>
          <w:tcPr>
            <w:tcW w:w="3369" w:type="dxa"/>
            <w:vAlign w:val="center"/>
          </w:tcPr>
          <w:p w14:paraId="7C967E4F" w14:textId="77777777" w:rsidR="00E772A0" w:rsidRPr="00E81012" w:rsidRDefault="00E772A0" w:rsidP="00F07327">
            <w:pPr>
              <w:pStyle w:val="Tabletext"/>
              <w:rPr>
                <w:szCs w:val="20"/>
              </w:rPr>
            </w:pPr>
            <w:r w:rsidRPr="00E81012">
              <w:rPr>
                <w:szCs w:val="20"/>
              </w:rPr>
              <w:t>Event rate in individual studies, range (%)</w:t>
            </w:r>
          </w:p>
        </w:tc>
        <w:tc>
          <w:tcPr>
            <w:tcW w:w="3430" w:type="dxa"/>
            <w:vAlign w:val="center"/>
          </w:tcPr>
          <w:p w14:paraId="34788E84" w14:textId="77777777" w:rsidR="00E772A0" w:rsidRPr="00E81012" w:rsidRDefault="00E772A0" w:rsidP="00F07327">
            <w:pPr>
              <w:pStyle w:val="Tabletext"/>
              <w:rPr>
                <w:szCs w:val="20"/>
              </w:rPr>
            </w:pPr>
            <w:r w:rsidRPr="00E81012">
              <w:rPr>
                <w:szCs w:val="20"/>
              </w:rPr>
              <w:t xml:space="preserve">0% </w:t>
            </w:r>
            <w:r>
              <w:rPr>
                <w:szCs w:val="20"/>
              </w:rPr>
              <w:t xml:space="preserve">(0/13-90) </w:t>
            </w:r>
            <w:r w:rsidRPr="00E81012">
              <w:rPr>
                <w:szCs w:val="20"/>
              </w:rPr>
              <w:t>- 9.1%</w:t>
            </w:r>
            <w:r>
              <w:rPr>
                <w:szCs w:val="20"/>
              </w:rPr>
              <w:t xml:space="preserve"> (3/33)</w:t>
            </w:r>
          </w:p>
        </w:tc>
        <w:tc>
          <w:tcPr>
            <w:tcW w:w="2381" w:type="dxa"/>
            <w:vAlign w:val="center"/>
          </w:tcPr>
          <w:p w14:paraId="10003480" w14:textId="77777777" w:rsidR="00E772A0" w:rsidRPr="00E81012" w:rsidRDefault="00E772A0" w:rsidP="00F07327">
            <w:pPr>
              <w:pStyle w:val="Tabletext"/>
              <w:rPr>
                <w:szCs w:val="20"/>
              </w:rPr>
            </w:pPr>
            <w:r w:rsidRPr="00E81012">
              <w:rPr>
                <w:szCs w:val="20"/>
              </w:rPr>
              <w:t>0%</w:t>
            </w:r>
            <w:r>
              <w:rPr>
                <w:szCs w:val="20"/>
              </w:rPr>
              <w:t xml:space="preserve"> (0/12-64) </w:t>
            </w:r>
            <w:r w:rsidRPr="00E81012">
              <w:rPr>
                <w:szCs w:val="20"/>
              </w:rPr>
              <w:t>-</w:t>
            </w:r>
            <w:r>
              <w:rPr>
                <w:szCs w:val="20"/>
              </w:rPr>
              <w:t xml:space="preserve"> </w:t>
            </w:r>
            <w:r w:rsidRPr="00E81012">
              <w:rPr>
                <w:szCs w:val="20"/>
              </w:rPr>
              <w:t>7.1%</w:t>
            </w:r>
            <w:r>
              <w:rPr>
                <w:szCs w:val="20"/>
              </w:rPr>
              <w:t xml:space="preserve"> (2/29)</w:t>
            </w:r>
          </w:p>
        </w:tc>
      </w:tr>
      <w:tr w:rsidR="00E772A0" w:rsidRPr="00E81012" w14:paraId="4A3599F2" w14:textId="77777777" w:rsidTr="00F07327">
        <w:tc>
          <w:tcPr>
            <w:tcW w:w="3369" w:type="dxa"/>
            <w:tcBorders>
              <w:bottom w:val="single" w:sz="4" w:space="0" w:color="auto"/>
            </w:tcBorders>
            <w:vAlign w:val="center"/>
          </w:tcPr>
          <w:p w14:paraId="328C0713" w14:textId="77777777" w:rsidR="00E772A0" w:rsidRPr="00E81012" w:rsidRDefault="00E772A0" w:rsidP="00F07327">
            <w:pPr>
              <w:pStyle w:val="Tabletext"/>
              <w:rPr>
                <w:szCs w:val="20"/>
              </w:rPr>
            </w:pPr>
            <w:r w:rsidRPr="00E81012">
              <w:rPr>
                <w:szCs w:val="20"/>
              </w:rPr>
              <w:t>Events</w:t>
            </w:r>
          </w:p>
        </w:tc>
        <w:tc>
          <w:tcPr>
            <w:tcW w:w="3430" w:type="dxa"/>
            <w:tcBorders>
              <w:bottom w:val="single" w:sz="4" w:space="0" w:color="auto"/>
            </w:tcBorders>
            <w:vAlign w:val="center"/>
          </w:tcPr>
          <w:p w14:paraId="40F821B8" w14:textId="77777777" w:rsidR="00E772A0" w:rsidRPr="00E81012" w:rsidRDefault="00E772A0" w:rsidP="00F07327">
            <w:pPr>
              <w:pStyle w:val="Tabletext"/>
              <w:rPr>
                <w:i/>
                <w:iCs/>
                <w:szCs w:val="20"/>
              </w:rPr>
            </w:pPr>
            <w:r w:rsidRPr="00E81012">
              <w:rPr>
                <w:szCs w:val="20"/>
              </w:rPr>
              <w:t>Cardiac ablation, allergic skin reaction, wound drainage due to a stitch abscess</w:t>
            </w:r>
          </w:p>
        </w:tc>
        <w:tc>
          <w:tcPr>
            <w:tcW w:w="2381" w:type="dxa"/>
            <w:tcBorders>
              <w:bottom w:val="single" w:sz="4" w:space="0" w:color="auto"/>
            </w:tcBorders>
            <w:vAlign w:val="center"/>
          </w:tcPr>
          <w:p w14:paraId="0A326411" w14:textId="77777777" w:rsidR="00E772A0" w:rsidRPr="00E81012" w:rsidRDefault="00E772A0" w:rsidP="00F07327">
            <w:pPr>
              <w:pStyle w:val="Tabletext"/>
              <w:rPr>
                <w:szCs w:val="20"/>
              </w:rPr>
            </w:pPr>
            <w:r w:rsidRPr="00E81012">
              <w:rPr>
                <w:szCs w:val="20"/>
              </w:rPr>
              <w:t>Adhesive capsulitis</w:t>
            </w:r>
          </w:p>
        </w:tc>
      </w:tr>
      <w:tr w:rsidR="00E772A0" w:rsidRPr="00E81012" w14:paraId="61A0B608" w14:textId="77777777" w:rsidTr="00F07327">
        <w:tc>
          <w:tcPr>
            <w:tcW w:w="3369" w:type="dxa"/>
            <w:tcBorders>
              <w:right w:val="nil"/>
            </w:tcBorders>
            <w:shd w:val="clear" w:color="auto" w:fill="C4BC96" w:themeFill="background2" w:themeFillShade="BF"/>
            <w:vAlign w:val="center"/>
          </w:tcPr>
          <w:p w14:paraId="055FB47B" w14:textId="77777777" w:rsidR="00E772A0" w:rsidRPr="00E81012" w:rsidRDefault="00E772A0" w:rsidP="00F07327">
            <w:pPr>
              <w:pStyle w:val="Tabletext"/>
              <w:rPr>
                <w:szCs w:val="20"/>
              </w:rPr>
            </w:pPr>
            <w:r>
              <w:rPr>
                <w:szCs w:val="20"/>
              </w:rPr>
              <w:t>Subpopulation 2 (</w:t>
            </w:r>
            <w:r w:rsidRPr="00E81012">
              <w:rPr>
                <w:szCs w:val="20"/>
              </w:rPr>
              <w:t>FTRCT</w:t>
            </w:r>
            <w:r>
              <w:rPr>
                <w:szCs w:val="20"/>
              </w:rPr>
              <w:t>)</w:t>
            </w:r>
          </w:p>
        </w:tc>
        <w:tc>
          <w:tcPr>
            <w:tcW w:w="3430" w:type="dxa"/>
            <w:tcBorders>
              <w:left w:val="nil"/>
              <w:right w:val="nil"/>
            </w:tcBorders>
            <w:shd w:val="clear" w:color="auto" w:fill="C4BC96" w:themeFill="background2" w:themeFillShade="BF"/>
            <w:vAlign w:val="center"/>
          </w:tcPr>
          <w:p w14:paraId="439B84D0" w14:textId="77777777" w:rsidR="00E772A0" w:rsidRPr="00E81012" w:rsidRDefault="00E772A0" w:rsidP="00F07327">
            <w:pPr>
              <w:pStyle w:val="Tabletext"/>
              <w:rPr>
                <w:szCs w:val="20"/>
              </w:rPr>
            </w:pPr>
          </w:p>
        </w:tc>
        <w:tc>
          <w:tcPr>
            <w:tcW w:w="2381" w:type="dxa"/>
            <w:tcBorders>
              <w:left w:val="nil"/>
            </w:tcBorders>
            <w:shd w:val="clear" w:color="auto" w:fill="C4BC96" w:themeFill="background2" w:themeFillShade="BF"/>
            <w:vAlign w:val="center"/>
          </w:tcPr>
          <w:p w14:paraId="4042E6E5" w14:textId="77777777" w:rsidR="00E772A0" w:rsidRPr="00E81012" w:rsidRDefault="00E772A0" w:rsidP="00F07327">
            <w:pPr>
              <w:pStyle w:val="Tabletext"/>
              <w:rPr>
                <w:szCs w:val="20"/>
              </w:rPr>
            </w:pPr>
          </w:p>
        </w:tc>
      </w:tr>
      <w:tr w:rsidR="00E772A0" w:rsidRPr="00E81012" w14:paraId="5ADECF57" w14:textId="77777777" w:rsidTr="00F07327">
        <w:tc>
          <w:tcPr>
            <w:tcW w:w="3369" w:type="dxa"/>
            <w:vAlign w:val="center"/>
          </w:tcPr>
          <w:p w14:paraId="6D743EC0" w14:textId="77777777" w:rsidR="00E772A0" w:rsidRPr="00E81012" w:rsidRDefault="00E772A0" w:rsidP="00F07327">
            <w:pPr>
              <w:pStyle w:val="Tabletext"/>
              <w:rPr>
                <w:szCs w:val="20"/>
              </w:rPr>
            </w:pPr>
            <w:r w:rsidRPr="00E81012">
              <w:rPr>
                <w:szCs w:val="20"/>
              </w:rPr>
              <w:t>Event rate in individual studies, range (%)</w:t>
            </w:r>
          </w:p>
        </w:tc>
        <w:tc>
          <w:tcPr>
            <w:tcW w:w="3430" w:type="dxa"/>
            <w:vAlign w:val="center"/>
          </w:tcPr>
          <w:p w14:paraId="1F983088" w14:textId="77777777" w:rsidR="00E772A0" w:rsidRPr="00E81012" w:rsidRDefault="00E772A0" w:rsidP="00F07327">
            <w:pPr>
              <w:pStyle w:val="Tabletext"/>
              <w:rPr>
                <w:szCs w:val="20"/>
              </w:rPr>
            </w:pPr>
            <w:r w:rsidRPr="00E81012">
              <w:rPr>
                <w:szCs w:val="20"/>
              </w:rPr>
              <w:t xml:space="preserve">0% </w:t>
            </w:r>
            <w:r>
              <w:rPr>
                <w:szCs w:val="20"/>
              </w:rPr>
              <w:t xml:space="preserve">(0/23) </w:t>
            </w:r>
            <w:r w:rsidRPr="00E81012">
              <w:rPr>
                <w:szCs w:val="20"/>
              </w:rPr>
              <w:t>- 3.6%</w:t>
            </w:r>
            <w:r>
              <w:rPr>
                <w:szCs w:val="20"/>
              </w:rPr>
              <w:t xml:space="preserve"> (3/83)</w:t>
            </w:r>
          </w:p>
        </w:tc>
        <w:tc>
          <w:tcPr>
            <w:tcW w:w="2381" w:type="dxa"/>
            <w:vAlign w:val="center"/>
          </w:tcPr>
          <w:p w14:paraId="2C8A90B9" w14:textId="77777777" w:rsidR="00E772A0" w:rsidRPr="00E81012" w:rsidRDefault="00E772A0" w:rsidP="00F07327">
            <w:pPr>
              <w:pStyle w:val="Tabletext"/>
              <w:rPr>
                <w:szCs w:val="20"/>
              </w:rPr>
            </w:pPr>
            <w:r w:rsidRPr="00E81012">
              <w:rPr>
                <w:szCs w:val="20"/>
              </w:rPr>
              <w:t xml:space="preserve">0% </w:t>
            </w:r>
            <w:r>
              <w:rPr>
                <w:szCs w:val="20"/>
              </w:rPr>
              <w:t xml:space="preserve">(0/14-108) </w:t>
            </w:r>
            <w:r w:rsidRPr="00E81012">
              <w:rPr>
                <w:szCs w:val="20"/>
              </w:rPr>
              <w:t>- 4.3%</w:t>
            </w:r>
            <w:r>
              <w:rPr>
                <w:szCs w:val="20"/>
              </w:rPr>
              <w:t xml:space="preserve"> (2/47)</w:t>
            </w:r>
          </w:p>
        </w:tc>
      </w:tr>
      <w:tr w:rsidR="00E772A0" w:rsidRPr="00E81012" w14:paraId="35E83D73" w14:textId="77777777" w:rsidTr="00F07327">
        <w:tc>
          <w:tcPr>
            <w:tcW w:w="3369" w:type="dxa"/>
            <w:vAlign w:val="center"/>
          </w:tcPr>
          <w:p w14:paraId="30C5170C" w14:textId="77777777" w:rsidR="00E772A0" w:rsidRPr="00E81012" w:rsidRDefault="00E772A0" w:rsidP="00F07327">
            <w:pPr>
              <w:pStyle w:val="Tabletext"/>
              <w:rPr>
                <w:szCs w:val="20"/>
              </w:rPr>
            </w:pPr>
            <w:r w:rsidRPr="00E81012">
              <w:rPr>
                <w:szCs w:val="20"/>
              </w:rPr>
              <w:t>Events</w:t>
            </w:r>
          </w:p>
        </w:tc>
        <w:tc>
          <w:tcPr>
            <w:tcW w:w="3430" w:type="dxa"/>
            <w:vAlign w:val="center"/>
          </w:tcPr>
          <w:p w14:paraId="1411E40E" w14:textId="77777777" w:rsidR="00E772A0" w:rsidRPr="00E81012" w:rsidRDefault="00E772A0" w:rsidP="00F07327">
            <w:pPr>
              <w:pStyle w:val="Tabletext"/>
              <w:rPr>
                <w:szCs w:val="20"/>
              </w:rPr>
            </w:pPr>
            <w:r w:rsidRPr="00E81012">
              <w:rPr>
                <w:szCs w:val="20"/>
              </w:rPr>
              <w:t>Postoperative infection, DVT, graft remains and loosened in bursa at 4 months post-surgery</w:t>
            </w:r>
          </w:p>
        </w:tc>
        <w:tc>
          <w:tcPr>
            <w:tcW w:w="2381" w:type="dxa"/>
            <w:vAlign w:val="center"/>
          </w:tcPr>
          <w:p w14:paraId="0D66A583" w14:textId="77777777" w:rsidR="00E772A0" w:rsidRPr="00E81012" w:rsidRDefault="00E772A0" w:rsidP="00F07327">
            <w:pPr>
              <w:pStyle w:val="Tabletext"/>
              <w:rPr>
                <w:szCs w:val="20"/>
              </w:rPr>
            </w:pPr>
            <w:r w:rsidRPr="00E81012">
              <w:rPr>
                <w:szCs w:val="20"/>
              </w:rPr>
              <w:t>NR</w:t>
            </w:r>
          </w:p>
        </w:tc>
      </w:tr>
    </w:tbl>
    <w:p w14:paraId="298A3AB9" w14:textId="77777777" w:rsidR="00E772A0" w:rsidRDefault="00E772A0" w:rsidP="00E772A0">
      <w:pPr>
        <w:pStyle w:val="Tablenotes"/>
      </w:pPr>
      <w:r>
        <w:t>DVT=deep vein thrombosis; FTRCT=full-thickness rotator cuff tear; PTRCT=partial-thickness rotator cuff tear</w:t>
      </w:r>
    </w:p>
    <w:p w14:paraId="36FB8BCC" w14:textId="77777777" w:rsidR="00E772A0" w:rsidRPr="00A71051" w:rsidRDefault="00E772A0" w:rsidP="00E772A0">
      <w:pPr>
        <w:pStyle w:val="Tablenotes"/>
      </w:pPr>
      <w:r>
        <w:t xml:space="preserve">Source: Table 5, </w:t>
      </w:r>
      <w:proofErr w:type="spellStart"/>
      <w:r>
        <w:t>pxv</w:t>
      </w:r>
      <w:proofErr w:type="spellEnd"/>
      <w:r>
        <w:t xml:space="preserve"> of the Commentary</w:t>
      </w:r>
    </w:p>
    <w:p w14:paraId="6B2EDA9D" w14:textId="77777777" w:rsidR="00E772A0" w:rsidRDefault="00E772A0" w:rsidP="00E772A0">
      <w:pPr>
        <w:rPr>
          <w:iCs/>
          <w:lang w:eastAsia="en-US"/>
        </w:rPr>
      </w:pPr>
      <w:r>
        <w:rPr>
          <w:iCs/>
          <w:lang w:eastAsia="en-US"/>
        </w:rPr>
        <w:t>The Commentary considered l</w:t>
      </w:r>
      <w:r w:rsidRPr="00A71051">
        <w:rPr>
          <w:iCs/>
          <w:lang w:eastAsia="en-US"/>
        </w:rPr>
        <w:t xml:space="preserve">ong-term AEs for REGENETEN was limited to 11 patients with PTRCT at five years follow-up in </w:t>
      </w:r>
      <w:proofErr w:type="spellStart"/>
      <w:r w:rsidRPr="00A71051">
        <w:rPr>
          <w:iCs/>
          <w:lang w:eastAsia="en-US"/>
        </w:rPr>
        <w:t>Bokor</w:t>
      </w:r>
      <w:proofErr w:type="spellEnd"/>
      <w:r w:rsidRPr="00A71051">
        <w:rPr>
          <w:iCs/>
          <w:lang w:eastAsia="en-US"/>
        </w:rPr>
        <w:t xml:space="preserve"> 2019</w:t>
      </w:r>
      <w:r>
        <w:rPr>
          <w:rStyle w:val="FootnoteReference"/>
          <w:iCs/>
          <w:lang w:eastAsia="en-US"/>
        </w:rPr>
        <w:footnoteReference w:id="14"/>
      </w:r>
      <w:r w:rsidRPr="00A71051">
        <w:rPr>
          <w:iCs/>
          <w:lang w:eastAsia="en-US"/>
        </w:rPr>
        <w:t xml:space="preserve">, the follow-up study for </w:t>
      </w:r>
      <w:proofErr w:type="spellStart"/>
      <w:r w:rsidRPr="00A71051">
        <w:rPr>
          <w:iCs/>
          <w:lang w:eastAsia="en-US"/>
        </w:rPr>
        <w:t>Bokor</w:t>
      </w:r>
      <w:proofErr w:type="spellEnd"/>
      <w:r w:rsidRPr="00A71051">
        <w:rPr>
          <w:iCs/>
          <w:lang w:eastAsia="en-US"/>
        </w:rPr>
        <w:t xml:space="preserve"> 2016. There is no long-term AE data for the use of REGENETEN in patients with FTRCT. The ADAR did not report on long-term AEs across the studies for standard surgery.</w:t>
      </w:r>
    </w:p>
    <w:p w14:paraId="7F859A23" w14:textId="77777777" w:rsidR="00E772A0" w:rsidRDefault="00E772A0" w:rsidP="00E772A0">
      <w:pPr>
        <w:pStyle w:val="Heading2"/>
        <w:rPr>
          <w:lang w:eastAsia="en-US"/>
        </w:rPr>
      </w:pPr>
      <w:r>
        <w:rPr>
          <w:lang w:eastAsia="en-US"/>
        </w:rPr>
        <w:t>Revision surgery</w:t>
      </w:r>
    </w:p>
    <w:p w14:paraId="50F25E38" w14:textId="11AAB8F0" w:rsidR="00E772A0" w:rsidRPr="00E62E8F" w:rsidRDefault="00E772A0" w:rsidP="00E772A0">
      <w:pPr>
        <w:rPr>
          <w:szCs w:val="24"/>
        </w:rPr>
      </w:pPr>
      <w:r>
        <w:t xml:space="preserve">For PTRCT (subpopulation 1), all three REGENETEN case series reported rates of revision surgery, with the event rate ranging from 1.1% (1/90 in McIntyre 2019) to 15.4% (2/13 in </w:t>
      </w:r>
      <w:proofErr w:type="spellStart"/>
      <w:r>
        <w:t>Bokor</w:t>
      </w:r>
      <w:proofErr w:type="spellEnd"/>
      <w:r>
        <w:t xml:space="preserve"> 2016). Only one study (Peter 2012) of standard surgery reported on revision surgery, which five patients (7.8%) in the PTRCT arm (N=64) of the study had revision surgery. The Commentary noted that r</w:t>
      </w:r>
      <w:r w:rsidRPr="004376CD">
        <w:t>evision surgery rate in Peters 2012 was assessed at 24 months post-surgery whereas the revision surgery rates in the REGENETEN studies ranged from 12 to 27 months (Table 102 in Attachment B). If only rates at 24 months are considered, the revision surgery rate for standard surgery appears to be lower (7.8% in Peters 2012)</w:t>
      </w:r>
      <w:proofErr w:type="gramStart"/>
      <w:r w:rsidRPr="004376CD">
        <w:t>,</w:t>
      </w:r>
      <w:proofErr w:type="gramEnd"/>
      <w:r w:rsidRPr="004376CD">
        <w:t xml:space="preserve"> compared to </w:t>
      </w:r>
      <w:r>
        <w:t>REGENETEN (1</w:t>
      </w:r>
      <w:r w:rsidR="00652916">
        <w:t xml:space="preserve">5.4% in </w:t>
      </w:r>
      <w:proofErr w:type="spellStart"/>
      <w:r w:rsidR="00652916">
        <w:t>Bokor</w:t>
      </w:r>
      <w:proofErr w:type="spellEnd"/>
      <w:r w:rsidR="00652916">
        <w:t xml:space="preserve"> 2016) [see </w:t>
      </w:r>
      <w:r w:rsidR="00652916" w:rsidRPr="00E62E8F">
        <w:rPr>
          <w:szCs w:val="24"/>
        </w:rPr>
        <w:fldChar w:fldCharType="begin"/>
      </w:r>
      <w:r w:rsidR="00652916" w:rsidRPr="00E62E8F">
        <w:rPr>
          <w:szCs w:val="24"/>
        </w:rPr>
        <w:instrText xml:space="preserve"> REF _Ref36021115 \h </w:instrText>
      </w:r>
      <w:r w:rsidR="00652916" w:rsidRPr="00E62E8F">
        <w:rPr>
          <w:szCs w:val="24"/>
        </w:rPr>
      </w:r>
      <w:r w:rsidR="00E62E8F" w:rsidRPr="00E62E8F">
        <w:rPr>
          <w:szCs w:val="24"/>
        </w:rPr>
        <w:instrText xml:space="preserve"> \* MERGEFORMAT </w:instrText>
      </w:r>
      <w:r w:rsidR="00652916" w:rsidRPr="00E62E8F">
        <w:rPr>
          <w:szCs w:val="24"/>
        </w:rPr>
        <w:fldChar w:fldCharType="separate"/>
      </w:r>
      <w:r w:rsidR="00455942" w:rsidRPr="00455942">
        <w:rPr>
          <w:szCs w:val="24"/>
        </w:rPr>
        <w:t xml:space="preserve">Table </w:t>
      </w:r>
      <w:r w:rsidR="00455942" w:rsidRPr="00455942">
        <w:rPr>
          <w:noProof/>
          <w:szCs w:val="24"/>
        </w:rPr>
        <w:t>4</w:t>
      </w:r>
      <w:r w:rsidR="00652916" w:rsidRPr="00E62E8F">
        <w:rPr>
          <w:szCs w:val="24"/>
        </w:rPr>
        <w:fldChar w:fldCharType="end"/>
      </w:r>
      <w:r w:rsidRPr="00E62E8F">
        <w:rPr>
          <w:szCs w:val="24"/>
        </w:rPr>
        <w:t xml:space="preserve"> below].</w:t>
      </w:r>
    </w:p>
    <w:p w14:paraId="37B15C42" w14:textId="7E4F1326" w:rsidR="00E772A0" w:rsidRDefault="00E772A0" w:rsidP="00885C08">
      <w:pPr>
        <w:spacing w:before="240"/>
      </w:pPr>
      <w:r w:rsidRPr="00E62E8F">
        <w:rPr>
          <w:szCs w:val="24"/>
        </w:rPr>
        <w:t xml:space="preserve">For FTRCT (subpopulation 2), all three REGENETEN case series reported on revision surgery, with the event rate ranging from 0% (0/9) in </w:t>
      </w:r>
      <w:proofErr w:type="spellStart"/>
      <w:r w:rsidRPr="00E62E8F">
        <w:rPr>
          <w:szCs w:val="24"/>
        </w:rPr>
        <w:t>Bokor</w:t>
      </w:r>
      <w:proofErr w:type="spellEnd"/>
      <w:r w:rsidRPr="00E62E8F">
        <w:rPr>
          <w:szCs w:val="24"/>
        </w:rPr>
        <w:t xml:space="preserve"> 2015, to 4.35% (1/23) in Thon 2019 and 8.4% (7/83) in McIntyre 2019. Thirteen studies (19 treatment arms) of standard surgery reported on revision surgery, with the event rate ranging from 0% in four treatment arms, to 9.3% (4/43) in Abrams 2014-no </w:t>
      </w:r>
      <w:proofErr w:type="spellStart"/>
      <w:r w:rsidRPr="00E62E8F">
        <w:rPr>
          <w:szCs w:val="24"/>
        </w:rPr>
        <w:t>acromioplasty</w:t>
      </w:r>
      <w:proofErr w:type="spellEnd"/>
      <w:r w:rsidRPr="00E62E8F">
        <w:rPr>
          <w:szCs w:val="24"/>
        </w:rPr>
        <w:t xml:space="preserve">. </w:t>
      </w:r>
      <w:proofErr w:type="gramStart"/>
      <w:r w:rsidRPr="00E62E8F">
        <w:rPr>
          <w:szCs w:val="24"/>
        </w:rPr>
        <w:t>Altogether</w:t>
      </w:r>
      <w:proofErr w:type="gramEnd"/>
      <w:r w:rsidRPr="00E62E8F">
        <w:rPr>
          <w:szCs w:val="24"/>
        </w:rPr>
        <w:t xml:space="preserve"> there were 37 cases of revision surgery in the 19 treatment arms (912 patients in total)</w:t>
      </w:r>
      <w:r w:rsidR="007A30C9" w:rsidRPr="00E62E8F">
        <w:rPr>
          <w:szCs w:val="24"/>
        </w:rPr>
        <w:t xml:space="preserve"> [see </w:t>
      </w:r>
      <w:r w:rsidR="00652916" w:rsidRPr="00E62E8F">
        <w:rPr>
          <w:szCs w:val="24"/>
        </w:rPr>
        <w:fldChar w:fldCharType="begin"/>
      </w:r>
      <w:r w:rsidR="00652916" w:rsidRPr="00E62E8F">
        <w:rPr>
          <w:szCs w:val="24"/>
        </w:rPr>
        <w:instrText xml:space="preserve"> REF _Ref36021115 \h </w:instrText>
      </w:r>
      <w:r w:rsidR="00652916" w:rsidRPr="00E62E8F">
        <w:rPr>
          <w:szCs w:val="24"/>
        </w:rPr>
      </w:r>
      <w:r w:rsidR="00E62E8F" w:rsidRPr="00E62E8F">
        <w:rPr>
          <w:szCs w:val="24"/>
        </w:rPr>
        <w:instrText xml:space="preserve"> \* MERGEFORMAT </w:instrText>
      </w:r>
      <w:r w:rsidR="00652916" w:rsidRPr="00E62E8F">
        <w:rPr>
          <w:szCs w:val="24"/>
        </w:rPr>
        <w:fldChar w:fldCharType="separate"/>
      </w:r>
      <w:r w:rsidR="00455942" w:rsidRPr="00455942">
        <w:rPr>
          <w:szCs w:val="24"/>
        </w:rPr>
        <w:t xml:space="preserve">Table </w:t>
      </w:r>
      <w:r w:rsidR="00455942" w:rsidRPr="00455942">
        <w:rPr>
          <w:noProof/>
          <w:szCs w:val="24"/>
        </w:rPr>
        <w:t>4</w:t>
      </w:r>
      <w:r w:rsidR="00652916" w:rsidRPr="00E62E8F">
        <w:rPr>
          <w:szCs w:val="24"/>
        </w:rPr>
        <w:fldChar w:fldCharType="end"/>
      </w:r>
      <w:r>
        <w:t xml:space="preserve"> below].</w:t>
      </w:r>
    </w:p>
    <w:p w14:paraId="2A2D1895" w14:textId="024C8C1D" w:rsidR="00E772A0" w:rsidRPr="00D32FC9" w:rsidRDefault="00652916" w:rsidP="00D32FC9">
      <w:pPr>
        <w:keepNext/>
        <w:keepLines/>
        <w:spacing w:before="240"/>
        <w:rPr>
          <w:rFonts w:ascii="Arial Narrow" w:eastAsia="Calibri" w:hAnsi="Arial Narrow"/>
          <w:b/>
          <w:sz w:val="20"/>
        </w:rPr>
      </w:pPr>
      <w:bookmarkStart w:id="9" w:name="_Ref36021115"/>
      <w:bookmarkStart w:id="10" w:name="_Toc36643066"/>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4</w:t>
      </w:r>
      <w:r w:rsidR="00F62D1A" w:rsidRPr="00D32FC9">
        <w:rPr>
          <w:rFonts w:ascii="Arial Narrow" w:hAnsi="Arial Narrow"/>
          <w:b/>
          <w:sz w:val="20"/>
        </w:rPr>
        <w:fldChar w:fldCharType="end"/>
      </w:r>
      <w:bookmarkEnd w:id="9"/>
      <w:r w:rsidR="00E772A0" w:rsidRPr="00D32FC9">
        <w:rPr>
          <w:rFonts w:ascii="Arial Narrow" w:hAnsi="Arial Narrow"/>
          <w:b/>
          <w:sz w:val="20"/>
        </w:rPr>
        <w:tab/>
        <w:t xml:space="preserve">Revision surgery </w:t>
      </w:r>
      <w:r w:rsidR="00E772A0" w:rsidRPr="00D32FC9">
        <w:rPr>
          <w:rFonts w:ascii="Arial Narrow" w:eastAsia="Calibri" w:hAnsi="Arial Narrow"/>
          <w:b/>
          <w:sz w:val="20"/>
        </w:rPr>
        <w:t>(REGENETEN vs. standard surgery)</w:t>
      </w:r>
      <w:bookmarkEnd w:id="10"/>
      <w:r w:rsidR="00E772A0" w:rsidRPr="00D32FC9">
        <w:rPr>
          <w:rFonts w:ascii="Arial Narrow" w:eastAsia="Calibri" w:hAnsi="Arial Narrow"/>
          <w:b/>
          <w:sz w:val="20"/>
        </w:rPr>
        <w:t xml:space="preserve"> </w:t>
      </w:r>
    </w:p>
    <w:tbl>
      <w:tblPr>
        <w:tblStyle w:val="TableGrid9"/>
        <w:tblW w:w="9180" w:type="dxa"/>
        <w:tblLayout w:type="fixed"/>
        <w:tblLook w:val="04A0" w:firstRow="1" w:lastRow="0" w:firstColumn="1" w:lastColumn="0" w:noHBand="0" w:noVBand="1"/>
        <w:tblDescription w:val="Revision surgery (REGENETEN vs. standard surgery) "/>
      </w:tblPr>
      <w:tblGrid>
        <w:gridCol w:w="2376"/>
        <w:gridCol w:w="2835"/>
        <w:gridCol w:w="1843"/>
        <w:gridCol w:w="2126"/>
      </w:tblGrid>
      <w:tr w:rsidR="00E772A0" w:rsidRPr="00EA6557" w14:paraId="0514CAC2" w14:textId="77777777" w:rsidTr="00F07327">
        <w:trPr>
          <w:cantSplit/>
          <w:trHeight w:val="20"/>
          <w:tblHeader/>
        </w:trPr>
        <w:tc>
          <w:tcPr>
            <w:tcW w:w="2376" w:type="dxa"/>
            <w:tcBorders>
              <w:bottom w:val="single" w:sz="4" w:space="0" w:color="auto"/>
            </w:tcBorders>
            <w:noWrap/>
            <w:vAlign w:val="center"/>
            <w:hideMark/>
          </w:tcPr>
          <w:p w14:paraId="1F14E658" w14:textId="77777777" w:rsidR="00E772A0" w:rsidRPr="00EA6557" w:rsidRDefault="00E772A0" w:rsidP="00D32FC9">
            <w:pPr>
              <w:keepNext/>
              <w:keepLines/>
              <w:tabs>
                <w:tab w:val="left" w:pos="504"/>
              </w:tabs>
              <w:spacing w:after="40"/>
              <w:rPr>
                <w:rFonts w:ascii="Arial Narrow" w:hAnsi="Arial Narrow" w:cs="Consolas"/>
                <w:b/>
                <w:color w:val="000000"/>
                <w:sz w:val="20"/>
                <w:szCs w:val="21"/>
              </w:rPr>
            </w:pPr>
          </w:p>
        </w:tc>
        <w:tc>
          <w:tcPr>
            <w:tcW w:w="2835" w:type="dxa"/>
            <w:tcBorders>
              <w:bottom w:val="single" w:sz="4" w:space="0" w:color="auto"/>
            </w:tcBorders>
            <w:noWrap/>
            <w:vAlign w:val="center"/>
            <w:hideMark/>
          </w:tcPr>
          <w:p w14:paraId="7FD58C1E" w14:textId="77777777" w:rsidR="00E772A0" w:rsidRPr="00EA6557" w:rsidRDefault="00E772A0" w:rsidP="00D32FC9">
            <w:pPr>
              <w:pStyle w:val="TableHeading"/>
              <w:keepLines/>
              <w:jc w:val="center"/>
            </w:pPr>
            <w:r w:rsidRPr="00EA6557">
              <w:t>REGENETEN</w:t>
            </w:r>
          </w:p>
        </w:tc>
        <w:tc>
          <w:tcPr>
            <w:tcW w:w="1843" w:type="dxa"/>
            <w:tcBorders>
              <w:bottom w:val="single" w:sz="4" w:space="0" w:color="auto"/>
            </w:tcBorders>
            <w:noWrap/>
            <w:vAlign w:val="center"/>
            <w:hideMark/>
          </w:tcPr>
          <w:p w14:paraId="3E6D460C" w14:textId="77777777" w:rsidR="00E772A0" w:rsidRPr="00EA6557" w:rsidRDefault="00E772A0" w:rsidP="00D32FC9">
            <w:pPr>
              <w:pStyle w:val="TableHeading"/>
              <w:keepLines/>
              <w:jc w:val="center"/>
            </w:pPr>
            <w:r w:rsidRPr="00EA6557">
              <w:t xml:space="preserve">Standard </w:t>
            </w:r>
            <w:r>
              <w:t>s</w:t>
            </w:r>
            <w:r w:rsidRPr="00EA6557">
              <w:t>urgery</w:t>
            </w:r>
          </w:p>
        </w:tc>
        <w:tc>
          <w:tcPr>
            <w:tcW w:w="2126" w:type="dxa"/>
            <w:tcBorders>
              <w:bottom w:val="single" w:sz="4" w:space="0" w:color="auto"/>
            </w:tcBorders>
            <w:noWrap/>
            <w:vAlign w:val="center"/>
            <w:hideMark/>
          </w:tcPr>
          <w:p w14:paraId="01250A9D" w14:textId="77777777" w:rsidR="00E772A0" w:rsidRPr="00EA6557" w:rsidRDefault="00E772A0" w:rsidP="00D32FC9">
            <w:pPr>
              <w:pStyle w:val="TableHeading"/>
              <w:keepLines/>
              <w:jc w:val="center"/>
            </w:pPr>
            <w:r w:rsidRPr="000C355A">
              <w:rPr>
                <w:iCs/>
              </w:rPr>
              <w:t>Difference</w:t>
            </w:r>
            <w:r>
              <w:rPr>
                <w:iCs/>
              </w:rPr>
              <w:t>*</w:t>
            </w:r>
          </w:p>
        </w:tc>
      </w:tr>
      <w:tr w:rsidR="00E772A0" w:rsidRPr="00EA6557" w14:paraId="59ECCE27" w14:textId="77777777" w:rsidTr="00F07327">
        <w:trPr>
          <w:cantSplit/>
          <w:trHeight w:val="20"/>
        </w:trPr>
        <w:tc>
          <w:tcPr>
            <w:tcW w:w="2376" w:type="dxa"/>
            <w:tcBorders>
              <w:top w:val="single" w:sz="4" w:space="0" w:color="auto"/>
              <w:left w:val="single" w:sz="4" w:space="0" w:color="auto"/>
              <w:bottom w:val="single" w:sz="4" w:space="0" w:color="auto"/>
              <w:right w:val="nil"/>
            </w:tcBorders>
            <w:noWrap/>
            <w:vAlign w:val="center"/>
          </w:tcPr>
          <w:p w14:paraId="09B31DEB" w14:textId="77777777" w:rsidR="00E772A0" w:rsidRDefault="00E772A0" w:rsidP="00F07327">
            <w:pPr>
              <w:keepNext/>
              <w:spacing w:after="40"/>
              <w:rPr>
                <w:rFonts w:ascii="Arial Narrow" w:hAnsi="Arial Narrow" w:cs="Arial"/>
                <w:iCs/>
                <w:color w:val="000000"/>
                <w:sz w:val="20"/>
              </w:rPr>
            </w:pPr>
            <w:r>
              <w:rPr>
                <w:rFonts w:ascii="Arial Narrow" w:hAnsi="Arial Narrow" w:cs="Arial"/>
                <w:iCs/>
                <w:color w:val="000000"/>
                <w:sz w:val="20"/>
              </w:rPr>
              <w:t>PTRCT (Subpopulation 1)</w:t>
            </w:r>
          </w:p>
        </w:tc>
        <w:tc>
          <w:tcPr>
            <w:tcW w:w="2835" w:type="dxa"/>
            <w:tcBorders>
              <w:top w:val="single" w:sz="4" w:space="0" w:color="auto"/>
              <w:left w:val="nil"/>
              <w:bottom w:val="single" w:sz="4" w:space="0" w:color="auto"/>
              <w:right w:val="nil"/>
            </w:tcBorders>
            <w:shd w:val="clear" w:color="auto" w:fill="auto"/>
            <w:noWrap/>
            <w:vAlign w:val="center"/>
          </w:tcPr>
          <w:p w14:paraId="378F6A24" w14:textId="77777777" w:rsidR="00E772A0" w:rsidRDefault="00E772A0" w:rsidP="00F07327">
            <w:pPr>
              <w:keepNext/>
              <w:spacing w:after="40"/>
              <w:jc w:val="center"/>
              <w:rPr>
                <w:rFonts w:ascii="Arial Narrow" w:hAnsi="Arial Narrow"/>
                <w:sz w:val="20"/>
              </w:rPr>
            </w:pPr>
          </w:p>
        </w:tc>
        <w:tc>
          <w:tcPr>
            <w:tcW w:w="1843" w:type="dxa"/>
            <w:tcBorders>
              <w:top w:val="single" w:sz="4" w:space="0" w:color="auto"/>
              <w:left w:val="nil"/>
              <w:bottom w:val="single" w:sz="4" w:space="0" w:color="auto"/>
              <w:right w:val="nil"/>
            </w:tcBorders>
            <w:shd w:val="clear" w:color="auto" w:fill="auto"/>
            <w:noWrap/>
            <w:vAlign w:val="center"/>
          </w:tcPr>
          <w:p w14:paraId="13E7B044" w14:textId="77777777" w:rsidR="00E772A0" w:rsidRDefault="00E772A0" w:rsidP="00F07327">
            <w:pPr>
              <w:keepNext/>
              <w:spacing w:after="40"/>
              <w:jc w:val="center"/>
              <w:rPr>
                <w:rFonts w:ascii="Arial Narrow" w:hAnsi="Arial Narrow"/>
                <w:sz w:val="20"/>
              </w:rPr>
            </w:pPr>
          </w:p>
        </w:tc>
        <w:tc>
          <w:tcPr>
            <w:tcW w:w="2126" w:type="dxa"/>
            <w:tcBorders>
              <w:top w:val="single" w:sz="4" w:space="0" w:color="auto"/>
              <w:left w:val="nil"/>
              <w:bottom w:val="single" w:sz="4" w:space="0" w:color="auto"/>
              <w:right w:val="single" w:sz="4" w:space="0" w:color="auto"/>
            </w:tcBorders>
            <w:noWrap/>
            <w:vAlign w:val="center"/>
          </w:tcPr>
          <w:p w14:paraId="3A61EDCE" w14:textId="77777777" w:rsidR="00E772A0" w:rsidRPr="00E0515A" w:rsidRDefault="00E772A0" w:rsidP="00F07327">
            <w:pPr>
              <w:keepNext/>
              <w:spacing w:after="40"/>
              <w:jc w:val="center"/>
              <w:rPr>
                <w:rFonts w:ascii="Arial Narrow" w:hAnsi="Arial Narrow" w:cs="Arial"/>
                <w:iCs/>
                <w:color w:val="000000"/>
                <w:sz w:val="20"/>
              </w:rPr>
            </w:pPr>
          </w:p>
        </w:tc>
      </w:tr>
      <w:tr w:rsidR="00E772A0" w:rsidRPr="00EA6557" w14:paraId="09F1A97F" w14:textId="77777777" w:rsidTr="00F07327">
        <w:trPr>
          <w:cantSplit/>
          <w:trHeight w:val="20"/>
        </w:trPr>
        <w:tc>
          <w:tcPr>
            <w:tcW w:w="2376" w:type="dxa"/>
            <w:tcBorders>
              <w:top w:val="single" w:sz="4" w:space="0" w:color="auto"/>
            </w:tcBorders>
            <w:noWrap/>
            <w:vAlign w:val="center"/>
          </w:tcPr>
          <w:p w14:paraId="6CAD9198" w14:textId="77777777" w:rsidR="00E772A0" w:rsidRDefault="00E772A0" w:rsidP="00F07327">
            <w:pPr>
              <w:keepNext/>
              <w:spacing w:after="40"/>
              <w:rPr>
                <w:rFonts w:ascii="Arial Narrow" w:hAnsi="Arial Narrow" w:cs="Arial"/>
                <w:iCs/>
                <w:color w:val="000000"/>
                <w:sz w:val="20"/>
              </w:rPr>
            </w:pPr>
            <w:r>
              <w:rPr>
                <w:rFonts w:ascii="Arial Narrow" w:hAnsi="Arial Narrow" w:cs="Arial"/>
                <w:iCs/>
                <w:color w:val="000000"/>
                <w:sz w:val="20"/>
              </w:rPr>
              <w:t xml:space="preserve">Across treatment arms: range^ / N / n </w:t>
            </w:r>
          </w:p>
        </w:tc>
        <w:tc>
          <w:tcPr>
            <w:tcW w:w="2835" w:type="dxa"/>
            <w:tcBorders>
              <w:top w:val="single" w:sz="4" w:space="0" w:color="auto"/>
            </w:tcBorders>
            <w:shd w:val="clear" w:color="auto" w:fill="auto"/>
            <w:noWrap/>
            <w:vAlign w:val="center"/>
          </w:tcPr>
          <w:p w14:paraId="59B775D8" w14:textId="77777777" w:rsidR="00E772A0" w:rsidRPr="00553D58" w:rsidRDefault="00E772A0" w:rsidP="00F07327">
            <w:pPr>
              <w:keepNext/>
              <w:spacing w:after="40"/>
              <w:jc w:val="center"/>
              <w:rPr>
                <w:rFonts w:ascii="Arial Narrow" w:hAnsi="Arial Narrow" w:cs="Arial"/>
                <w:iCs/>
                <w:color w:val="FFFFFF" w:themeColor="background1"/>
                <w:sz w:val="20"/>
                <w:shd w:val="clear" w:color="auto" w:fill="000000" w:themeFill="text1"/>
              </w:rPr>
            </w:pPr>
            <w:r>
              <w:rPr>
                <w:rFonts w:ascii="Arial Narrow" w:hAnsi="Arial Narrow"/>
                <w:sz w:val="20"/>
              </w:rPr>
              <w:t xml:space="preserve">1.1%-15.4% / </w:t>
            </w:r>
            <w:r w:rsidRPr="0068766A">
              <w:rPr>
                <w:rFonts w:ascii="Arial Narrow" w:hAnsi="Arial Narrow"/>
                <w:sz w:val="20"/>
              </w:rPr>
              <w:t>136 / 3</w:t>
            </w:r>
          </w:p>
        </w:tc>
        <w:tc>
          <w:tcPr>
            <w:tcW w:w="1843" w:type="dxa"/>
            <w:tcBorders>
              <w:top w:val="single" w:sz="4" w:space="0" w:color="auto"/>
            </w:tcBorders>
            <w:shd w:val="clear" w:color="auto" w:fill="auto"/>
            <w:noWrap/>
            <w:vAlign w:val="center"/>
          </w:tcPr>
          <w:p w14:paraId="6E30C299" w14:textId="77777777" w:rsidR="00E772A0" w:rsidRPr="004376CD" w:rsidRDefault="00E772A0" w:rsidP="00F07327">
            <w:pPr>
              <w:keepNext/>
              <w:spacing w:after="40"/>
              <w:jc w:val="center"/>
              <w:rPr>
                <w:rFonts w:ascii="Arial Narrow" w:hAnsi="Arial Narrow" w:cs="Arial"/>
                <w:b/>
                <w:bCs/>
                <w:iCs/>
                <w:color w:val="000000"/>
                <w:sz w:val="20"/>
                <w:shd w:val="clear" w:color="auto" w:fill="000000" w:themeFill="text1"/>
              </w:rPr>
            </w:pPr>
            <w:r>
              <w:rPr>
                <w:rFonts w:ascii="Arial Narrow" w:hAnsi="Arial Narrow"/>
                <w:sz w:val="20"/>
              </w:rPr>
              <w:t xml:space="preserve">7.8% / </w:t>
            </w:r>
            <w:r w:rsidRPr="0068766A">
              <w:rPr>
                <w:rFonts w:ascii="Arial Narrow" w:hAnsi="Arial Narrow"/>
                <w:sz w:val="20"/>
              </w:rPr>
              <w:t xml:space="preserve">64 / </w:t>
            </w:r>
            <w:r>
              <w:rPr>
                <w:rFonts w:ascii="Arial Narrow" w:hAnsi="Arial Narrow"/>
                <w:sz w:val="20"/>
              </w:rPr>
              <w:t>1</w:t>
            </w:r>
          </w:p>
        </w:tc>
        <w:tc>
          <w:tcPr>
            <w:tcW w:w="2126" w:type="dxa"/>
            <w:tcBorders>
              <w:top w:val="single" w:sz="4" w:space="0" w:color="auto"/>
            </w:tcBorders>
            <w:noWrap/>
            <w:vAlign w:val="center"/>
          </w:tcPr>
          <w:p w14:paraId="5FA64D55" w14:textId="77777777" w:rsidR="00E772A0" w:rsidRPr="00E0515A" w:rsidRDefault="00E772A0" w:rsidP="00F07327">
            <w:pPr>
              <w:keepNext/>
              <w:spacing w:after="40"/>
              <w:jc w:val="center"/>
              <w:rPr>
                <w:rFonts w:ascii="Arial Narrow" w:hAnsi="Arial Narrow" w:cs="Arial"/>
                <w:iCs/>
                <w:color w:val="000000"/>
                <w:sz w:val="20"/>
              </w:rPr>
            </w:pPr>
            <w:r w:rsidRPr="00CA48B2">
              <w:rPr>
                <w:rFonts w:ascii="Arial Narrow" w:hAnsi="Arial Narrow"/>
                <w:iCs/>
                <w:sz w:val="20"/>
                <w:lang w:val="en-US"/>
              </w:rPr>
              <w:t>−</w:t>
            </w:r>
          </w:p>
        </w:tc>
      </w:tr>
      <w:tr w:rsidR="00E772A0" w:rsidRPr="00EA6557" w14:paraId="7C063198" w14:textId="77777777" w:rsidTr="00F07327">
        <w:trPr>
          <w:cantSplit/>
          <w:trHeight w:val="20"/>
        </w:trPr>
        <w:tc>
          <w:tcPr>
            <w:tcW w:w="2376" w:type="dxa"/>
            <w:tcBorders>
              <w:bottom w:val="single" w:sz="4" w:space="0" w:color="auto"/>
            </w:tcBorders>
            <w:noWrap/>
            <w:vAlign w:val="center"/>
          </w:tcPr>
          <w:p w14:paraId="17002B08" w14:textId="77777777" w:rsidR="00E772A0" w:rsidRPr="00D63410" w:rsidRDefault="00E772A0" w:rsidP="00F07327">
            <w:pPr>
              <w:keepNext/>
              <w:spacing w:after="40"/>
              <w:rPr>
                <w:rFonts w:ascii="Arial Narrow" w:hAnsi="Arial Narrow" w:cs="Arial"/>
                <w:iCs/>
                <w:color w:val="000000"/>
                <w:sz w:val="20"/>
              </w:rPr>
            </w:pPr>
            <w:r w:rsidRPr="000C355A">
              <w:rPr>
                <w:rFonts w:ascii="Arial Narrow" w:hAnsi="Arial Narrow" w:cs="Arial"/>
                <w:iCs/>
                <w:color w:val="000000"/>
                <w:sz w:val="20"/>
              </w:rPr>
              <w:t>Pooled risk (RE) (95% CI)</w:t>
            </w:r>
          </w:p>
        </w:tc>
        <w:tc>
          <w:tcPr>
            <w:tcW w:w="2835" w:type="dxa"/>
            <w:tcBorders>
              <w:bottom w:val="single" w:sz="4" w:space="0" w:color="auto"/>
            </w:tcBorders>
            <w:noWrap/>
            <w:vAlign w:val="center"/>
          </w:tcPr>
          <w:p w14:paraId="7C7F86BA" w14:textId="77777777" w:rsidR="00E772A0" w:rsidRDefault="00E772A0" w:rsidP="00F07327">
            <w:pPr>
              <w:keepNext/>
              <w:spacing w:after="40"/>
              <w:jc w:val="center"/>
              <w:rPr>
                <w:rFonts w:ascii="Arial Narrow" w:hAnsi="Arial Narrow" w:cs="Arial"/>
                <w:iCs/>
                <w:color w:val="000000"/>
                <w:sz w:val="20"/>
              </w:rPr>
            </w:pPr>
            <w:r w:rsidRPr="00553D58">
              <w:rPr>
                <w:rFonts w:ascii="Arial Narrow" w:hAnsi="Arial Narrow" w:cs="Arial"/>
                <w:iCs/>
                <w:color w:val="FFFFFF" w:themeColor="background1"/>
                <w:sz w:val="20"/>
                <w:shd w:val="clear" w:color="auto" w:fill="000000" w:themeFill="text1"/>
              </w:rPr>
              <w:t>0.018</w:t>
            </w:r>
            <w:r w:rsidRPr="00553D58">
              <w:rPr>
                <w:rFonts w:ascii="Arial Narrow" w:hAnsi="Arial Narrow" w:cs="Arial"/>
                <w:iCs/>
                <w:color w:val="FFFFFF" w:themeColor="background1"/>
                <w:sz w:val="20"/>
              </w:rPr>
              <w:t xml:space="preserve"> </w:t>
            </w:r>
            <w:r w:rsidRPr="00E0515A">
              <w:rPr>
                <w:rFonts w:ascii="Arial Narrow" w:hAnsi="Arial Narrow" w:cs="Arial"/>
                <w:iCs/>
                <w:color w:val="000000"/>
                <w:sz w:val="20"/>
              </w:rPr>
              <w:t>(−0.011, 0.047),</w:t>
            </w:r>
          </w:p>
          <w:p w14:paraId="43608FF2" w14:textId="77777777" w:rsidR="00E772A0" w:rsidRPr="00EA6557" w:rsidRDefault="00E772A0" w:rsidP="00F07327">
            <w:pPr>
              <w:keepNext/>
              <w:spacing w:after="40"/>
              <w:jc w:val="center"/>
              <w:rPr>
                <w:rFonts w:ascii="Arial Narrow" w:hAnsi="Arial Narrow" w:cs="Arial"/>
                <w:iCs/>
                <w:color w:val="000000"/>
                <w:sz w:val="20"/>
              </w:rPr>
            </w:pPr>
            <w:r w:rsidRPr="00E0515A">
              <w:rPr>
                <w:rFonts w:ascii="Arial Narrow" w:hAnsi="Arial Narrow" w:cs="Arial"/>
                <w:iCs/>
                <w:color w:val="000000"/>
                <w:sz w:val="20"/>
              </w:rPr>
              <w:t>p=0.231, Q = 2.31 (</w:t>
            </w:r>
            <w:proofErr w:type="spellStart"/>
            <w:r w:rsidRPr="00E0515A">
              <w:rPr>
                <w:rFonts w:ascii="Arial Narrow" w:hAnsi="Arial Narrow" w:cs="Arial"/>
                <w:iCs/>
                <w:color w:val="000000"/>
                <w:sz w:val="20"/>
              </w:rPr>
              <w:t>df</w:t>
            </w:r>
            <w:proofErr w:type="spellEnd"/>
            <w:r w:rsidRPr="00E0515A">
              <w:rPr>
                <w:rFonts w:ascii="Arial Narrow" w:hAnsi="Arial Narrow" w:cs="Arial"/>
                <w:iCs/>
                <w:color w:val="000000"/>
                <w:sz w:val="20"/>
              </w:rPr>
              <w:t>=2), I</w:t>
            </w:r>
            <w:r w:rsidRPr="00E0515A">
              <w:rPr>
                <w:rFonts w:ascii="Arial Narrow" w:hAnsi="Arial Narrow" w:cs="Arial"/>
                <w:iCs/>
                <w:color w:val="000000"/>
                <w:sz w:val="20"/>
                <w:vertAlign w:val="superscript"/>
              </w:rPr>
              <w:t>2</w:t>
            </w:r>
            <w:r w:rsidRPr="00E0515A">
              <w:rPr>
                <w:rFonts w:ascii="Arial Narrow" w:hAnsi="Arial Narrow" w:cs="Arial"/>
                <w:iCs/>
                <w:color w:val="000000"/>
                <w:sz w:val="20"/>
              </w:rPr>
              <w:t xml:space="preserve"> = 0.14</w:t>
            </w:r>
          </w:p>
        </w:tc>
        <w:tc>
          <w:tcPr>
            <w:tcW w:w="1843" w:type="dxa"/>
            <w:tcBorders>
              <w:bottom w:val="single" w:sz="4" w:space="0" w:color="auto"/>
            </w:tcBorders>
            <w:noWrap/>
            <w:vAlign w:val="center"/>
          </w:tcPr>
          <w:p w14:paraId="6A7F12D9" w14:textId="77777777" w:rsidR="00E772A0" w:rsidRDefault="00E772A0" w:rsidP="00F07327">
            <w:pPr>
              <w:keepNext/>
              <w:spacing w:after="40"/>
              <w:jc w:val="center"/>
              <w:rPr>
                <w:rFonts w:ascii="Arial Narrow" w:hAnsi="Arial Narrow" w:cs="Arial"/>
                <w:iCs/>
                <w:color w:val="000000"/>
                <w:sz w:val="20"/>
              </w:rPr>
            </w:pPr>
            <w:r w:rsidRPr="00CC6F2C">
              <w:rPr>
                <w:rFonts w:ascii="Arial Narrow" w:hAnsi="Arial Narrow" w:cs="Arial"/>
                <w:b/>
                <w:bCs/>
                <w:iCs/>
                <w:color w:val="FFFFFF" w:themeColor="background1"/>
                <w:sz w:val="20"/>
                <w:shd w:val="clear" w:color="auto" w:fill="000000" w:themeFill="text1"/>
              </w:rPr>
              <w:t>0.078</w:t>
            </w:r>
            <w:r w:rsidRPr="00CC6F2C">
              <w:rPr>
                <w:rFonts w:ascii="Arial Narrow" w:hAnsi="Arial Narrow" w:cs="Arial"/>
                <w:b/>
                <w:bCs/>
                <w:iCs/>
                <w:color w:val="FFFFFF" w:themeColor="background1"/>
                <w:sz w:val="20"/>
              </w:rPr>
              <w:t xml:space="preserve"> </w:t>
            </w:r>
            <w:r w:rsidRPr="00E0515A">
              <w:rPr>
                <w:rFonts w:ascii="Arial Narrow" w:hAnsi="Arial Narrow" w:cs="Arial"/>
                <w:b/>
                <w:bCs/>
                <w:iCs/>
                <w:color w:val="000000"/>
                <w:sz w:val="20"/>
              </w:rPr>
              <w:t>(0.012, 0.144)</w:t>
            </w:r>
            <w:r w:rsidRPr="00E0515A">
              <w:rPr>
                <w:rFonts w:ascii="Arial Narrow" w:hAnsi="Arial Narrow" w:cs="Arial"/>
                <w:iCs/>
                <w:color w:val="000000"/>
                <w:sz w:val="20"/>
              </w:rPr>
              <w:t>,</w:t>
            </w:r>
          </w:p>
          <w:p w14:paraId="28030A2A" w14:textId="77777777" w:rsidR="00E772A0" w:rsidRPr="00EA6557" w:rsidRDefault="00E772A0" w:rsidP="00F07327">
            <w:pPr>
              <w:keepNext/>
              <w:spacing w:after="40"/>
              <w:jc w:val="center"/>
              <w:rPr>
                <w:rFonts w:ascii="Arial Narrow" w:hAnsi="Arial Narrow" w:cs="Arial"/>
                <w:b/>
                <w:bCs/>
                <w:iCs/>
                <w:color w:val="000000"/>
                <w:sz w:val="20"/>
              </w:rPr>
            </w:pPr>
            <w:r w:rsidRPr="00E0515A">
              <w:rPr>
                <w:rFonts w:ascii="Arial Narrow" w:hAnsi="Arial Narrow" w:cs="Arial"/>
                <w:iCs/>
                <w:color w:val="000000"/>
                <w:sz w:val="20"/>
              </w:rPr>
              <w:t>p&lt;0.001</w:t>
            </w:r>
            <w:r>
              <w:rPr>
                <w:rFonts w:ascii="Arial Narrow" w:hAnsi="Arial Narrow" w:cs="Arial"/>
                <w:iCs/>
                <w:color w:val="000000"/>
                <w:sz w:val="20"/>
              </w:rPr>
              <w:t xml:space="preserve">, </w:t>
            </w:r>
            <w:proofErr w:type="spellStart"/>
            <w:r>
              <w:rPr>
                <w:rFonts w:ascii="Arial Narrow" w:hAnsi="Arial Narrow" w:cs="Arial"/>
                <w:iCs/>
                <w:color w:val="000000"/>
                <w:sz w:val="20"/>
              </w:rPr>
              <w:t>df</w:t>
            </w:r>
            <w:proofErr w:type="spellEnd"/>
            <w:r>
              <w:rPr>
                <w:rFonts w:ascii="Arial Narrow" w:hAnsi="Arial Narrow" w:cs="Arial"/>
                <w:iCs/>
                <w:color w:val="000000"/>
                <w:sz w:val="20"/>
              </w:rPr>
              <w:t>=0</w:t>
            </w:r>
          </w:p>
        </w:tc>
        <w:tc>
          <w:tcPr>
            <w:tcW w:w="2126" w:type="dxa"/>
            <w:tcBorders>
              <w:bottom w:val="single" w:sz="4" w:space="0" w:color="auto"/>
            </w:tcBorders>
            <w:noWrap/>
            <w:vAlign w:val="center"/>
          </w:tcPr>
          <w:p w14:paraId="17A9C65A" w14:textId="77777777" w:rsidR="00E772A0" w:rsidRDefault="00E772A0" w:rsidP="00F07327">
            <w:pPr>
              <w:keepNext/>
              <w:spacing w:after="40"/>
              <w:jc w:val="center"/>
              <w:rPr>
                <w:rFonts w:ascii="Arial Narrow" w:hAnsi="Arial Narrow" w:cs="Arial"/>
                <w:iCs/>
                <w:color w:val="000000"/>
                <w:sz w:val="20"/>
              </w:rPr>
            </w:pPr>
            <w:r w:rsidRPr="00E0515A">
              <w:rPr>
                <w:rFonts w:ascii="Arial Narrow" w:hAnsi="Arial Narrow" w:cs="Arial"/>
                <w:iCs/>
                <w:color w:val="000000"/>
                <w:sz w:val="20"/>
              </w:rPr>
              <w:t>−0.060 (−0.132, 0.012),</w:t>
            </w:r>
          </w:p>
          <w:p w14:paraId="672B1D0C" w14:textId="77777777" w:rsidR="00E772A0" w:rsidRPr="00EA6557" w:rsidRDefault="00E772A0" w:rsidP="00F07327">
            <w:pPr>
              <w:keepNext/>
              <w:spacing w:after="40"/>
              <w:jc w:val="center"/>
              <w:rPr>
                <w:rFonts w:ascii="Arial Narrow" w:hAnsi="Arial Narrow" w:cs="Arial"/>
                <w:iCs/>
                <w:color w:val="000000"/>
                <w:sz w:val="20"/>
              </w:rPr>
            </w:pPr>
            <w:r w:rsidRPr="00E0515A">
              <w:rPr>
                <w:rFonts w:ascii="Arial Narrow" w:hAnsi="Arial Narrow" w:cs="Arial"/>
                <w:iCs/>
                <w:color w:val="000000"/>
                <w:sz w:val="20"/>
              </w:rPr>
              <w:t>p=0.050</w:t>
            </w:r>
          </w:p>
        </w:tc>
      </w:tr>
      <w:tr w:rsidR="00E772A0" w:rsidRPr="00EA6557" w14:paraId="54CA18A1" w14:textId="77777777" w:rsidTr="00F07327">
        <w:trPr>
          <w:cantSplit/>
          <w:trHeight w:val="20"/>
        </w:trPr>
        <w:tc>
          <w:tcPr>
            <w:tcW w:w="2376" w:type="dxa"/>
            <w:tcBorders>
              <w:top w:val="single" w:sz="4" w:space="0" w:color="auto"/>
              <w:left w:val="single" w:sz="4" w:space="0" w:color="auto"/>
              <w:bottom w:val="single" w:sz="4" w:space="0" w:color="auto"/>
              <w:right w:val="nil"/>
            </w:tcBorders>
            <w:noWrap/>
            <w:vAlign w:val="center"/>
          </w:tcPr>
          <w:p w14:paraId="14A98510" w14:textId="77777777" w:rsidR="00E772A0" w:rsidRPr="000C355A" w:rsidRDefault="00E772A0" w:rsidP="00F07327">
            <w:pPr>
              <w:keepNext/>
              <w:spacing w:after="40"/>
              <w:rPr>
                <w:rFonts w:ascii="Arial Narrow" w:hAnsi="Arial Narrow" w:cs="Arial"/>
                <w:iCs/>
                <w:color w:val="000000"/>
                <w:sz w:val="20"/>
              </w:rPr>
            </w:pPr>
            <w:r>
              <w:rPr>
                <w:rFonts w:ascii="Arial Narrow" w:hAnsi="Arial Narrow" w:cs="Arial"/>
                <w:iCs/>
                <w:color w:val="000000"/>
                <w:sz w:val="20"/>
              </w:rPr>
              <w:t>FTRCT (Subpopulation 2)</w:t>
            </w:r>
          </w:p>
        </w:tc>
        <w:tc>
          <w:tcPr>
            <w:tcW w:w="2835" w:type="dxa"/>
            <w:tcBorders>
              <w:top w:val="single" w:sz="4" w:space="0" w:color="auto"/>
              <w:left w:val="nil"/>
              <w:bottom w:val="single" w:sz="4" w:space="0" w:color="auto"/>
              <w:right w:val="nil"/>
            </w:tcBorders>
            <w:noWrap/>
            <w:vAlign w:val="center"/>
          </w:tcPr>
          <w:p w14:paraId="46627F91" w14:textId="77777777" w:rsidR="00E772A0" w:rsidRPr="00553D58" w:rsidRDefault="00E772A0" w:rsidP="00F07327">
            <w:pPr>
              <w:keepNext/>
              <w:spacing w:after="40"/>
              <w:jc w:val="center"/>
              <w:rPr>
                <w:rFonts w:ascii="Arial Narrow" w:hAnsi="Arial Narrow" w:cs="Arial"/>
                <w:iCs/>
                <w:color w:val="FFFFFF" w:themeColor="background1"/>
                <w:sz w:val="20"/>
                <w:shd w:val="clear" w:color="auto" w:fill="000000" w:themeFill="text1"/>
              </w:rPr>
            </w:pPr>
          </w:p>
        </w:tc>
        <w:tc>
          <w:tcPr>
            <w:tcW w:w="1843" w:type="dxa"/>
            <w:tcBorders>
              <w:top w:val="single" w:sz="4" w:space="0" w:color="auto"/>
              <w:left w:val="nil"/>
              <w:bottom w:val="single" w:sz="4" w:space="0" w:color="auto"/>
              <w:right w:val="nil"/>
            </w:tcBorders>
            <w:noWrap/>
            <w:vAlign w:val="center"/>
          </w:tcPr>
          <w:p w14:paraId="4BC4C5D3" w14:textId="77777777" w:rsidR="00E772A0" w:rsidRPr="00CC6F2C" w:rsidRDefault="00E772A0" w:rsidP="00F07327">
            <w:pPr>
              <w:keepNext/>
              <w:spacing w:after="40"/>
              <w:jc w:val="center"/>
              <w:rPr>
                <w:rFonts w:ascii="Arial Narrow" w:hAnsi="Arial Narrow" w:cs="Arial"/>
                <w:b/>
                <w:bCs/>
                <w:iCs/>
                <w:color w:val="FFFFFF" w:themeColor="background1"/>
                <w:sz w:val="20"/>
                <w:shd w:val="clear" w:color="auto" w:fill="000000" w:themeFill="text1"/>
              </w:rPr>
            </w:pPr>
          </w:p>
        </w:tc>
        <w:tc>
          <w:tcPr>
            <w:tcW w:w="2126" w:type="dxa"/>
            <w:tcBorders>
              <w:top w:val="single" w:sz="4" w:space="0" w:color="auto"/>
              <w:left w:val="nil"/>
              <w:bottom w:val="single" w:sz="4" w:space="0" w:color="auto"/>
              <w:right w:val="single" w:sz="4" w:space="0" w:color="auto"/>
            </w:tcBorders>
            <w:noWrap/>
            <w:vAlign w:val="center"/>
          </w:tcPr>
          <w:p w14:paraId="56E61BEC" w14:textId="77777777" w:rsidR="00E772A0" w:rsidRPr="00E0515A" w:rsidRDefault="00E772A0" w:rsidP="00F07327">
            <w:pPr>
              <w:keepNext/>
              <w:spacing w:after="40"/>
              <w:jc w:val="center"/>
              <w:rPr>
                <w:rFonts w:ascii="Arial Narrow" w:hAnsi="Arial Narrow" w:cs="Arial"/>
                <w:iCs/>
                <w:color w:val="000000"/>
                <w:sz w:val="20"/>
              </w:rPr>
            </w:pPr>
          </w:p>
        </w:tc>
      </w:tr>
      <w:tr w:rsidR="00E772A0" w:rsidRPr="00EA6557" w14:paraId="2C66FB8C" w14:textId="77777777" w:rsidTr="00F07327">
        <w:trPr>
          <w:cantSplit/>
          <w:trHeight w:val="20"/>
        </w:trPr>
        <w:tc>
          <w:tcPr>
            <w:tcW w:w="2376" w:type="dxa"/>
            <w:tcBorders>
              <w:top w:val="single" w:sz="4" w:space="0" w:color="auto"/>
            </w:tcBorders>
            <w:noWrap/>
            <w:vAlign w:val="center"/>
          </w:tcPr>
          <w:p w14:paraId="681FC7E8" w14:textId="77777777" w:rsidR="00E772A0" w:rsidRPr="000C355A" w:rsidRDefault="00E772A0" w:rsidP="00F07327">
            <w:pPr>
              <w:keepNext/>
              <w:spacing w:after="40"/>
              <w:rPr>
                <w:rFonts w:ascii="Arial Narrow" w:hAnsi="Arial Narrow" w:cs="Arial"/>
                <w:iCs/>
                <w:color w:val="000000"/>
                <w:sz w:val="20"/>
              </w:rPr>
            </w:pPr>
            <w:r>
              <w:rPr>
                <w:rFonts w:ascii="Arial Narrow" w:hAnsi="Arial Narrow" w:cs="Arial"/>
                <w:iCs/>
                <w:color w:val="000000"/>
                <w:sz w:val="20"/>
              </w:rPr>
              <w:t>Across treatment arms: range^ / N / n</w:t>
            </w:r>
          </w:p>
        </w:tc>
        <w:tc>
          <w:tcPr>
            <w:tcW w:w="2835" w:type="dxa"/>
            <w:tcBorders>
              <w:top w:val="single" w:sz="4" w:space="0" w:color="auto"/>
            </w:tcBorders>
            <w:noWrap/>
            <w:vAlign w:val="center"/>
          </w:tcPr>
          <w:p w14:paraId="2644ECF2" w14:textId="77777777" w:rsidR="00E772A0" w:rsidRPr="00553D58" w:rsidRDefault="00E772A0" w:rsidP="00F07327">
            <w:pPr>
              <w:keepNext/>
              <w:spacing w:after="40"/>
              <w:jc w:val="center"/>
              <w:rPr>
                <w:rFonts w:ascii="Arial Narrow" w:hAnsi="Arial Narrow" w:cs="Arial"/>
                <w:iCs/>
                <w:color w:val="FFFFFF" w:themeColor="background1"/>
                <w:sz w:val="20"/>
                <w:shd w:val="clear" w:color="auto" w:fill="000000" w:themeFill="text1"/>
              </w:rPr>
            </w:pPr>
            <w:r>
              <w:rPr>
                <w:rFonts w:ascii="Arial Narrow" w:hAnsi="Arial Narrow"/>
                <w:sz w:val="20"/>
              </w:rPr>
              <w:t xml:space="preserve">0-8.4% / </w:t>
            </w:r>
            <w:r w:rsidRPr="0068766A">
              <w:rPr>
                <w:rFonts w:ascii="Arial Narrow" w:hAnsi="Arial Narrow"/>
                <w:sz w:val="20"/>
              </w:rPr>
              <w:t>1</w:t>
            </w:r>
            <w:r>
              <w:rPr>
                <w:rFonts w:ascii="Arial Narrow" w:hAnsi="Arial Narrow"/>
                <w:sz w:val="20"/>
              </w:rPr>
              <w:t>15</w:t>
            </w:r>
            <w:r w:rsidRPr="0068766A">
              <w:rPr>
                <w:rFonts w:ascii="Arial Narrow" w:hAnsi="Arial Narrow"/>
                <w:sz w:val="20"/>
              </w:rPr>
              <w:t xml:space="preserve"> / 3</w:t>
            </w:r>
          </w:p>
        </w:tc>
        <w:tc>
          <w:tcPr>
            <w:tcW w:w="1843" w:type="dxa"/>
            <w:tcBorders>
              <w:top w:val="single" w:sz="4" w:space="0" w:color="auto"/>
            </w:tcBorders>
            <w:noWrap/>
            <w:vAlign w:val="center"/>
          </w:tcPr>
          <w:p w14:paraId="3D42B557" w14:textId="77777777" w:rsidR="00E772A0" w:rsidRPr="00CC6F2C" w:rsidRDefault="00E772A0" w:rsidP="00F07327">
            <w:pPr>
              <w:keepNext/>
              <w:spacing w:after="40"/>
              <w:jc w:val="center"/>
              <w:rPr>
                <w:rFonts w:ascii="Arial Narrow" w:hAnsi="Arial Narrow" w:cs="Arial"/>
                <w:b/>
                <w:bCs/>
                <w:iCs/>
                <w:color w:val="FFFFFF" w:themeColor="background1"/>
                <w:sz w:val="20"/>
                <w:shd w:val="clear" w:color="auto" w:fill="000000" w:themeFill="text1"/>
              </w:rPr>
            </w:pPr>
            <w:r>
              <w:rPr>
                <w:rFonts w:ascii="Arial Narrow" w:hAnsi="Arial Narrow"/>
                <w:sz w:val="20"/>
              </w:rPr>
              <w:t>0-9.3% / 912</w:t>
            </w:r>
            <w:r w:rsidRPr="0068766A">
              <w:rPr>
                <w:rFonts w:ascii="Arial Narrow" w:hAnsi="Arial Narrow"/>
                <w:sz w:val="20"/>
              </w:rPr>
              <w:t xml:space="preserve"> / 1</w:t>
            </w:r>
            <w:r>
              <w:rPr>
                <w:rFonts w:ascii="Arial Narrow" w:hAnsi="Arial Narrow"/>
                <w:sz w:val="20"/>
              </w:rPr>
              <w:t>9</w:t>
            </w:r>
          </w:p>
        </w:tc>
        <w:tc>
          <w:tcPr>
            <w:tcW w:w="2126" w:type="dxa"/>
            <w:tcBorders>
              <w:top w:val="single" w:sz="4" w:space="0" w:color="auto"/>
            </w:tcBorders>
            <w:noWrap/>
            <w:vAlign w:val="center"/>
          </w:tcPr>
          <w:p w14:paraId="433391A3" w14:textId="77777777" w:rsidR="00E772A0" w:rsidRPr="00E0515A" w:rsidRDefault="00E772A0" w:rsidP="00F07327">
            <w:pPr>
              <w:keepNext/>
              <w:spacing w:after="40"/>
              <w:jc w:val="center"/>
              <w:rPr>
                <w:rFonts w:ascii="Arial Narrow" w:hAnsi="Arial Narrow" w:cs="Arial"/>
                <w:iCs/>
                <w:color w:val="000000"/>
                <w:sz w:val="20"/>
              </w:rPr>
            </w:pPr>
            <w:r w:rsidRPr="00CA48B2">
              <w:rPr>
                <w:rFonts w:ascii="Arial Narrow" w:hAnsi="Arial Narrow"/>
                <w:iCs/>
                <w:sz w:val="20"/>
                <w:lang w:val="en-US"/>
              </w:rPr>
              <w:t>−</w:t>
            </w:r>
          </w:p>
        </w:tc>
      </w:tr>
      <w:tr w:rsidR="00E772A0" w:rsidRPr="00EA6557" w14:paraId="47DDD503" w14:textId="77777777" w:rsidTr="00F07327">
        <w:trPr>
          <w:cantSplit/>
          <w:trHeight w:val="20"/>
        </w:trPr>
        <w:tc>
          <w:tcPr>
            <w:tcW w:w="2376" w:type="dxa"/>
            <w:noWrap/>
            <w:vAlign w:val="center"/>
          </w:tcPr>
          <w:p w14:paraId="05CD01D4" w14:textId="77777777" w:rsidR="00E772A0" w:rsidRPr="000C355A" w:rsidRDefault="00E772A0" w:rsidP="00F07327">
            <w:pPr>
              <w:keepNext/>
              <w:spacing w:after="40"/>
              <w:rPr>
                <w:rFonts w:ascii="Arial Narrow" w:hAnsi="Arial Narrow" w:cs="Arial"/>
                <w:iCs/>
                <w:color w:val="000000"/>
                <w:sz w:val="20"/>
              </w:rPr>
            </w:pPr>
            <w:r w:rsidRPr="000C355A">
              <w:rPr>
                <w:rFonts w:ascii="Arial Narrow" w:hAnsi="Arial Narrow" w:cs="Arial"/>
                <w:iCs/>
                <w:color w:val="000000"/>
                <w:sz w:val="20"/>
              </w:rPr>
              <w:t>Pooled risk (RE) (95% CI)</w:t>
            </w:r>
          </w:p>
        </w:tc>
        <w:tc>
          <w:tcPr>
            <w:tcW w:w="2835" w:type="dxa"/>
            <w:noWrap/>
            <w:vAlign w:val="center"/>
          </w:tcPr>
          <w:p w14:paraId="24CBDEEF" w14:textId="77777777" w:rsidR="00E772A0" w:rsidRDefault="00E772A0" w:rsidP="00F07327">
            <w:pPr>
              <w:keepNext/>
              <w:spacing w:after="40"/>
              <w:jc w:val="center"/>
              <w:rPr>
                <w:rFonts w:ascii="Arial Narrow" w:hAnsi="Arial Narrow" w:cs="Arial"/>
                <w:iCs/>
                <w:color w:val="000000"/>
                <w:sz w:val="20"/>
              </w:rPr>
            </w:pPr>
            <w:r w:rsidRPr="001D464B">
              <w:rPr>
                <w:rFonts w:ascii="Arial Narrow" w:hAnsi="Arial Narrow" w:cs="Arial"/>
                <w:b/>
                <w:bCs/>
                <w:iCs/>
                <w:color w:val="FFFFFF" w:themeColor="background1"/>
                <w:sz w:val="20"/>
                <w:shd w:val="clear" w:color="auto" w:fill="000000" w:themeFill="text1"/>
              </w:rPr>
              <w:t>0.069</w:t>
            </w:r>
            <w:r w:rsidRPr="00E0515A">
              <w:rPr>
                <w:rFonts w:ascii="Arial Narrow" w:hAnsi="Arial Narrow" w:cs="Arial"/>
                <w:b/>
                <w:bCs/>
                <w:iCs/>
                <w:color w:val="000000"/>
                <w:sz w:val="20"/>
              </w:rPr>
              <w:t xml:space="preserve"> (0.043, 0.095),</w:t>
            </w:r>
          </w:p>
          <w:p w14:paraId="3C344427" w14:textId="77777777" w:rsidR="00E772A0" w:rsidRPr="00553D58" w:rsidRDefault="00E772A0" w:rsidP="00F07327">
            <w:pPr>
              <w:keepNext/>
              <w:spacing w:after="40"/>
              <w:jc w:val="center"/>
              <w:rPr>
                <w:rFonts w:ascii="Arial Narrow" w:hAnsi="Arial Narrow" w:cs="Arial"/>
                <w:iCs/>
                <w:color w:val="FFFFFF" w:themeColor="background1"/>
                <w:sz w:val="20"/>
                <w:shd w:val="clear" w:color="auto" w:fill="000000" w:themeFill="text1"/>
              </w:rPr>
            </w:pPr>
            <w:r w:rsidRPr="00E0515A">
              <w:rPr>
                <w:rFonts w:ascii="Arial Narrow" w:hAnsi="Arial Narrow" w:cs="Arial"/>
                <w:iCs/>
                <w:color w:val="000000"/>
                <w:sz w:val="20"/>
              </w:rPr>
              <w:t>p&lt;0.001, Q=0.64 (</w:t>
            </w:r>
            <w:proofErr w:type="spellStart"/>
            <w:r w:rsidRPr="00E0515A">
              <w:rPr>
                <w:rFonts w:ascii="Arial Narrow" w:hAnsi="Arial Narrow" w:cs="Arial"/>
                <w:iCs/>
                <w:color w:val="000000"/>
                <w:sz w:val="20"/>
              </w:rPr>
              <w:t>df</w:t>
            </w:r>
            <w:proofErr w:type="spellEnd"/>
            <w:r w:rsidRPr="00E0515A">
              <w:rPr>
                <w:rFonts w:ascii="Arial Narrow" w:hAnsi="Arial Narrow" w:cs="Arial"/>
                <w:iCs/>
                <w:color w:val="000000"/>
                <w:sz w:val="20"/>
              </w:rPr>
              <w:t>=2), I</w:t>
            </w:r>
            <w:r w:rsidRPr="00E0515A">
              <w:rPr>
                <w:rFonts w:ascii="Arial Narrow" w:hAnsi="Arial Narrow" w:cs="Arial"/>
                <w:iCs/>
                <w:color w:val="000000"/>
                <w:sz w:val="20"/>
                <w:vertAlign w:val="superscript"/>
              </w:rPr>
              <w:t>2</w:t>
            </w:r>
            <w:r w:rsidRPr="00E0515A">
              <w:rPr>
                <w:rFonts w:ascii="Arial Narrow" w:hAnsi="Arial Narrow" w:cs="Arial"/>
                <w:iCs/>
                <w:color w:val="000000"/>
                <w:sz w:val="20"/>
              </w:rPr>
              <w:t>=0</w:t>
            </w:r>
          </w:p>
        </w:tc>
        <w:tc>
          <w:tcPr>
            <w:tcW w:w="1843" w:type="dxa"/>
            <w:noWrap/>
            <w:vAlign w:val="center"/>
          </w:tcPr>
          <w:p w14:paraId="3C275107" w14:textId="77777777" w:rsidR="00E772A0" w:rsidRDefault="00E772A0" w:rsidP="00F07327">
            <w:pPr>
              <w:keepNext/>
              <w:spacing w:after="40"/>
              <w:jc w:val="center"/>
              <w:rPr>
                <w:rFonts w:ascii="Arial Narrow" w:hAnsi="Arial Narrow" w:cs="Arial"/>
                <w:iCs/>
                <w:color w:val="000000"/>
                <w:sz w:val="20"/>
              </w:rPr>
            </w:pPr>
            <w:r w:rsidRPr="001D464B">
              <w:rPr>
                <w:rFonts w:ascii="Arial Narrow" w:hAnsi="Arial Narrow" w:cs="Arial"/>
                <w:b/>
                <w:bCs/>
                <w:iCs/>
                <w:color w:val="FFFFFF" w:themeColor="background1"/>
                <w:sz w:val="20"/>
                <w:shd w:val="clear" w:color="auto" w:fill="000000" w:themeFill="text1"/>
              </w:rPr>
              <w:t>0.027</w:t>
            </w:r>
            <w:r w:rsidRPr="001D464B">
              <w:rPr>
                <w:rFonts w:ascii="Arial Narrow" w:hAnsi="Arial Narrow" w:cs="Arial"/>
                <w:b/>
                <w:bCs/>
                <w:iCs/>
                <w:color w:val="FFFFFF" w:themeColor="background1"/>
                <w:sz w:val="20"/>
              </w:rPr>
              <w:t xml:space="preserve"> </w:t>
            </w:r>
            <w:r w:rsidRPr="00E0515A">
              <w:rPr>
                <w:rFonts w:ascii="Arial Narrow" w:hAnsi="Arial Narrow" w:cs="Arial"/>
                <w:b/>
                <w:bCs/>
                <w:iCs/>
                <w:color w:val="000000"/>
                <w:sz w:val="20"/>
              </w:rPr>
              <w:t>(0.017, 0.038</w:t>
            </w:r>
            <w:r w:rsidRPr="00E0515A">
              <w:rPr>
                <w:rFonts w:ascii="Arial Narrow" w:hAnsi="Arial Narrow" w:cs="Arial"/>
                <w:iCs/>
                <w:color w:val="000000"/>
                <w:sz w:val="20"/>
              </w:rPr>
              <w:t>),</w:t>
            </w:r>
          </w:p>
          <w:p w14:paraId="4B5C509C" w14:textId="77777777" w:rsidR="00E772A0" w:rsidRPr="00CC6F2C" w:rsidRDefault="00E772A0" w:rsidP="00F07327">
            <w:pPr>
              <w:keepNext/>
              <w:spacing w:after="40"/>
              <w:jc w:val="center"/>
              <w:rPr>
                <w:rFonts w:ascii="Arial Narrow" w:hAnsi="Arial Narrow" w:cs="Arial"/>
                <w:b/>
                <w:bCs/>
                <w:iCs/>
                <w:color w:val="FFFFFF" w:themeColor="background1"/>
                <w:sz w:val="20"/>
                <w:shd w:val="clear" w:color="auto" w:fill="000000" w:themeFill="text1"/>
              </w:rPr>
            </w:pPr>
            <w:r w:rsidRPr="00E0515A">
              <w:rPr>
                <w:rFonts w:ascii="Arial Narrow" w:hAnsi="Arial Narrow" w:cs="Arial"/>
                <w:iCs/>
                <w:color w:val="000000"/>
                <w:sz w:val="20"/>
              </w:rPr>
              <w:t>p-value &lt;0.001, Q=15.14 (</w:t>
            </w:r>
            <w:proofErr w:type="spellStart"/>
            <w:r w:rsidRPr="00E0515A">
              <w:rPr>
                <w:rFonts w:ascii="Arial Narrow" w:hAnsi="Arial Narrow" w:cs="Arial"/>
                <w:iCs/>
                <w:color w:val="000000"/>
                <w:sz w:val="20"/>
              </w:rPr>
              <w:t>df</w:t>
            </w:r>
            <w:proofErr w:type="spellEnd"/>
            <w:r w:rsidRPr="00E0515A">
              <w:rPr>
                <w:rFonts w:ascii="Arial Narrow" w:hAnsi="Arial Narrow" w:cs="Arial"/>
                <w:iCs/>
                <w:color w:val="000000"/>
                <w:sz w:val="20"/>
              </w:rPr>
              <w:t>=18), I</w:t>
            </w:r>
            <w:r w:rsidRPr="00E0515A">
              <w:rPr>
                <w:rFonts w:ascii="Arial Narrow" w:hAnsi="Arial Narrow" w:cs="Arial"/>
                <w:iCs/>
                <w:color w:val="000000"/>
                <w:sz w:val="20"/>
                <w:vertAlign w:val="superscript"/>
              </w:rPr>
              <w:t>2</w:t>
            </w:r>
            <w:r w:rsidRPr="00E0515A">
              <w:rPr>
                <w:rFonts w:ascii="Arial Narrow" w:hAnsi="Arial Narrow" w:cs="Arial"/>
                <w:iCs/>
                <w:color w:val="000000"/>
                <w:sz w:val="20"/>
              </w:rPr>
              <w:t>=0</w:t>
            </w:r>
          </w:p>
        </w:tc>
        <w:tc>
          <w:tcPr>
            <w:tcW w:w="2126" w:type="dxa"/>
            <w:noWrap/>
            <w:vAlign w:val="center"/>
          </w:tcPr>
          <w:p w14:paraId="2F8D4D0F" w14:textId="77777777" w:rsidR="00E772A0" w:rsidRDefault="00E772A0" w:rsidP="00F07327">
            <w:pPr>
              <w:keepNext/>
              <w:spacing w:after="40"/>
              <w:jc w:val="center"/>
              <w:rPr>
                <w:rFonts w:ascii="Arial Narrow" w:hAnsi="Arial Narrow" w:cs="Arial"/>
                <w:iCs/>
                <w:color w:val="000000"/>
                <w:sz w:val="20"/>
              </w:rPr>
            </w:pPr>
            <w:r w:rsidRPr="00E0515A">
              <w:rPr>
                <w:rFonts w:ascii="Arial Narrow" w:hAnsi="Arial Narrow" w:cs="Arial"/>
                <w:b/>
                <w:bCs/>
                <w:iCs/>
                <w:color w:val="000000"/>
                <w:sz w:val="20"/>
              </w:rPr>
              <w:t>0.042 (0.014, 0.070)</w:t>
            </w:r>
            <w:r w:rsidRPr="00E0515A">
              <w:rPr>
                <w:rFonts w:ascii="Arial Narrow" w:hAnsi="Arial Narrow" w:cs="Arial"/>
                <w:iCs/>
                <w:color w:val="000000"/>
                <w:sz w:val="20"/>
              </w:rPr>
              <w:t>,</w:t>
            </w:r>
          </w:p>
          <w:p w14:paraId="5AD210DD" w14:textId="77777777" w:rsidR="00E772A0" w:rsidRPr="00E0515A" w:rsidRDefault="00E772A0" w:rsidP="00F07327">
            <w:pPr>
              <w:keepNext/>
              <w:spacing w:after="40"/>
              <w:jc w:val="center"/>
              <w:rPr>
                <w:rFonts w:ascii="Arial Narrow" w:hAnsi="Arial Narrow" w:cs="Arial"/>
                <w:iCs/>
                <w:color w:val="000000"/>
                <w:sz w:val="20"/>
              </w:rPr>
            </w:pPr>
            <w:r w:rsidRPr="00E0515A">
              <w:rPr>
                <w:rFonts w:ascii="Arial Narrow" w:hAnsi="Arial Narrow" w:cs="Arial"/>
                <w:iCs/>
                <w:color w:val="000000"/>
                <w:sz w:val="20"/>
              </w:rPr>
              <w:t>p=0.002</w:t>
            </w:r>
          </w:p>
        </w:tc>
      </w:tr>
    </w:tbl>
    <w:p w14:paraId="2441AF0E" w14:textId="77777777" w:rsidR="00E772A0" w:rsidRDefault="00E772A0" w:rsidP="007A30C9">
      <w:pPr>
        <w:rPr>
          <w:rFonts w:ascii="Arial Narrow" w:eastAsia="Calibri" w:hAnsi="Arial Narrow"/>
          <w:sz w:val="18"/>
          <w:szCs w:val="18"/>
        </w:rPr>
      </w:pPr>
      <w:bookmarkStart w:id="11" w:name="_Hlk36579713"/>
      <w:r>
        <w:rPr>
          <w:rFonts w:ascii="Arial Narrow" w:eastAsia="Calibri" w:hAnsi="Arial Narrow"/>
          <w:sz w:val="18"/>
          <w:szCs w:val="18"/>
        </w:rPr>
        <w:t xml:space="preserve">CI=confidence interval; </w:t>
      </w:r>
      <w:proofErr w:type="spellStart"/>
      <w:proofErr w:type="gramStart"/>
      <w:r>
        <w:rPr>
          <w:rFonts w:ascii="Arial Narrow" w:eastAsia="Calibri" w:hAnsi="Arial Narrow"/>
          <w:sz w:val="18"/>
          <w:szCs w:val="18"/>
        </w:rPr>
        <w:t>df</w:t>
      </w:r>
      <w:proofErr w:type="spellEnd"/>
      <w:r>
        <w:rPr>
          <w:rFonts w:ascii="Arial Narrow" w:eastAsia="Calibri" w:hAnsi="Arial Narrow"/>
          <w:sz w:val="18"/>
          <w:szCs w:val="18"/>
        </w:rPr>
        <w:t>=</w:t>
      </w:r>
      <w:proofErr w:type="gramEnd"/>
      <w:r>
        <w:rPr>
          <w:rFonts w:ascii="Arial Narrow" w:eastAsia="Calibri" w:hAnsi="Arial Narrow"/>
          <w:sz w:val="18"/>
          <w:szCs w:val="18"/>
        </w:rPr>
        <w:t xml:space="preserve">degree of freedom; N=total number of study participants across treatment arms; n=number of treatment arms contributing data; PTRCT=partial-thickness rotator cuff tear; </w:t>
      </w:r>
      <w:r w:rsidRPr="006F37CA">
        <w:rPr>
          <w:rFonts w:ascii="Arial Narrow" w:eastAsia="Calibri" w:hAnsi="Arial Narrow"/>
          <w:sz w:val="18"/>
          <w:szCs w:val="18"/>
        </w:rPr>
        <w:t>RE=random effects</w:t>
      </w:r>
    </w:p>
    <w:p w14:paraId="06E57332" w14:textId="77777777" w:rsidR="00E772A0" w:rsidRDefault="00E772A0" w:rsidP="007A30C9">
      <w:pPr>
        <w:rPr>
          <w:rFonts w:ascii="Arial Narrow" w:eastAsia="Calibri" w:hAnsi="Arial Narrow"/>
          <w:sz w:val="18"/>
          <w:szCs w:val="18"/>
        </w:rPr>
      </w:pPr>
      <w:bookmarkStart w:id="12" w:name="_Hlk36578746"/>
      <w:r>
        <w:rPr>
          <w:rFonts w:ascii="Arial Narrow" w:eastAsia="Calibri" w:hAnsi="Arial Narrow"/>
          <w:sz w:val="18"/>
          <w:szCs w:val="18"/>
        </w:rPr>
        <w:t xml:space="preserve">^ </w:t>
      </w:r>
      <w:r w:rsidRPr="000C355A">
        <w:rPr>
          <w:rFonts w:ascii="Arial Narrow" w:eastAsia="Calibri" w:hAnsi="Arial Narrow"/>
          <w:sz w:val="18"/>
          <w:szCs w:val="18"/>
        </w:rPr>
        <w:t xml:space="preserve">Range </w:t>
      </w:r>
      <w:r>
        <w:rPr>
          <w:rFonts w:ascii="Arial Narrow" w:eastAsia="Calibri" w:hAnsi="Arial Narrow"/>
          <w:sz w:val="18"/>
          <w:szCs w:val="18"/>
        </w:rPr>
        <w:t xml:space="preserve">(minimum, maximum) </w:t>
      </w:r>
      <w:r w:rsidRPr="000C355A">
        <w:rPr>
          <w:rFonts w:ascii="Arial Narrow" w:eastAsia="Calibri" w:hAnsi="Arial Narrow"/>
          <w:sz w:val="18"/>
          <w:szCs w:val="18"/>
        </w:rPr>
        <w:t xml:space="preserve">of event rates </w:t>
      </w:r>
      <w:r>
        <w:rPr>
          <w:rFonts w:ascii="Arial Narrow" w:eastAsia="Calibri" w:hAnsi="Arial Narrow"/>
          <w:sz w:val="18"/>
          <w:szCs w:val="18"/>
        </w:rPr>
        <w:t>across studies</w:t>
      </w:r>
    </w:p>
    <w:p w14:paraId="2B81071A" w14:textId="77777777" w:rsidR="00E772A0" w:rsidRPr="00B52A16" w:rsidRDefault="00E772A0" w:rsidP="007A30C9">
      <w:pPr>
        <w:rPr>
          <w:rFonts w:ascii="Arial Narrow" w:eastAsia="Calibri" w:hAnsi="Arial Narrow"/>
          <w:sz w:val="18"/>
          <w:szCs w:val="18"/>
        </w:rPr>
      </w:pPr>
      <w:r w:rsidRPr="00B52A16">
        <w:rPr>
          <w:rFonts w:ascii="Arial Narrow" w:eastAsia="Calibri" w:hAnsi="Arial Narrow"/>
          <w:sz w:val="18"/>
          <w:szCs w:val="18"/>
        </w:rPr>
        <w:t>* Difference (</w:t>
      </w:r>
      <w:r>
        <w:rPr>
          <w:rFonts w:ascii="Arial Narrow" w:eastAsia="Calibri" w:hAnsi="Arial Narrow"/>
          <w:sz w:val="18"/>
          <w:szCs w:val="18"/>
        </w:rPr>
        <w:t xml:space="preserve">naïve </w:t>
      </w:r>
      <w:r w:rsidRPr="00B52A16">
        <w:rPr>
          <w:rFonts w:ascii="Arial Narrow" w:eastAsia="Calibri" w:hAnsi="Arial Narrow"/>
          <w:sz w:val="18"/>
          <w:szCs w:val="18"/>
        </w:rPr>
        <w:t>indirect estimate) = REGENETEN − Standard Surgery</w:t>
      </w:r>
    </w:p>
    <w:bookmarkEnd w:id="11"/>
    <w:bookmarkEnd w:id="12"/>
    <w:p w14:paraId="0FFA444B" w14:textId="77777777" w:rsidR="00E772A0" w:rsidRDefault="00E772A0" w:rsidP="007A30C9">
      <w:pPr>
        <w:rPr>
          <w:rFonts w:ascii="Arial Narrow" w:eastAsia="Calibri" w:hAnsi="Arial Narrow" w:cs="Consolas"/>
          <w:color w:val="000000"/>
          <w:sz w:val="18"/>
          <w:szCs w:val="18"/>
        </w:rPr>
      </w:pPr>
      <w:r w:rsidRPr="00D075EB">
        <w:rPr>
          <w:rFonts w:ascii="Arial Narrow" w:eastAsia="Calibri" w:hAnsi="Arial Narrow" w:cs="Consolas"/>
          <w:color w:val="000000"/>
          <w:sz w:val="18"/>
          <w:szCs w:val="18"/>
        </w:rPr>
        <w:t xml:space="preserve">Numbers in </w:t>
      </w:r>
      <w:r w:rsidRPr="00D075EB">
        <w:rPr>
          <w:rFonts w:ascii="Arial Narrow" w:eastAsia="Calibri" w:hAnsi="Arial Narrow" w:cs="Consolas"/>
          <w:b/>
          <w:bCs/>
          <w:color w:val="000000" w:themeColor="text1"/>
          <w:sz w:val="18"/>
          <w:szCs w:val="18"/>
        </w:rPr>
        <w:t xml:space="preserve">bold </w:t>
      </w:r>
      <w:r w:rsidRPr="00D075EB">
        <w:rPr>
          <w:rFonts w:ascii="Arial Narrow" w:eastAsia="Calibri" w:hAnsi="Arial Narrow" w:cs="Consolas"/>
          <w:color w:val="000000" w:themeColor="text1"/>
          <w:sz w:val="18"/>
          <w:szCs w:val="18"/>
        </w:rPr>
        <w:t>represent results that reached statistical significance</w:t>
      </w:r>
      <w:r w:rsidRPr="00D075EB">
        <w:rPr>
          <w:rFonts w:ascii="Arial Narrow" w:eastAsia="Calibri" w:hAnsi="Arial Narrow" w:cs="Consolas"/>
          <w:color w:val="000000"/>
          <w:sz w:val="18"/>
          <w:szCs w:val="18"/>
        </w:rPr>
        <w:t>.</w:t>
      </w:r>
    </w:p>
    <w:p w14:paraId="0F1AAE8A" w14:textId="77777777" w:rsidR="00E772A0" w:rsidRPr="00A67731" w:rsidRDefault="00E772A0" w:rsidP="007A30C9">
      <w:pPr>
        <w:rPr>
          <w:rFonts w:ascii="Arial Narrow" w:eastAsia="Calibri" w:hAnsi="Arial Narrow" w:cs="Consolas"/>
          <w:color w:val="000000"/>
          <w:sz w:val="18"/>
          <w:szCs w:val="18"/>
        </w:rPr>
      </w:pPr>
      <w:r>
        <w:rPr>
          <w:rFonts w:ascii="Arial Narrow" w:eastAsia="Calibri" w:hAnsi="Arial Narrow" w:cs="Consolas"/>
          <w:color w:val="000000"/>
          <w:sz w:val="18"/>
          <w:szCs w:val="18"/>
        </w:rPr>
        <w:t>Source: Compiled from Table 31, p28; and Table 41, p43 of the Commentary</w:t>
      </w:r>
      <w:bookmarkEnd w:id="3"/>
    </w:p>
    <w:p w14:paraId="0DA6ADF1" w14:textId="77777777" w:rsidR="00BC1364" w:rsidRPr="00F715D1" w:rsidRDefault="00BC1364" w:rsidP="00F715D1">
      <w:pPr>
        <w:pStyle w:val="Heading1"/>
      </w:pPr>
      <w:r w:rsidRPr="00F715D1">
        <w:t>Comparative effectiveness</w:t>
      </w:r>
    </w:p>
    <w:p w14:paraId="4E6BA6CE" w14:textId="77777777" w:rsidR="00E772A0" w:rsidRDefault="00E772A0" w:rsidP="00E772A0">
      <w:pPr>
        <w:pStyle w:val="Heading2"/>
      </w:pPr>
      <w:r>
        <w:t>Functional and quality of life outcomes</w:t>
      </w:r>
    </w:p>
    <w:p w14:paraId="5D496E12" w14:textId="64E21E14" w:rsidR="00E772A0" w:rsidRDefault="00E772A0" w:rsidP="00E772A0">
      <w:r>
        <w:t>The ADAR stated that t</w:t>
      </w:r>
      <w:r w:rsidRPr="004B489F">
        <w:t xml:space="preserve">he studies of REGENETEN, for both PTRCT and FTRCT, reported statistically significant improvements from baseline in </w:t>
      </w:r>
      <w:r>
        <w:t>ASES and</w:t>
      </w:r>
      <w:r w:rsidRPr="004B489F">
        <w:t xml:space="preserve"> </w:t>
      </w:r>
      <w:r>
        <w:t>Constant-</w:t>
      </w:r>
      <w:proofErr w:type="spellStart"/>
      <w:r>
        <w:t>Murley</w:t>
      </w:r>
      <w:proofErr w:type="spellEnd"/>
      <w:r>
        <w:t xml:space="preserve"> (</w:t>
      </w:r>
      <w:r w:rsidRPr="004B489F">
        <w:t>CM</w:t>
      </w:r>
      <w:r>
        <w:t>)</w:t>
      </w:r>
      <w:r w:rsidRPr="004B489F">
        <w:t xml:space="preserve"> scores. These improvements exceeded the minimal clinically important differences (MCID)</w:t>
      </w:r>
      <w:r>
        <w:t xml:space="preserve"> of </w:t>
      </w:r>
      <w:r w:rsidRPr="008C5A22">
        <w:t>11.1 (</w:t>
      </w:r>
      <w:proofErr w:type="spellStart"/>
      <w:r w:rsidRPr="008C5A22">
        <w:t>Cvetanovich</w:t>
      </w:r>
      <w:proofErr w:type="spellEnd"/>
      <w:r w:rsidRPr="008C5A22">
        <w:t xml:space="preserve"> 2019</w:t>
      </w:r>
      <w:r>
        <w:rPr>
          <w:rStyle w:val="FootnoteReference"/>
        </w:rPr>
        <w:footnoteReference w:id="15"/>
      </w:r>
      <w:r w:rsidRPr="008C5A22">
        <w:t>) and 20.9 (</w:t>
      </w:r>
      <w:proofErr w:type="spellStart"/>
      <w:r w:rsidRPr="008C5A22">
        <w:t>Tashjian</w:t>
      </w:r>
      <w:proofErr w:type="spellEnd"/>
      <w:r w:rsidRPr="008C5A22">
        <w:t xml:space="preserve"> 2017</w:t>
      </w:r>
      <w:r>
        <w:rPr>
          <w:rStyle w:val="FootnoteReference"/>
        </w:rPr>
        <w:footnoteReference w:id="16"/>
      </w:r>
      <w:r w:rsidRPr="008C5A22">
        <w:t>)</w:t>
      </w:r>
      <w:r>
        <w:t xml:space="preserve"> for the ASES; and after 12 months was greater than twice the MCID of 10.4 (</w:t>
      </w:r>
      <w:proofErr w:type="spellStart"/>
      <w:r>
        <w:t>Kukkonen</w:t>
      </w:r>
      <w:proofErr w:type="spellEnd"/>
      <w:r>
        <w:t xml:space="preserve"> et al 2013</w:t>
      </w:r>
      <w:r>
        <w:rPr>
          <w:rStyle w:val="FootnoteReference"/>
        </w:rPr>
        <w:footnoteReference w:id="17"/>
      </w:r>
      <w:r w:rsidRPr="0011741E">
        <w:t>)</w:t>
      </w:r>
      <w:r>
        <w:t xml:space="preserve"> for the</w:t>
      </w:r>
      <w:r w:rsidRPr="004B489F">
        <w:t xml:space="preserve"> CM scores.</w:t>
      </w:r>
      <w:r>
        <w:t xml:space="preserve"> McIntyre 2019 reported significant and clinically meaningful improvements in the Western Ontario Rotator Cuff (WORC) and visual analogue scale (VAS) pain scales at 12 months.</w:t>
      </w:r>
    </w:p>
    <w:p w14:paraId="46FEC28C" w14:textId="349DD7BD" w:rsidR="00E772A0" w:rsidRPr="005A160D" w:rsidRDefault="00E772A0" w:rsidP="00885C08">
      <w:pPr>
        <w:spacing w:before="240"/>
        <w:rPr>
          <w:szCs w:val="24"/>
        </w:rPr>
      </w:pPr>
      <w:r w:rsidRPr="0027225C">
        <w:t>The ADAR</w:t>
      </w:r>
      <w:r>
        <w:t xml:space="preserve"> stated that </w:t>
      </w:r>
      <w:r w:rsidRPr="00A83CA2">
        <w:t>there are no statistically significant differences between REGENETEN and conventional surgery for any patient</w:t>
      </w:r>
      <w:r>
        <w:t>-</w:t>
      </w:r>
      <w:r w:rsidRPr="00A83CA2">
        <w:t>reported outcomes</w:t>
      </w:r>
      <w:r>
        <w:t xml:space="preserve"> over </w:t>
      </w:r>
      <w:r w:rsidR="003302A1">
        <w:br/>
      </w:r>
      <w:r>
        <w:t>12-24 months follow-</w:t>
      </w:r>
      <w:r w:rsidRPr="00530588">
        <w:rPr>
          <w:szCs w:val="24"/>
        </w:rPr>
        <w:t>up (</w:t>
      </w:r>
      <w:r w:rsidR="00530588" w:rsidRPr="00530588">
        <w:rPr>
          <w:szCs w:val="24"/>
        </w:rPr>
        <w:fldChar w:fldCharType="begin"/>
      </w:r>
      <w:r w:rsidR="00530588" w:rsidRPr="00530588">
        <w:rPr>
          <w:szCs w:val="24"/>
        </w:rPr>
        <w:instrText xml:space="preserve"> REF _Ref36021115 \h  \* MERGEFORMAT </w:instrText>
      </w:r>
      <w:r w:rsidR="00530588" w:rsidRPr="00530588">
        <w:rPr>
          <w:szCs w:val="24"/>
        </w:rPr>
      </w:r>
      <w:r w:rsidR="00530588" w:rsidRPr="00530588">
        <w:rPr>
          <w:szCs w:val="24"/>
        </w:rPr>
        <w:fldChar w:fldCharType="separate"/>
      </w:r>
      <w:r w:rsidR="00455942" w:rsidRPr="00455942">
        <w:rPr>
          <w:szCs w:val="24"/>
        </w:rPr>
        <w:t>Table 4</w:t>
      </w:r>
      <w:r w:rsidR="00530588" w:rsidRPr="00530588">
        <w:rPr>
          <w:szCs w:val="24"/>
        </w:rPr>
        <w:fldChar w:fldCharType="end"/>
      </w:r>
      <w:r w:rsidRPr="00530588">
        <w:rPr>
          <w:szCs w:val="24"/>
        </w:rPr>
        <w:t>). The</w:t>
      </w:r>
      <w:r>
        <w:t xml:space="preserve"> Commentary considered there</w:t>
      </w:r>
      <w:r w:rsidRPr="00133D4D">
        <w:t xml:space="preserve"> appeared a trend of greater improvement with standard surgery in ASES and Constant-</w:t>
      </w:r>
      <w:proofErr w:type="spellStart"/>
      <w:r w:rsidRPr="00133D4D">
        <w:t>Murley</w:t>
      </w:r>
      <w:proofErr w:type="spellEnd"/>
      <w:r w:rsidRPr="00133D4D">
        <w:t xml:space="preserve"> scores for PTRCT and Constant-</w:t>
      </w:r>
      <w:proofErr w:type="spellStart"/>
      <w:r w:rsidRPr="00133D4D">
        <w:t>Murley</w:t>
      </w:r>
      <w:proofErr w:type="spellEnd"/>
      <w:r w:rsidRPr="00133D4D">
        <w:t xml:space="preserve"> and WORC scores for FTRCT, when compared with REGENETEN, although the difference did not</w:t>
      </w:r>
      <w:r>
        <w:t xml:space="preserve"> reach statistical significanc</w:t>
      </w:r>
      <w:r w:rsidR="007A30C9">
        <w:t>e (</w:t>
      </w:r>
      <w:r w:rsidR="005A160D">
        <w:t>Table 5</w:t>
      </w:r>
      <w:r>
        <w:t>).</w:t>
      </w:r>
    </w:p>
    <w:p w14:paraId="48B9E6B3" w14:textId="16673CC0" w:rsidR="0098433F" w:rsidRPr="00885C08" w:rsidRDefault="00E772A0" w:rsidP="00885C08">
      <w:pPr>
        <w:spacing w:before="240"/>
        <w:rPr>
          <w:rFonts w:eastAsiaTheme="minorHAnsi"/>
          <w:lang w:val="en-US"/>
        </w:rPr>
      </w:pPr>
      <w:r>
        <w:rPr>
          <w:rFonts w:eastAsiaTheme="minorHAnsi"/>
          <w:lang w:val="en-US"/>
        </w:rPr>
        <w:t>The Commentary stated n</w:t>
      </w:r>
      <w:r w:rsidRPr="00133D4D">
        <w:rPr>
          <w:rFonts w:eastAsiaTheme="minorHAnsi"/>
          <w:lang w:val="en-US"/>
        </w:rPr>
        <w:t>o naïve comparison was possible for assessing rehabilitation outcomes due to no evidence for standard surgery.</w:t>
      </w:r>
      <w:bookmarkStart w:id="13" w:name="_Ref37944015"/>
      <w:bookmarkStart w:id="14" w:name="_Toc27569741"/>
      <w:bookmarkStart w:id="15" w:name="_Toc31954991"/>
      <w:r w:rsidR="0098433F">
        <w:br w:type="page"/>
      </w:r>
    </w:p>
    <w:p w14:paraId="091B3D4A" w14:textId="7DB5F13A" w:rsidR="00E772A0" w:rsidRPr="00D32FC9" w:rsidRDefault="0098433F" w:rsidP="00D32FC9">
      <w:pPr>
        <w:rPr>
          <w:rFonts w:ascii="Arial Narrow" w:hAnsi="Arial Narrow"/>
          <w:b/>
          <w:sz w:val="20"/>
        </w:rPr>
      </w:pPr>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5</w:t>
      </w:r>
      <w:r w:rsidR="00F62D1A" w:rsidRPr="00D32FC9">
        <w:rPr>
          <w:rFonts w:ascii="Arial Narrow" w:hAnsi="Arial Narrow"/>
          <w:b/>
          <w:sz w:val="20"/>
        </w:rPr>
        <w:fldChar w:fldCharType="end"/>
      </w:r>
      <w:bookmarkEnd w:id="13"/>
      <w:r w:rsidR="00E772A0" w:rsidRPr="00D32FC9">
        <w:rPr>
          <w:rFonts w:ascii="Arial Narrow" w:hAnsi="Arial Narrow"/>
          <w:b/>
          <w:sz w:val="20"/>
        </w:rPr>
        <w:tab/>
        <w:t>Naïve indirect comparison of patient-reported outcomes between REGENETEN and standard surgery</w:t>
      </w:r>
      <w:bookmarkEnd w:id="14"/>
      <w:bookmarkEnd w:id="15"/>
    </w:p>
    <w:tbl>
      <w:tblPr>
        <w:tblStyle w:val="TableGrid"/>
        <w:tblW w:w="0" w:type="auto"/>
        <w:tblLook w:val="04A0" w:firstRow="1" w:lastRow="0" w:firstColumn="1" w:lastColumn="0" w:noHBand="0" w:noVBand="1"/>
        <w:tblDescription w:val="Naïve indirect comparison of patient-reported outcomes between REGENETEN and standard surgery"/>
      </w:tblPr>
      <w:tblGrid>
        <w:gridCol w:w="1413"/>
        <w:gridCol w:w="2551"/>
        <w:gridCol w:w="3119"/>
        <w:gridCol w:w="1933"/>
      </w:tblGrid>
      <w:tr w:rsidR="00E772A0" w:rsidRPr="00CA48B2" w14:paraId="01B1F298" w14:textId="77777777" w:rsidTr="00F07327">
        <w:trPr>
          <w:tblHeader/>
        </w:trPr>
        <w:tc>
          <w:tcPr>
            <w:tcW w:w="1413" w:type="dxa"/>
            <w:vMerge w:val="restart"/>
            <w:vAlign w:val="center"/>
          </w:tcPr>
          <w:p w14:paraId="750B0184" w14:textId="77777777" w:rsidR="00E772A0" w:rsidRPr="00CA48B2" w:rsidRDefault="00E772A0" w:rsidP="00F07327">
            <w:pPr>
              <w:spacing w:after="40"/>
              <w:jc w:val="center"/>
              <w:rPr>
                <w:rFonts w:ascii="Arial Narrow" w:hAnsi="Arial Narrow"/>
                <w:b/>
                <w:sz w:val="20"/>
                <w:lang w:val="en-US"/>
              </w:rPr>
            </w:pPr>
            <w:r w:rsidRPr="00CA48B2">
              <w:rPr>
                <w:rFonts w:ascii="Arial Narrow" w:hAnsi="Arial Narrow"/>
                <w:b/>
                <w:sz w:val="20"/>
                <w:lang w:val="en-US"/>
              </w:rPr>
              <w:t>Functional outcomes</w:t>
            </w:r>
          </w:p>
        </w:tc>
        <w:tc>
          <w:tcPr>
            <w:tcW w:w="5670" w:type="dxa"/>
            <w:gridSpan w:val="2"/>
            <w:vAlign w:val="center"/>
          </w:tcPr>
          <w:p w14:paraId="424629A7" w14:textId="77777777" w:rsidR="00E772A0" w:rsidRPr="00CA48B2" w:rsidRDefault="00E772A0" w:rsidP="00F07327">
            <w:pPr>
              <w:spacing w:after="40"/>
              <w:jc w:val="center"/>
              <w:rPr>
                <w:rFonts w:ascii="Arial Narrow" w:hAnsi="Arial Narrow"/>
                <w:b/>
                <w:sz w:val="20"/>
              </w:rPr>
            </w:pPr>
            <w:r w:rsidRPr="00CA48B2">
              <w:rPr>
                <w:rFonts w:ascii="Arial Narrow" w:hAnsi="Arial Narrow"/>
                <w:b/>
                <w:sz w:val="20"/>
              </w:rPr>
              <w:t>Pooled risk (RE) (95% CI)</w:t>
            </w:r>
          </w:p>
        </w:tc>
        <w:tc>
          <w:tcPr>
            <w:tcW w:w="1933" w:type="dxa"/>
            <w:vMerge w:val="restart"/>
            <w:vAlign w:val="center"/>
          </w:tcPr>
          <w:p w14:paraId="18B8B985" w14:textId="77777777" w:rsidR="00E772A0" w:rsidRPr="00CA48B2" w:rsidRDefault="00E772A0" w:rsidP="00F07327">
            <w:pPr>
              <w:spacing w:after="40"/>
              <w:jc w:val="center"/>
              <w:rPr>
                <w:rFonts w:ascii="Arial Narrow" w:hAnsi="Arial Narrow"/>
                <w:b/>
                <w:sz w:val="20"/>
              </w:rPr>
            </w:pPr>
            <w:r w:rsidRPr="00CA48B2">
              <w:rPr>
                <w:rFonts w:ascii="Arial Narrow" w:hAnsi="Arial Narrow"/>
                <w:b/>
                <w:sz w:val="20"/>
              </w:rPr>
              <w:t>Difference*</w:t>
            </w:r>
          </w:p>
        </w:tc>
      </w:tr>
      <w:tr w:rsidR="00E772A0" w:rsidRPr="00CA48B2" w14:paraId="3C609567" w14:textId="77777777" w:rsidTr="00F07327">
        <w:trPr>
          <w:tblHeader/>
        </w:trPr>
        <w:tc>
          <w:tcPr>
            <w:tcW w:w="1413" w:type="dxa"/>
            <w:vMerge/>
            <w:tcBorders>
              <w:bottom w:val="single" w:sz="4" w:space="0" w:color="auto"/>
            </w:tcBorders>
          </w:tcPr>
          <w:p w14:paraId="22B46B71" w14:textId="77777777" w:rsidR="00E772A0" w:rsidRPr="00CA48B2" w:rsidRDefault="00E772A0" w:rsidP="00F07327">
            <w:pPr>
              <w:spacing w:after="40"/>
              <w:rPr>
                <w:rFonts w:ascii="Arial Narrow" w:hAnsi="Arial Narrow"/>
                <w:b/>
                <w:sz w:val="20"/>
                <w:lang w:val="en-US"/>
              </w:rPr>
            </w:pPr>
          </w:p>
        </w:tc>
        <w:tc>
          <w:tcPr>
            <w:tcW w:w="2551" w:type="dxa"/>
            <w:tcBorders>
              <w:bottom w:val="single" w:sz="4" w:space="0" w:color="auto"/>
            </w:tcBorders>
            <w:vAlign w:val="center"/>
          </w:tcPr>
          <w:p w14:paraId="7E8A86B2" w14:textId="77777777" w:rsidR="00E772A0" w:rsidRPr="00CA48B2" w:rsidRDefault="00E772A0" w:rsidP="00F07327">
            <w:pPr>
              <w:spacing w:after="40"/>
              <w:jc w:val="center"/>
              <w:rPr>
                <w:rFonts w:ascii="Arial Narrow" w:hAnsi="Arial Narrow"/>
                <w:b/>
                <w:sz w:val="20"/>
                <w:lang w:val="en-US"/>
              </w:rPr>
            </w:pPr>
            <w:r w:rsidRPr="00CA48B2">
              <w:rPr>
                <w:rFonts w:ascii="Arial Narrow" w:hAnsi="Arial Narrow"/>
                <w:b/>
                <w:sz w:val="20"/>
              </w:rPr>
              <w:t>REGENETEN</w:t>
            </w:r>
          </w:p>
        </w:tc>
        <w:tc>
          <w:tcPr>
            <w:tcW w:w="3119" w:type="dxa"/>
            <w:tcBorders>
              <w:bottom w:val="single" w:sz="4" w:space="0" w:color="auto"/>
            </w:tcBorders>
            <w:vAlign w:val="center"/>
          </w:tcPr>
          <w:p w14:paraId="235E57CC" w14:textId="77777777" w:rsidR="00E772A0" w:rsidRPr="00CA48B2" w:rsidRDefault="00E772A0" w:rsidP="00F07327">
            <w:pPr>
              <w:spacing w:after="40"/>
              <w:jc w:val="center"/>
              <w:rPr>
                <w:rFonts w:ascii="Arial Narrow" w:hAnsi="Arial Narrow"/>
                <w:b/>
                <w:sz w:val="20"/>
                <w:lang w:val="en-US"/>
              </w:rPr>
            </w:pPr>
            <w:r w:rsidRPr="00CA48B2">
              <w:rPr>
                <w:rFonts w:ascii="Arial Narrow" w:hAnsi="Arial Narrow"/>
                <w:b/>
                <w:sz w:val="20"/>
              </w:rPr>
              <w:t>Standard surgery</w:t>
            </w:r>
          </w:p>
        </w:tc>
        <w:tc>
          <w:tcPr>
            <w:tcW w:w="1933" w:type="dxa"/>
            <w:vMerge/>
            <w:tcBorders>
              <w:bottom w:val="single" w:sz="4" w:space="0" w:color="auto"/>
            </w:tcBorders>
            <w:vAlign w:val="center"/>
          </w:tcPr>
          <w:p w14:paraId="755AEDC5" w14:textId="77777777" w:rsidR="00E772A0" w:rsidRPr="00CA48B2" w:rsidRDefault="00E772A0" w:rsidP="00F07327">
            <w:pPr>
              <w:spacing w:after="40"/>
              <w:rPr>
                <w:rFonts w:ascii="Arial Narrow" w:hAnsi="Arial Narrow"/>
                <w:b/>
                <w:sz w:val="20"/>
                <w:lang w:val="en-US"/>
              </w:rPr>
            </w:pPr>
          </w:p>
        </w:tc>
      </w:tr>
      <w:tr w:rsidR="00E772A0" w:rsidRPr="00CA48B2" w14:paraId="59A0A0D1" w14:textId="77777777" w:rsidTr="00F07327">
        <w:tc>
          <w:tcPr>
            <w:tcW w:w="1413" w:type="dxa"/>
            <w:tcBorders>
              <w:right w:val="nil"/>
            </w:tcBorders>
            <w:shd w:val="clear" w:color="auto" w:fill="DDD9C3" w:themeFill="background2" w:themeFillShade="E6"/>
          </w:tcPr>
          <w:p w14:paraId="60506D8D" w14:textId="77777777" w:rsidR="00E772A0" w:rsidRPr="00CA48B2" w:rsidRDefault="00E772A0" w:rsidP="00F07327">
            <w:pPr>
              <w:spacing w:after="40"/>
              <w:rPr>
                <w:rFonts w:ascii="Arial Narrow" w:hAnsi="Arial Narrow"/>
                <w:iCs/>
                <w:sz w:val="20"/>
                <w:lang w:val="en-US"/>
              </w:rPr>
            </w:pPr>
            <w:bookmarkStart w:id="16" w:name="_Hlk39132821"/>
            <w:r w:rsidRPr="00CA48B2">
              <w:rPr>
                <w:rFonts w:ascii="Arial Narrow" w:hAnsi="Arial Narrow"/>
                <w:iCs/>
                <w:sz w:val="20"/>
                <w:lang w:val="en-US"/>
              </w:rPr>
              <w:t>PTRCT</w:t>
            </w:r>
          </w:p>
        </w:tc>
        <w:tc>
          <w:tcPr>
            <w:tcW w:w="2551" w:type="dxa"/>
            <w:tcBorders>
              <w:left w:val="nil"/>
              <w:right w:val="nil"/>
            </w:tcBorders>
            <w:shd w:val="clear" w:color="auto" w:fill="DDD9C3" w:themeFill="background2" w:themeFillShade="E6"/>
          </w:tcPr>
          <w:p w14:paraId="0887B1F6" w14:textId="77777777" w:rsidR="00E772A0" w:rsidRPr="00CA48B2" w:rsidRDefault="00E772A0" w:rsidP="00F07327">
            <w:pPr>
              <w:spacing w:after="40"/>
              <w:rPr>
                <w:rFonts w:ascii="Arial Narrow" w:hAnsi="Arial Narrow"/>
                <w:iCs/>
                <w:sz w:val="20"/>
                <w:lang w:val="en-US"/>
              </w:rPr>
            </w:pPr>
          </w:p>
        </w:tc>
        <w:tc>
          <w:tcPr>
            <w:tcW w:w="3119" w:type="dxa"/>
            <w:tcBorders>
              <w:left w:val="nil"/>
              <w:right w:val="nil"/>
            </w:tcBorders>
            <w:shd w:val="clear" w:color="auto" w:fill="DDD9C3" w:themeFill="background2" w:themeFillShade="E6"/>
          </w:tcPr>
          <w:p w14:paraId="58C2E7E2" w14:textId="77777777" w:rsidR="00E772A0" w:rsidRPr="00CA48B2" w:rsidRDefault="00E772A0" w:rsidP="00F07327">
            <w:pPr>
              <w:spacing w:after="40"/>
              <w:rPr>
                <w:rFonts w:ascii="Arial Narrow" w:hAnsi="Arial Narrow"/>
                <w:iCs/>
                <w:sz w:val="20"/>
                <w:lang w:val="en-US"/>
              </w:rPr>
            </w:pPr>
          </w:p>
        </w:tc>
        <w:tc>
          <w:tcPr>
            <w:tcW w:w="1933" w:type="dxa"/>
            <w:tcBorders>
              <w:left w:val="nil"/>
            </w:tcBorders>
            <w:shd w:val="clear" w:color="auto" w:fill="DDD9C3" w:themeFill="background2" w:themeFillShade="E6"/>
          </w:tcPr>
          <w:p w14:paraId="4846A7D0" w14:textId="77777777" w:rsidR="00E772A0" w:rsidRPr="00CA48B2" w:rsidRDefault="00E772A0" w:rsidP="00F07327">
            <w:pPr>
              <w:spacing w:after="40"/>
              <w:rPr>
                <w:rFonts w:ascii="Arial Narrow" w:hAnsi="Arial Narrow"/>
                <w:iCs/>
                <w:sz w:val="20"/>
                <w:lang w:val="en-US"/>
              </w:rPr>
            </w:pPr>
          </w:p>
        </w:tc>
      </w:tr>
      <w:bookmarkEnd w:id="16"/>
      <w:tr w:rsidR="00E772A0" w:rsidRPr="00CA48B2" w14:paraId="436D976D" w14:textId="77777777" w:rsidTr="00F07327">
        <w:tc>
          <w:tcPr>
            <w:tcW w:w="1413" w:type="dxa"/>
            <w:vAlign w:val="center"/>
          </w:tcPr>
          <w:p w14:paraId="02464BFE" w14:textId="77777777" w:rsidR="00E772A0" w:rsidRPr="00CA48B2" w:rsidRDefault="00E772A0" w:rsidP="00F07327">
            <w:pPr>
              <w:spacing w:after="40"/>
              <w:rPr>
                <w:rFonts w:ascii="Arial Narrow" w:hAnsi="Arial Narrow"/>
                <w:iCs/>
                <w:sz w:val="20"/>
                <w:lang w:val="en-US"/>
              </w:rPr>
            </w:pPr>
            <w:r w:rsidRPr="00CA48B2">
              <w:rPr>
                <w:rFonts w:ascii="Arial Narrow" w:hAnsi="Arial Narrow"/>
                <w:sz w:val="20"/>
              </w:rPr>
              <w:t>ASES Score</w:t>
            </w:r>
          </w:p>
        </w:tc>
        <w:tc>
          <w:tcPr>
            <w:tcW w:w="2551" w:type="dxa"/>
            <w:vAlign w:val="center"/>
          </w:tcPr>
          <w:p w14:paraId="5DDE0F7C" w14:textId="77777777" w:rsidR="00E772A0" w:rsidRPr="00CA48B2" w:rsidRDefault="00E772A0" w:rsidP="00F07327">
            <w:pPr>
              <w:spacing w:after="40"/>
              <w:jc w:val="center"/>
              <w:rPr>
                <w:rFonts w:ascii="Arial Narrow" w:hAnsi="Arial Narrow"/>
                <w:iCs/>
                <w:sz w:val="20"/>
              </w:rPr>
            </w:pPr>
            <w:r w:rsidRPr="00CA48B2">
              <w:rPr>
                <w:rFonts w:ascii="Arial Narrow" w:hAnsi="Arial Narrow"/>
                <w:iCs/>
                <w:sz w:val="20"/>
              </w:rPr>
              <w:t>34.57 (28.39, 40.75)</w:t>
            </w:r>
          </w:p>
          <w:p w14:paraId="2B04FB71"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p&lt;0.001, Q=0.20 (</w:t>
            </w:r>
            <w:proofErr w:type="spellStart"/>
            <w:r w:rsidRPr="00CA48B2">
              <w:rPr>
                <w:rFonts w:ascii="Arial Narrow" w:hAnsi="Arial Narrow"/>
                <w:iCs/>
                <w:sz w:val="20"/>
              </w:rPr>
              <w:t>df</w:t>
            </w:r>
            <w:proofErr w:type="spellEnd"/>
            <w:r w:rsidRPr="00CA48B2">
              <w:rPr>
                <w:rFonts w:ascii="Arial Narrow" w:hAnsi="Arial Narrow"/>
                <w:iCs/>
                <w:sz w:val="20"/>
              </w:rPr>
              <w:t>=1), I</w:t>
            </w:r>
            <w:r w:rsidRPr="00CA48B2">
              <w:rPr>
                <w:rFonts w:ascii="Arial Narrow" w:hAnsi="Arial Narrow"/>
                <w:iCs/>
                <w:sz w:val="20"/>
                <w:vertAlign w:val="superscript"/>
              </w:rPr>
              <w:t>2</w:t>
            </w:r>
            <w:r w:rsidRPr="00CA48B2">
              <w:rPr>
                <w:rFonts w:ascii="Arial Narrow" w:hAnsi="Arial Narrow"/>
                <w:iCs/>
                <w:sz w:val="20"/>
              </w:rPr>
              <w:t>=0</w:t>
            </w:r>
          </w:p>
        </w:tc>
        <w:tc>
          <w:tcPr>
            <w:tcW w:w="3119" w:type="dxa"/>
            <w:vAlign w:val="center"/>
          </w:tcPr>
          <w:p w14:paraId="792EDE09" w14:textId="77777777" w:rsidR="00E772A0" w:rsidRPr="00CA48B2" w:rsidRDefault="00E772A0" w:rsidP="00F07327">
            <w:pPr>
              <w:spacing w:after="40"/>
              <w:jc w:val="center"/>
              <w:rPr>
                <w:rFonts w:ascii="Arial Narrow" w:hAnsi="Arial Narrow"/>
                <w:iCs/>
                <w:sz w:val="20"/>
              </w:rPr>
            </w:pPr>
            <w:r w:rsidRPr="00CA48B2">
              <w:rPr>
                <w:rFonts w:ascii="Arial Narrow" w:hAnsi="Arial Narrow"/>
                <w:iCs/>
                <w:sz w:val="20"/>
              </w:rPr>
              <w:t>40.52 (35.68, 45.36)</w:t>
            </w:r>
          </w:p>
          <w:p w14:paraId="1609041F"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p&lt;0.001, Q=114.78 (</w:t>
            </w:r>
            <w:proofErr w:type="spellStart"/>
            <w:r w:rsidRPr="00CA48B2">
              <w:rPr>
                <w:rFonts w:ascii="Arial Narrow" w:hAnsi="Arial Narrow"/>
                <w:iCs/>
                <w:sz w:val="20"/>
              </w:rPr>
              <w:t>df</w:t>
            </w:r>
            <w:proofErr w:type="spellEnd"/>
            <w:r w:rsidRPr="00CA48B2">
              <w:rPr>
                <w:rFonts w:ascii="Arial Narrow" w:hAnsi="Arial Narrow"/>
                <w:iCs/>
                <w:sz w:val="20"/>
              </w:rPr>
              <w:t>=5), I</w:t>
            </w:r>
            <w:r w:rsidRPr="00CA48B2">
              <w:rPr>
                <w:rFonts w:ascii="Arial Narrow" w:hAnsi="Arial Narrow"/>
                <w:iCs/>
                <w:sz w:val="20"/>
                <w:vertAlign w:val="superscript"/>
              </w:rPr>
              <w:t>2</w:t>
            </w:r>
            <w:r w:rsidRPr="00CA48B2">
              <w:rPr>
                <w:rFonts w:ascii="Arial Narrow" w:hAnsi="Arial Narrow"/>
                <w:iCs/>
                <w:sz w:val="20"/>
              </w:rPr>
              <w:t>=0.96</w:t>
            </w:r>
          </w:p>
        </w:tc>
        <w:tc>
          <w:tcPr>
            <w:tcW w:w="1933" w:type="dxa"/>
            <w:vAlign w:val="center"/>
          </w:tcPr>
          <w:p w14:paraId="72EFCEAF" w14:textId="77777777" w:rsidR="00E772A0" w:rsidRPr="00CA48B2" w:rsidRDefault="00E772A0" w:rsidP="00F07327">
            <w:pPr>
              <w:spacing w:after="40"/>
              <w:jc w:val="center"/>
              <w:rPr>
                <w:rFonts w:ascii="Arial Narrow" w:hAnsi="Arial Narrow"/>
                <w:iCs/>
                <w:sz w:val="20"/>
              </w:rPr>
            </w:pPr>
            <w:r w:rsidRPr="00CA48B2">
              <w:rPr>
                <w:rFonts w:ascii="Arial Narrow" w:hAnsi="Arial Narrow"/>
                <w:iCs/>
                <w:sz w:val="20"/>
              </w:rPr>
              <w:t>−5.95 (−13.80, 1.90)</w:t>
            </w:r>
          </w:p>
          <w:p w14:paraId="74D8FCF7"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p=0.07</w:t>
            </w:r>
          </w:p>
        </w:tc>
      </w:tr>
      <w:tr w:rsidR="00E772A0" w:rsidRPr="00CA48B2" w14:paraId="5E2498F0" w14:textId="77777777" w:rsidTr="00F07327">
        <w:tc>
          <w:tcPr>
            <w:tcW w:w="1413" w:type="dxa"/>
            <w:vAlign w:val="center"/>
          </w:tcPr>
          <w:p w14:paraId="5E5708A3" w14:textId="77777777" w:rsidR="00E772A0" w:rsidRPr="00CA48B2" w:rsidRDefault="00E772A0" w:rsidP="00F07327">
            <w:pPr>
              <w:spacing w:after="40"/>
              <w:rPr>
                <w:rFonts w:ascii="Arial Narrow" w:hAnsi="Arial Narrow"/>
                <w:iCs/>
                <w:sz w:val="20"/>
                <w:lang w:val="en-US"/>
              </w:rPr>
            </w:pPr>
            <w:r w:rsidRPr="00CA48B2">
              <w:rPr>
                <w:rFonts w:ascii="Arial Narrow" w:hAnsi="Arial Narrow"/>
                <w:sz w:val="20"/>
              </w:rPr>
              <w:t>Constant-</w:t>
            </w:r>
            <w:proofErr w:type="spellStart"/>
            <w:r w:rsidRPr="00CA48B2">
              <w:rPr>
                <w:rFonts w:ascii="Arial Narrow" w:hAnsi="Arial Narrow"/>
                <w:sz w:val="20"/>
              </w:rPr>
              <w:t>Murley</w:t>
            </w:r>
            <w:proofErr w:type="spellEnd"/>
            <w:r w:rsidRPr="00CA48B2">
              <w:rPr>
                <w:rFonts w:ascii="Arial Narrow" w:hAnsi="Arial Narrow"/>
                <w:sz w:val="20"/>
              </w:rPr>
              <w:t xml:space="preserve"> Score</w:t>
            </w:r>
          </w:p>
        </w:tc>
        <w:tc>
          <w:tcPr>
            <w:tcW w:w="2551" w:type="dxa"/>
            <w:vAlign w:val="center"/>
          </w:tcPr>
          <w:p w14:paraId="4BF33F76"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24.30 (11.15, 37.45)</w:t>
            </w:r>
          </w:p>
        </w:tc>
        <w:tc>
          <w:tcPr>
            <w:tcW w:w="3119" w:type="dxa"/>
            <w:vAlign w:val="center"/>
          </w:tcPr>
          <w:p w14:paraId="4DD6816F" w14:textId="77777777" w:rsidR="00E772A0" w:rsidRPr="00CA48B2" w:rsidRDefault="00E772A0" w:rsidP="00F07327">
            <w:pPr>
              <w:spacing w:after="40"/>
              <w:jc w:val="center"/>
              <w:rPr>
                <w:rFonts w:ascii="Arial Narrow" w:hAnsi="Arial Narrow"/>
                <w:iCs/>
                <w:sz w:val="20"/>
              </w:rPr>
            </w:pPr>
            <w:r w:rsidRPr="00CA48B2">
              <w:rPr>
                <w:rFonts w:ascii="Arial Narrow" w:hAnsi="Arial Narrow"/>
                <w:iCs/>
                <w:sz w:val="20"/>
              </w:rPr>
              <w:t>36.37 (20.28, 52.46)</w:t>
            </w:r>
          </w:p>
          <w:p w14:paraId="39306AEC"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p&lt;0.001, Q = 38.69 (</w:t>
            </w:r>
            <w:proofErr w:type="spellStart"/>
            <w:r w:rsidRPr="00CA48B2">
              <w:rPr>
                <w:rFonts w:ascii="Arial Narrow" w:hAnsi="Arial Narrow"/>
                <w:iCs/>
                <w:sz w:val="20"/>
              </w:rPr>
              <w:t>df</w:t>
            </w:r>
            <w:proofErr w:type="spellEnd"/>
            <w:r w:rsidRPr="00CA48B2">
              <w:rPr>
                <w:rFonts w:ascii="Arial Narrow" w:hAnsi="Arial Narrow"/>
                <w:iCs/>
                <w:sz w:val="20"/>
              </w:rPr>
              <w:t>=2), I</w:t>
            </w:r>
            <w:r w:rsidRPr="00CA48B2">
              <w:rPr>
                <w:rFonts w:ascii="Arial Narrow" w:hAnsi="Arial Narrow"/>
                <w:iCs/>
                <w:sz w:val="20"/>
                <w:vertAlign w:val="superscript"/>
              </w:rPr>
              <w:t>2</w:t>
            </w:r>
            <w:r w:rsidRPr="00CA48B2">
              <w:rPr>
                <w:rFonts w:ascii="Arial Narrow" w:hAnsi="Arial Narrow"/>
                <w:iCs/>
                <w:sz w:val="20"/>
              </w:rPr>
              <w:t xml:space="preserve"> = 0.95</w:t>
            </w:r>
          </w:p>
        </w:tc>
        <w:tc>
          <w:tcPr>
            <w:tcW w:w="1933" w:type="dxa"/>
            <w:vAlign w:val="center"/>
          </w:tcPr>
          <w:p w14:paraId="1182B348"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−12.07 (−32.85, 8.71), p=0.13</w:t>
            </w:r>
          </w:p>
        </w:tc>
      </w:tr>
      <w:tr w:rsidR="00E772A0" w:rsidRPr="00CA48B2" w14:paraId="42EE8AA0" w14:textId="77777777" w:rsidTr="00F07327">
        <w:tc>
          <w:tcPr>
            <w:tcW w:w="1413" w:type="dxa"/>
            <w:vAlign w:val="center"/>
          </w:tcPr>
          <w:p w14:paraId="3D0C097A" w14:textId="77777777" w:rsidR="00E772A0" w:rsidRPr="00CA48B2" w:rsidRDefault="00E772A0" w:rsidP="00F07327">
            <w:pPr>
              <w:spacing w:after="40"/>
              <w:rPr>
                <w:rFonts w:ascii="Arial Narrow" w:hAnsi="Arial Narrow"/>
                <w:iCs/>
                <w:sz w:val="20"/>
                <w:lang w:val="en-US"/>
              </w:rPr>
            </w:pPr>
            <w:r w:rsidRPr="00CA48B2">
              <w:rPr>
                <w:rFonts w:ascii="Arial Narrow" w:hAnsi="Arial Narrow"/>
                <w:sz w:val="20"/>
              </w:rPr>
              <w:t>VAS Pain Score</w:t>
            </w:r>
          </w:p>
        </w:tc>
        <w:tc>
          <w:tcPr>
            <w:tcW w:w="2551" w:type="dxa"/>
            <w:vAlign w:val="center"/>
          </w:tcPr>
          <w:p w14:paraId="11D46271"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lang w:val="en-US"/>
              </w:rPr>
              <w:t>NR</w:t>
            </w:r>
          </w:p>
        </w:tc>
        <w:tc>
          <w:tcPr>
            <w:tcW w:w="3119" w:type="dxa"/>
            <w:vAlign w:val="center"/>
          </w:tcPr>
          <w:p w14:paraId="1BD149B7"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lang w:val="en-US"/>
              </w:rPr>
              <w:t>NR</w:t>
            </w:r>
          </w:p>
        </w:tc>
        <w:tc>
          <w:tcPr>
            <w:tcW w:w="1933" w:type="dxa"/>
            <w:vAlign w:val="center"/>
          </w:tcPr>
          <w:p w14:paraId="4705C1F4"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lang w:val="en-US"/>
              </w:rPr>
              <w:t>−</w:t>
            </w:r>
          </w:p>
        </w:tc>
      </w:tr>
      <w:tr w:rsidR="00E772A0" w:rsidRPr="00CA48B2" w14:paraId="310EB006" w14:textId="77777777" w:rsidTr="00F07327">
        <w:tc>
          <w:tcPr>
            <w:tcW w:w="1413" w:type="dxa"/>
            <w:tcBorders>
              <w:bottom w:val="single" w:sz="4" w:space="0" w:color="auto"/>
            </w:tcBorders>
            <w:vAlign w:val="center"/>
          </w:tcPr>
          <w:p w14:paraId="544905EC" w14:textId="77777777" w:rsidR="00E772A0" w:rsidRPr="00CA48B2" w:rsidRDefault="00E772A0" w:rsidP="00F07327">
            <w:pPr>
              <w:spacing w:after="40"/>
              <w:rPr>
                <w:rFonts w:ascii="Arial Narrow" w:hAnsi="Arial Narrow"/>
                <w:iCs/>
                <w:sz w:val="20"/>
                <w:lang w:val="en-US"/>
              </w:rPr>
            </w:pPr>
            <w:r w:rsidRPr="00CA48B2">
              <w:rPr>
                <w:rFonts w:ascii="Arial Narrow" w:hAnsi="Arial Narrow"/>
                <w:sz w:val="20"/>
              </w:rPr>
              <w:t>WORC Score</w:t>
            </w:r>
          </w:p>
        </w:tc>
        <w:tc>
          <w:tcPr>
            <w:tcW w:w="2551" w:type="dxa"/>
            <w:tcBorders>
              <w:bottom w:val="single" w:sz="4" w:space="0" w:color="auto"/>
            </w:tcBorders>
            <w:vAlign w:val="center"/>
          </w:tcPr>
          <w:p w14:paraId="10751ADC"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lang w:val="en-US"/>
              </w:rPr>
              <w:t>NR</w:t>
            </w:r>
          </w:p>
        </w:tc>
        <w:tc>
          <w:tcPr>
            <w:tcW w:w="3119" w:type="dxa"/>
            <w:tcBorders>
              <w:bottom w:val="single" w:sz="4" w:space="0" w:color="auto"/>
            </w:tcBorders>
            <w:vAlign w:val="center"/>
          </w:tcPr>
          <w:p w14:paraId="77942184"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lang w:val="en-US"/>
              </w:rPr>
              <w:t>NR</w:t>
            </w:r>
          </w:p>
        </w:tc>
        <w:tc>
          <w:tcPr>
            <w:tcW w:w="1933" w:type="dxa"/>
            <w:tcBorders>
              <w:bottom w:val="single" w:sz="4" w:space="0" w:color="auto"/>
            </w:tcBorders>
            <w:vAlign w:val="center"/>
          </w:tcPr>
          <w:p w14:paraId="08D6BC9E"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lang w:val="en-US"/>
              </w:rPr>
              <w:t>−</w:t>
            </w:r>
          </w:p>
        </w:tc>
      </w:tr>
      <w:tr w:rsidR="00E772A0" w:rsidRPr="00CA48B2" w14:paraId="4FED7A73" w14:textId="77777777" w:rsidTr="00F07327">
        <w:tc>
          <w:tcPr>
            <w:tcW w:w="1413" w:type="dxa"/>
            <w:tcBorders>
              <w:right w:val="nil"/>
            </w:tcBorders>
            <w:shd w:val="clear" w:color="auto" w:fill="DDD9C3" w:themeFill="background2" w:themeFillShade="E6"/>
          </w:tcPr>
          <w:p w14:paraId="1B83999E" w14:textId="77777777" w:rsidR="00E772A0" w:rsidRPr="00CA48B2" w:rsidRDefault="00E772A0" w:rsidP="00F07327">
            <w:pPr>
              <w:spacing w:after="40"/>
              <w:rPr>
                <w:rFonts w:ascii="Arial Narrow" w:hAnsi="Arial Narrow"/>
                <w:iCs/>
                <w:sz w:val="20"/>
                <w:lang w:val="en-US"/>
              </w:rPr>
            </w:pPr>
            <w:r w:rsidRPr="00CA48B2">
              <w:rPr>
                <w:rFonts w:ascii="Arial Narrow" w:hAnsi="Arial Narrow"/>
                <w:iCs/>
                <w:sz w:val="20"/>
                <w:lang w:val="en-US"/>
              </w:rPr>
              <w:t>FTRCT</w:t>
            </w:r>
          </w:p>
        </w:tc>
        <w:tc>
          <w:tcPr>
            <w:tcW w:w="2551" w:type="dxa"/>
            <w:tcBorders>
              <w:left w:val="nil"/>
              <w:right w:val="nil"/>
            </w:tcBorders>
            <w:shd w:val="clear" w:color="auto" w:fill="DDD9C3" w:themeFill="background2" w:themeFillShade="E6"/>
          </w:tcPr>
          <w:p w14:paraId="22A90829" w14:textId="77777777" w:rsidR="00E772A0" w:rsidRPr="00CA48B2" w:rsidRDefault="00E772A0" w:rsidP="00F07327">
            <w:pPr>
              <w:spacing w:after="40"/>
              <w:jc w:val="center"/>
              <w:rPr>
                <w:rFonts w:ascii="Arial Narrow" w:hAnsi="Arial Narrow"/>
                <w:iCs/>
                <w:sz w:val="20"/>
                <w:lang w:val="en-US"/>
              </w:rPr>
            </w:pPr>
          </w:p>
        </w:tc>
        <w:tc>
          <w:tcPr>
            <w:tcW w:w="3119" w:type="dxa"/>
            <w:tcBorders>
              <w:left w:val="nil"/>
              <w:right w:val="nil"/>
            </w:tcBorders>
            <w:shd w:val="clear" w:color="auto" w:fill="DDD9C3" w:themeFill="background2" w:themeFillShade="E6"/>
          </w:tcPr>
          <w:p w14:paraId="49AAC47E" w14:textId="77777777" w:rsidR="00E772A0" w:rsidRPr="00CA48B2" w:rsidRDefault="00E772A0" w:rsidP="00F07327">
            <w:pPr>
              <w:spacing w:after="40"/>
              <w:jc w:val="center"/>
              <w:rPr>
                <w:rFonts w:ascii="Arial Narrow" w:hAnsi="Arial Narrow"/>
                <w:iCs/>
                <w:sz w:val="20"/>
                <w:lang w:val="en-US"/>
              </w:rPr>
            </w:pPr>
          </w:p>
        </w:tc>
        <w:tc>
          <w:tcPr>
            <w:tcW w:w="1933" w:type="dxa"/>
            <w:tcBorders>
              <w:left w:val="nil"/>
            </w:tcBorders>
            <w:shd w:val="clear" w:color="auto" w:fill="DDD9C3" w:themeFill="background2" w:themeFillShade="E6"/>
          </w:tcPr>
          <w:p w14:paraId="3740E712" w14:textId="77777777" w:rsidR="00E772A0" w:rsidRPr="00CA48B2" w:rsidRDefault="00E772A0" w:rsidP="00F07327">
            <w:pPr>
              <w:spacing w:after="40"/>
              <w:jc w:val="center"/>
              <w:rPr>
                <w:rFonts w:ascii="Arial Narrow" w:hAnsi="Arial Narrow"/>
                <w:iCs/>
                <w:sz w:val="20"/>
                <w:lang w:val="en-US"/>
              </w:rPr>
            </w:pPr>
          </w:p>
        </w:tc>
      </w:tr>
      <w:tr w:rsidR="00E772A0" w:rsidRPr="00CA48B2" w14:paraId="6F449935" w14:textId="77777777" w:rsidTr="00F07327">
        <w:tc>
          <w:tcPr>
            <w:tcW w:w="1413" w:type="dxa"/>
            <w:vAlign w:val="center"/>
          </w:tcPr>
          <w:p w14:paraId="647F709B" w14:textId="77777777" w:rsidR="00E772A0" w:rsidRPr="00CA48B2" w:rsidRDefault="00E772A0" w:rsidP="00F07327">
            <w:pPr>
              <w:spacing w:after="40"/>
              <w:rPr>
                <w:rFonts w:ascii="Arial Narrow" w:hAnsi="Arial Narrow"/>
                <w:iCs/>
                <w:sz w:val="20"/>
                <w:lang w:val="en-US"/>
              </w:rPr>
            </w:pPr>
            <w:r w:rsidRPr="00CA48B2">
              <w:rPr>
                <w:rFonts w:ascii="Arial Narrow" w:hAnsi="Arial Narrow"/>
                <w:sz w:val="20"/>
              </w:rPr>
              <w:t>ASES Score</w:t>
            </w:r>
          </w:p>
        </w:tc>
        <w:tc>
          <w:tcPr>
            <w:tcW w:w="2551" w:type="dxa"/>
            <w:vAlign w:val="center"/>
          </w:tcPr>
          <w:p w14:paraId="080FDA8E" w14:textId="77777777" w:rsidR="00E772A0" w:rsidRPr="00CA48B2" w:rsidRDefault="00E772A0" w:rsidP="00F07327">
            <w:pPr>
              <w:spacing w:after="40"/>
              <w:jc w:val="center"/>
              <w:rPr>
                <w:rFonts w:ascii="Arial Narrow" w:hAnsi="Arial Narrow"/>
                <w:iCs/>
                <w:sz w:val="20"/>
              </w:rPr>
            </w:pPr>
            <w:r w:rsidRPr="00CA48B2">
              <w:rPr>
                <w:rFonts w:ascii="Arial Narrow" w:hAnsi="Arial Narrow"/>
                <w:iCs/>
                <w:sz w:val="20"/>
              </w:rPr>
              <w:t>41.27 (36.82, 45.71),</w:t>
            </w:r>
          </w:p>
          <w:p w14:paraId="634030CE"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p&lt;0.001, Q = 0.11 (</w:t>
            </w:r>
            <w:proofErr w:type="spellStart"/>
            <w:r w:rsidRPr="00CA48B2">
              <w:rPr>
                <w:rFonts w:ascii="Arial Narrow" w:hAnsi="Arial Narrow"/>
                <w:iCs/>
                <w:sz w:val="20"/>
              </w:rPr>
              <w:t>df</w:t>
            </w:r>
            <w:proofErr w:type="spellEnd"/>
            <w:r w:rsidRPr="00CA48B2">
              <w:rPr>
                <w:rFonts w:ascii="Arial Narrow" w:hAnsi="Arial Narrow"/>
                <w:iCs/>
                <w:sz w:val="20"/>
              </w:rPr>
              <w:t>=1), I</w:t>
            </w:r>
            <w:r w:rsidRPr="00CA48B2">
              <w:rPr>
                <w:rFonts w:ascii="Arial Narrow" w:hAnsi="Arial Narrow"/>
                <w:iCs/>
                <w:sz w:val="20"/>
                <w:vertAlign w:val="superscript"/>
              </w:rPr>
              <w:t>2</w:t>
            </w:r>
            <w:r w:rsidRPr="00CA48B2">
              <w:rPr>
                <w:rFonts w:ascii="Arial Narrow" w:hAnsi="Arial Narrow"/>
                <w:iCs/>
                <w:sz w:val="20"/>
              </w:rPr>
              <w:t xml:space="preserve"> = 0</w:t>
            </w:r>
          </w:p>
        </w:tc>
        <w:tc>
          <w:tcPr>
            <w:tcW w:w="3119" w:type="dxa"/>
            <w:shd w:val="clear" w:color="auto" w:fill="auto"/>
            <w:vAlign w:val="center"/>
          </w:tcPr>
          <w:p w14:paraId="309D4A05" w14:textId="77777777" w:rsidR="00E772A0" w:rsidRPr="00CA48B2" w:rsidRDefault="00E772A0" w:rsidP="00F07327">
            <w:pPr>
              <w:spacing w:after="40"/>
              <w:jc w:val="center"/>
              <w:rPr>
                <w:rFonts w:ascii="Arial Narrow" w:hAnsi="Arial Narrow"/>
                <w:iCs/>
                <w:sz w:val="20"/>
              </w:rPr>
            </w:pPr>
            <w:r w:rsidRPr="00CA48B2">
              <w:rPr>
                <w:rFonts w:ascii="Arial Narrow" w:hAnsi="Arial Narrow"/>
                <w:iCs/>
                <w:sz w:val="20"/>
              </w:rPr>
              <w:t>40.87 (38.23, 43.51),</w:t>
            </w:r>
          </w:p>
          <w:p w14:paraId="1D2D6CF9"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p&lt;0.001, Q = 1706.8 (</w:t>
            </w:r>
            <w:proofErr w:type="spellStart"/>
            <w:r w:rsidRPr="00CA48B2">
              <w:rPr>
                <w:rFonts w:ascii="Arial Narrow" w:hAnsi="Arial Narrow"/>
                <w:iCs/>
                <w:sz w:val="20"/>
              </w:rPr>
              <w:t>df</w:t>
            </w:r>
            <w:proofErr w:type="spellEnd"/>
            <w:r w:rsidRPr="00CA48B2">
              <w:rPr>
                <w:rFonts w:ascii="Arial Narrow" w:hAnsi="Arial Narrow"/>
                <w:iCs/>
                <w:sz w:val="20"/>
              </w:rPr>
              <w:t>=30), I</w:t>
            </w:r>
            <w:r w:rsidRPr="00CA48B2">
              <w:rPr>
                <w:rFonts w:ascii="Arial Narrow" w:hAnsi="Arial Narrow"/>
                <w:iCs/>
                <w:sz w:val="20"/>
                <w:vertAlign w:val="superscript"/>
              </w:rPr>
              <w:t>2</w:t>
            </w:r>
            <w:r w:rsidRPr="00CA48B2">
              <w:rPr>
                <w:rFonts w:ascii="Arial Narrow" w:hAnsi="Arial Narrow"/>
                <w:iCs/>
                <w:sz w:val="20"/>
              </w:rPr>
              <w:t xml:space="preserve"> = 0.98</w:t>
            </w:r>
          </w:p>
        </w:tc>
        <w:tc>
          <w:tcPr>
            <w:tcW w:w="1933" w:type="dxa"/>
            <w:vAlign w:val="center"/>
          </w:tcPr>
          <w:p w14:paraId="72BA470C" w14:textId="77777777" w:rsidR="00E772A0" w:rsidRPr="004135B5" w:rsidRDefault="00E772A0" w:rsidP="00F07327">
            <w:pPr>
              <w:spacing w:after="40"/>
              <w:jc w:val="center"/>
              <w:rPr>
                <w:rFonts w:ascii="Arial Narrow" w:hAnsi="Arial Narrow"/>
                <w:iCs/>
                <w:sz w:val="20"/>
                <w:vertAlign w:val="superscript"/>
                <w:lang w:val="en-US"/>
              </w:rPr>
            </w:pPr>
            <w:r w:rsidRPr="00CA48B2">
              <w:rPr>
                <w:rFonts w:ascii="Arial Narrow" w:hAnsi="Arial Narrow"/>
                <w:iCs/>
                <w:sz w:val="20"/>
              </w:rPr>
              <w:t>0.40 (−4.77, 5.56), p=0.44</w:t>
            </w:r>
            <w:r>
              <w:rPr>
                <w:rFonts w:ascii="Arial Narrow" w:hAnsi="Arial Narrow"/>
                <w:iCs/>
                <w:sz w:val="20"/>
                <w:vertAlign w:val="superscript"/>
              </w:rPr>
              <w:t>a</w:t>
            </w:r>
          </w:p>
        </w:tc>
      </w:tr>
      <w:tr w:rsidR="00E772A0" w:rsidRPr="00CA48B2" w14:paraId="2270557B" w14:textId="77777777" w:rsidTr="00F07327">
        <w:tc>
          <w:tcPr>
            <w:tcW w:w="1413" w:type="dxa"/>
            <w:vAlign w:val="center"/>
          </w:tcPr>
          <w:p w14:paraId="35B67E37" w14:textId="77777777" w:rsidR="00E772A0" w:rsidRPr="00CA48B2" w:rsidRDefault="00E772A0" w:rsidP="00F07327">
            <w:pPr>
              <w:spacing w:after="40"/>
              <w:rPr>
                <w:rFonts w:ascii="Arial Narrow" w:hAnsi="Arial Narrow"/>
                <w:iCs/>
                <w:sz w:val="20"/>
                <w:lang w:val="en-US"/>
              </w:rPr>
            </w:pPr>
            <w:r w:rsidRPr="00CA48B2">
              <w:rPr>
                <w:rFonts w:ascii="Arial Narrow" w:hAnsi="Arial Narrow"/>
                <w:sz w:val="20"/>
              </w:rPr>
              <w:t>Constant-</w:t>
            </w:r>
            <w:proofErr w:type="spellStart"/>
            <w:r w:rsidRPr="00CA48B2">
              <w:rPr>
                <w:rFonts w:ascii="Arial Narrow" w:hAnsi="Arial Narrow"/>
                <w:sz w:val="20"/>
              </w:rPr>
              <w:t>Murley</w:t>
            </w:r>
            <w:proofErr w:type="spellEnd"/>
            <w:r w:rsidRPr="00CA48B2">
              <w:rPr>
                <w:rFonts w:ascii="Arial Narrow" w:hAnsi="Arial Narrow"/>
                <w:sz w:val="20"/>
              </w:rPr>
              <w:t xml:space="preserve"> Score</w:t>
            </w:r>
          </w:p>
        </w:tc>
        <w:tc>
          <w:tcPr>
            <w:tcW w:w="2551" w:type="dxa"/>
            <w:vAlign w:val="center"/>
          </w:tcPr>
          <w:p w14:paraId="3514D67A"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27.30 (16.69, 37.91)</w:t>
            </w:r>
          </w:p>
        </w:tc>
        <w:tc>
          <w:tcPr>
            <w:tcW w:w="3119" w:type="dxa"/>
          </w:tcPr>
          <w:p w14:paraId="7B74DFA2" w14:textId="77777777" w:rsidR="00E772A0" w:rsidRPr="00CA48B2" w:rsidRDefault="00E772A0" w:rsidP="00F07327">
            <w:pPr>
              <w:spacing w:after="40"/>
              <w:jc w:val="center"/>
              <w:rPr>
                <w:rFonts w:ascii="Arial Narrow" w:hAnsi="Arial Narrow"/>
                <w:iCs/>
                <w:sz w:val="20"/>
              </w:rPr>
            </w:pPr>
            <w:r w:rsidRPr="00CA48B2">
              <w:rPr>
                <w:rFonts w:ascii="Arial Narrow" w:hAnsi="Arial Narrow"/>
                <w:iCs/>
                <w:sz w:val="20"/>
              </w:rPr>
              <w:t>32.45 (29.14, 35.75)</w:t>
            </w:r>
          </w:p>
          <w:p w14:paraId="4DB43779"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p&lt;0.001, Q = 605.88 (</w:t>
            </w:r>
            <w:proofErr w:type="spellStart"/>
            <w:r w:rsidRPr="00CA48B2">
              <w:rPr>
                <w:rFonts w:ascii="Arial Narrow" w:hAnsi="Arial Narrow"/>
                <w:iCs/>
                <w:sz w:val="20"/>
              </w:rPr>
              <w:t>df</w:t>
            </w:r>
            <w:proofErr w:type="spellEnd"/>
            <w:r w:rsidRPr="00CA48B2">
              <w:rPr>
                <w:rFonts w:ascii="Arial Narrow" w:hAnsi="Arial Narrow"/>
                <w:iCs/>
                <w:sz w:val="20"/>
              </w:rPr>
              <w:t>=38), I</w:t>
            </w:r>
            <w:r w:rsidRPr="00CA48B2">
              <w:rPr>
                <w:rFonts w:ascii="Arial Narrow" w:hAnsi="Arial Narrow"/>
                <w:iCs/>
                <w:sz w:val="20"/>
                <w:vertAlign w:val="superscript"/>
              </w:rPr>
              <w:t>2</w:t>
            </w:r>
            <w:r w:rsidRPr="00CA48B2">
              <w:rPr>
                <w:rFonts w:ascii="Arial Narrow" w:hAnsi="Arial Narrow"/>
                <w:iCs/>
                <w:sz w:val="20"/>
              </w:rPr>
              <w:t xml:space="preserve"> = 0.94</w:t>
            </w:r>
          </w:p>
        </w:tc>
        <w:tc>
          <w:tcPr>
            <w:tcW w:w="1933" w:type="dxa"/>
          </w:tcPr>
          <w:p w14:paraId="15C0ECE9" w14:textId="77777777" w:rsidR="00E772A0" w:rsidRPr="00CA48B2" w:rsidRDefault="00E772A0" w:rsidP="00F07327">
            <w:pPr>
              <w:spacing w:after="40"/>
              <w:jc w:val="center"/>
              <w:rPr>
                <w:rFonts w:ascii="Arial Narrow" w:hAnsi="Arial Narrow"/>
                <w:iCs/>
                <w:sz w:val="20"/>
              </w:rPr>
            </w:pPr>
            <w:r w:rsidRPr="00CA48B2">
              <w:rPr>
                <w:rFonts w:ascii="Arial Narrow" w:hAnsi="Arial Narrow"/>
                <w:iCs/>
                <w:sz w:val="20"/>
              </w:rPr>
              <w:t>−5.15 (−16.26, 5.97)</w:t>
            </w:r>
          </w:p>
          <w:p w14:paraId="254D52DB" w14:textId="77777777" w:rsidR="00E772A0" w:rsidRPr="004135B5" w:rsidRDefault="00E772A0" w:rsidP="00F07327">
            <w:pPr>
              <w:spacing w:after="40"/>
              <w:jc w:val="center"/>
              <w:rPr>
                <w:rFonts w:ascii="Arial Narrow" w:hAnsi="Arial Narrow"/>
                <w:iCs/>
                <w:sz w:val="20"/>
                <w:vertAlign w:val="superscript"/>
                <w:lang w:val="en-US"/>
              </w:rPr>
            </w:pPr>
            <w:r w:rsidRPr="00CA48B2">
              <w:rPr>
                <w:rFonts w:ascii="Arial Narrow" w:hAnsi="Arial Narrow"/>
                <w:iCs/>
                <w:sz w:val="20"/>
              </w:rPr>
              <w:t>p=0.18</w:t>
            </w:r>
            <w:r>
              <w:rPr>
                <w:rFonts w:ascii="Arial Narrow" w:hAnsi="Arial Narrow"/>
                <w:iCs/>
                <w:sz w:val="20"/>
                <w:vertAlign w:val="superscript"/>
              </w:rPr>
              <w:t>b</w:t>
            </w:r>
          </w:p>
        </w:tc>
      </w:tr>
      <w:tr w:rsidR="00E772A0" w:rsidRPr="00CA48B2" w14:paraId="0CDDF61C" w14:textId="77777777" w:rsidTr="00F07327">
        <w:tc>
          <w:tcPr>
            <w:tcW w:w="1413" w:type="dxa"/>
            <w:vAlign w:val="center"/>
          </w:tcPr>
          <w:p w14:paraId="4A8C12D2" w14:textId="77777777" w:rsidR="00E772A0" w:rsidRPr="00CA48B2" w:rsidRDefault="00E772A0" w:rsidP="00F07327">
            <w:pPr>
              <w:spacing w:after="40"/>
              <w:rPr>
                <w:rFonts w:ascii="Arial Narrow" w:hAnsi="Arial Narrow"/>
                <w:iCs/>
                <w:sz w:val="20"/>
                <w:lang w:val="en-US"/>
              </w:rPr>
            </w:pPr>
            <w:r w:rsidRPr="00CA48B2">
              <w:rPr>
                <w:rFonts w:ascii="Arial Narrow" w:hAnsi="Arial Narrow"/>
                <w:sz w:val="20"/>
              </w:rPr>
              <w:t>VAS Pain Score</w:t>
            </w:r>
          </w:p>
        </w:tc>
        <w:tc>
          <w:tcPr>
            <w:tcW w:w="2551" w:type="dxa"/>
            <w:vAlign w:val="center"/>
          </w:tcPr>
          <w:p w14:paraId="7ABAD289"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−4.34 (−6.30, −1.70)</w:t>
            </w:r>
          </w:p>
        </w:tc>
        <w:tc>
          <w:tcPr>
            <w:tcW w:w="3119" w:type="dxa"/>
            <w:shd w:val="clear" w:color="auto" w:fill="auto"/>
            <w:vAlign w:val="center"/>
          </w:tcPr>
          <w:p w14:paraId="6C2BC036"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 xml:space="preserve">−4.34 (−4.90, −3.78); p &lt;0.001; Q=1422, </w:t>
            </w:r>
            <w:proofErr w:type="spellStart"/>
            <w:r w:rsidRPr="00CA48B2">
              <w:rPr>
                <w:rFonts w:ascii="Arial Narrow" w:hAnsi="Arial Narrow"/>
                <w:iCs/>
                <w:sz w:val="20"/>
              </w:rPr>
              <w:t>df</w:t>
            </w:r>
            <w:proofErr w:type="spellEnd"/>
            <w:r w:rsidRPr="00CA48B2">
              <w:rPr>
                <w:rFonts w:ascii="Arial Narrow" w:hAnsi="Arial Narrow"/>
                <w:iCs/>
                <w:sz w:val="20"/>
              </w:rPr>
              <w:t>=32, I</w:t>
            </w:r>
            <w:r w:rsidRPr="00CA48B2">
              <w:rPr>
                <w:rFonts w:ascii="Arial Narrow" w:hAnsi="Arial Narrow"/>
                <w:iCs/>
                <w:sz w:val="20"/>
                <w:vertAlign w:val="superscript"/>
              </w:rPr>
              <w:t>2</w:t>
            </w:r>
            <w:r w:rsidRPr="00CA48B2">
              <w:rPr>
                <w:rFonts w:ascii="Arial Narrow" w:hAnsi="Arial Narrow"/>
                <w:iCs/>
                <w:sz w:val="20"/>
              </w:rPr>
              <w:t xml:space="preserve"> = 0.98</w:t>
            </w:r>
          </w:p>
        </w:tc>
        <w:tc>
          <w:tcPr>
            <w:tcW w:w="1933" w:type="dxa"/>
            <w:vAlign w:val="center"/>
          </w:tcPr>
          <w:p w14:paraId="6579CDED"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0.34 (−2.02, 2.70), p=0.61</w:t>
            </w:r>
          </w:p>
        </w:tc>
      </w:tr>
      <w:tr w:rsidR="00E772A0" w:rsidRPr="00CA48B2" w14:paraId="5DE0EA45" w14:textId="77777777" w:rsidTr="00F07327">
        <w:tc>
          <w:tcPr>
            <w:tcW w:w="1413" w:type="dxa"/>
            <w:vAlign w:val="center"/>
          </w:tcPr>
          <w:p w14:paraId="3A37510F" w14:textId="77777777" w:rsidR="00E772A0" w:rsidRPr="00CA48B2" w:rsidRDefault="00E772A0" w:rsidP="00F07327">
            <w:pPr>
              <w:spacing w:after="40"/>
              <w:rPr>
                <w:rFonts w:ascii="Arial Narrow" w:hAnsi="Arial Narrow"/>
                <w:iCs/>
                <w:sz w:val="20"/>
                <w:lang w:val="en-US"/>
              </w:rPr>
            </w:pPr>
            <w:r w:rsidRPr="00CA48B2">
              <w:rPr>
                <w:rFonts w:ascii="Arial Narrow" w:hAnsi="Arial Narrow"/>
                <w:sz w:val="20"/>
              </w:rPr>
              <w:t>WORC Score</w:t>
            </w:r>
          </w:p>
        </w:tc>
        <w:tc>
          <w:tcPr>
            <w:tcW w:w="2551" w:type="dxa"/>
            <w:vAlign w:val="center"/>
          </w:tcPr>
          <w:p w14:paraId="772D91D3"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45.10 (19.24, 70.96)</w:t>
            </w:r>
          </w:p>
        </w:tc>
        <w:tc>
          <w:tcPr>
            <w:tcW w:w="3119" w:type="dxa"/>
            <w:shd w:val="clear" w:color="auto" w:fill="auto"/>
            <w:vAlign w:val="center"/>
          </w:tcPr>
          <w:p w14:paraId="2A4042A4"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53.49 (50.42, 56.57), p=0.26, Q = 1.80 (</w:t>
            </w:r>
            <w:proofErr w:type="spellStart"/>
            <w:r w:rsidRPr="00CA48B2">
              <w:rPr>
                <w:rFonts w:ascii="Arial Narrow" w:hAnsi="Arial Narrow"/>
                <w:iCs/>
                <w:sz w:val="20"/>
              </w:rPr>
              <w:t>df</w:t>
            </w:r>
            <w:proofErr w:type="spellEnd"/>
            <w:r w:rsidRPr="00CA48B2">
              <w:rPr>
                <w:rFonts w:ascii="Arial Narrow" w:hAnsi="Arial Narrow"/>
                <w:iCs/>
                <w:sz w:val="20"/>
              </w:rPr>
              <w:t>=4), I</w:t>
            </w:r>
            <w:r w:rsidRPr="00CA48B2">
              <w:rPr>
                <w:rFonts w:ascii="Arial Narrow" w:hAnsi="Arial Narrow"/>
                <w:iCs/>
                <w:sz w:val="20"/>
                <w:vertAlign w:val="superscript"/>
              </w:rPr>
              <w:t>2</w:t>
            </w:r>
            <w:r w:rsidRPr="00CA48B2">
              <w:rPr>
                <w:rFonts w:ascii="Arial Narrow" w:hAnsi="Arial Narrow"/>
                <w:iCs/>
                <w:sz w:val="20"/>
              </w:rPr>
              <w:t xml:space="preserve"> = 0</w:t>
            </w:r>
          </w:p>
        </w:tc>
        <w:tc>
          <w:tcPr>
            <w:tcW w:w="1933" w:type="dxa"/>
            <w:vAlign w:val="center"/>
          </w:tcPr>
          <w:p w14:paraId="7E495222" w14:textId="77777777" w:rsidR="00E772A0" w:rsidRPr="00CA48B2" w:rsidRDefault="00E772A0" w:rsidP="00F07327">
            <w:pPr>
              <w:spacing w:after="40"/>
              <w:jc w:val="center"/>
              <w:rPr>
                <w:rFonts w:ascii="Arial Narrow" w:hAnsi="Arial Narrow"/>
                <w:iCs/>
                <w:sz w:val="20"/>
                <w:lang w:val="en-US"/>
              </w:rPr>
            </w:pPr>
            <w:r w:rsidRPr="00CA48B2">
              <w:rPr>
                <w:rFonts w:ascii="Arial Narrow" w:hAnsi="Arial Narrow"/>
                <w:iCs/>
                <w:sz w:val="20"/>
              </w:rPr>
              <w:t>−8.39 (−34.35, 17.56), p=0.26</w:t>
            </w:r>
          </w:p>
        </w:tc>
      </w:tr>
    </w:tbl>
    <w:p w14:paraId="18884617" w14:textId="77777777" w:rsidR="00E772A0" w:rsidRPr="00CA48B2" w:rsidRDefault="00E772A0" w:rsidP="00E772A0">
      <w:pPr>
        <w:pStyle w:val="Tablenotes"/>
      </w:pPr>
      <w:r w:rsidRPr="00CA48B2">
        <w:t>ASES=American Shoulder and Elbow Surgeons; CI=confidence interval</w:t>
      </w:r>
      <w:proofErr w:type="gramStart"/>
      <w:r w:rsidRPr="00CA48B2">
        <w:t>; ;</w:t>
      </w:r>
      <w:proofErr w:type="gramEnd"/>
      <w:r w:rsidRPr="00CA48B2">
        <w:t xml:space="preserve"> </w:t>
      </w:r>
      <w:proofErr w:type="spellStart"/>
      <w:r w:rsidRPr="00CA48B2">
        <w:t>df</w:t>
      </w:r>
      <w:proofErr w:type="spellEnd"/>
      <w:r w:rsidRPr="00CA48B2">
        <w:t>=degree of freedom; I</w:t>
      </w:r>
      <w:r w:rsidRPr="00CA48B2">
        <w:rPr>
          <w:vertAlign w:val="superscript"/>
        </w:rPr>
        <w:t>2</w:t>
      </w:r>
      <w:r w:rsidRPr="00CA48B2">
        <w:t xml:space="preserve"> statistic; FTRCT=full-thickness rotator cuff tear; </w:t>
      </w:r>
      <w:r>
        <w:t xml:space="preserve">NR=not reported; </w:t>
      </w:r>
      <w:r w:rsidRPr="00CA48B2">
        <w:t>PTRCT=partial-thickness rotator cuff tear; Q=Chi-square for heterogeneity; RE=random effects; WORC=Western Ontario Rotator Cuff</w:t>
      </w:r>
    </w:p>
    <w:p w14:paraId="3EF59ED9" w14:textId="77777777" w:rsidR="00E772A0" w:rsidRPr="004135B5" w:rsidRDefault="00E772A0" w:rsidP="00E772A0">
      <w:pPr>
        <w:pStyle w:val="Tablenotes"/>
      </w:pPr>
      <w:r w:rsidRPr="004135B5">
        <w:t>* Difference (naïve indirect estimate) = REGENETEN − Standard Surgery</w:t>
      </w:r>
    </w:p>
    <w:p w14:paraId="6FDBB10A" w14:textId="77777777" w:rsidR="00E772A0" w:rsidRDefault="00E772A0" w:rsidP="00E772A0">
      <w:pPr>
        <w:pStyle w:val="Tablenotes"/>
      </w:pPr>
      <w:proofErr w:type="spellStart"/>
      <w:proofErr w:type="gramStart"/>
      <w:r>
        <w:rPr>
          <w:vertAlign w:val="superscript"/>
        </w:rPr>
        <w:t>a</w:t>
      </w:r>
      <w:proofErr w:type="spellEnd"/>
      <w:proofErr w:type="gramEnd"/>
      <w:r>
        <w:rPr>
          <w:vertAlign w:val="superscript"/>
        </w:rPr>
        <w:t xml:space="preserve"> </w:t>
      </w:r>
      <w:r>
        <w:t xml:space="preserve">The 95% CI of the difference did not reach the MCID based on </w:t>
      </w:r>
      <w:proofErr w:type="spellStart"/>
      <w:r>
        <w:t>Cvetanovich</w:t>
      </w:r>
      <w:proofErr w:type="spellEnd"/>
      <w:r>
        <w:t xml:space="preserve"> 2019 or </w:t>
      </w:r>
      <w:proofErr w:type="spellStart"/>
      <w:r>
        <w:t>Tashjian</w:t>
      </w:r>
      <w:proofErr w:type="spellEnd"/>
      <w:r>
        <w:t xml:space="preserve"> 2017.</w:t>
      </w:r>
    </w:p>
    <w:p w14:paraId="5A23AE0A" w14:textId="77777777" w:rsidR="00E772A0" w:rsidRPr="004135B5" w:rsidRDefault="00E772A0" w:rsidP="00E772A0">
      <w:pPr>
        <w:pStyle w:val="Tablenotes"/>
        <w:rPr>
          <w:szCs w:val="22"/>
        </w:rPr>
      </w:pPr>
      <w:proofErr w:type="gramStart"/>
      <w:r>
        <w:rPr>
          <w:vertAlign w:val="superscript"/>
        </w:rPr>
        <w:t>b</w:t>
      </w:r>
      <w:proofErr w:type="gramEnd"/>
      <w:r>
        <w:rPr>
          <w:vertAlign w:val="superscript"/>
        </w:rPr>
        <w:t xml:space="preserve"> </w:t>
      </w:r>
      <w:r>
        <w:t xml:space="preserve">The 95% CI of the difference did not reach the MCID based on </w:t>
      </w:r>
      <w:proofErr w:type="spellStart"/>
      <w:r w:rsidRPr="008E4D88">
        <w:t>Kukkonen</w:t>
      </w:r>
      <w:proofErr w:type="spellEnd"/>
      <w:r w:rsidRPr="008E4D88">
        <w:t xml:space="preserve"> 2013.</w:t>
      </w:r>
    </w:p>
    <w:p w14:paraId="25D89492" w14:textId="77777777" w:rsidR="00E772A0" w:rsidRPr="00CA48B2" w:rsidRDefault="00E772A0" w:rsidP="00E772A0">
      <w:pPr>
        <w:pStyle w:val="Tablenotes"/>
      </w:pPr>
      <w:r w:rsidRPr="00CA48B2">
        <w:t xml:space="preserve">Source: </w:t>
      </w:r>
      <w:r>
        <w:t xml:space="preserve">Table 7, </w:t>
      </w:r>
      <w:proofErr w:type="spellStart"/>
      <w:r>
        <w:t>pxvi</w:t>
      </w:r>
      <w:proofErr w:type="spellEnd"/>
      <w:r>
        <w:t xml:space="preserve"> of the Commentary</w:t>
      </w:r>
    </w:p>
    <w:p w14:paraId="00C85DD7" w14:textId="77777777" w:rsidR="00E772A0" w:rsidRDefault="00E772A0" w:rsidP="00E772A0">
      <w:pPr>
        <w:pStyle w:val="Heading2"/>
      </w:pPr>
      <w:r>
        <w:t>Imaging outcomes</w:t>
      </w:r>
    </w:p>
    <w:p w14:paraId="120DB48F" w14:textId="1F8D1FF3" w:rsidR="0098433F" w:rsidRPr="00885C08" w:rsidRDefault="00E772A0">
      <w:r>
        <w:t xml:space="preserve">The ADAR stated that there was considerable heterogeneity in the reporting and classification of imaging outcomes. To make best use of the available data, three imaging outcomes </w:t>
      </w:r>
      <w:proofErr w:type="gramStart"/>
      <w:r>
        <w:t>were defined and synthesised from the available evidence;</w:t>
      </w:r>
      <w:proofErr w:type="gramEnd"/>
      <w:r>
        <w:t xml:space="preserve"> re-tears</w:t>
      </w:r>
      <w:r>
        <w:rPr>
          <w:rStyle w:val="FootnoteReference"/>
        </w:rPr>
        <w:footnoteReference w:id="18"/>
      </w:r>
      <w:r>
        <w:t>, incomplete healing</w:t>
      </w:r>
      <w:r>
        <w:rPr>
          <w:rStyle w:val="FootnoteReference"/>
        </w:rPr>
        <w:footnoteReference w:id="19"/>
      </w:r>
      <w:r>
        <w:t xml:space="preserve"> and treatment failure. The Commentary presented the results for imaging outcomes that </w:t>
      </w:r>
      <w:proofErr w:type="gramStart"/>
      <w:r>
        <w:t>were used</w:t>
      </w:r>
      <w:proofErr w:type="gramEnd"/>
      <w:r>
        <w:t xml:space="preserve"> in </w:t>
      </w:r>
      <w:r w:rsidR="007A30C9">
        <w:t>the economic evaluation (</w:t>
      </w:r>
      <w:r w:rsidR="00296393">
        <w:t>Table 6</w:t>
      </w:r>
      <w:r>
        <w:t>).</w:t>
      </w:r>
      <w:bookmarkStart w:id="17" w:name="_Ref49847132"/>
      <w:r w:rsidR="0098433F">
        <w:br w:type="page"/>
      </w:r>
    </w:p>
    <w:p w14:paraId="6E346013" w14:textId="68AC6438" w:rsidR="00E772A0" w:rsidRPr="00D32FC9" w:rsidRDefault="0098433F" w:rsidP="00D32FC9">
      <w:pPr>
        <w:rPr>
          <w:rFonts w:ascii="Arial Narrow" w:eastAsia="Calibri" w:hAnsi="Arial Narrow"/>
          <w:b/>
          <w:sz w:val="20"/>
        </w:rPr>
      </w:pPr>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6</w:t>
      </w:r>
      <w:r w:rsidR="00F62D1A" w:rsidRPr="00D32FC9">
        <w:rPr>
          <w:rFonts w:ascii="Arial Narrow" w:hAnsi="Arial Narrow"/>
          <w:b/>
          <w:sz w:val="20"/>
        </w:rPr>
        <w:fldChar w:fldCharType="end"/>
      </w:r>
      <w:bookmarkEnd w:id="17"/>
      <w:r w:rsidR="00E772A0" w:rsidRPr="00D32FC9">
        <w:rPr>
          <w:rFonts w:ascii="Arial Narrow" w:hAnsi="Arial Narrow"/>
          <w:b/>
          <w:sz w:val="20"/>
        </w:rPr>
        <w:tab/>
      </w:r>
      <w:r w:rsidR="00E772A0" w:rsidRPr="00D32FC9">
        <w:rPr>
          <w:rFonts w:ascii="Arial Narrow" w:eastAsia="Calibri" w:hAnsi="Arial Narrow"/>
          <w:b/>
          <w:sz w:val="20"/>
        </w:rPr>
        <w:t>Overview of results of key effectiv</w:t>
      </w:r>
      <w:r w:rsidR="00D32FC9" w:rsidRPr="00D32FC9">
        <w:rPr>
          <w:rFonts w:ascii="Arial Narrow" w:eastAsia="Calibri" w:hAnsi="Arial Narrow"/>
          <w:b/>
          <w:sz w:val="20"/>
        </w:rPr>
        <w:t>eness outcomes</w:t>
      </w:r>
      <w:r w:rsidR="00E772A0" w:rsidRPr="00D32FC9">
        <w:rPr>
          <w:rFonts w:ascii="Arial Narrow" w:eastAsia="Calibri" w:hAnsi="Arial Narrow"/>
          <w:b/>
          <w:sz w:val="20"/>
        </w:rPr>
        <w:t xml:space="preserve"> </w:t>
      </w:r>
    </w:p>
    <w:tbl>
      <w:tblPr>
        <w:tblStyle w:val="TableGrid9"/>
        <w:tblW w:w="9067" w:type="dxa"/>
        <w:tblLayout w:type="fixed"/>
        <w:tblLook w:val="04A0" w:firstRow="1" w:lastRow="0" w:firstColumn="1" w:lastColumn="0" w:noHBand="0" w:noVBand="1"/>
        <w:tblDescription w:val="Overview of results of key effectiveness outcomes "/>
      </w:tblPr>
      <w:tblGrid>
        <w:gridCol w:w="2122"/>
        <w:gridCol w:w="1984"/>
        <w:gridCol w:w="2268"/>
        <w:gridCol w:w="2693"/>
      </w:tblGrid>
      <w:tr w:rsidR="00E772A0" w:rsidRPr="00EA6557" w14:paraId="0A8BE591" w14:textId="77777777" w:rsidTr="00F07327">
        <w:trPr>
          <w:trHeight w:val="580"/>
          <w:tblHeader/>
        </w:trPr>
        <w:tc>
          <w:tcPr>
            <w:tcW w:w="2122" w:type="dxa"/>
            <w:tcBorders>
              <w:bottom w:val="single" w:sz="4" w:space="0" w:color="auto"/>
              <w:right w:val="single" w:sz="4" w:space="0" w:color="auto"/>
            </w:tcBorders>
            <w:noWrap/>
            <w:vAlign w:val="center"/>
            <w:hideMark/>
          </w:tcPr>
          <w:p w14:paraId="6A56A5CF" w14:textId="77777777" w:rsidR="00E772A0" w:rsidRPr="00EA6557" w:rsidRDefault="00E772A0" w:rsidP="00F07327">
            <w:pPr>
              <w:tabs>
                <w:tab w:val="left" w:pos="504"/>
              </w:tabs>
              <w:spacing w:after="40"/>
              <w:jc w:val="center"/>
              <w:rPr>
                <w:rFonts w:ascii="Arial Narrow" w:hAnsi="Arial Narrow" w:cs="Consolas"/>
                <w:b/>
                <w:color w:val="000000"/>
                <w:sz w:val="20"/>
                <w:szCs w:val="21"/>
              </w:rPr>
            </w:pPr>
          </w:p>
        </w:tc>
        <w:tc>
          <w:tcPr>
            <w:tcW w:w="1984" w:type="dxa"/>
            <w:tcBorders>
              <w:left w:val="single" w:sz="4" w:space="0" w:color="auto"/>
              <w:bottom w:val="single" w:sz="4" w:space="0" w:color="auto"/>
              <w:right w:val="single" w:sz="4" w:space="0" w:color="auto"/>
            </w:tcBorders>
            <w:noWrap/>
            <w:vAlign w:val="center"/>
            <w:hideMark/>
          </w:tcPr>
          <w:p w14:paraId="1923E3D2" w14:textId="77777777" w:rsidR="00E772A0" w:rsidRPr="0050168F" w:rsidRDefault="00E772A0" w:rsidP="00F07327">
            <w:pPr>
              <w:tabs>
                <w:tab w:val="left" w:pos="504"/>
              </w:tabs>
              <w:spacing w:after="40"/>
              <w:jc w:val="center"/>
              <w:rPr>
                <w:rFonts w:ascii="Arial Narrow" w:hAnsi="Arial Narrow" w:cs="Consolas"/>
                <w:b/>
                <w:bCs/>
                <w:color w:val="000000"/>
                <w:sz w:val="20"/>
                <w:szCs w:val="21"/>
              </w:rPr>
            </w:pPr>
            <w:r w:rsidRPr="00EA6557">
              <w:rPr>
                <w:rFonts w:ascii="Arial Narrow" w:hAnsi="Arial Narrow" w:cs="Consolas"/>
                <w:b/>
                <w:color w:val="000000"/>
                <w:sz w:val="20"/>
                <w:szCs w:val="21"/>
              </w:rPr>
              <w:t>REGENETEN</w:t>
            </w:r>
          </w:p>
          <w:p w14:paraId="10E7BF2A" w14:textId="77777777" w:rsidR="00E772A0" w:rsidRPr="00EA6557" w:rsidRDefault="00E772A0" w:rsidP="00F07327">
            <w:pPr>
              <w:tabs>
                <w:tab w:val="left" w:pos="504"/>
              </w:tabs>
              <w:spacing w:after="40"/>
              <w:jc w:val="center"/>
              <w:rPr>
                <w:rFonts w:ascii="Arial Narrow" w:hAnsi="Arial Narrow" w:cs="Consolas"/>
                <w:b/>
                <w:color w:val="000000"/>
                <w:sz w:val="20"/>
                <w:szCs w:val="21"/>
              </w:rPr>
            </w:pPr>
            <w:r w:rsidRPr="0050168F">
              <w:rPr>
                <w:rFonts w:ascii="Arial Narrow" w:hAnsi="Arial Narrow" w:cs="Arial"/>
                <w:b/>
                <w:bCs/>
                <w:iCs/>
                <w:color w:val="000000"/>
                <w:sz w:val="20"/>
              </w:rPr>
              <w:t>(95% CI)</w:t>
            </w:r>
          </w:p>
        </w:tc>
        <w:tc>
          <w:tcPr>
            <w:tcW w:w="2268" w:type="dxa"/>
            <w:tcBorders>
              <w:left w:val="single" w:sz="4" w:space="0" w:color="auto"/>
              <w:bottom w:val="single" w:sz="4" w:space="0" w:color="auto"/>
              <w:right w:val="single" w:sz="4" w:space="0" w:color="auto"/>
            </w:tcBorders>
            <w:noWrap/>
            <w:vAlign w:val="center"/>
            <w:hideMark/>
          </w:tcPr>
          <w:p w14:paraId="259D79DD" w14:textId="77777777" w:rsidR="00E772A0" w:rsidRPr="0050168F" w:rsidRDefault="00E772A0" w:rsidP="00F07327">
            <w:pPr>
              <w:tabs>
                <w:tab w:val="left" w:pos="504"/>
              </w:tabs>
              <w:spacing w:after="40"/>
              <w:jc w:val="center"/>
              <w:rPr>
                <w:rFonts w:ascii="Arial Narrow" w:hAnsi="Arial Narrow" w:cs="Consolas"/>
                <w:b/>
                <w:color w:val="000000"/>
                <w:sz w:val="20"/>
                <w:szCs w:val="21"/>
              </w:rPr>
            </w:pPr>
            <w:r w:rsidRPr="00EA6557">
              <w:rPr>
                <w:rFonts w:ascii="Arial Narrow" w:hAnsi="Arial Narrow" w:cs="Consolas"/>
                <w:b/>
                <w:color w:val="000000"/>
                <w:sz w:val="20"/>
                <w:szCs w:val="21"/>
              </w:rPr>
              <w:t>Standard Surgery</w:t>
            </w:r>
            <w:r>
              <w:rPr>
                <w:rFonts w:ascii="Arial Narrow" w:hAnsi="Arial Narrow" w:cs="Consolas"/>
                <w:b/>
                <w:color w:val="000000"/>
                <w:sz w:val="20"/>
                <w:szCs w:val="21"/>
              </w:rPr>
              <w:t xml:space="preserve"> </w:t>
            </w:r>
          </w:p>
          <w:p w14:paraId="2558D154" w14:textId="77777777" w:rsidR="00E772A0" w:rsidRPr="00EA6557" w:rsidRDefault="00E772A0" w:rsidP="00F07327">
            <w:pPr>
              <w:tabs>
                <w:tab w:val="left" w:pos="504"/>
              </w:tabs>
              <w:spacing w:after="40"/>
              <w:jc w:val="center"/>
              <w:rPr>
                <w:rFonts w:ascii="Arial Narrow" w:hAnsi="Arial Narrow" w:cs="Consolas"/>
                <w:b/>
                <w:color w:val="000000"/>
                <w:sz w:val="20"/>
                <w:szCs w:val="21"/>
              </w:rPr>
            </w:pPr>
            <w:r w:rsidRPr="0050168F">
              <w:rPr>
                <w:rFonts w:ascii="Arial Narrow" w:hAnsi="Arial Narrow" w:cs="Consolas"/>
                <w:b/>
                <w:iCs/>
                <w:color w:val="000000"/>
                <w:sz w:val="20"/>
                <w:szCs w:val="21"/>
              </w:rPr>
              <w:t>(95% CI)</w:t>
            </w:r>
          </w:p>
        </w:tc>
        <w:tc>
          <w:tcPr>
            <w:tcW w:w="2693" w:type="dxa"/>
            <w:tcBorders>
              <w:left w:val="single" w:sz="4" w:space="0" w:color="auto"/>
              <w:bottom w:val="single" w:sz="4" w:space="0" w:color="auto"/>
              <w:right w:val="single" w:sz="4" w:space="0" w:color="auto"/>
            </w:tcBorders>
            <w:noWrap/>
            <w:vAlign w:val="center"/>
            <w:hideMark/>
          </w:tcPr>
          <w:p w14:paraId="5B634646" w14:textId="77777777" w:rsidR="00E772A0" w:rsidRPr="00EA6557" w:rsidRDefault="00E772A0" w:rsidP="00F07327">
            <w:pPr>
              <w:tabs>
                <w:tab w:val="left" w:pos="504"/>
              </w:tabs>
              <w:spacing w:after="40"/>
              <w:jc w:val="center"/>
              <w:rPr>
                <w:rFonts w:ascii="Arial Narrow" w:hAnsi="Arial Narrow" w:cs="Consolas"/>
                <w:b/>
                <w:color w:val="000000"/>
                <w:sz w:val="20"/>
                <w:szCs w:val="21"/>
              </w:rPr>
            </w:pPr>
            <w:r w:rsidRPr="00EA6557">
              <w:rPr>
                <w:rFonts w:ascii="Arial Narrow" w:hAnsi="Arial Narrow" w:cs="Consolas"/>
                <w:b/>
                <w:color w:val="000000"/>
                <w:sz w:val="20"/>
                <w:szCs w:val="21"/>
              </w:rPr>
              <w:t>Difference (=REGENETEN − Standard Surgery)</w:t>
            </w:r>
            <w:r>
              <w:rPr>
                <w:rFonts w:ascii="Arial Narrow" w:hAnsi="Arial Narrow" w:cs="Consolas"/>
                <w:b/>
                <w:color w:val="000000"/>
                <w:sz w:val="20"/>
                <w:szCs w:val="21"/>
              </w:rPr>
              <w:t xml:space="preserve"> </w:t>
            </w:r>
            <w:r w:rsidRPr="0050168F">
              <w:rPr>
                <w:rFonts w:ascii="Arial Narrow" w:hAnsi="Arial Narrow" w:cs="Consolas"/>
                <w:b/>
                <w:iCs/>
                <w:color w:val="000000"/>
                <w:sz w:val="20"/>
                <w:szCs w:val="21"/>
              </w:rPr>
              <w:t>(95% CI)</w:t>
            </w:r>
          </w:p>
        </w:tc>
      </w:tr>
      <w:tr w:rsidR="00E772A0" w:rsidRPr="00EA6557" w14:paraId="7E3DA7EC" w14:textId="77777777" w:rsidTr="00F07327">
        <w:trPr>
          <w:trHeight w:val="290"/>
        </w:trPr>
        <w:tc>
          <w:tcPr>
            <w:tcW w:w="9067" w:type="dxa"/>
            <w:gridSpan w:val="4"/>
            <w:tcBorders>
              <w:bottom w:val="single" w:sz="4" w:space="0" w:color="auto"/>
              <w:right w:val="single" w:sz="4" w:space="0" w:color="auto"/>
            </w:tcBorders>
            <w:shd w:val="clear" w:color="auto" w:fill="C4BC96" w:themeFill="background2" w:themeFillShade="BF"/>
            <w:noWrap/>
            <w:vAlign w:val="center"/>
          </w:tcPr>
          <w:p w14:paraId="33F2A200" w14:textId="77777777" w:rsidR="00E772A0" w:rsidRDefault="00E772A0" w:rsidP="00F07327">
            <w:pPr>
              <w:spacing w:after="40"/>
              <w:rPr>
                <w:rFonts w:ascii="Arial Narrow" w:hAnsi="Arial Narrow" w:cs="Arial"/>
                <w:iCs/>
                <w:color w:val="000000"/>
                <w:sz w:val="20"/>
              </w:rPr>
            </w:pPr>
            <w:r>
              <w:rPr>
                <w:rFonts w:ascii="Arial Narrow" w:hAnsi="Arial Narrow" w:cs="Arial"/>
                <w:iCs/>
                <w:color w:val="000000"/>
                <w:sz w:val="20"/>
              </w:rPr>
              <w:t>Subpopulation 1 (</w:t>
            </w:r>
            <w:r w:rsidRPr="00EA6557">
              <w:rPr>
                <w:rFonts w:ascii="Arial Narrow" w:hAnsi="Arial Narrow" w:cs="Arial"/>
                <w:iCs/>
                <w:color w:val="000000"/>
                <w:sz w:val="20"/>
              </w:rPr>
              <w:t>PTRCT</w:t>
            </w:r>
            <w:r>
              <w:rPr>
                <w:rFonts w:ascii="Arial Narrow" w:hAnsi="Arial Narrow" w:cs="Arial"/>
                <w:iCs/>
                <w:color w:val="000000"/>
                <w:sz w:val="20"/>
              </w:rPr>
              <w:t>)</w:t>
            </w:r>
          </w:p>
        </w:tc>
      </w:tr>
      <w:tr w:rsidR="00E772A0" w:rsidRPr="00EA6557" w14:paraId="6B781920" w14:textId="77777777" w:rsidTr="00F07327">
        <w:trPr>
          <w:trHeight w:val="290"/>
        </w:trPr>
        <w:tc>
          <w:tcPr>
            <w:tcW w:w="2122" w:type="dxa"/>
            <w:tcBorders>
              <w:bottom w:val="single" w:sz="4" w:space="0" w:color="auto"/>
              <w:right w:val="single" w:sz="4" w:space="0" w:color="auto"/>
            </w:tcBorders>
            <w:shd w:val="clear" w:color="auto" w:fill="EEECE1" w:themeFill="background2"/>
            <w:noWrap/>
          </w:tcPr>
          <w:p w14:paraId="1E600558" w14:textId="77777777" w:rsidR="00E772A0" w:rsidRPr="00EA6557" w:rsidRDefault="00E772A0" w:rsidP="00F07327">
            <w:pPr>
              <w:spacing w:after="40"/>
              <w:rPr>
                <w:rFonts w:ascii="Arial Narrow" w:hAnsi="Arial Narrow" w:cs="Arial"/>
                <w:iCs/>
                <w:color w:val="000000"/>
                <w:sz w:val="20"/>
              </w:rPr>
            </w:pPr>
            <w:r>
              <w:rPr>
                <w:rFonts w:ascii="Arial Narrow" w:hAnsi="Arial Narrow" w:cs="Arial"/>
                <w:iCs/>
                <w:color w:val="000000"/>
                <w:sz w:val="20"/>
              </w:rPr>
              <w:t>Imaging outcomes</w:t>
            </w:r>
          </w:p>
        </w:tc>
        <w:tc>
          <w:tcPr>
            <w:tcW w:w="1984" w:type="dxa"/>
            <w:tcBorders>
              <w:left w:val="single" w:sz="4" w:space="0" w:color="auto"/>
              <w:bottom w:val="single" w:sz="4" w:space="0" w:color="auto"/>
              <w:right w:val="single" w:sz="4" w:space="0" w:color="auto"/>
            </w:tcBorders>
            <w:shd w:val="clear" w:color="auto" w:fill="EEECE1" w:themeFill="background2"/>
            <w:noWrap/>
          </w:tcPr>
          <w:p w14:paraId="64B9B724" w14:textId="77777777" w:rsidR="00E772A0" w:rsidRPr="00EA6557" w:rsidRDefault="00E772A0" w:rsidP="00F07327">
            <w:pPr>
              <w:spacing w:after="40"/>
              <w:jc w:val="center"/>
              <w:rPr>
                <w:rFonts w:ascii="Arial Narrow" w:hAnsi="Arial Narrow" w:cs="Arial"/>
                <w:iCs/>
                <w:color w:val="000000"/>
                <w:sz w:val="20"/>
              </w:rPr>
            </w:pPr>
            <w:r w:rsidRPr="00EA6557">
              <w:rPr>
                <w:rFonts w:ascii="Arial Narrow" w:hAnsi="Arial Narrow" w:cs="Arial"/>
                <w:iCs/>
                <w:color w:val="000000"/>
                <w:sz w:val="20"/>
              </w:rPr>
              <w:t xml:space="preserve">Pooled risk </w:t>
            </w:r>
          </w:p>
        </w:tc>
        <w:tc>
          <w:tcPr>
            <w:tcW w:w="2268" w:type="dxa"/>
            <w:tcBorders>
              <w:left w:val="single" w:sz="4" w:space="0" w:color="auto"/>
              <w:bottom w:val="single" w:sz="4" w:space="0" w:color="auto"/>
              <w:right w:val="single" w:sz="4" w:space="0" w:color="auto"/>
            </w:tcBorders>
            <w:shd w:val="clear" w:color="auto" w:fill="EEECE1" w:themeFill="background2"/>
            <w:noWrap/>
          </w:tcPr>
          <w:p w14:paraId="43B3C66E" w14:textId="77777777" w:rsidR="00E772A0" w:rsidRPr="00EA6557" w:rsidRDefault="00E772A0" w:rsidP="00F07327">
            <w:pPr>
              <w:spacing w:after="40"/>
              <w:jc w:val="center"/>
              <w:rPr>
                <w:rFonts w:ascii="Arial Narrow" w:hAnsi="Arial Narrow" w:cs="Arial"/>
                <w:iCs/>
                <w:color w:val="000000"/>
                <w:sz w:val="20"/>
              </w:rPr>
            </w:pPr>
            <w:r w:rsidRPr="00EA6557">
              <w:rPr>
                <w:rFonts w:ascii="Arial Narrow" w:hAnsi="Arial Narrow" w:cs="Arial"/>
                <w:iCs/>
                <w:color w:val="000000"/>
                <w:sz w:val="20"/>
              </w:rPr>
              <w:t xml:space="preserve">Pooled risk </w:t>
            </w:r>
          </w:p>
        </w:tc>
        <w:tc>
          <w:tcPr>
            <w:tcW w:w="2693" w:type="dxa"/>
            <w:tcBorders>
              <w:left w:val="single" w:sz="4" w:space="0" w:color="auto"/>
              <w:bottom w:val="single" w:sz="4" w:space="0" w:color="auto"/>
              <w:right w:val="single" w:sz="4" w:space="0" w:color="auto"/>
            </w:tcBorders>
            <w:shd w:val="clear" w:color="auto" w:fill="EEECE1" w:themeFill="background2"/>
            <w:noWrap/>
          </w:tcPr>
          <w:p w14:paraId="62D04872" w14:textId="77777777" w:rsidR="00E772A0" w:rsidRPr="00EA6557" w:rsidRDefault="00E772A0" w:rsidP="00F07327">
            <w:pPr>
              <w:spacing w:after="40"/>
              <w:jc w:val="center"/>
              <w:rPr>
                <w:rFonts w:ascii="Arial Narrow" w:hAnsi="Arial Narrow" w:cs="Arial"/>
                <w:iCs/>
                <w:color w:val="000000"/>
                <w:sz w:val="20"/>
              </w:rPr>
            </w:pPr>
            <w:r w:rsidRPr="00EA6557">
              <w:rPr>
                <w:rFonts w:ascii="Arial Narrow" w:hAnsi="Arial Narrow" w:cs="Arial"/>
                <w:iCs/>
                <w:color w:val="000000"/>
                <w:sz w:val="20"/>
              </w:rPr>
              <w:t xml:space="preserve">Difference </w:t>
            </w:r>
          </w:p>
        </w:tc>
      </w:tr>
      <w:tr w:rsidR="00E772A0" w:rsidRPr="00EA6557" w14:paraId="5F5A7AEF" w14:textId="77777777" w:rsidTr="00F07327">
        <w:trPr>
          <w:trHeight w:val="290"/>
        </w:trPr>
        <w:tc>
          <w:tcPr>
            <w:tcW w:w="2122" w:type="dxa"/>
            <w:tcBorders>
              <w:top w:val="nil"/>
              <w:bottom w:val="nil"/>
              <w:right w:val="single" w:sz="4" w:space="0" w:color="auto"/>
            </w:tcBorders>
            <w:noWrap/>
            <w:hideMark/>
          </w:tcPr>
          <w:p w14:paraId="7968C70C" w14:textId="77777777" w:rsidR="00E772A0" w:rsidRPr="00EA6557" w:rsidRDefault="00E772A0" w:rsidP="00F07327">
            <w:pPr>
              <w:spacing w:after="40"/>
              <w:rPr>
                <w:rFonts w:ascii="Arial Narrow" w:hAnsi="Arial Narrow" w:cs="Arial"/>
                <w:iCs/>
                <w:color w:val="000000"/>
                <w:sz w:val="20"/>
              </w:rPr>
            </w:pPr>
            <w:r w:rsidRPr="00EA6557">
              <w:rPr>
                <w:rFonts w:ascii="Arial Narrow" w:hAnsi="Arial Narrow" w:cs="Arial"/>
                <w:iCs/>
                <w:color w:val="000000"/>
                <w:sz w:val="20"/>
              </w:rPr>
              <w:t xml:space="preserve">Incomplete Healing </w:t>
            </w:r>
          </w:p>
        </w:tc>
        <w:tc>
          <w:tcPr>
            <w:tcW w:w="1984" w:type="dxa"/>
            <w:tcBorders>
              <w:top w:val="nil"/>
              <w:left w:val="single" w:sz="4" w:space="0" w:color="auto"/>
              <w:bottom w:val="nil"/>
              <w:right w:val="single" w:sz="4" w:space="0" w:color="auto"/>
            </w:tcBorders>
            <w:noWrap/>
            <w:hideMark/>
          </w:tcPr>
          <w:p w14:paraId="43A92340" w14:textId="77777777" w:rsidR="00E772A0" w:rsidRPr="00EA6557" w:rsidRDefault="00E772A0" w:rsidP="00F07327">
            <w:pPr>
              <w:spacing w:after="40"/>
              <w:jc w:val="center"/>
              <w:rPr>
                <w:rFonts w:ascii="Arial Narrow" w:hAnsi="Arial Narrow" w:cs="Arial"/>
                <w:iCs/>
                <w:color w:val="000000"/>
                <w:sz w:val="20"/>
              </w:rPr>
            </w:pPr>
            <w:r w:rsidRPr="00EA6557">
              <w:rPr>
                <w:rFonts w:ascii="Arial Narrow" w:hAnsi="Arial Narrow" w:cs="Arial"/>
                <w:iCs/>
                <w:color w:val="000000"/>
                <w:sz w:val="20"/>
              </w:rPr>
              <w:t>0.049 (−0.028, 0.126)</w:t>
            </w:r>
          </w:p>
        </w:tc>
        <w:tc>
          <w:tcPr>
            <w:tcW w:w="2268" w:type="dxa"/>
            <w:tcBorders>
              <w:top w:val="nil"/>
              <w:left w:val="single" w:sz="4" w:space="0" w:color="auto"/>
              <w:bottom w:val="nil"/>
              <w:right w:val="single" w:sz="4" w:space="0" w:color="auto"/>
            </w:tcBorders>
            <w:noWrap/>
            <w:hideMark/>
          </w:tcPr>
          <w:p w14:paraId="4ABA2CE2" w14:textId="77777777" w:rsidR="00E772A0" w:rsidRPr="00EA6557" w:rsidRDefault="00E772A0" w:rsidP="00F07327">
            <w:pPr>
              <w:spacing w:after="40"/>
              <w:jc w:val="center"/>
              <w:rPr>
                <w:rFonts w:ascii="Arial Narrow" w:hAnsi="Arial Narrow" w:cs="Arial"/>
                <w:iCs/>
                <w:color w:val="000000"/>
                <w:sz w:val="20"/>
              </w:rPr>
            </w:pPr>
            <w:r w:rsidRPr="00EA6557">
              <w:rPr>
                <w:rFonts w:ascii="Arial Narrow" w:hAnsi="Arial Narrow" w:cs="Arial"/>
                <w:b/>
                <w:bCs/>
                <w:iCs/>
                <w:color w:val="000000"/>
                <w:sz w:val="20"/>
              </w:rPr>
              <w:t>0.060 (0.032, 0.089)^</w:t>
            </w:r>
          </w:p>
        </w:tc>
        <w:tc>
          <w:tcPr>
            <w:tcW w:w="2693" w:type="dxa"/>
            <w:tcBorders>
              <w:top w:val="nil"/>
              <w:left w:val="single" w:sz="4" w:space="0" w:color="auto"/>
              <w:bottom w:val="nil"/>
              <w:right w:val="single" w:sz="4" w:space="0" w:color="auto"/>
            </w:tcBorders>
            <w:noWrap/>
            <w:hideMark/>
          </w:tcPr>
          <w:p w14:paraId="6358C3C0" w14:textId="77777777" w:rsidR="00E772A0" w:rsidRPr="00EA6557" w:rsidRDefault="00E772A0" w:rsidP="00F07327">
            <w:pPr>
              <w:spacing w:after="40"/>
              <w:jc w:val="center"/>
              <w:rPr>
                <w:rFonts w:ascii="Arial Narrow" w:hAnsi="Arial Narrow" w:cs="Arial"/>
                <w:iCs/>
                <w:color w:val="000000"/>
                <w:sz w:val="20"/>
              </w:rPr>
            </w:pPr>
            <w:r w:rsidRPr="00EA6557">
              <w:rPr>
                <w:rFonts w:ascii="Arial Narrow" w:hAnsi="Arial Narrow" w:cs="Arial"/>
                <w:iCs/>
                <w:color w:val="000000"/>
                <w:sz w:val="20"/>
              </w:rPr>
              <w:t>−0.011 (−0.093, 0.071)</w:t>
            </w:r>
          </w:p>
        </w:tc>
      </w:tr>
      <w:tr w:rsidR="00E772A0" w:rsidRPr="00EA6557" w14:paraId="6BFFCB72" w14:textId="77777777" w:rsidTr="00F07327">
        <w:trPr>
          <w:trHeight w:val="290"/>
        </w:trPr>
        <w:tc>
          <w:tcPr>
            <w:tcW w:w="2122" w:type="dxa"/>
            <w:tcBorders>
              <w:top w:val="nil"/>
              <w:bottom w:val="single" w:sz="4" w:space="0" w:color="auto"/>
              <w:right w:val="single" w:sz="4" w:space="0" w:color="auto"/>
            </w:tcBorders>
            <w:noWrap/>
            <w:hideMark/>
          </w:tcPr>
          <w:p w14:paraId="2D2B0907" w14:textId="77777777" w:rsidR="00E772A0" w:rsidRPr="00EA6557" w:rsidRDefault="00E772A0" w:rsidP="00F07327">
            <w:pPr>
              <w:spacing w:after="40"/>
              <w:rPr>
                <w:rFonts w:ascii="Arial Narrow" w:hAnsi="Arial Narrow" w:cs="Arial"/>
                <w:iCs/>
                <w:color w:val="000000"/>
                <w:sz w:val="20"/>
              </w:rPr>
            </w:pPr>
            <w:r w:rsidRPr="00EA6557">
              <w:rPr>
                <w:rFonts w:ascii="Arial Narrow" w:hAnsi="Arial Narrow" w:cs="Arial"/>
                <w:iCs/>
                <w:color w:val="000000"/>
                <w:sz w:val="20"/>
              </w:rPr>
              <w:t>Re-tears</w:t>
            </w:r>
          </w:p>
        </w:tc>
        <w:tc>
          <w:tcPr>
            <w:tcW w:w="1984" w:type="dxa"/>
            <w:tcBorders>
              <w:top w:val="nil"/>
              <w:left w:val="single" w:sz="4" w:space="0" w:color="auto"/>
              <w:bottom w:val="single" w:sz="4" w:space="0" w:color="auto"/>
              <w:right w:val="single" w:sz="4" w:space="0" w:color="auto"/>
            </w:tcBorders>
            <w:noWrap/>
            <w:hideMark/>
          </w:tcPr>
          <w:p w14:paraId="67062217" w14:textId="77777777" w:rsidR="00E772A0" w:rsidRPr="00746876" w:rsidRDefault="00E772A0" w:rsidP="00F07327">
            <w:pPr>
              <w:spacing w:after="40"/>
              <w:jc w:val="center"/>
              <w:rPr>
                <w:rFonts w:ascii="Arial Narrow" w:hAnsi="Arial Narrow" w:cs="Arial"/>
                <w:iCs/>
                <w:color w:val="000000"/>
                <w:sz w:val="20"/>
              </w:rPr>
            </w:pPr>
            <w:r w:rsidRPr="00746876">
              <w:rPr>
                <w:rFonts w:ascii="Arial Narrow" w:hAnsi="Arial Narrow" w:cs="Arial"/>
                <w:iCs/>
                <w:color w:val="FF0000"/>
                <w:sz w:val="20"/>
              </w:rPr>
              <w:t xml:space="preserve">0.008 </w:t>
            </w:r>
            <w:r w:rsidRPr="00746876">
              <w:rPr>
                <w:rFonts w:ascii="Arial Narrow" w:hAnsi="Arial Narrow" w:cs="Arial"/>
                <w:iCs/>
                <w:color w:val="000000"/>
                <w:sz w:val="20"/>
              </w:rPr>
              <w:t>(−0.003</w:t>
            </w:r>
            <w:r w:rsidRPr="00746876">
              <w:rPr>
                <w:rFonts w:ascii="Arial Narrow" w:hAnsi="Arial Narrow" w:cs="Arial"/>
                <w:iCs/>
                <w:color w:val="000000" w:themeColor="text1"/>
                <w:sz w:val="20"/>
              </w:rPr>
              <w:t>, 0.018)</w:t>
            </w:r>
          </w:p>
        </w:tc>
        <w:tc>
          <w:tcPr>
            <w:tcW w:w="2268" w:type="dxa"/>
            <w:tcBorders>
              <w:top w:val="nil"/>
              <w:left w:val="single" w:sz="4" w:space="0" w:color="auto"/>
              <w:bottom w:val="single" w:sz="4" w:space="0" w:color="auto"/>
              <w:right w:val="single" w:sz="4" w:space="0" w:color="auto"/>
            </w:tcBorders>
            <w:noWrap/>
            <w:hideMark/>
          </w:tcPr>
          <w:p w14:paraId="7156B04F" w14:textId="77777777" w:rsidR="00E772A0" w:rsidRPr="00746876" w:rsidRDefault="00E772A0" w:rsidP="00F07327">
            <w:pPr>
              <w:spacing w:after="40"/>
              <w:jc w:val="center"/>
              <w:rPr>
                <w:rFonts w:ascii="Arial Narrow" w:hAnsi="Arial Narrow" w:cs="Arial"/>
                <w:iCs/>
                <w:color w:val="000000"/>
                <w:sz w:val="20"/>
              </w:rPr>
            </w:pPr>
            <w:r w:rsidRPr="00746876">
              <w:rPr>
                <w:rFonts w:ascii="Arial Narrow" w:hAnsi="Arial Narrow" w:cs="Arial"/>
                <w:b/>
                <w:bCs/>
                <w:iCs/>
                <w:color w:val="FF0000"/>
                <w:sz w:val="20"/>
              </w:rPr>
              <w:t xml:space="preserve">0.090 </w:t>
            </w:r>
            <w:r w:rsidRPr="00746876">
              <w:rPr>
                <w:rFonts w:ascii="Arial Narrow" w:hAnsi="Arial Narrow" w:cs="Arial"/>
                <w:b/>
                <w:bCs/>
                <w:iCs/>
                <w:color w:val="000000"/>
                <w:sz w:val="20"/>
              </w:rPr>
              <w:t>(</w:t>
            </w:r>
            <w:r w:rsidRPr="00746876">
              <w:rPr>
                <w:rFonts w:ascii="Arial Narrow" w:hAnsi="Arial Narrow" w:cs="Arial"/>
                <w:b/>
                <w:bCs/>
                <w:iCs/>
                <w:color w:val="000000" w:themeColor="text1"/>
                <w:sz w:val="20"/>
              </w:rPr>
              <w:t xml:space="preserve">0.062, </w:t>
            </w:r>
            <w:r w:rsidRPr="00746876">
              <w:rPr>
                <w:rFonts w:ascii="Arial Narrow" w:hAnsi="Arial Narrow" w:cs="Arial"/>
                <w:b/>
                <w:bCs/>
                <w:iCs/>
                <w:color w:val="000000"/>
                <w:sz w:val="20"/>
              </w:rPr>
              <w:t>0.117)</w:t>
            </w:r>
          </w:p>
        </w:tc>
        <w:tc>
          <w:tcPr>
            <w:tcW w:w="2693" w:type="dxa"/>
            <w:tcBorders>
              <w:top w:val="nil"/>
              <w:left w:val="single" w:sz="4" w:space="0" w:color="auto"/>
              <w:bottom w:val="single" w:sz="4" w:space="0" w:color="auto"/>
              <w:right w:val="single" w:sz="4" w:space="0" w:color="auto"/>
            </w:tcBorders>
            <w:noWrap/>
            <w:hideMark/>
          </w:tcPr>
          <w:p w14:paraId="25B6AC61" w14:textId="77777777" w:rsidR="00E772A0" w:rsidRPr="00EA6557" w:rsidRDefault="00E772A0" w:rsidP="00F07327">
            <w:pPr>
              <w:spacing w:after="40"/>
              <w:jc w:val="center"/>
              <w:rPr>
                <w:rFonts w:ascii="Arial Narrow" w:hAnsi="Arial Narrow" w:cs="Arial"/>
                <w:b/>
                <w:bCs/>
                <w:iCs/>
                <w:color w:val="000000"/>
                <w:sz w:val="20"/>
              </w:rPr>
            </w:pPr>
            <w:r w:rsidRPr="00EA6557">
              <w:rPr>
                <w:rFonts w:ascii="Arial Narrow" w:hAnsi="Arial Narrow" w:cs="Arial"/>
                <w:b/>
                <w:bCs/>
                <w:iCs/>
                <w:color w:val="000000"/>
                <w:sz w:val="20"/>
              </w:rPr>
              <w:t>−0.082 (−0.111, −0.053)</w:t>
            </w:r>
          </w:p>
        </w:tc>
      </w:tr>
      <w:tr w:rsidR="00E772A0" w:rsidRPr="00EA6557" w14:paraId="0148183A" w14:textId="77777777" w:rsidTr="00F07327">
        <w:trPr>
          <w:trHeight w:val="290"/>
        </w:trPr>
        <w:tc>
          <w:tcPr>
            <w:tcW w:w="9067" w:type="dxa"/>
            <w:gridSpan w:val="4"/>
            <w:tcBorders>
              <w:bottom w:val="single" w:sz="4" w:space="0" w:color="auto"/>
              <w:right w:val="single" w:sz="4" w:space="0" w:color="auto"/>
            </w:tcBorders>
            <w:shd w:val="clear" w:color="auto" w:fill="C4BC96" w:themeFill="background2" w:themeFillShade="BF"/>
            <w:noWrap/>
            <w:vAlign w:val="center"/>
          </w:tcPr>
          <w:p w14:paraId="4F2CB5D2" w14:textId="77777777" w:rsidR="00E772A0" w:rsidRPr="00746876" w:rsidRDefault="00E772A0" w:rsidP="00F07327">
            <w:pPr>
              <w:spacing w:after="40"/>
              <w:rPr>
                <w:rFonts w:ascii="Arial Narrow" w:hAnsi="Arial Narrow" w:cs="Arial"/>
                <w:iCs/>
                <w:color w:val="000000"/>
                <w:sz w:val="20"/>
              </w:rPr>
            </w:pPr>
            <w:r w:rsidRPr="00746876">
              <w:rPr>
                <w:rFonts w:ascii="Arial Narrow" w:hAnsi="Arial Narrow" w:cs="Arial"/>
                <w:iCs/>
                <w:color w:val="000000"/>
                <w:sz w:val="20"/>
              </w:rPr>
              <w:t>Subpopulation 2 (FTRCT)</w:t>
            </w:r>
          </w:p>
        </w:tc>
      </w:tr>
      <w:tr w:rsidR="00E772A0" w:rsidRPr="00EA6557" w14:paraId="7FCEF576" w14:textId="77777777" w:rsidTr="00F07327">
        <w:trPr>
          <w:trHeight w:val="290"/>
        </w:trPr>
        <w:tc>
          <w:tcPr>
            <w:tcW w:w="2122" w:type="dxa"/>
            <w:tcBorders>
              <w:bottom w:val="single" w:sz="4" w:space="0" w:color="auto"/>
              <w:right w:val="single" w:sz="4" w:space="0" w:color="auto"/>
            </w:tcBorders>
            <w:shd w:val="clear" w:color="auto" w:fill="EEECE1" w:themeFill="background2"/>
            <w:noWrap/>
          </w:tcPr>
          <w:p w14:paraId="45D621DE" w14:textId="77777777" w:rsidR="00E772A0" w:rsidRPr="00EA6557" w:rsidRDefault="00E772A0" w:rsidP="00F07327">
            <w:pPr>
              <w:spacing w:after="40"/>
              <w:rPr>
                <w:rFonts w:ascii="Arial Narrow" w:hAnsi="Arial Narrow" w:cs="Arial"/>
                <w:iCs/>
                <w:color w:val="000000"/>
                <w:sz w:val="20"/>
              </w:rPr>
            </w:pPr>
            <w:r>
              <w:rPr>
                <w:rFonts w:ascii="Arial Narrow" w:hAnsi="Arial Narrow" w:cs="Arial"/>
                <w:iCs/>
                <w:color w:val="000000"/>
                <w:sz w:val="20"/>
              </w:rPr>
              <w:t>Imaging outcomes</w:t>
            </w:r>
          </w:p>
        </w:tc>
        <w:tc>
          <w:tcPr>
            <w:tcW w:w="1984" w:type="dxa"/>
            <w:tcBorders>
              <w:left w:val="single" w:sz="4" w:space="0" w:color="auto"/>
              <w:bottom w:val="single" w:sz="4" w:space="0" w:color="auto"/>
              <w:right w:val="single" w:sz="4" w:space="0" w:color="auto"/>
            </w:tcBorders>
            <w:shd w:val="clear" w:color="auto" w:fill="EEECE1" w:themeFill="background2"/>
            <w:noWrap/>
          </w:tcPr>
          <w:p w14:paraId="42DE0F5A" w14:textId="77777777" w:rsidR="00E772A0" w:rsidRPr="00746876" w:rsidRDefault="00E772A0" w:rsidP="00F07327">
            <w:pPr>
              <w:spacing w:after="40"/>
              <w:jc w:val="center"/>
              <w:rPr>
                <w:rFonts w:ascii="Arial Narrow" w:hAnsi="Arial Narrow" w:cs="Arial"/>
                <w:iCs/>
                <w:color w:val="000000"/>
                <w:sz w:val="20"/>
              </w:rPr>
            </w:pPr>
            <w:r w:rsidRPr="00746876">
              <w:rPr>
                <w:rFonts w:ascii="Arial Narrow" w:hAnsi="Arial Narrow" w:cs="Arial"/>
                <w:iCs/>
                <w:color w:val="000000"/>
                <w:sz w:val="20"/>
              </w:rPr>
              <w:t>Pooled risk</w:t>
            </w:r>
          </w:p>
        </w:tc>
        <w:tc>
          <w:tcPr>
            <w:tcW w:w="2268" w:type="dxa"/>
            <w:tcBorders>
              <w:left w:val="single" w:sz="4" w:space="0" w:color="auto"/>
              <w:bottom w:val="single" w:sz="4" w:space="0" w:color="auto"/>
              <w:right w:val="single" w:sz="4" w:space="0" w:color="auto"/>
            </w:tcBorders>
            <w:shd w:val="clear" w:color="auto" w:fill="EEECE1" w:themeFill="background2"/>
            <w:noWrap/>
          </w:tcPr>
          <w:p w14:paraId="5BFFBC7F" w14:textId="77777777" w:rsidR="00E772A0" w:rsidRPr="00746876" w:rsidRDefault="00E772A0" w:rsidP="00F07327">
            <w:pPr>
              <w:spacing w:after="40"/>
              <w:jc w:val="center"/>
              <w:rPr>
                <w:rFonts w:ascii="Arial Narrow" w:hAnsi="Arial Narrow" w:cs="Arial"/>
                <w:iCs/>
                <w:color w:val="000000"/>
                <w:sz w:val="20"/>
              </w:rPr>
            </w:pPr>
            <w:r w:rsidRPr="00746876">
              <w:rPr>
                <w:rFonts w:ascii="Arial Narrow" w:hAnsi="Arial Narrow" w:cs="Arial"/>
                <w:iCs/>
                <w:color w:val="000000"/>
                <w:sz w:val="20"/>
              </w:rPr>
              <w:t>Pooled risk</w:t>
            </w:r>
          </w:p>
        </w:tc>
        <w:tc>
          <w:tcPr>
            <w:tcW w:w="2693" w:type="dxa"/>
            <w:tcBorders>
              <w:left w:val="single" w:sz="4" w:space="0" w:color="auto"/>
              <w:bottom w:val="single" w:sz="4" w:space="0" w:color="auto"/>
              <w:right w:val="single" w:sz="4" w:space="0" w:color="auto"/>
            </w:tcBorders>
            <w:shd w:val="clear" w:color="auto" w:fill="EEECE1" w:themeFill="background2"/>
            <w:noWrap/>
          </w:tcPr>
          <w:p w14:paraId="7CEF34F1" w14:textId="77777777" w:rsidR="00E772A0" w:rsidRPr="00EA6557" w:rsidRDefault="00E772A0" w:rsidP="00F07327">
            <w:pPr>
              <w:spacing w:after="40"/>
              <w:jc w:val="center"/>
              <w:rPr>
                <w:rFonts w:ascii="Arial Narrow" w:hAnsi="Arial Narrow" w:cs="Arial"/>
                <w:iCs/>
                <w:color w:val="000000"/>
                <w:sz w:val="20"/>
              </w:rPr>
            </w:pPr>
            <w:r w:rsidRPr="00EA6557">
              <w:rPr>
                <w:rFonts w:ascii="Arial Narrow" w:hAnsi="Arial Narrow" w:cs="Arial"/>
                <w:iCs/>
                <w:color w:val="000000"/>
                <w:sz w:val="20"/>
              </w:rPr>
              <w:t>Difference</w:t>
            </w:r>
          </w:p>
        </w:tc>
      </w:tr>
      <w:tr w:rsidR="00E772A0" w:rsidRPr="00EA6557" w14:paraId="0FE85B57" w14:textId="77777777" w:rsidTr="00F07327">
        <w:trPr>
          <w:trHeight w:val="290"/>
        </w:trPr>
        <w:tc>
          <w:tcPr>
            <w:tcW w:w="2122" w:type="dxa"/>
            <w:tcBorders>
              <w:top w:val="nil"/>
              <w:bottom w:val="nil"/>
              <w:right w:val="single" w:sz="4" w:space="0" w:color="auto"/>
            </w:tcBorders>
            <w:noWrap/>
          </w:tcPr>
          <w:p w14:paraId="41ABB012" w14:textId="77777777" w:rsidR="00E772A0" w:rsidRPr="00EA6557" w:rsidRDefault="00E772A0" w:rsidP="00F07327">
            <w:pPr>
              <w:spacing w:after="40"/>
              <w:rPr>
                <w:rFonts w:ascii="Arial Narrow" w:hAnsi="Arial Narrow" w:cs="Arial"/>
                <w:iCs/>
                <w:color w:val="000000"/>
                <w:sz w:val="20"/>
              </w:rPr>
            </w:pPr>
            <w:r w:rsidRPr="00EA6557">
              <w:rPr>
                <w:rFonts w:ascii="Arial Narrow" w:hAnsi="Arial Narrow" w:cs="Arial"/>
                <w:iCs/>
                <w:color w:val="000000"/>
                <w:sz w:val="20"/>
              </w:rPr>
              <w:t xml:space="preserve">Incomplete Healing </w:t>
            </w:r>
          </w:p>
        </w:tc>
        <w:tc>
          <w:tcPr>
            <w:tcW w:w="1984" w:type="dxa"/>
            <w:tcBorders>
              <w:top w:val="nil"/>
              <w:left w:val="single" w:sz="4" w:space="0" w:color="auto"/>
              <w:bottom w:val="nil"/>
              <w:right w:val="single" w:sz="4" w:space="0" w:color="auto"/>
            </w:tcBorders>
            <w:noWrap/>
          </w:tcPr>
          <w:p w14:paraId="728E7448" w14:textId="77777777" w:rsidR="00E772A0" w:rsidRPr="00746876" w:rsidRDefault="00E772A0" w:rsidP="00F07327">
            <w:pPr>
              <w:spacing w:after="40"/>
              <w:jc w:val="center"/>
              <w:rPr>
                <w:rFonts w:ascii="Arial Narrow" w:hAnsi="Arial Narrow" w:cs="Arial"/>
                <w:iCs/>
                <w:color w:val="000000"/>
                <w:sz w:val="20"/>
              </w:rPr>
            </w:pPr>
            <w:r w:rsidRPr="00746876">
              <w:rPr>
                <w:rFonts w:ascii="Arial Narrow" w:hAnsi="Arial Narrow" w:cs="Arial"/>
                <w:b/>
                <w:bCs/>
                <w:iCs/>
                <w:color w:val="FF0000"/>
                <w:sz w:val="20"/>
              </w:rPr>
              <w:t xml:space="preserve">0.048 </w:t>
            </w:r>
            <w:r w:rsidRPr="00746876">
              <w:rPr>
                <w:rFonts w:ascii="Arial Narrow" w:hAnsi="Arial Narrow" w:cs="Arial"/>
                <w:b/>
                <w:bCs/>
                <w:iCs/>
                <w:color w:val="000000"/>
                <w:sz w:val="20"/>
              </w:rPr>
              <w:t>(0.044</w:t>
            </w:r>
            <w:r w:rsidRPr="00746876">
              <w:rPr>
                <w:rFonts w:ascii="Arial Narrow" w:hAnsi="Arial Narrow" w:cs="Arial"/>
                <w:b/>
                <w:bCs/>
                <w:iCs/>
                <w:color w:val="000000" w:themeColor="text1"/>
                <w:sz w:val="20"/>
              </w:rPr>
              <w:t>, 0.052</w:t>
            </w:r>
            <w:r w:rsidRPr="00746876">
              <w:rPr>
                <w:rFonts w:ascii="Arial Narrow" w:hAnsi="Arial Narrow" w:cs="Arial"/>
                <w:b/>
                <w:bCs/>
                <w:iCs/>
                <w:color w:val="000000"/>
                <w:sz w:val="20"/>
              </w:rPr>
              <w:t>)</w:t>
            </w:r>
          </w:p>
        </w:tc>
        <w:tc>
          <w:tcPr>
            <w:tcW w:w="2268" w:type="dxa"/>
            <w:tcBorders>
              <w:top w:val="nil"/>
              <w:left w:val="single" w:sz="4" w:space="0" w:color="auto"/>
              <w:bottom w:val="nil"/>
              <w:right w:val="single" w:sz="4" w:space="0" w:color="auto"/>
            </w:tcBorders>
            <w:noWrap/>
          </w:tcPr>
          <w:p w14:paraId="5E0FF4E0" w14:textId="77777777" w:rsidR="00E772A0" w:rsidRPr="00746876" w:rsidRDefault="00E772A0" w:rsidP="00F07327">
            <w:pPr>
              <w:spacing w:after="40"/>
              <w:jc w:val="center"/>
              <w:rPr>
                <w:rFonts w:ascii="Arial Narrow" w:hAnsi="Arial Narrow" w:cs="Arial"/>
                <w:b/>
                <w:bCs/>
                <w:iCs/>
                <w:color w:val="000000"/>
                <w:sz w:val="20"/>
              </w:rPr>
            </w:pPr>
            <w:r w:rsidRPr="00746876">
              <w:rPr>
                <w:rFonts w:ascii="Arial Narrow" w:hAnsi="Arial Narrow" w:cs="Arial"/>
                <w:b/>
                <w:bCs/>
                <w:iCs/>
                <w:color w:val="FF0000"/>
                <w:sz w:val="20"/>
              </w:rPr>
              <w:t xml:space="preserve">0.247 </w:t>
            </w:r>
            <w:r w:rsidRPr="00746876">
              <w:rPr>
                <w:rFonts w:ascii="Arial Narrow" w:hAnsi="Arial Narrow" w:cs="Arial"/>
                <w:b/>
                <w:bCs/>
                <w:iCs/>
                <w:color w:val="000000"/>
                <w:sz w:val="20"/>
              </w:rPr>
              <w:t>(</w:t>
            </w:r>
            <w:r w:rsidRPr="00746876">
              <w:rPr>
                <w:rFonts w:ascii="Arial Narrow" w:hAnsi="Arial Narrow" w:cs="Arial"/>
                <w:b/>
                <w:bCs/>
                <w:iCs/>
                <w:color w:val="000000" w:themeColor="text1"/>
                <w:sz w:val="20"/>
              </w:rPr>
              <w:t xml:space="preserve">0.197, </w:t>
            </w:r>
            <w:r w:rsidRPr="00746876">
              <w:rPr>
                <w:rFonts w:ascii="Arial Narrow" w:hAnsi="Arial Narrow" w:cs="Arial"/>
                <w:b/>
                <w:bCs/>
                <w:iCs/>
                <w:color w:val="000000"/>
                <w:sz w:val="20"/>
              </w:rPr>
              <w:t>0.298)</w:t>
            </w:r>
          </w:p>
        </w:tc>
        <w:tc>
          <w:tcPr>
            <w:tcW w:w="2693" w:type="dxa"/>
            <w:tcBorders>
              <w:top w:val="nil"/>
              <w:left w:val="single" w:sz="4" w:space="0" w:color="auto"/>
              <w:bottom w:val="nil"/>
              <w:right w:val="single" w:sz="4" w:space="0" w:color="auto"/>
            </w:tcBorders>
            <w:noWrap/>
          </w:tcPr>
          <w:p w14:paraId="253225FF" w14:textId="77777777" w:rsidR="00E772A0" w:rsidRPr="00EA6557" w:rsidRDefault="00E772A0" w:rsidP="00F07327">
            <w:pPr>
              <w:spacing w:after="40"/>
              <w:jc w:val="center"/>
              <w:rPr>
                <w:rFonts w:ascii="Arial Narrow" w:hAnsi="Arial Narrow" w:cs="Arial"/>
                <w:b/>
                <w:bCs/>
                <w:iCs/>
                <w:color w:val="000000"/>
                <w:sz w:val="20"/>
              </w:rPr>
            </w:pPr>
            <w:r w:rsidRPr="00EA6557">
              <w:rPr>
                <w:rFonts w:ascii="Arial Narrow" w:hAnsi="Arial Narrow" w:cs="Arial"/>
                <w:b/>
                <w:bCs/>
                <w:iCs/>
                <w:color w:val="000000"/>
                <w:sz w:val="20"/>
              </w:rPr>
              <w:t>−0.200 (−0.250, −0.149)</w:t>
            </w:r>
          </w:p>
        </w:tc>
      </w:tr>
      <w:tr w:rsidR="00E772A0" w:rsidRPr="00EA6557" w14:paraId="5E4A6392" w14:textId="77777777" w:rsidTr="00746876">
        <w:trPr>
          <w:trHeight w:val="290"/>
        </w:trPr>
        <w:tc>
          <w:tcPr>
            <w:tcW w:w="2122" w:type="dxa"/>
            <w:tcBorders>
              <w:top w:val="nil"/>
              <w:bottom w:val="single" w:sz="4" w:space="0" w:color="auto"/>
              <w:right w:val="single" w:sz="4" w:space="0" w:color="auto"/>
            </w:tcBorders>
            <w:noWrap/>
          </w:tcPr>
          <w:p w14:paraId="6004D8D1" w14:textId="77777777" w:rsidR="00E772A0" w:rsidRPr="00EA6557" w:rsidRDefault="00E772A0" w:rsidP="00F07327">
            <w:pPr>
              <w:spacing w:after="40"/>
              <w:rPr>
                <w:rFonts w:ascii="Arial Narrow" w:hAnsi="Arial Narrow" w:cs="Arial"/>
                <w:iCs/>
                <w:color w:val="000000"/>
                <w:sz w:val="20"/>
              </w:rPr>
            </w:pPr>
            <w:r w:rsidRPr="00EA6557">
              <w:rPr>
                <w:rFonts w:ascii="Arial Narrow" w:hAnsi="Arial Narrow" w:cs="Arial"/>
                <w:iCs/>
                <w:color w:val="000000"/>
                <w:sz w:val="20"/>
              </w:rPr>
              <w:t>Re-tears</w:t>
            </w:r>
          </w:p>
        </w:tc>
        <w:tc>
          <w:tcPr>
            <w:tcW w:w="1984" w:type="dxa"/>
            <w:tcBorders>
              <w:top w:val="nil"/>
              <w:left w:val="single" w:sz="4" w:space="0" w:color="auto"/>
              <w:bottom w:val="single" w:sz="4" w:space="0" w:color="auto"/>
              <w:right w:val="single" w:sz="4" w:space="0" w:color="auto"/>
            </w:tcBorders>
            <w:noWrap/>
          </w:tcPr>
          <w:p w14:paraId="34FEBD51" w14:textId="77777777" w:rsidR="00E772A0" w:rsidRPr="00746876" w:rsidRDefault="00E772A0" w:rsidP="00F07327">
            <w:pPr>
              <w:spacing w:after="40"/>
              <w:jc w:val="center"/>
              <w:rPr>
                <w:rFonts w:ascii="Arial Narrow" w:hAnsi="Arial Narrow" w:cs="Arial"/>
                <w:iCs/>
                <w:color w:val="000000"/>
                <w:sz w:val="20"/>
              </w:rPr>
            </w:pPr>
            <w:r w:rsidRPr="00746876">
              <w:rPr>
                <w:rFonts w:ascii="Arial Narrow" w:hAnsi="Arial Narrow" w:cs="Arial"/>
                <w:b/>
                <w:bCs/>
                <w:iCs/>
                <w:color w:val="FF0000"/>
                <w:sz w:val="20"/>
              </w:rPr>
              <w:t xml:space="preserve">0.033 </w:t>
            </w:r>
            <w:r w:rsidRPr="00746876">
              <w:rPr>
                <w:rFonts w:ascii="Arial Narrow" w:hAnsi="Arial Narrow" w:cs="Arial"/>
                <w:b/>
                <w:bCs/>
                <w:iCs/>
                <w:color w:val="000000"/>
                <w:sz w:val="20"/>
              </w:rPr>
              <w:t>(0.021</w:t>
            </w:r>
            <w:r w:rsidRPr="00746876">
              <w:rPr>
                <w:rFonts w:ascii="Arial Narrow" w:hAnsi="Arial Narrow" w:cs="Arial"/>
                <w:b/>
                <w:bCs/>
                <w:iCs/>
                <w:color w:val="000000" w:themeColor="text1"/>
                <w:sz w:val="20"/>
              </w:rPr>
              <w:t>, 0.044)</w:t>
            </w:r>
          </w:p>
        </w:tc>
        <w:tc>
          <w:tcPr>
            <w:tcW w:w="2268" w:type="dxa"/>
            <w:tcBorders>
              <w:top w:val="nil"/>
              <w:left w:val="single" w:sz="4" w:space="0" w:color="auto"/>
              <w:bottom w:val="single" w:sz="4" w:space="0" w:color="auto"/>
              <w:right w:val="single" w:sz="4" w:space="0" w:color="auto"/>
            </w:tcBorders>
            <w:shd w:val="clear" w:color="auto" w:fill="auto"/>
            <w:noWrap/>
          </w:tcPr>
          <w:p w14:paraId="2BB19BC7" w14:textId="77777777" w:rsidR="00E772A0" w:rsidRPr="00746876" w:rsidRDefault="00E772A0" w:rsidP="00F07327">
            <w:pPr>
              <w:spacing w:after="40"/>
              <w:jc w:val="center"/>
              <w:rPr>
                <w:rFonts w:ascii="Arial Narrow" w:hAnsi="Arial Narrow" w:cs="Arial"/>
                <w:iCs/>
                <w:color w:val="000000"/>
                <w:sz w:val="20"/>
              </w:rPr>
            </w:pPr>
            <w:r w:rsidRPr="00746876">
              <w:rPr>
                <w:rFonts w:ascii="Arial Narrow" w:hAnsi="Arial Narrow" w:cs="Arial"/>
                <w:b/>
                <w:bCs/>
                <w:iCs/>
                <w:color w:val="FF0000"/>
                <w:sz w:val="20"/>
              </w:rPr>
              <w:t xml:space="preserve">0.177 </w:t>
            </w:r>
            <w:r w:rsidRPr="00746876">
              <w:rPr>
                <w:rFonts w:ascii="Arial Narrow" w:hAnsi="Arial Narrow" w:cs="Arial"/>
                <w:b/>
                <w:bCs/>
                <w:iCs/>
                <w:color w:val="000000"/>
                <w:sz w:val="20"/>
              </w:rPr>
              <w:t>(</w:t>
            </w:r>
            <w:r w:rsidRPr="00746876">
              <w:rPr>
                <w:rFonts w:ascii="Arial Narrow" w:hAnsi="Arial Narrow" w:cs="Arial"/>
                <w:b/>
                <w:bCs/>
                <w:iCs/>
                <w:color w:val="000000" w:themeColor="text1"/>
                <w:sz w:val="20"/>
              </w:rPr>
              <w:t>0.134, 0</w:t>
            </w:r>
            <w:r w:rsidRPr="00746876">
              <w:rPr>
                <w:rFonts w:ascii="Arial Narrow" w:hAnsi="Arial Narrow" w:cs="Arial"/>
                <w:b/>
                <w:bCs/>
                <w:iCs/>
                <w:color w:val="000000"/>
                <w:sz w:val="20"/>
              </w:rPr>
              <w:t>.219</w:t>
            </w:r>
            <w:r w:rsidRPr="00746876">
              <w:rPr>
                <w:rFonts w:ascii="Arial Narrow" w:hAnsi="Arial Narrow" w:cs="Arial"/>
                <w:iCs/>
                <w:color w:val="000000"/>
                <w:sz w:val="20"/>
              </w:rPr>
              <w:t>)</w:t>
            </w:r>
          </w:p>
        </w:tc>
        <w:tc>
          <w:tcPr>
            <w:tcW w:w="2693" w:type="dxa"/>
            <w:tcBorders>
              <w:top w:val="nil"/>
              <w:left w:val="single" w:sz="4" w:space="0" w:color="auto"/>
              <w:bottom w:val="single" w:sz="4" w:space="0" w:color="auto"/>
              <w:right w:val="single" w:sz="4" w:space="0" w:color="auto"/>
            </w:tcBorders>
            <w:noWrap/>
          </w:tcPr>
          <w:p w14:paraId="57B1E27B" w14:textId="77777777" w:rsidR="00E772A0" w:rsidRPr="00EA6557" w:rsidRDefault="00E772A0" w:rsidP="00F07327">
            <w:pPr>
              <w:spacing w:after="40"/>
              <w:jc w:val="center"/>
              <w:rPr>
                <w:rFonts w:ascii="Arial Narrow" w:hAnsi="Arial Narrow" w:cs="Arial"/>
                <w:b/>
                <w:bCs/>
                <w:iCs/>
                <w:color w:val="000000"/>
                <w:sz w:val="20"/>
              </w:rPr>
            </w:pPr>
            <w:r w:rsidRPr="00EA6557">
              <w:rPr>
                <w:rFonts w:ascii="Arial Narrow" w:hAnsi="Arial Narrow" w:cs="Arial"/>
                <w:b/>
                <w:bCs/>
                <w:iCs/>
                <w:color w:val="000000"/>
                <w:sz w:val="20"/>
              </w:rPr>
              <w:t>−0.144 (−0.188, −0.100)</w:t>
            </w:r>
          </w:p>
        </w:tc>
      </w:tr>
    </w:tbl>
    <w:p w14:paraId="66DABE8A" w14:textId="77777777" w:rsidR="00E772A0" w:rsidRDefault="00E772A0" w:rsidP="00E772A0">
      <w:pPr>
        <w:spacing w:after="40"/>
        <w:rPr>
          <w:rFonts w:ascii="Arial Narrow" w:eastAsia="Calibri" w:hAnsi="Arial Narrow"/>
          <w:sz w:val="18"/>
          <w:szCs w:val="18"/>
        </w:rPr>
      </w:pPr>
      <w:r>
        <w:rPr>
          <w:rFonts w:ascii="Arial Narrow" w:eastAsia="Calibri" w:hAnsi="Arial Narrow"/>
          <w:sz w:val="18"/>
          <w:szCs w:val="18"/>
        </w:rPr>
        <w:t>ADAR=Applicant Developed Assessment Report; ASES=</w:t>
      </w:r>
      <w:r w:rsidRPr="00DF710E">
        <w:rPr>
          <w:rFonts w:ascii="Arial Narrow" w:eastAsia="Calibri" w:hAnsi="Arial Narrow"/>
          <w:sz w:val="18"/>
          <w:szCs w:val="18"/>
        </w:rPr>
        <w:t>American Shoulder and Elbow Surgeons</w:t>
      </w:r>
      <w:r>
        <w:rPr>
          <w:rFonts w:ascii="Arial Narrow" w:eastAsia="Calibri" w:hAnsi="Arial Narrow"/>
          <w:sz w:val="18"/>
          <w:szCs w:val="18"/>
        </w:rPr>
        <w:t xml:space="preserve">; CI=confidence interval; FTRCT=full-thickness rotator cuff tear; </w:t>
      </w:r>
      <w:r w:rsidRPr="00813CEA">
        <w:rPr>
          <w:rFonts w:ascii="Arial Narrow" w:eastAsia="Calibri" w:hAnsi="Arial Narrow"/>
          <w:sz w:val="18"/>
          <w:szCs w:val="18"/>
        </w:rPr>
        <w:t>NNT=number needed to treat; NNH=number needed to harm</w:t>
      </w:r>
      <w:r>
        <w:rPr>
          <w:rFonts w:ascii="Arial Narrow" w:eastAsia="Calibri" w:hAnsi="Arial Narrow"/>
          <w:sz w:val="18"/>
          <w:szCs w:val="18"/>
        </w:rPr>
        <w:t>; PTRCT=partial-thickness rotator cuff tear; VAS=Visual Analogue Scale; WORC=Western Ontario Rotator Cuff</w:t>
      </w:r>
    </w:p>
    <w:p w14:paraId="70CCA08D" w14:textId="77777777" w:rsidR="00E772A0" w:rsidRPr="00D075EB" w:rsidRDefault="00E772A0" w:rsidP="00E772A0">
      <w:pPr>
        <w:spacing w:after="40"/>
        <w:rPr>
          <w:rFonts w:ascii="Arial Narrow" w:eastAsia="Calibri" w:hAnsi="Arial Narrow"/>
          <w:sz w:val="18"/>
          <w:szCs w:val="18"/>
        </w:rPr>
      </w:pPr>
      <w:r w:rsidRPr="00D075EB">
        <w:rPr>
          <w:rFonts w:ascii="Arial Narrow" w:eastAsia="Calibri" w:hAnsi="Arial Narrow"/>
          <w:sz w:val="18"/>
          <w:szCs w:val="18"/>
        </w:rPr>
        <w:t xml:space="preserve">^ Note that the same studies contributed the same event data to the outcome measures of treatment failure and incomplete healing for standard surgery (PTRCT), hence the </w:t>
      </w:r>
      <w:proofErr w:type="gramStart"/>
      <w:r w:rsidRPr="00D075EB">
        <w:rPr>
          <w:rFonts w:ascii="Arial Narrow" w:eastAsia="Calibri" w:hAnsi="Arial Narrow"/>
          <w:sz w:val="18"/>
          <w:szCs w:val="18"/>
        </w:rPr>
        <w:t>same pooled</w:t>
      </w:r>
      <w:proofErr w:type="gramEnd"/>
      <w:r w:rsidRPr="00D075EB">
        <w:rPr>
          <w:rFonts w:ascii="Arial Narrow" w:eastAsia="Calibri" w:hAnsi="Arial Narrow"/>
          <w:sz w:val="18"/>
          <w:szCs w:val="18"/>
        </w:rPr>
        <w:t xml:space="preserve"> estimates for both outcomes.</w:t>
      </w:r>
    </w:p>
    <w:p w14:paraId="75383B0E" w14:textId="77777777" w:rsidR="00E772A0" w:rsidRPr="00D075EB" w:rsidRDefault="00E772A0" w:rsidP="00E772A0">
      <w:pPr>
        <w:spacing w:after="40"/>
        <w:rPr>
          <w:rFonts w:ascii="Arial Narrow" w:eastAsia="Calibri" w:hAnsi="Arial Narrow" w:cs="Consolas"/>
          <w:color w:val="000000"/>
          <w:sz w:val="18"/>
          <w:szCs w:val="18"/>
        </w:rPr>
      </w:pPr>
      <w:r w:rsidRPr="00D075EB">
        <w:rPr>
          <w:rFonts w:ascii="Arial Narrow" w:eastAsia="Calibri" w:hAnsi="Arial Narrow" w:cs="Consolas"/>
          <w:color w:val="000000"/>
          <w:sz w:val="18"/>
          <w:szCs w:val="18"/>
        </w:rPr>
        <w:t xml:space="preserve">Numbers in </w:t>
      </w:r>
      <w:r w:rsidRPr="00D075EB">
        <w:rPr>
          <w:rFonts w:ascii="Arial Narrow" w:eastAsia="Calibri" w:hAnsi="Arial Narrow" w:cs="Consolas"/>
          <w:b/>
          <w:bCs/>
          <w:color w:val="000000" w:themeColor="text1"/>
          <w:sz w:val="18"/>
          <w:szCs w:val="18"/>
        </w:rPr>
        <w:t xml:space="preserve">bold </w:t>
      </w:r>
      <w:r w:rsidRPr="00D075EB">
        <w:rPr>
          <w:rFonts w:ascii="Arial Narrow" w:eastAsia="Calibri" w:hAnsi="Arial Narrow" w:cs="Consolas"/>
          <w:color w:val="000000" w:themeColor="text1"/>
          <w:sz w:val="18"/>
          <w:szCs w:val="18"/>
        </w:rPr>
        <w:t>represent results that reached statistical significance</w:t>
      </w:r>
      <w:r w:rsidRPr="00D075EB">
        <w:rPr>
          <w:rFonts w:ascii="Arial Narrow" w:eastAsia="Calibri" w:hAnsi="Arial Narrow" w:cs="Consolas"/>
          <w:color w:val="000000"/>
          <w:sz w:val="18"/>
          <w:szCs w:val="18"/>
        </w:rPr>
        <w:t>.</w:t>
      </w:r>
    </w:p>
    <w:p w14:paraId="093E6F6A" w14:textId="650C2A0C" w:rsidR="00E772A0" w:rsidRPr="00D075EB" w:rsidRDefault="00E772A0" w:rsidP="00E772A0">
      <w:pPr>
        <w:spacing w:after="40"/>
        <w:rPr>
          <w:rFonts w:ascii="Arial Narrow" w:eastAsia="Calibri" w:hAnsi="Arial Narrow" w:cs="Consolas"/>
          <w:color w:val="000000"/>
          <w:sz w:val="18"/>
          <w:szCs w:val="18"/>
        </w:rPr>
      </w:pPr>
      <w:r w:rsidRPr="00D075EB">
        <w:rPr>
          <w:rFonts w:ascii="Arial Narrow" w:eastAsia="Calibri" w:hAnsi="Arial Narrow" w:cs="Consolas"/>
          <w:color w:val="000000"/>
          <w:sz w:val="18"/>
          <w:szCs w:val="18"/>
        </w:rPr>
        <w:t xml:space="preserve">Numbers </w:t>
      </w:r>
      <w:r w:rsidRPr="006F271F">
        <w:rPr>
          <w:rFonts w:ascii="Arial Narrow" w:eastAsia="Calibri" w:hAnsi="Arial Narrow" w:cs="Consolas"/>
          <w:color w:val="000000"/>
          <w:sz w:val="18"/>
          <w:szCs w:val="18"/>
        </w:rPr>
        <w:t xml:space="preserve">in </w:t>
      </w:r>
      <w:proofErr w:type="gramStart"/>
      <w:r w:rsidR="006F271F" w:rsidRPr="00746876">
        <w:rPr>
          <w:rFonts w:ascii="Arial Narrow" w:eastAsia="Calibri" w:hAnsi="Arial Narrow" w:cs="Consolas"/>
          <w:color w:val="FF0000"/>
          <w:sz w:val="18"/>
          <w:szCs w:val="18"/>
        </w:rPr>
        <w:t xml:space="preserve">red </w:t>
      </w:r>
      <w:r w:rsidRPr="00D075EB">
        <w:rPr>
          <w:rFonts w:ascii="Arial Narrow" w:eastAsia="Calibri" w:hAnsi="Arial Narrow" w:cs="Consolas"/>
          <w:color w:val="FF0000"/>
          <w:sz w:val="18"/>
          <w:szCs w:val="18"/>
        </w:rPr>
        <w:t xml:space="preserve"> </w:t>
      </w:r>
      <w:r w:rsidRPr="00D075EB">
        <w:rPr>
          <w:rFonts w:ascii="Arial Narrow" w:eastAsia="Calibri" w:hAnsi="Arial Narrow" w:cs="Consolas"/>
          <w:color w:val="000000"/>
          <w:sz w:val="18"/>
          <w:szCs w:val="18"/>
        </w:rPr>
        <w:t>were</w:t>
      </w:r>
      <w:proofErr w:type="gramEnd"/>
      <w:r w:rsidRPr="00D075EB">
        <w:rPr>
          <w:rFonts w:ascii="Arial Narrow" w:eastAsia="Calibri" w:hAnsi="Arial Narrow" w:cs="Consolas"/>
          <w:color w:val="000000"/>
          <w:sz w:val="18"/>
          <w:szCs w:val="18"/>
        </w:rPr>
        <w:t xml:space="preserve"> used in Section D of the ADAR.</w:t>
      </w:r>
    </w:p>
    <w:p w14:paraId="3B44FB91" w14:textId="77777777" w:rsidR="00E772A0" w:rsidRPr="00244CB2" w:rsidRDefault="00E772A0" w:rsidP="00E772A0">
      <w:pPr>
        <w:pStyle w:val="Tablenotes"/>
      </w:pPr>
      <w:r w:rsidRPr="00D075EB">
        <w:t>Source</w:t>
      </w:r>
      <w:r>
        <w:t xml:space="preserve">: Tables 35-39, 42-52 and 54-58, pp96-101 and 105-128 of the ADAR; </w:t>
      </w:r>
      <w:r w:rsidRPr="00E0515A">
        <w:t>Excel Workbook ‘Appendix 13 Synthesis of Evidence’, included in</w:t>
      </w:r>
      <w:r>
        <w:t xml:space="preserve"> electronic</w:t>
      </w:r>
      <w:r w:rsidRPr="00E0515A">
        <w:t xml:space="preserve"> Appendix </w:t>
      </w:r>
      <w:r>
        <w:t xml:space="preserve">folder </w:t>
      </w:r>
      <w:r w:rsidRPr="00E0515A">
        <w:t>of the ADAR</w:t>
      </w:r>
      <w:r>
        <w:t>.</w:t>
      </w:r>
    </w:p>
    <w:p w14:paraId="6073BD25" w14:textId="77777777" w:rsidR="00F37B9C" w:rsidRDefault="00C06B0B" w:rsidP="00C06B0B">
      <w:pPr>
        <w:tabs>
          <w:tab w:val="left" w:pos="720"/>
          <w:tab w:val="left" w:pos="1140"/>
        </w:tabs>
        <w:spacing w:after="120"/>
        <w:rPr>
          <w:b/>
          <w:szCs w:val="24"/>
        </w:rPr>
      </w:pPr>
      <w:r>
        <w:rPr>
          <w:b/>
          <w:szCs w:val="24"/>
        </w:rPr>
        <w:t>Clinical c</w:t>
      </w:r>
      <w:r w:rsidR="00F37B9C" w:rsidRPr="00F37B9C">
        <w:rPr>
          <w:b/>
          <w:szCs w:val="24"/>
        </w:rPr>
        <w:t>laim</w:t>
      </w:r>
    </w:p>
    <w:p w14:paraId="532C1B9E" w14:textId="77777777" w:rsidR="00E772A0" w:rsidRDefault="00E772A0" w:rsidP="00E772A0">
      <w:pPr>
        <w:keepNext/>
      </w:pPr>
      <w:r w:rsidRPr="00132A26">
        <w:t xml:space="preserve">Based </w:t>
      </w:r>
      <w:r>
        <w:t>o</w:t>
      </w:r>
      <w:r w:rsidRPr="00132A26">
        <w:t xml:space="preserve">n the evidence provided in Section B for both patient subpopulations, the </w:t>
      </w:r>
      <w:r>
        <w:t xml:space="preserve">ADARs </w:t>
      </w:r>
      <w:r w:rsidRPr="00132A26">
        <w:t>comparative clinical claim for REGENETEN versus standard surgical repair (i.e. without use of REGENETEN) is superior effectiveness for functional outcomes and non-inferior safety.</w:t>
      </w:r>
      <w:r>
        <w:t xml:space="preserve"> However, the Commentary raised the following concerns:</w:t>
      </w:r>
    </w:p>
    <w:p w14:paraId="5E2C5ACE" w14:textId="77777777" w:rsidR="00E772A0" w:rsidRDefault="00E772A0" w:rsidP="00E772A0">
      <w:pPr>
        <w:pStyle w:val="ListParagraph"/>
        <w:keepNext/>
        <w:numPr>
          <w:ilvl w:val="0"/>
          <w:numId w:val="31"/>
        </w:numPr>
      </w:pPr>
      <w:r>
        <w:t xml:space="preserve">For subpopulation 1 (PTRCT), the adequacy of the evidence provided to support the claim of non-inferiority in comparative safety of REGENETEN versus standard surgery is unclear given the lack of direct comparative data of REGENETEN versus standard surgery and the scarcity of long-term safety data (limited to 11 patients followed at 5 years after the index procedure in </w:t>
      </w:r>
      <w:proofErr w:type="spellStart"/>
      <w:r>
        <w:t>Bokor</w:t>
      </w:r>
      <w:proofErr w:type="spellEnd"/>
      <w:r>
        <w:t xml:space="preserve"> 2019)</w:t>
      </w:r>
    </w:p>
    <w:p w14:paraId="66A48BF1" w14:textId="77777777" w:rsidR="00E772A0" w:rsidRDefault="00E772A0" w:rsidP="00E772A0">
      <w:pPr>
        <w:pStyle w:val="ListParagraph"/>
        <w:keepNext/>
        <w:numPr>
          <w:ilvl w:val="0"/>
          <w:numId w:val="31"/>
        </w:numPr>
      </w:pPr>
      <w:r>
        <w:t>For subpopulation 2 (FTRCT), claim of non-inferiority in comparative safety of REGENETEN versus standard surgery in subpopulation 2 (FTRCT) is not supported by the statistically significantly higher revision surgery rates with REGENETEN; and lack of long-term safety data for REGENETEN beyond two years</w:t>
      </w:r>
    </w:p>
    <w:p w14:paraId="09E0AF2A" w14:textId="30551E79" w:rsidR="00E772A0" w:rsidRDefault="00E772A0" w:rsidP="00E772A0">
      <w:pPr>
        <w:pStyle w:val="ListParagraph"/>
        <w:keepNext/>
        <w:numPr>
          <w:ilvl w:val="0"/>
          <w:numId w:val="31"/>
        </w:numPr>
      </w:pPr>
      <w:r>
        <w:t xml:space="preserve">For both subpopulations 1 (PTRCT) and 2 (FTRCT), the claim of superiority in clinical effectiveness was based on statistically significant greater benefit in imaging outcomes, rather than in clinical or patient-relevant outcomes (e.g. functional outcomes, quality of life outcomes) the results of which were not statistically significant. </w:t>
      </w:r>
      <w:r w:rsidRPr="00BC1661">
        <w:t xml:space="preserve">In addition, the method used to derive the ‘statistically significantly greater benefit’ in imaging outcomes with REGENETEN was based on naïve indirect comparison analyses at high risk of bias, not the Bucher method (Bucher 1997) as claimed in the </w:t>
      </w:r>
      <w:r>
        <w:t>ADAR</w:t>
      </w:r>
      <w:r w:rsidRPr="00BC1661">
        <w:t xml:space="preserve">. </w:t>
      </w:r>
      <w:r>
        <w:t xml:space="preserve">Overall, the </w:t>
      </w:r>
      <w:proofErr w:type="gramStart"/>
      <w:r>
        <w:t>claim of clinical superiority has not been supported by the evidence provided</w:t>
      </w:r>
      <w:proofErr w:type="gramEnd"/>
      <w:r>
        <w:t>.</w:t>
      </w:r>
    </w:p>
    <w:p w14:paraId="0BAC9303" w14:textId="77777777" w:rsidR="00E772A0" w:rsidRDefault="00E772A0" w:rsidP="00885C08">
      <w:pPr>
        <w:keepNext/>
        <w:spacing w:before="240"/>
      </w:pPr>
      <w:r>
        <w:t>In the pre-ESC response, the applicant highlighted for comparative safety that:</w:t>
      </w:r>
    </w:p>
    <w:p w14:paraId="769088C4" w14:textId="77777777" w:rsidR="00E772A0" w:rsidRDefault="00E772A0" w:rsidP="00E772A0">
      <w:pPr>
        <w:pStyle w:val="ListParagraph"/>
        <w:keepNext/>
        <w:numPr>
          <w:ilvl w:val="0"/>
          <w:numId w:val="34"/>
        </w:numPr>
      </w:pPr>
      <w:proofErr w:type="gramStart"/>
      <w:r>
        <w:t>the</w:t>
      </w:r>
      <w:proofErr w:type="gramEnd"/>
      <w:r>
        <w:t xml:space="preserve"> higher revision surgery rates with REGENETEN in the FTRCT subpopulation was essentially driven by the majority of REGENETEN evidence in this subpopulation coming from the USA REBUILD “data registry study” (McIntyre 2019), noting the highly medico-legal environment in USA.</w:t>
      </w:r>
    </w:p>
    <w:p w14:paraId="21DBCDA0" w14:textId="28A4746F" w:rsidR="00E772A0" w:rsidRDefault="00E772A0" w:rsidP="00E772A0">
      <w:pPr>
        <w:pStyle w:val="ListParagraph"/>
        <w:keepNext/>
        <w:numPr>
          <w:ilvl w:val="0"/>
          <w:numId w:val="34"/>
        </w:numPr>
      </w:pPr>
      <w:proofErr w:type="gramStart"/>
      <w:r>
        <w:t>the</w:t>
      </w:r>
      <w:proofErr w:type="gramEnd"/>
      <w:r>
        <w:t xml:space="preserve"> naïve comparison is further compounded and biased against REGENETEN by the fact that there appears to be a publication bias among studies of standard surgery with </w:t>
      </w:r>
      <w:r>
        <w:lastRenderedPageBreak/>
        <w:t xml:space="preserve">regards of revision surgery. </w:t>
      </w:r>
      <w:proofErr w:type="gramStart"/>
      <w:r>
        <w:t>Twenty one</w:t>
      </w:r>
      <w:proofErr w:type="gramEnd"/>
      <w:r>
        <w:t xml:space="preserve"> of 32 standard surgery studies of FTRCTs that reported re-tears did not report revision surgeries. The applicant considered it </w:t>
      </w:r>
      <w:proofErr w:type="gramStart"/>
      <w:r>
        <w:t>can be reasonably assumed</w:t>
      </w:r>
      <w:proofErr w:type="gramEnd"/>
      <w:r>
        <w:t xml:space="preserve"> that there should have been some revision surgeries</w:t>
      </w:r>
      <w:r w:rsidR="00AF2AFA">
        <w:t>.</w:t>
      </w:r>
    </w:p>
    <w:p w14:paraId="3D0DFA32" w14:textId="35C9C48C" w:rsidR="00E772A0" w:rsidRDefault="00E772A0" w:rsidP="00885C08">
      <w:pPr>
        <w:pStyle w:val="ListParagraph"/>
        <w:keepNext/>
        <w:numPr>
          <w:ilvl w:val="0"/>
          <w:numId w:val="34"/>
        </w:numPr>
        <w:spacing w:after="240"/>
      </w:pPr>
      <w:r>
        <w:t xml:space="preserve">global post market surveillance of </w:t>
      </w:r>
      <w:r w:rsidR="006F0205" w:rsidRPr="006F0205">
        <w:rPr>
          <w:b/>
        </w:rPr>
        <w:t>redacted</w:t>
      </w:r>
      <w:r>
        <w:t xml:space="preserve"> REGENETEN implants showed 4 (0.01%) reportable complaints (i.e. those reported to a “competent authority” of any country as an adverse event or reportable device malfunction) and 44 (0.14%) total complaints in the close to 5 years period from January 2014 to November 2019. The applicant considered this is far lower </w:t>
      </w:r>
      <w:proofErr w:type="gramStart"/>
      <w:r>
        <w:t>than the 0.6% (10/1677) patients</w:t>
      </w:r>
      <w:proofErr w:type="gramEnd"/>
      <w:r>
        <w:t xml:space="preserve"> in the trials of standard surgery that experienced procedural complications.</w:t>
      </w:r>
    </w:p>
    <w:p w14:paraId="5C44353E" w14:textId="77777777" w:rsidR="00E772A0" w:rsidRDefault="00E772A0" w:rsidP="00E772A0">
      <w:pPr>
        <w:keepNext/>
      </w:pPr>
      <w:r>
        <w:t>In the pre-ESC response, the applicant highlighted for comparative effectiveness that:</w:t>
      </w:r>
    </w:p>
    <w:p w14:paraId="3FBB66A3" w14:textId="77777777" w:rsidR="00E772A0" w:rsidRDefault="00E772A0" w:rsidP="00E772A0">
      <w:pPr>
        <w:pStyle w:val="ListParagraph"/>
        <w:keepNext/>
        <w:numPr>
          <w:ilvl w:val="0"/>
          <w:numId w:val="33"/>
        </w:numPr>
      </w:pPr>
      <w:proofErr w:type="gramStart"/>
      <w:r>
        <w:t>the</w:t>
      </w:r>
      <w:proofErr w:type="gramEnd"/>
      <w:r>
        <w:t xml:space="preserve"> imaging outcomes were chosen as the primary outcome measure as imaging outcomes are objective outcome measures and directly measure the impact of rotator cuff repair intervention, and MRI is standard care. </w:t>
      </w:r>
    </w:p>
    <w:p w14:paraId="135D5043" w14:textId="77777777" w:rsidR="00E772A0" w:rsidRDefault="00E772A0" w:rsidP="00E772A0">
      <w:pPr>
        <w:pStyle w:val="ListParagraph"/>
        <w:keepNext/>
        <w:numPr>
          <w:ilvl w:val="0"/>
          <w:numId w:val="33"/>
        </w:numPr>
      </w:pPr>
      <w:proofErr w:type="gramStart"/>
      <w:r>
        <w:t>the</w:t>
      </w:r>
      <w:proofErr w:type="gramEnd"/>
      <w:r>
        <w:t xml:space="preserve"> f</w:t>
      </w:r>
      <w:r w:rsidRPr="00FA3F29">
        <w:t>unctional outcomes (CM and ASES scores) are highly sensitive to differences in age, sex and physical strength (</w:t>
      </w:r>
      <w:proofErr w:type="spellStart"/>
      <w:r w:rsidRPr="00FA3F29">
        <w:t>Yian</w:t>
      </w:r>
      <w:proofErr w:type="spellEnd"/>
      <w:r w:rsidRPr="00FA3F29">
        <w:t xml:space="preserve"> 2005</w:t>
      </w:r>
      <w:r>
        <w:rPr>
          <w:rStyle w:val="FootnoteReference"/>
        </w:rPr>
        <w:footnoteReference w:id="20"/>
      </w:r>
      <w:r w:rsidRPr="00FA3F29">
        <w:t xml:space="preserve">, Booker 2015). As </w:t>
      </w:r>
      <w:proofErr w:type="gramStart"/>
      <w:r w:rsidRPr="00FA3F29">
        <w:t>such</w:t>
      </w:r>
      <w:proofErr w:type="gramEnd"/>
      <w:r w:rsidRPr="00FA3F29">
        <w:t xml:space="preserve"> they are sensitive to differences in baseline characteristics. The heterogeneous mixture of these characteristics in the available evidence and the limited reporting of these subjective outcome measures in the literature means that the CM and ASES scores are not well suited comparing the two treatments.</w:t>
      </w:r>
    </w:p>
    <w:p w14:paraId="7DDCD408" w14:textId="77777777" w:rsidR="00E772A0" w:rsidRDefault="00E772A0" w:rsidP="00E772A0">
      <w:pPr>
        <w:pStyle w:val="ListParagraph"/>
        <w:keepNext/>
        <w:numPr>
          <w:ilvl w:val="0"/>
          <w:numId w:val="33"/>
        </w:numPr>
      </w:pPr>
      <w:r>
        <w:t xml:space="preserve">The </w:t>
      </w:r>
      <w:r w:rsidRPr="00FA3F29">
        <w:t xml:space="preserve">studies/evidence </w:t>
      </w:r>
      <w:proofErr w:type="gramStart"/>
      <w:r w:rsidRPr="00FA3F29">
        <w:t>were powered</w:t>
      </w:r>
      <w:proofErr w:type="gramEnd"/>
      <w:r w:rsidRPr="00FA3F29">
        <w:t xml:space="preserve"> to detect significant differences in the imaging outcomes. The available studies </w:t>
      </w:r>
      <w:proofErr w:type="gramStart"/>
      <w:r w:rsidRPr="00FA3F29">
        <w:t>were not powered</w:t>
      </w:r>
      <w:proofErr w:type="gramEnd"/>
      <w:r w:rsidRPr="00FA3F29">
        <w:t xml:space="preserve"> to detect differences in clinical or patient relevant outcomes.</w:t>
      </w:r>
    </w:p>
    <w:p w14:paraId="1BBF31DE" w14:textId="77777777" w:rsidR="00E772A0" w:rsidRDefault="00E772A0" w:rsidP="00E772A0">
      <w:pPr>
        <w:pStyle w:val="Heading2"/>
      </w:pPr>
      <w:r>
        <w:t>Translation issues</w:t>
      </w:r>
    </w:p>
    <w:p w14:paraId="10E8C7FA" w14:textId="77777777" w:rsidR="00E772A0" w:rsidRDefault="00E772A0" w:rsidP="00E772A0">
      <w:r>
        <w:t>Two translation iss</w:t>
      </w:r>
      <w:r w:rsidR="00F07327">
        <w:t xml:space="preserve">ues </w:t>
      </w:r>
      <w:proofErr w:type="gramStart"/>
      <w:r w:rsidR="00F07327">
        <w:t>were addressed</w:t>
      </w:r>
      <w:proofErr w:type="gramEnd"/>
      <w:r w:rsidR="00F07327">
        <w:t xml:space="preserve"> in the ADAR:</w:t>
      </w:r>
    </w:p>
    <w:p w14:paraId="4D4C6962" w14:textId="77777777" w:rsidR="00E772A0" w:rsidRDefault="00E772A0" w:rsidP="00E772A0">
      <w:pPr>
        <w:pStyle w:val="ListParagraph"/>
        <w:numPr>
          <w:ilvl w:val="0"/>
          <w:numId w:val="32"/>
        </w:numPr>
      </w:pPr>
      <w:r>
        <w:t xml:space="preserve">the applicability of the published studies in Section B to the Australian patient population; the Commentary considered this was not adequately addressed as the </w:t>
      </w:r>
      <w:r w:rsidRPr="003710B0">
        <w:t>ADAR only addressed the issue in terms of age and gender distribution but not in terms of tear characteristics (e.g. location of tear, extent of tear, tear size) or concomitant shoulder procedures. In addition, a wide variety of surgical procedures were performed across the standard surgery studies, with study period spanning 2003 to 2016</w:t>
      </w:r>
    </w:p>
    <w:p w14:paraId="0773AAD9" w14:textId="77777777" w:rsidR="00E772A0" w:rsidRPr="00F07327" w:rsidRDefault="00E772A0" w:rsidP="00F07327">
      <w:pPr>
        <w:pStyle w:val="ListParagraph"/>
        <w:numPr>
          <w:ilvl w:val="0"/>
          <w:numId w:val="32"/>
        </w:numPr>
      </w:pPr>
      <w:r>
        <w:t>the transformation of re-tear and incomplete healing rates to utility values; The Commentary stated no utility values were reported from the REGENETEN studies and the utility values from a published abstract (Flurry 2019) were used in the ADAR to estimate utilities associated with re-tear and successful surgery in PTRCT and incomplete healing and successful surgery in FTRCT.</w:t>
      </w:r>
    </w:p>
    <w:p w14:paraId="7B6DFCED" w14:textId="77777777" w:rsidR="00BC1364" w:rsidRPr="00F715D1" w:rsidRDefault="00BC1364" w:rsidP="00F715D1">
      <w:pPr>
        <w:pStyle w:val="Heading1"/>
      </w:pPr>
      <w:r w:rsidRPr="00F715D1">
        <w:t>Economic evaluation</w:t>
      </w:r>
    </w:p>
    <w:p w14:paraId="1E1BE1E4" w14:textId="3A3C8A04" w:rsidR="0098433F" w:rsidRPr="005A160D" w:rsidRDefault="00F07327" w:rsidP="00885C08">
      <w:pPr>
        <w:tabs>
          <w:tab w:val="left" w:pos="720"/>
          <w:tab w:val="left" w:pos="1140"/>
        </w:tabs>
        <w:spacing w:after="240"/>
        <w:rPr>
          <w:szCs w:val="24"/>
        </w:rPr>
      </w:pPr>
      <w:r w:rsidRPr="0064127C">
        <w:t xml:space="preserve">The </w:t>
      </w:r>
      <w:r>
        <w:t xml:space="preserve">ADARs </w:t>
      </w:r>
      <w:r w:rsidRPr="0064127C">
        <w:t xml:space="preserve">economic evaluation is summarised </w:t>
      </w:r>
      <w:bookmarkStart w:id="18" w:name="_Ref36624097"/>
      <w:bookmarkStart w:id="19" w:name="_Ref49847178"/>
      <w:r w:rsidR="005A160D">
        <w:t>in Table 7.</w:t>
      </w:r>
      <w:r w:rsidR="0098433F">
        <w:br w:type="page"/>
      </w:r>
    </w:p>
    <w:p w14:paraId="508BE226" w14:textId="68D0A279" w:rsidR="00F07327" w:rsidRPr="00D32FC9" w:rsidRDefault="0098433F" w:rsidP="00D32FC9">
      <w:pPr>
        <w:rPr>
          <w:rFonts w:ascii="Arial Narrow" w:hAnsi="Arial Narrow"/>
          <w:b/>
          <w:sz w:val="20"/>
        </w:rPr>
      </w:pPr>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7</w:t>
      </w:r>
      <w:r w:rsidR="00F62D1A" w:rsidRPr="00D32FC9">
        <w:rPr>
          <w:rFonts w:ascii="Arial Narrow" w:hAnsi="Arial Narrow"/>
          <w:b/>
          <w:sz w:val="20"/>
        </w:rPr>
        <w:fldChar w:fldCharType="end"/>
      </w:r>
      <w:bookmarkEnd w:id="18"/>
      <w:bookmarkEnd w:id="19"/>
      <w:r w:rsidR="00D32FC9">
        <w:rPr>
          <w:rFonts w:ascii="Arial Narrow" w:hAnsi="Arial Narrow"/>
          <w:b/>
          <w:sz w:val="20"/>
        </w:rPr>
        <w:tab/>
      </w:r>
      <w:r w:rsidR="00F07327" w:rsidRPr="00D32FC9">
        <w:rPr>
          <w:rFonts w:ascii="Arial Narrow" w:hAnsi="Arial Narrow"/>
          <w:b/>
          <w:sz w:val="20"/>
        </w:rPr>
        <w:t xml:space="preserve">Summary of the economic evaluation </w:t>
      </w:r>
    </w:p>
    <w:tbl>
      <w:tblPr>
        <w:tblStyle w:val="TableGrid9"/>
        <w:tblW w:w="5000" w:type="pct"/>
        <w:tblLook w:val="01E0" w:firstRow="1" w:lastRow="1" w:firstColumn="1" w:lastColumn="1" w:noHBand="0" w:noVBand="0"/>
        <w:tblCaption w:val="Table 20 Summary of the economic evaluation"/>
        <w:tblDescription w:val="This table describes the key constructs of the economic evaluation that is provided in the assessment report."/>
      </w:tblPr>
      <w:tblGrid>
        <w:gridCol w:w="2923"/>
        <w:gridCol w:w="6093"/>
      </w:tblGrid>
      <w:tr w:rsidR="00F07327" w:rsidRPr="0064127C" w14:paraId="7FF82A11" w14:textId="77777777" w:rsidTr="00D32FC9">
        <w:trPr>
          <w:trHeight w:val="20"/>
          <w:tblHeader/>
        </w:trPr>
        <w:tc>
          <w:tcPr>
            <w:tcW w:w="1621" w:type="pct"/>
            <w:hideMark/>
          </w:tcPr>
          <w:p w14:paraId="216FAE1D" w14:textId="77777777" w:rsidR="00F07327" w:rsidRPr="0064127C" w:rsidRDefault="00F07327" w:rsidP="00F07327">
            <w:pPr>
              <w:pStyle w:val="TableHeading"/>
            </w:pPr>
            <w:r w:rsidRPr="0064127C">
              <w:t>Perspective</w:t>
            </w:r>
          </w:p>
        </w:tc>
        <w:tc>
          <w:tcPr>
            <w:tcW w:w="3379" w:type="pct"/>
            <w:hideMark/>
          </w:tcPr>
          <w:p w14:paraId="54774E00" w14:textId="77777777" w:rsidR="00F07327" w:rsidRPr="0064127C" w:rsidRDefault="00F07327" w:rsidP="00F07327">
            <w:pPr>
              <w:pStyle w:val="TableHeading"/>
            </w:pPr>
            <w:r w:rsidRPr="0064127C">
              <w:t>Healthcare payer and societal</w:t>
            </w:r>
            <w:r>
              <w:t>^</w:t>
            </w:r>
          </w:p>
        </w:tc>
      </w:tr>
      <w:tr w:rsidR="00F07327" w:rsidRPr="0064127C" w14:paraId="3FA9E322" w14:textId="77777777" w:rsidTr="00D32FC9">
        <w:trPr>
          <w:trHeight w:val="20"/>
        </w:trPr>
        <w:tc>
          <w:tcPr>
            <w:tcW w:w="1621" w:type="pct"/>
            <w:hideMark/>
          </w:tcPr>
          <w:p w14:paraId="6E72C6BC" w14:textId="77777777" w:rsidR="00F07327" w:rsidRPr="0064127C" w:rsidRDefault="00F07327" w:rsidP="00F07327">
            <w:pPr>
              <w:spacing w:after="40"/>
              <w:rPr>
                <w:rFonts w:ascii="Arial Narrow" w:hAnsi="Arial Narrow"/>
                <w:sz w:val="20"/>
              </w:rPr>
            </w:pPr>
            <w:r w:rsidRPr="0064127C">
              <w:rPr>
                <w:rFonts w:ascii="Arial Narrow" w:hAnsi="Arial Narrow"/>
                <w:sz w:val="20"/>
              </w:rPr>
              <w:t>Comparator</w:t>
            </w:r>
          </w:p>
        </w:tc>
        <w:tc>
          <w:tcPr>
            <w:tcW w:w="3379" w:type="pct"/>
            <w:hideMark/>
          </w:tcPr>
          <w:p w14:paraId="443EFE2D" w14:textId="77777777" w:rsidR="00F07327" w:rsidRPr="0064127C" w:rsidRDefault="00F07327" w:rsidP="00F07327">
            <w:pPr>
              <w:spacing w:after="40"/>
              <w:rPr>
                <w:rFonts w:ascii="Arial Narrow" w:hAnsi="Arial Narrow"/>
                <w:sz w:val="20"/>
              </w:rPr>
            </w:pPr>
            <w:r w:rsidRPr="0064127C">
              <w:rPr>
                <w:rFonts w:ascii="Arial Narrow" w:hAnsi="Arial Narrow"/>
                <w:sz w:val="20"/>
              </w:rPr>
              <w:t>Standard surgery</w:t>
            </w:r>
          </w:p>
        </w:tc>
      </w:tr>
      <w:tr w:rsidR="00F07327" w:rsidRPr="0064127C" w14:paraId="0550C000" w14:textId="77777777" w:rsidTr="00D32FC9">
        <w:trPr>
          <w:trHeight w:val="20"/>
        </w:trPr>
        <w:tc>
          <w:tcPr>
            <w:tcW w:w="1621" w:type="pct"/>
            <w:hideMark/>
          </w:tcPr>
          <w:p w14:paraId="737B6092" w14:textId="77777777" w:rsidR="00F07327" w:rsidRPr="0064127C" w:rsidRDefault="00F07327" w:rsidP="00F07327">
            <w:pPr>
              <w:spacing w:after="40"/>
              <w:rPr>
                <w:rFonts w:ascii="Arial Narrow" w:hAnsi="Arial Narrow"/>
                <w:sz w:val="20"/>
              </w:rPr>
            </w:pPr>
            <w:r w:rsidRPr="0064127C">
              <w:rPr>
                <w:rFonts w:ascii="Arial Narrow" w:hAnsi="Arial Narrow"/>
                <w:sz w:val="20"/>
              </w:rPr>
              <w:t>Type of economic evaluation</w:t>
            </w:r>
          </w:p>
        </w:tc>
        <w:tc>
          <w:tcPr>
            <w:tcW w:w="3379" w:type="pct"/>
            <w:hideMark/>
          </w:tcPr>
          <w:p w14:paraId="5F34BD58" w14:textId="77777777" w:rsidR="00F07327" w:rsidRPr="0064127C" w:rsidRDefault="00F07327" w:rsidP="00F07327">
            <w:pPr>
              <w:spacing w:after="40"/>
              <w:rPr>
                <w:rFonts w:ascii="Arial Narrow" w:hAnsi="Arial Narrow"/>
                <w:sz w:val="20"/>
              </w:rPr>
            </w:pPr>
            <w:r w:rsidRPr="0064127C">
              <w:rPr>
                <w:rFonts w:ascii="Arial Narrow" w:hAnsi="Arial Narrow"/>
                <w:sz w:val="20"/>
              </w:rPr>
              <w:t>Cost-utility analysis.</w:t>
            </w:r>
          </w:p>
        </w:tc>
      </w:tr>
      <w:tr w:rsidR="00F07327" w:rsidRPr="0064127C" w14:paraId="55869554" w14:textId="77777777" w:rsidTr="00D32FC9">
        <w:trPr>
          <w:trHeight w:val="20"/>
        </w:trPr>
        <w:tc>
          <w:tcPr>
            <w:tcW w:w="1621" w:type="pct"/>
            <w:hideMark/>
          </w:tcPr>
          <w:p w14:paraId="05E26A1D" w14:textId="77777777" w:rsidR="00F07327" w:rsidRPr="0064127C" w:rsidRDefault="00F07327" w:rsidP="00F07327">
            <w:pPr>
              <w:spacing w:after="40"/>
              <w:rPr>
                <w:rFonts w:ascii="Arial Narrow" w:hAnsi="Arial Narrow"/>
                <w:sz w:val="20"/>
              </w:rPr>
            </w:pPr>
            <w:r w:rsidRPr="0064127C">
              <w:rPr>
                <w:rFonts w:ascii="Arial Narrow" w:hAnsi="Arial Narrow"/>
                <w:sz w:val="20"/>
              </w:rPr>
              <w:t>Sources of evidence</w:t>
            </w:r>
          </w:p>
        </w:tc>
        <w:tc>
          <w:tcPr>
            <w:tcW w:w="3379" w:type="pct"/>
            <w:hideMark/>
          </w:tcPr>
          <w:p w14:paraId="5A0D9128" w14:textId="77777777" w:rsidR="00F07327" w:rsidRPr="0064127C" w:rsidRDefault="00F07327" w:rsidP="00F07327">
            <w:pPr>
              <w:spacing w:after="40"/>
              <w:rPr>
                <w:rFonts w:ascii="Arial Narrow" w:hAnsi="Arial Narrow"/>
                <w:sz w:val="20"/>
              </w:rPr>
            </w:pPr>
            <w:r w:rsidRPr="0064127C">
              <w:rPr>
                <w:rFonts w:ascii="Arial Narrow" w:hAnsi="Arial Narrow"/>
                <w:sz w:val="20"/>
              </w:rPr>
              <w:t>Systematic literature review</w:t>
            </w:r>
          </w:p>
        </w:tc>
      </w:tr>
      <w:tr w:rsidR="00F07327" w:rsidRPr="0064127C" w14:paraId="39CBC9A5" w14:textId="77777777" w:rsidTr="00D32FC9">
        <w:trPr>
          <w:trHeight w:val="20"/>
        </w:trPr>
        <w:tc>
          <w:tcPr>
            <w:tcW w:w="1621" w:type="pct"/>
            <w:hideMark/>
          </w:tcPr>
          <w:p w14:paraId="271BA3A4" w14:textId="77777777" w:rsidR="00F07327" w:rsidRPr="0064127C" w:rsidRDefault="00F07327" w:rsidP="00F07327">
            <w:pPr>
              <w:spacing w:after="40"/>
              <w:rPr>
                <w:rFonts w:ascii="Arial Narrow" w:hAnsi="Arial Narrow"/>
                <w:sz w:val="20"/>
              </w:rPr>
            </w:pPr>
            <w:r w:rsidRPr="0064127C">
              <w:rPr>
                <w:rFonts w:ascii="Arial Narrow" w:hAnsi="Arial Narrow"/>
                <w:sz w:val="20"/>
              </w:rPr>
              <w:t>Time horizon</w:t>
            </w:r>
          </w:p>
        </w:tc>
        <w:tc>
          <w:tcPr>
            <w:tcW w:w="3379" w:type="pct"/>
            <w:hideMark/>
          </w:tcPr>
          <w:p w14:paraId="6A61822C" w14:textId="77777777" w:rsidR="00F07327" w:rsidRPr="0064127C" w:rsidRDefault="00F07327" w:rsidP="00F07327">
            <w:pPr>
              <w:spacing w:after="40"/>
              <w:rPr>
                <w:rFonts w:ascii="Arial Narrow" w:hAnsi="Arial Narrow"/>
                <w:sz w:val="20"/>
              </w:rPr>
            </w:pPr>
            <w:r w:rsidRPr="0064127C">
              <w:rPr>
                <w:rFonts w:ascii="Arial Narrow" w:hAnsi="Arial Narrow"/>
                <w:sz w:val="20"/>
              </w:rPr>
              <w:t>2 years</w:t>
            </w:r>
          </w:p>
        </w:tc>
      </w:tr>
      <w:tr w:rsidR="00F07327" w:rsidRPr="0064127C" w14:paraId="38F21F6C" w14:textId="77777777" w:rsidTr="00D32FC9">
        <w:trPr>
          <w:trHeight w:val="20"/>
        </w:trPr>
        <w:tc>
          <w:tcPr>
            <w:tcW w:w="1621" w:type="pct"/>
            <w:hideMark/>
          </w:tcPr>
          <w:p w14:paraId="5A039BDA" w14:textId="77777777" w:rsidR="00F07327" w:rsidRPr="0064127C" w:rsidRDefault="00F07327" w:rsidP="00F07327">
            <w:pPr>
              <w:spacing w:after="40"/>
              <w:rPr>
                <w:rFonts w:ascii="Arial Narrow" w:hAnsi="Arial Narrow"/>
                <w:sz w:val="20"/>
              </w:rPr>
            </w:pPr>
            <w:r w:rsidRPr="0064127C">
              <w:rPr>
                <w:rFonts w:ascii="Arial Narrow" w:hAnsi="Arial Narrow"/>
                <w:sz w:val="20"/>
              </w:rPr>
              <w:t>Outcomes</w:t>
            </w:r>
          </w:p>
        </w:tc>
        <w:tc>
          <w:tcPr>
            <w:tcW w:w="3379" w:type="pct"/>
            <w:hideMark/>
          </w:tcPr>
          <w:p w14:paraId="577EDD06" w14:textId="77777777" w:rsidR="00F07327" w:rsidRPr="0064127C" w:rsidRDefault="00F07327" w:rsidP="00F07327">
            <w:pPr>
              <w:spacing w:after="40"/>
              <w:rPr>
                <w:rFonts w:ascii="Arial Narrow" w:hAnsi="Arial Narrow"/>
                <w:sz w:val="20"/>
              </w:rPr>
            </w:pPr>
            <w:r w:rsidRPr="0064127C">
              <w:rPr>
                <w:rFonts w:ascii="Arial Narrow" w:hAnsi="Arial Narrow"/>
                <w:sz w:val="20"/>
              </w:rPr>
              <w:t>Re-tear rate, Incomplete healing rates,</w:t>
            </w:r>
          </w:p>
        </w:tc>
      </w:tr>
      <w:tr w:rsidR="00F07327" w:rsidRPr="0064127C" w14:paraId="0F33FD54" w14:textId="77777777" w:rsidTr="00D32FC9">
        <w:trPr>
          <w:trHeight w:val="20"/>
        </w:trPr>
        <w:tc>
          <w:tcPr>
            <w:tcW w:w="1621" w:type="pct"/>
            <w:hideMark/>
          </w:tcPr>
          <w:p w14:paraId="3BAC4FD2" w14:textId="77777777" w:rsidR="00F07327" w:rsidRPr="0064127C" w:rsidRDefault="00F07327" w:rsidP="00F07327">
            <w:pPr>
              <w:spacing w:after="40"/>
              <w:rPr>
                <w:rFonts w:ascii="Arial Narrow" w:hAnsi="Arial Narrow"/>
                <w:sz w:val="20"/>
              </w:rPr>
            </w:pPr>
            <w:r w:rsidRPr="0064127C">
              <w:rPr>
                <w:rFonts w:ascii="Arial Narrow" w:hAnsi="Arial Narrow"/>
                <w:sz w:val="20"/>
              </w:rPr>
              <w:t>Methods used to generate results</w:t>
            </w:r>
          </w:p>
        </w:tc>
        <w:tc>
          <w:tcPr>
            <w:tcW w:w="3379" w:type="pct"/>
            <w:hideMark/>
          </w:tcPr>
          <w:p w14:paraId="5C7F001B" w14:textId="77777777" w:rsidR="00F07327" w:rsidRPr="0064127C" w:rsidRDefault="00F07327" w:rsidP="00F07327">
            <w:pPr>
              <w:spacing w:after="40"/>
              <w:rPr>
                <w:rFonts w:ascii="Arial Narrow" w:hAnsi="Arial Narrow"/>
                <w:sz w:val="20"/>
              </w:rPr>
            </w:pPr>
            <w:r w:rsidRPr="0064127C">
              <w:rPr>
                <w:rFonts w:ascii="Arial Narrow" w:hAnsi="Arial Narrow"/>
                <w:sz w:val="20"/>
              </w:rPr>
              <w:t>Expected value analysis</w:t>
            </w:r>
          </w:p>
        </w:tc>
      </w:tr>
      <w:tr w:rsidR="00F07327" w:rsidRPr="0064127C" w14:paraId="31626DD3" w14:textId="77777777" w:rsidTr="00D32FC9">
        <w:trPr>
          <w:trHeight w:val="20"/>
        </w:trPr>
        <w:tc>
          <w:tcPr>
            <w:tcW w:w="1621" w:type="pct"/>
            <w:hideMark/>
          </w:tcPr>
          <w:p w14:paraId="588A3A1C" w14:textId="77777777" w:rsidR="00F07327" w:rsidRPr="0064127C" w:rsidRDefault="00F07327" w:rsidP="00F07327">
            <w:pPr>
              <w:spacing w:after="40"/>
              <w:rPr>
                <w:rFonts w:ascii="Arial Narrow" w:hAnsi="Arial Narrow"/>
                <w:sz w:val="20"/>
              </w:rPr>
            </w:pPr>
            <w:r w:rsidRPr="0064127C">
              <w:rPr>
                <w:rFonts w:ascii="Arial Narrow" w:hAnsi="Arial Narrow"/>
                <w:sz w:val="20"/>
              </w:rPr>
              <w:t>Health states</w:t>
            </w:r>
          </w:p>
        </w:tc>
        <w:tc>
          <w:tcPr>
            <w:tcW w:w="3379" w:type="pct"/>
            <w:hideMark/>
          </w:tcPr>
          <w:p w14:paraId="49E41FA9" w14:textId="77777777" w:rsidR="00F07327" w:rsidRPr="0064127C" w:rsidRDefault="00F07327" w:rsidP="00F07327">
            <w:pPr>
              <w:spacing w:after="40"/>
              <w:rPr>
                <w:rFonts w:ascii="Arial Narrow" w:hAnsi="Arial Narrow"/>
                <w:sz w:val="20"/>
              </w:rPr>
            </w:pPr>
            <w:r w:rsidRPr="0064127C">
              <w:rPr>
                <w:rFonts w:ascii="Arial Narrow" w:hAnsi="Arial Narrow"/>
                <w:sz w:val="20"/>
              </w:rPr>
              <w:t>PTRCT: Re-tear (QALY=0.67), successful surgery (QALY=0.94)</w:t>
            </w:r>
          </w:p>
          <w:p w14:paraId="4F9F67EA" w14:textId="77777777" w:rsidR="00F07327" w:rsidRPr="0064127C" w:rsidRDefault="00F07327" w:rsidP="00F07327">
            <w:pPr>
              <w:spacing w:after="40"/>
              <w:rPr>
                <w:rFonts w:ascii="Arial Narrow" w:hAnsi="Arial Narrow"/>
                <w:sz w:val="20"/>
              </w:rPr>
            </w:pPr>
            <w:r w:rsidRPr="0064127C">
              <w:rPr>
                <w:rFonts w:ascii="Arial Narrow" w:hAnsi="Arial Narrow"/>
                <w:sz w:val="20"/>
              </w:rPr>
              <w:t>FTRCT: Incomplete healing (comprised of full re-tears and partial re-tears) (QALY=0.67), successful surgery (QALY=0.94)</w:t>
            </w:r>
          </w:p>
        </w:tc>
      </w:tr>
      <w:tr w:rsidR="00F07327" w:rsidRPr="0064127C" w14:paraId="2D69B1BA" w14:textId="77777777" w:rsidTr="00D32FC9">
        <w:trPr>
          <w:trHeight w:val="20"/>
        </w:trPr>
        <w:tc>
          <w:tcPr>
            <w:tcW w:w="1621" w:type="pct"/>
            <w:hideMark/>
          </w:tcPr>
          <w:p w14:paraId="281C0E1F" w14:textId="77777777" w:rsidR="00F07327" w:rsidRPr="0064127C" w:rsidRDefault="00F07327" w:rsidP="00F07327">
            <w:pPr>
              <w:spacing w:after="40"/>
              <w:rPr>
                <w:rFonts w:ascii="Arial Narrow" w:hAnsi="Arial Narrow"/>
                <w:sz w:val="20"/>
              </w:rPr>
            </w:pPr>
            <w:r w:rsidRPr="0064127C">
              <w:rPr>
                <w:rFonts w:ascii="Arial Narrow" w:hAnsi="Arial Narrow"/>
                <w:sz w:val="20"/>
              </w:rPr>
              <w:t>Discount rate</w:t>
            </w:r>
          </w:p>
        </w:tc>
        <w:tc>
          <w:tcPr>
            <w:tcW w:w="3379" w:type="pct"/>
            <w:hideMark/>
          </w:tcPr>
          <w:p w14:paraId="57568644" w14:textId="77777777" w:rsidR="00F07327" w:rsidRPr="0064127C" w:rsidRDefault="00F07327" w:rsidP="00F07327">
            <w:pPr>
              <w:spacing w:after="40"/>
              <w:rPr>
                <w:rFonts w:ascii="Arial Narrow" w:hAnsi="Arial Narrow"/>
                <w:sz w:val="20"/>
              </w:rPr>
            </w:pPr>
            <w:r w:rsidRPr="0064127C">
              <w:rPr>
                <w:rFonts w:ascii="Arial Narrow" w:hAnsi="Arial Narrow"/>
                <w:sz w:val="20"/>
              </w:rPr>
              <w:t>5% after year 1</w:t>
            </w:r>
          </w:p>
        </w:tc>
      </w:tr>
      <w:tr w:rsidR="00F07327" w:rsidRPr="0064127C" w14:paraId="43DAEBDD" w14:textId="77777777" w:rsidTr="00D32FC9">
        <w:trPr>
          <w:trHeight w:val="20"/>
        </w:trPr>
        <w:tc>
          <w:tcPr>
            <w:tcW w:w="1621" w:type="pct"/>
            <w:hideMark/>
          </w:tcPr>
          <w:p w14:paraId="4AD3E9F0" w14:textId="77777777" w:rsidR="00F07327" w:rsidRPr="0064127C" w:rsidRDefault="00F07327" w:rsidP="00F07327">
            <w:pPr>
              <w:spacing w:after="40"/>
              <w:rPr>
                <w:rFonts w:ascii="Arial Narrow" w:hAnsi="Arial Narrow"/>
                <w:sz w:val="20"/>
              </w:rPr>
            </w:pPr>
            <w:r w:rsidRPr="0064127C">
              <w:rPr>
                <w:rFonts w:ascii="Arial Narrow" w:hAnsi="Arial Narrow"/>
                <w:sz w:val="20"/>
              </w:rPr>
              <w:t>Software packages used</w:t>
            </w:r>
          </w:p>
        </w:tc>
        <w:tc>
          <w:tcPr>
            <w:tcW w:w="3379" w:type="pct"/>
            <w:hideMark/>
          </w:tcPr>
          <w:p w14:paraId="3EC26CF6" w14:textId="77777777" w:rsidR="00F07327" w:rsidRPr="0064127C" w:rsidRDefault="00F07327" w:rsidP="00F07327">
            <w:pPr>
              <w:spacing w:after="40"/>
              <w:rPr>
                <w:rFonts w:ascii="Arial Narrow" w:hAnsi="Arial Narrow"/>
                <w:sz w:val="20"/>
              </w:rPr>
            </w:pPr>
            <w:r w:rsidRPr="0064127C">
              <w:rPr>
                <w:rFonts w:ascii="Arial Narrow" w:hAnsi="Arial Narrow"/>
                <w:sz w:val="20"/>
              </w:rPr>
              <w:t>MS Excel</w:t>
            </w:r>
            <w:r w:rsidRPr="0064127C">
              <w:rPr>
                <w:rFonts w:ascii="Arial Narrow" w:hAnsi="Arial Narrow"/>
                <w:sz w:val="20"/>
              </w:rPr>
              <w:tab/>
            </w:r>
          </w:p>
        </w:tc>
      </w:tr>
    </w:tbl>
    <w:p w14:paraId="4097569A" w14:textId="77777777" w:rsidR="00F07327" w:rsidRPr="00F57392" w:rsidRDefault="00F07327" w:rsidP="00F07327">
      <w:pPr>
        <w:pStyle w:val="Tablenotes"/>
      </w:pPr>
      <w:r w:rsidRPr="0064127C">
        <w:t>QALY, quality</w:t>
      </w:r>
      <w:r>
        <w:t>-</w:t>
      </w:r>
      <w:r w:rsidRPr="0064127C">
        <w:t>adjusted life year</w:t>
      </w:r>
    </w:p>
    <w:p w14:paraId="08E21935" w14:textId="1EB5FEC1" w:rsidR="00F07327" w:rsidRDefault="00F07327" w:rsidP="00F07327">
      <w:pPr>
        <w:pStyle w:val="Tablenotes"/>
      </w:pPr>
      <w:r>
        <w:t xml:space="preserve">^The Commentary stated that the societal perspective is not presented in this executive summary as costs should be related to healthcare costs only </w:t>
      </w:r>
      <w:r w:rsidRPr="00E1085F">
        <w:t>(p182, 2016 Technical Guidelines for preparing assessment reports for the Medical Services Advisory Committee – Medical Service Type: Therapeutic (Version 2.0</w:t>
      </w:r>
      <w:r>
        <w:t xml:space="preserve">).  As described in Section D, the societal perspective </w:t>
      </w:r>
      <w:proofErr w:type="gramStart"/>
      <w:r>
        <w:t>should be considered</w:t>
      </w:r>
      <w:proofErr w:type="gramEnd"/>
      <w:r>
        <w:t xml:space="preserve"> a sensitivity analysis.</w:t>
      </w:r>
    </w:p>
    <w:p w14:paraId="64EDAFC3" w14:textId="77777777" w:rsidR="00F07327" w:rsidRPr="00F57392" w:rsidRDefault="00F07327" w:rsidP="00F07327">
      <w:pPr>
        <w:pStyle w:val="Tablenotes"/>
      </w:pPr>
      <w:r w:rsidRPr="0064127C">
        <w:t>Source: Table 64, p140 of the ADAR</w:t>
      </w:r>
    </w:p>
    <w:p w14:paraId="0D7CBDCF" w14:textId="77777777" w:rsidR="00F07327" w:rsidRDefault="00F07327" w:rsidP="00F07327">
      <w:r w:rsidRPr="0064127C">
        <w:t>The ADAR</w:t>
      </w:r>
      <w:r>
        <w:t xml:space="preserve"> stated it</w:t>
      </w:r>
      <w:r w:rsidRPr="0064127C">
        <w:t xml:space="preserve"> only incorporated parameters where the values differed in a meaningful way between REGENETEN and standard surgery:</w:t>
      </w:r>
    </w:p>
    <w:p w14:paraId="058A6C3E" w14:textId="77777777" w:rsidR="00F07327" w:rsidRDefault="00F07327" w:rsidP="00F07327">
      <w:pPr>
        <w:pStyle w:val="ListParagraph"/>
        <w:numPr>
          <w:ilvl w:val="0"/>
          <w:numId w:val="35"/>
        </w:numPr>
      </w:pPr>
      <w:r w:rsidRPr="0064127C">
        <w:t>Surgical equipment, which includes REGENETEN implant, surgical sutures and anchors</w:t>
      </w:r>
    </w:p>
    <w:p w14:paraId="2A674949" w14:textId="77777777" w:rsidR="00F07327" w:rsidRDefault="00F07327" w:rsidP="00F07327">
      <w:pPr>
        <w:pStyle w:val="ListParagraph"/>
        <w:numPr>
          <w:ilvl w:val="0"/>
          <w:numId w:val="35"/>
        </w:numPr>
      </w:pPr>
      <w:r w:rsidRPr="0064127C">
        <w:t>Operating theatre time for initial surgery</w:t>
      </w:r>
      <w:r>
        <w:t xml:space="preserve">; the Commentary stated </w:t>
      </w:r>
      <w:r w:rsidRPr="000D3F6A">
        <w:t>this was based on applicant feedback provided in the Ratified PICO (p12)</w:t>
      </w:r>
    </w:p>
    <w:p w14:paraId="5773494A" w14:textId="77777777" w:rsidR="00F07327" w:rsidRDefault="00F07327" w:rsidP="00F07327">
      <w:pPr>
        <w:pStyle w:val="ListParagraph"/>
        <w:numPr>
          <w:ilvl w:val="0"/>
          <w:numId w:val="35"/>
        </w:numPr>
      </w:pPr>
      <w:r w:rsidRPr="0064127C">
        <w:t>Revision surgery costs (based on re-tear rates)</w:t>
      </w:r>
      <w:r w:rsidRPr="000D3F6A">
        <w:rPr>
          <w:i/>
        </w:rPr>
        <w:t xml:space="preserve">; </w:t>
      </w:r>
      <w:r w:rsidRPr="000D3F6A">
        <w:t xml:space="preserve">this was not considered appropriate and the evaluation provided a re-specified base-case using </w:t>
      </w:r>
      <w:r>
        <w:t>revision rates provided in Table 3</w:t>
      </w:r>
    </w:p>
    <w:p w14:paraId="7CCF7891" w14:textId="77777777" w:rsidR="00F07327" w:rsidRDefault="00F07327" w:rsidP="00F07327">
      <w:pPr>
        <w:pStyle w:val="ListParagraph"/>
        <w:numPr>
          <w:ilvl w:val="0"/>
          <w:numId w:val="35"/>
        </w:numPr>
      </w:pPr>
      <w:r w:rsidRPr="0064127C">
        <w:t>Number of physiotherapy sessions required for rehabilitation</w:t>
      </w:r>
      <w:r w:rsidRPr="000D3F6A">
        <w:t xml:space="preserve">; </w:t>
      </w:r>
      <w:r>
        <w:t xml:space="preserve">the Commentary stated </w:t>
      </w:r>
      <w:r w:rsidRPr="000D3F6A">
        <w:t xml:space="preserve">this </w:t>
      </w:r>
      <w:proofErr w:type="gramStart"/>
      <w:r w:rsidRPr="000D3F6A">
        <w:t>was based</w:t>
      </w:r>
      <w:proofErr w:type="gramEnd"/>
      <w:r w:rsidRPr="000D3F6A">
        <w:t xml:space="preserve"> on the experience of local clinical expert surgeons experienced in using REGENETEN over a few years from the TGA Special Access Scheme program estimating fewer physiotherapy visits for REGENETEN compared with standard surgery. </w:t>
      </w:r>
      <w:r>
        <w:t>N</w:t>
      </w:r>
      <w:r w:rsidRPr="000D3F6A">
        <w:t xml:space="preserve">o data </w:t>
      </w:r>
      <w:proofErr w:type="gramStart"/>
      <w:r w:rsidRPr="000D3F6A">
        <w:t>was provided</w:t>
      </w:r>
      <w:proofErr w:type="gramEnd"/>
      <w:r w:rsidRPr="000D3F6A">
        <w:t xml:space="preserve"> in the ADAR to validate this estimate. However, </w:t>
      </w:r>
      <w:r w:rsidRPr="000D3F6A">
        <w:rPr>
          <w:iCs/>
        </w:rPr>
        <w:t xml:space="preserve">the number of physiotherapy sessions supported by evidence average between 18 (Schlegel 2018) and 20.6 (McIntyre 2019) sessions for PTRCT and 21.5 (McIntyre 2019) sessions for FTRCT. </w:t>
      </w:r>
      <w:r w:rsidRPr="000D3F6A">
        <w:t>The relevant economic model from the healthcare payer perspective was sensitive to this assumption (</w:t>
      </w:r>
      <w:r w:rsidRPr="00633181">
        <w:t xml:space="preserve">see </w:t>
      </w:r>
      <w:r>
        <w:t>sensitivity analyses in Table 9 and scenario analyse</w:t>
      </w:r>
      <w:r w:rsidRPr="00633181">
        <w:t xml:space="preserve">s in Table </w:t>
      </w:r>
      <w:r>
        <w:t>10</w:t>
      </w:r>
      <w:r w:rsidRPr="00633181">
        <w:t>).</w:t>
      </w:r>
    </w:p>
    <w:p w14:paraId="3E5146F7" w14:textId="77777777" w:rsidR="00F07327" w:rsidRDefault="00F07327" w:rsidP="00F07327">
      <w:pPr>
        <w:pStyle w:val="ListParagraph"/>
        <w:numPr>
          <w:ilvl w:val="0"/>
          <w:numId w:val="35"/>
        </w:numPr>
      </w:pPr>
      <w:r w:rsidRPr="0064127C">
        <w:t xml:space="preserve">Time required before returning </w:t>
      </w:r>
      <w:proofErr w:type="gramStart"/>
      <w:r w:rsidRPr="0064127C">
        <w:t>to work</w:t>
      </w:r>
      <w:proofErr w:type="gramEnd"/>
      <w:r w:rsidRPr="0064127C">
        <w:t xml:space="preserve"> (to measure productivity loss associated with societal costs)</w:t>
      </w:r>
      <w:r>
        <w:t xml:space="preserve">; the Commentary stated this </w:t>
      </w:r>
      <w:r w:rsidRPr="00472FE9">
        <w:t>was again based on assumption from local clinical expert surgeons</w:t>
      </w:r>
      <w:r>
        <w:t>.</w:t>
      </w:r>
    </w:p>
    <w:p w14:paraId="0B01F7EC" w14:textId="28150832" w:rsidR="00F07327" w:rsidRDefault="00F07327" w:rsidP="00F07327">
      <w:pPr>
        <w:pStyle w:val="ListParagraph"/>
        <w:numPr>
          <w:ilvl w:val="0"/>
          <w:numId w:val="35"/>
        </w:numPr>
      </w:pPr>
      <w:r w:rsidRPr="0064127C">
        <w:t xml:space="preserve">Patient benefits based on the </w:t>
      </w:r>
      <w:r w:rsidRPr="00A67731">
        <w:t>imaging</w:t>
      </w:r>
      <w:r>
        <w:t xml:space="preserve"> </w:t>
      </w:r>
      <w:r w:rsidRPr="0064127C">
        <w:t>outcomes of surgery</w:t>
      </w:r>
      <w:r>
        <w:t>.</w:t>
      </w:r>
    </w:p>
    <w:p w14:paraId="6590D1C1" w14:textId="77777777" w:rsidR="00F07327" w:rsidRDefault="00F07327" w:rsidP="00885C08">
      <w:pPr>
        <w:spacing w:before="240"/>
      </w:pPr>
      <w:r>
        <w:t>There were several key assumptions incorporated in the ADARs model structure:</w:t>
      </w:r>
    </w:p>
    <w:p w14:paraId="7FCBBBB7" w14:textId="77777777" w:rsidR="00F07327" w:rsidRDefault="00F07327" w:rsidP="00F07327">
      <w:pPr>
        <w:pStyle w:val="ListParagraph"/>
        <w:numPr>
          <w:ilvl w:val="0"/>
          <w:numId w:val="36"/>
        </w:numPr>
      </w:pPr>
      <w:r w:rsidRPr="00793CF1">
        <w:rPr>
          <w:iCs/>
        </w:rPr>
        <w:t>The economic evaluation assumed re-tear rates were a proxy for revision su</w:t>
      </w:r>
      <w:r>
        <w:rPr>
          <w:iCs/>
        </w:rPr>
        <w:t>rgery for both subpopulations</w:t>
      </w:r>
      <w:r>
        <w:t>; the Commentary considered t</w:t>
      </w:r>
      <w:r w:rsidRPr="003710B0">
        <w:t xml:space="preserve">his assumption, that all re-tears will result in a revision surgery and that no revision surgeries will be undertaken for reasons other than a re-tear </w:t>
      </w:r>
      <w:r>
        <w:t>might not be appropriate</w:t>
      </w:r>
    </w:p>
    <w:p w14:paraId="45ED5D2E" w14:textId="77777777" w:rsidR="00F07327" w:rsidRDefault="00F07327" w:rsidP="00F07327">
      <w:pPr>
        <w:pStyle w:val="ListParagraph"/>
        <w:numPr>
          <w:ilvl w:val="0"/>
          <w:numId w:val="36"/>
        </w:numPr>
      </w:pPr>
      <w:r w:rsidRPr="00704966">
        <w:t>The prevalence of PTRCTS was 71% and FTRCTs was 29%</w:t>
      </w:r>
      <w:r>
        <w:t xml:space="preserve"> in the pooled incremental cost-effectiveness ratio (ICER)</w:t>
      </w:r>
      <w:r w:rsidRPr="00704966">
        <w:t>;</w:t>
      </w:r>
      <w:r w:rsidRPr="00472FE9">
        <w:rPr>
          <w:i/>
        </w:rPr>
        <w:t xml:space="preserve"> </w:t>
      </w:r>
      <w:r w:rsidRPr="00472FE9">
        <w:t>the Commentary considered this</w:t>
      </w:r>
      <w:r>
        <w:t xml:space="preserve"> estimate </w:t>
      </w:r>
      <w:r w:rsidRPr="00472FE9">
        <w:t>was highly uncertain</w:t>
      </w:r>
      <w:r>
        <w:t xml:space="preserve"> as Sher 1995 was from a US study of asymptomatic shoulders and the number </w:t>
      </w:r>
      <w:proofErr w:type="gramStart"/>
      <w:r>
        <w:t>could not be verified</w:t>
      </w:r>
      <w:proofErr w:type="gramEnd"/>
      <w:r>
        <w:t>.</w:t>
      </w:r>
    </w:p>
    <w:p w14:paraId="3E1C97BC" w14:textId="5C1D7D3A" w:rsidR="00F07327" w:rsidRPr="00566702" w:rsidRDefault="00F07327" w:rsidP="00F07327">
      <w:pPr>
        <w:pStyle w:val="ListParagraph"/>
        <w:numPr>
          <w:ilvl w:val="0"/>
          <w:numId w:val="36"/>
        </w:numPr>
        <w:rPr>
          <w:szCs w:val="24"/>
        </w:rPr>
      </w:pPr>
      <w:r>
        <w:lastRenderedPageBreak/>
        <w:t>F</w:t>
      </w:r>
      <w:r w:rsidRPr="00472FE9">
        <w:t>or re-tears, the ADAR assumes the entire 2 years spent with pre-op utility</w:t>
      </w:r>
      <w:r w:rsidRPr="00472FE9">
        <w:rPr>
          <w:i/>
        </w:rPr>
        <w:t xml:space="preserve">. </w:t>
      </w:r>
      <w:r>
        <w:t>The Commentary considered this</w:t>
      </w:r>
      <w:r w:rsidRPr="00472FE9">
        <w:t xml:space="preserve"> was not</w:t>
      </w:r>
      <w:r>
        <w:t xml:space="preserve"> appropriate (</w:t>
      </w:r>
      <w:r w:rsidRPr="00472FE9">
        <w:t>see</w:t>
      </w:r>
      <w:r>
        <w:t xml:space="preserve"> respecified base-case model in </w:t>
      </w:r>
      <w:r w:rsidR="0098433F" w:rsidRPr="00566702">
        <w:rPr>
          <w:szCs w:val="24"/>
        </w:rPr>
        <w:fldChar w:fldCharType="begin"/>
      </w:r>
      <w:r w:rsidR="0098433F" w:rsidRPr="00566702">
        <w:rPr>
          <w:szCs w:val="24"/>
        </w:rPr>
        <w:instrText xml:space="preserve"> REF _Ref34853664 \h </w:instrText>
      </w:r>
      <w:r w:rsidR="0098433F" w:rsidRPr="00566702">
        <w:rPr>
          <w:szCs w:val="24"/>
        </w:rPr>
      </w:r>
      <w:r w:rsidR="00566702" w:rsidRPr="00566702">
        <w:rPr>
          <w:szCs w:val="24"/>
        </w:rPr>
        <w:instrText xml:space="preserve"> \* MERGEFORMAT </w:instrText>
      </w:r>
      <w:r w:rsidR="0098433F" w:rsidRPr="00566702">
        <w:rPr>
          <w:szCs w:val="24"/>
        </w:rPr>
        <w:fldChar w:fldCharType="separate"/>
      </w:r>
      <w:r w:rsidR="00455942" w:rsidRPr="00455942">
        <w:rPr>
          <w:szCs w:val="24"/>
        </w:rPr>
        <w:t xml:space="preserve">Table </w:t>
      </w:r>
      <w:r w:rsidR="00455942" w:rsidRPr="00455942">
        <w:rPr>
          <w:noProof/>
          <w:szCs w:val="24"/>
        </w:rPr>
        <w:t>8</w:t>
      </w:r>
      <w:r w:rsidR="0098433F" w:rsidRPr="00566702">
        <w:rPr>
          <w:szCs w:val="24"/>
        </w:rPr>
        <w:fldChar w:fldCharType="end"/>
      </w:r>
      <w:r w:rsidRPr="00566702">
        <w:rPr>
          <w:szCs w:val="24"/>
        </w:rPr>
        <w:t xml:space="preserve"> and sensitivity analyses in </w:t>
      </w:r>
      <w:r w:rsidR="0098433F" w:rsidRPr="00566702">
        <w:rPr>
          <w:szCs w:val="24"/>
        </w:rPr>
        <w:fldChar w:fldCharType="begin"/>
      </w:r>
      <w:r w:rsidR="0098433F" w:rsidRPr="00566702">
        <w:rPr>
          <w:szCs w:val="24"/>
        </w:rPr>
        <w:instrText xml:space="preserve"> REF _Ref35895527 \h </w:instrText>
      </w:r>
      <w:r w:rsidR="0098433F" w:rsidRPr="00566702">
        <w:rPr>
          <w:szCs w:val="24"/>
        </w:rPr>
      </w:r>
      <w:r w:rsidR="00566702" w:rsidRPr="00566702">
        <w:rPr>
          <w:szCs w:val="24"/>
        </w:rPr>
        <w:instrText xml:space="preserve"> \* MERGEFORMAT </w:instrText>
      </w:r>
      <w:r w:rsidR="0098433F" w:rsidRPr="00566702">
        <w:rPr>
          <w:szCs w:val="24"/>
        </w:rPr>
        <w:fldChar w:fldCharType="separate"/>
      </w:r>
      <w:r w:rsidR="00455942" w:rsidRPr="00455942">
        <w:rPr>
          <w:szCs w:val="24"/>
        </w:rPr>
        <w:t xml:space="preserve">Table </w:t>
      </w:r>
      <w:r w:rsidR="00455942" w:rsidRPr="00455942">
        <w:rPr>
          <w:noProof/>
          <w:szCs w:val="24"/>
        </w:rPr>
        <w:t>9</w:t>
      </w:r>
      <w:r w:rsidR="0098433F" w:rsidRPr="00566702">
        <w:rPr>
          <w:szCs w:val="24"/>
        </w:rPr>
        <w:fldChar w:fldCharType="end"/>
      </w:r>
      <w:r w:rsidRPr="00566702">
        <w:rPr>
          <w:szCs w:val="24"/>
        </w:rPr>
        <w:t>).</w:t>
      </w:r>
    </w:p>
    <w:p w14:paraId="18EA6BF8" w14:textId="06E61BED" w:rsidR="00F07327" w:rsidRPr="00566702" w:rsidRDefault="00F07327" w:rsidP="00885C08">
      <w:pPr>
        <w:spacing w:before="240"/>
        <w:rPr>
          <w:szCs w:val="24"/>
        </w:rPr>
      </w:pPr>
      <w:r w:rsidRPr="00566702">
        <w:rPr>
          <w:szCs w:val="24"/>
        </w:rPr>
        <w:t>Overall, the Commentary considered that the model structure used is not well justified due to a number of issues with the chosen health states and the ability to accurately reflect utility values for these health states. The relationship between revision surgery, incomplete healing and re-tear rates is not well defined or supported by the evidence</w:t>
      </w:r>
      <w:r w:rsidRPr="00566702">
        <w:rPr>
          <w:iCs/>
          <w:szCs w:val="24"/>
        </w:rPr>
        <w:t>. Given this, the Commentary re-specified the base case economic model</w:t>
      </w:r>
      <w:r w:rsidR="004F7C04" w:rsidRPr="00566702">
        <w:rPr>
          <w:iCs/>
          <w:szCs w:val="24"/>
        </w:rPr>
        <w:t xml:space="preserve"> (see </w:t>
      </w:r>
      <w:r w:rsidR="0098433F" w:rsidRPr="00566702">
        <w:rPr>
          <w:iCs/>
          <w:szCs w:val="24"/>
        </w:rPr>
        <w:fldChar w:fldCharType="begin"/>
      </w:r>
      <w:r w:rsidR="0098433F" w:rsidRPr="00566702">
        <w:rPr>
          <w:iCs/>
          <w:szCs w:val="24"/>
        </w:rPr>
        <w:instrText xml:space="preserve"> REF _Ref35895527 \h </w:instrText>
      </w:r>
      <w:r w:rsidR="0098433F" w:rsidRPr="00566702">
        <w:rPr>
          <w:iCs/>
          <w:szCs w:val="24"/>
        </w:rPr>
      </w:r>
      <w:r w:rsidR="00566702" w:rsidRPr="00566702">
        <w:rPr>
          <w:iCs/>
          <w:szCs w:val="24"/>
        </w:rPr>
        <w:instrText xml:space="preserve"> \* MERGEFORMAT </w:instrText>
      </w:r>
      <w:r w:rsidR="0098433F" w:rsidRPr="00566702">
        <w:rPr>
          <w:iCs/>
          <w:szCs w:val="24"/>
        </w:rPr>
        <w:fldChar w:fldCharType="separate"/>
      </w:r>
      <w:r w:rsidR="00455942" w:rsidRPr="00455942">
        <w:rPr>
          <w:szCs w:val="24"/>
        </w:rPr>
        <w:t xml:space="preserve">Table </w:t>
      </w:r>
      <w:r w:rsidR="00455942" w:rsidRPr="00455942">
        <w:rPr>
          <w:noProof/>
          <w:szCs w:val="24"/>
        </w:rPr>
        <w:t>9</w:t>
      </w:r>
      <w:r w:rsidR="0098433F" w:rsidRPr="00566702">
        <w:rPr>
          <w:iCs/>
          <w:szCs w:val="24"/>
        </w:rPr>
        <w:fldChar w:fldCharType="end"/>
      </w:r>
      <w:r w:rsidR="004F7C04" w:rsidRPr="00566702">
        <w:rPr>
          <w:iCs/>
          <w:szCs w:val="24"/>
        </w:rPr>
        <w:t>)</w:t>
      </w:r>
      <w:r w:rsidRPr="00566702">
        <w:rPr>
          <w:iCs/>
          <w:szCs w:val="24"/>
        </w:rPr>
        <w:t>.</w:t>
      </w:r>
    </w:p>
    <w:p w14:paraId="57FE6B83" w14:textId="7137AA2A" w:rsidR="00F07327" w:rsidRPr="00566702" w:rsidRDefault="00F07327" w:rsidP="00885C08">
      <w:pPr>
        <w:spacing w:before="240"/>
        <w:rPr>
          <w:iCs/>
          <w:szCs w:val="24"/>
        </w:rPr>
      </w:pPr>
      <w:r w:rsidRPr="00566702">
        <w:rPr>
          <w:iCs/>
          <w:szCs w:val="24"/>
        </w:rPr>
        <w:t>The resulting</w:t>
      </w:r>
      <w:r w:rsidRPr="00566702">
        <w:rPr>
          <w:szCs w:val="24"/>
        </w:rPr>
        <w:t xml:space="preserve"> </w:t>
      </w:r>
      <w:r w:rsidRPr="00566702">
        <w:rPr>
          <w:iCs/>
          <w:szCs w:val="24"/>
        </w:rPr>
        <w:t xml:space="preserve">incremental costs and outcomes as calculated for the intervention and comparator in the model, and using the Sponsor’s base case assumptions, and ICER </w:t>
      </w:r>
      <w:proofErr w:type="gramStart"/>
      <w:r w:rsidR="0098433F" w:rsidRPr="00566702">
        <w:rPr>
          <w:iCs/>
          <w:szCs w:val="24"/>
        </w:rPr>
        <w:t xml:space="preserve">are </w:t>
      </w:r>
      <w:r w:rsidRPr="00566702">
        <w:rPr>
          <w:iCs/>
          <w:szCs w:val="24"/>
        </w:rPr>
        <w:t>shown</w:t>
      </w:r>
      <w:proofErr w:type="gramEnd"/>
      <w:r w:rsidRPr="00566702">
        <w:rPr>
          <w:iCs/>
          <w:szCs w:val="24"/>
        </w:rPr>
        <w:t xml:space="preserve"> in </w:t>
      </w:r>
      <w:r w:rsidR="0098433F" w:rsidRPr="00566702">
        <w:rPr>
          <w:iCs/>
          <w:szCs w:val="24"/>
        </w:rPr>
        <w:fldChar w:fldCharType="begin"/>
      </w:r>
      <w:r w:rsidR="0098433F" w:rsidRPr="00566702">
        <w:rPr>
          <w:iCs/>
          <w:szCs w:val="24"/>
        </w:rPr>
        <w:instrText xml:space="preserve"> REF _Ref34853664 \h </w:instrText>
      </w:r>
      <w:r w:rsidR="0098433F" w:rsidRPr="00566702">
        <w:rPr>
          <w:iCs/>
          <w:szCs w:val="24"/>
        </w:rPr>
      </w:r>
      <w:r w:rsidR="00566702" w:rsidRPr="00566702">
        <w:rPr>
          <w:iCs/>
          <w:szCs w:val="24"/>
        </w:rPr>
        <w:instrText xml:space="preserve"> \* MERGEFORMAT </w:instrText>
      </w:r>
      <w:r w:rsidR="0098433F" w:rsidRPr="00566702">
        <w:rPr>
          <w:iCs/>
          <w:szCs w:val="24"/>
        </w:rPr>
        <w:fldChar w:fldCharType="separate"/>
      </w:r>
      <w:r w:rsidR="00455942" w:rsidRPr="00455942">
        <w:rPr>
          <w:szCs w:val="24"/>
        </w:rPr>
        <w:t xml:space="preserve">Table </w:t>
      </w:r>
      <w:r w:rsidR="00455942" w:rsidRPr="00455942">
        <w:rPr>
          <w:noProof/>
          <w:szCs w:val="24"/>
        </w:rPr>
        <w:t>8</w:t>
      </w:r>
      <w:r w:rsidR="0098433F" w:rsidRPr="00566702">
        <w:rPr>
          <w:iCs/>
          <w:szCs w:val="24"/>
        </w:rPr>
        <w:fldChar w:fldCharType="end"/>
      </w:r>
      <w:r w:rsidRPr="00566702">
        <w:rPr>
          <w:iCs/>
          <w:szCs w:val="24"/>
        </w:rPr>
        <w:t>.</w:t>
      </w:r>
    </w:p>
    <w:p w14:paraId="566F7268" w14:textId="2972E612" w:rsidR="00F07327" w:rsidRPr="00D32FC9" w:rsidRDefault="0098433F" w:rsidP="00D32FC9">
      <w:pPr>
        <w:spacing w:before="240"/>
        <w:rPr>
          <w:rFonts w:ascii="Arial Narrow" w:hAnsi="Arial Narrow"/>
          <w:b/>
          <w:sz w:val="20"/>
        </w:rPr>
      </w:pPr>
      <w:bookmarkStart w:id="20" w:name="_Ref34853664"/>
      <w:bookmarkStart w:id="21" w:name="_Toc399251124"/>
      <w:r w:rsidRPr="00D32FC9">
        <w:rPr>
          <w:rFonts w:ascii="Arial Narrow" w:hAnsi="Arial Narrow"/>
          <w:b/>
          <w:sz w:val="20"/>
        </w:rPr>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8</w:t>
      </w:r>
      <w:r w:rsidR="00F62D1A" w:rsidRPr="00D32FC9">
        <w:rPr>
          <w:rFonts w:ascii="Arial Narrow" w:hAnsi="Arial Narrow"/>
          <w:b/>
          <w:sz w:val="20"/>
        </w:rPr>
        <w:fldChar w:fldCharType="end"/>
      </w:r>
      <w:bookmarkEnd w:id="20"/>
      <w:r w:rsidR="00F07327" w:rsidRPr="00D32FC9">
        <w:rPr>
          <w:rFonts w:ascii="Arial Narrow" w:hAnsi="Arial Narrow"/>
          <w:b/>
          <w:sz w:val="20"/>
        </w:rPr>
        <w:tab/>
      </w:r>
      <w:bookmarkEnd w:id="21"/>
      <w:r w:rsidR="0001579B" w:rsidRPr="00D32FC9">
        <w:rPr>
          <w:rFonts w:ascii="Arial Narrow" w:hAnsi="Arial Narrow"/>
          <w:b/>
          <w:sz w:val="20"/>
        </w:rPr>
        <w:t xml:space="preserve">Results of the </w:t>
      </w:r>
      <w:r w:rsidR="00F07327" w:rsidRPr="00D32FC9">
        <w:rPr>
          <w:rFonts w:ascii="Arial Narrow" w:hAnsi="Arial Narrow"/>
          <w:b/>
          <w:sz w:val="20"/>
        </w:rPr>
        <w:t>economic evaluation</w:t>
      </w:r>
      <w:r w:rsidR="004F7C04" w:rsidRPr="00D32FC9">
        <w:rPr>
          <w:rFonts w:ascii="Arial Narrow" w:hAnsi="Arial Narrow"/>
          <w:b/>
          <w:sz w:val="20"/>
        </w:rPr>
        <w:t>s</w:t>
      </w:r>
    </w:p>
    <w:tbl>
      <w:tblPr>
        <w:tblW w:w="0" w:type="auto"/>
        <w:tblLayout w:type="fixed"/>
        <w:tblCellMar>
          <w:left w:w="28" w:type="dxa"/>
          <w:right w:w="28" w:type="dxa"/>
        </w:tblCellMar>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4531"/>
        <w:gridCol w:w="1495"/>
        <w:gridCol w:w="1495"/>
        <w:gridCol w:w="1495"/>
      </w:tblGrid>
      <w:tr w:rsidR="00F07327" w:rsidRPr="0064127C" w14:paraId="0D7316E8" w14:textId="77777777" w:rsidTr="004F7C04">
        <w:trPr>
          <w:trHeight w:val="14"/>
          <w:tblHeader/>
        </w:trPr>
        <w:tc>
          <w:tcPr>
            <w:tcW w:w="4531" w:type="dxa"/>
            <w:tcBorders>
              <w:top w:val="single" w:sz="4" w:space="0" w:color="auto"/>
              <w:left w:val="single" w:sz="4" w:space="0" w:color="auto"/>
              <w:bottom w:val="single" w:sz="4" w:space="0" w:color="auto"/>
              <w:right w:val="single" w:sz="4" w:space="0" w:color="auto"/>
            </w:tcBorders>
            <w:hideMark/>
          </w:tcPr>
          <w:p w14:paraId="0C84D641" w14:textId="77777777" w:rsidR="00F07327" w:rsidRPr="000C1AAF" w:rsidRDefault="00F07327" w:rsidP="00F07327">
            <w:pPr>
              <w:pStyle w:val="Tabletextcentred"/>
              <w:jc w:val="left"/>
              <w:rPr>
                <w:b/>
              </w:rPr>
            </w:pPr>
            <w:bookmarkStart w:id="22" w:name="_Hlk36627221"/>
            <w:r w:rsidRPr="000C1AAF">
              <w:rPr>
                <w:b/>
              </w:rPr>
              <w:t>Scenario</w:t>
            </w:r>
          </w:p>
        </w:tc>
        <w:tc>
          <w:tcPr>
            <w:tcW w:w="1495" w:type="dxa"/>
            <w:tcBorders>
              <w:top w:val="single" w:sz="4" w:space="0" w:color="auto"/>
              <w:left w:val="single" w:sz="4" w:space="0" w:color="auto"/>
              <w:bottom w:val="single" w:sz="4" w:space="0" w:color="auto"/>
              <w:right w:val="single" w:sz="4" w:space="0" w:color="auto"/>
            </w:tcBorders>
            <w:hideMark/>
          </w:tcPr>
          <w:p w14:paraId="5F1C2040" w14:textId="77777777" w:rsidR="00F07327" w:rsidRPr="000C1AAF" w:rsidRDefault="00F07327" w:rsidP="00F07327">
            <w:pPr>
              <w:pStyle w:val="Tabletextcentred"/>
              <w:jc w:val="left"/>
              <w:rPr>
                <w:b/>
              </w:rPr>
            </w:pPr>
            <w:r w:rsidRPr="000C1AAF">
              <w:rPr>
                <w:b/>
              </w:rPr>
              <w:t>Incremental Costs</w:t>
            </w:r>
          </w:p>
        </w:tc>
        <w:tc>
          <w:tcPr>
            <w:tcW w:w="1495" w:type="dxa"/>
            <w:tcBorders>
              <w:top w:val="single" w:sz="4" w:space="0" w:color="auto"/>
              <w:left w:val="single" w:sz="4" w:space="0" w:color="auto"/>
              <w:bottom w:val="single" w:sz="4" w:space="0" w:color="auto"/>
              <w:right w:val="single" w:sz="4" w:space="0" w:color="auto"/>
            </w:tcBorders>
            <w:hideMark/>
          </w:tcPr>
          <w:p w14:paraId="550E30A2" w14:textId="77777777" w:rsidR="00F07327" w:rsidRPr="000C1AAF" w:rsidRDefault="00F07327" w:rsidP="00F07327">
            <w:pPr>
              <w:pStyle w:val="Tabletextcentred"/>
              <w:jc w:val="left"/>
              <w:rPr>
                <w:b/>
              </w:rPr>
            </w:pPr>
            <w:r w:rsidRPr="000C1AAF">
              <w:rPr>
                <w:b/>
              </w:rPr>
              <w:t>Incremental QALY</w:t>
            </w:r>
          </w:p>
        </w:tc>
        <w:tc>
          <w:tcPr>
            <w:tcW w:w="1495" w:type="dxa"/>
            <w:tcBorders>
              <w:top w:val="single" w:sz="4" w:space="0" w:color="auto"/>
              <w:left w:val="single" w:sz="4" w:space="0" w:color="auto"/>
              <w:bottom w:val="single" w:sz="4" w:space="0" w:color="auto"/>
              <w:right w:val="single" w:sz="4" w:space="0" w:color="auto"/>
            </w:tcBorders>
            <w:hideMark/>
          </w:tcPr>
          <w:p w14:paraId="1C6C9A95" w14:textId="77777777" w:rsidR="00F07327" w:rsidRPr="000C1AAF" w:rsidRDefault="00F07327" w:rsidP="00F07327">
            <w:pPr>
              <w:pStyle w:val="Tabletextcentred"/>
              <w:jc w:val="left"/>
              <w:rPr>
                <w:b/>
              </w:rPr>
            </w:pPr>
            <w:r>
              <w:rPr>
                <w:b/>
              </w:rPr>
              <w:t xml:space="preserve">ICER </w:t>
            </w:r>
          </w:p>
        </w:tc>
      </w:tr>
      <w:tr w:rsidR="0001579B" w:rsidRPr="0064127C" w14:paraId="56A7EDDD" w14:textId="77777777" w:rsidTr="004F7C04">
        <w:trPr>
          <w:trHeight w:val="14"/>
        </w:trPr>
        <w:tc>
          <w:tcPr>
            <w:tcW w:w="4531" w:type="dxa"/>
            <w:tcBorders>
              <w:top w:val="single" w:sz="4" w:space="0" w:color="auto"/>
              <w:left w:val="single" w:sz="4" w:space="0" w:color="auto"/>
              <w:bottom w:val="single" w:sz="4" w:space="0" w:color="auto"/>
            </w:tcBorders>
            <w:noWrap/>
          </w:tcPr>
          <w:p w14:paraId="13426E6B" w14:textId="77777777" w:rsidR="0001579B" w:rsidRDefault="0001579B" w:rsidP="00F07327">
            <w:pPr>
              <w:spacing w:after="40"/>
              <w:rPr>
                <w:rFonts w:ascii="Arial Narrow" w:hAnsi="Arial Narrow"/>
                <w:b/>
                <w:sz w:val="20"/>
              </w:rPr>
            </w:pPr>
            <w:r>
              <w:rPr>
                <w:rFonts w:ascii="Arial Narrow" w:hAnsi="Arial Narrow"/>
                <w:b/>
                <w:sz w:val="20"/>
              </w:rPr>
              <w:t>ADARs values</w:t>
            </w:r>
            <w:r w:rsidR="0084043B">
              <w:rPr>
                <w:rFonts w:ascii="Arial Narrow" w:hAnsi="Arial Narrow"/>
                <w:b/>
                <w:sz w:val="20"/>
              </w:rPr>
              <w:t xml:space="preserve"> </w:t>
            </w:r>
          </w:p>
        </w:tc>
        <w:tc>
          <w:tcPr>
            <w:tcW w:w="1495" w:type="dxa"/>
            <w:tcBorders>
              <w:top w:val="single" w:sz="4" w:space="0" w:color="auto"/>
              <w:bottom w:val="single" w:sz="4" w:space="0" w:color="auto"/>
            </w:tcBorders>
            <w:noWrap/>
          </w:tcPr>
          <w:p w14:paraId="7692B1D2" w14:textId="77777777" w:rsidR="0001579B" w:rsidRPr="0039726C" w:rsidRDefault="0001579B" w:rsidP="00F07327">
            <w:pPr>
              <w:spacing w:after="40"/>
              <w:jc w:val="center"/>
              <w:rPr>
                <w:rFonts w:ascii="Arial Narrow" w:hAnsi="Arial Narrow"/>
                <w:b/>
                <w:sz w:val="20"/>
              </w:rPr>
            </w:pPr>
          </w:p>
        </w:tc>
        <w:tc>
          <w:tcPr>
            <w:tcW w:w="1495" w:type="dxa"/>
            <w:tcBorders>
              <w:top w:val="single" w:sz="4" w:space="0" w:color="auto"/>
              <w:bottom w:val="single" w:sz="4" w:space="0" w:color="auto"/>
            </w:tcBorders>
            <w:noWrap/>
          </w:tcPr>
          <w:p w14:paraId="74BCB2E8" w14:textId="77777777" w:rsidR="0001579B" w:rsidRPr="0039726C" w:rsidRDefault="0001579B" w:rsidP="00F07327">
            <w:pPr>
              <w:spacing w:after="40"/>
              <w:jc w:val="center"/>
              <w:rPr>
                <w:rFonts w:ascii="Arial Narrow" w:hAnsi="Arial Narrow"/>
                <w:b/>
                <w:sz w:val="20"/>
              </w:rPr>
            </w:pPr>
          </w:p>
        </w:tc>
        <w:tc>
          <w:tcPr>
            <w:tcW w:w="1495" w:type="dxa"/>
            <w:tcBorders>
              <w:top w:val="single" w:sz="4" w:space="0" w:color="auto"/>
              <w:bottom w:val="single" w:sz="4" w:space="0" w:color="auto"/>
              <w:right w:val="single" w:sz="4" w:space="0" w:color="auto"/>
            </w:tcBorders>
            <w:noWrap/>
          </w:tcPr>
          <w:p w14:paraId="06286499" w14:textId="77777777" w:rsidR="0001579B" w:rsidRPr="0039726C" w:rsidRDefault="0001579B" w:rsidP="00F07327">
            <w:pPr>
              <w:spacing w:after="40"/>
              <w:jc w:val="center"/>
              <w:rPr>
                <w:rFonts w:ascii="Arial Narrow" w:hAnsi="Arial Narrow"/>
                <w:b/>
                <w:sz w:val="20"/>
              </w:rPr>
            </w:pPr>
          </w:p>
        </w:tc>
      </w:tr>
      <w:tr w:rsidR="00F07327" w:rsidRPr="0064127C" w14:paraId="27A9C0E0" w14:textId="77777777" w:rsidTr="004F7C04">
        <w:trPr>
          <w:trHeight w:val="14"/>
        </w:trPr>
        <w:tc>
          <w:tcPr>
            <w:tcW w:w="4531" w:type="dxa"/>
            <w:tcBorders>
              <w:top w:val="single" w:sz="4" w:space="0" w:color="auto"/>
              <w:left w:val="single" w:sz="4" w:space="0" w:color="auto"/>
              <w:bottom w:val="single" w:sz="4" w:space="0" w:color="auto"/>
            </w:tcBorders>
            <w:noWrap/>
          </w:tcPr>
          <w:p w14:paraId="035D1E8A" w14:textId="77777777" w:rsidR="00F07327" w:rsidRPr="0001579B" w:rsidRDefault="00F07327" w:rsidP="00F07327">
            <w:pPr>
              <w:spacing w:after="40"/>
              <w:rPr>
                <w:rFonts w:ascii="Arial Narrow" w:hAnsi="Arial Narrow"/>
                <w:sz w:val="20"/>
              </w:rPr>
            </w:pPr>
            <w:r w:rsidRPr="0001579B">
              <w:rPr>
                <w:rFonts w:ascii="Arial Narrow" w:hAnsi="Arial Narrow"/>
                <w:sz w:val="20"/>
              </w:rPr>
              <w:t>Healthcare payer perspective</w:t>
            </w:r>
          </w:p>
        </w:tc>
        <w:tc>
          <w:tcPr>
            <w:tcW w:w="1495" w:type="dxa"/>
            <w:tcBorders>
              <w:top w:val="single" w:sz="4" w:space="0" w:color="auto"/>
              <w:bottom w:val="single" w:sz="4" w:space="0" w:color="auto"/>
            </w:tcBorders>
            <w:noWrap/>
          </w:tcPr>
          <w:p w14:paraId="26695326" w14:textId="77777777" w:rsidR="00F07327" w:rsidRPr="0039726C" w:rsidRDefault="00F07327" w:rsidP="00F07327">
            <w:pPr>
              <w:spacing w:after="40"/>
              <w:jc w:val="center"/>
              <w:rPr>
                <w:rFonts w:ascii="Arial Narrow" w:hAnsi="Arial Narrow"/>
                <w:b/>
                <w:sz w:val="20"/>
              </w:rPr>
            </w:pPr>
          </w:p>
        </w:tc>
        <w:tc>
          <w:tcPr>
            <w:tcW w:w="1495" w:type="dxa"/>
            <w:tcBorders>
              <w:top w:val="single" w:sz="4" w:space="0" w:color="auto"/>
              <w:bottom w:val="single" w:sz="4" w:space="0" w:color="auto"/>
            </w:tcBorders>
            <w:noWrap/>
          </w:tcPr>
          <w:p w14:paraId="31A7A96E" w14:textId="77777777" w:rsidR="00F07327" w:rsidRPr="0039726C" w:rsidRDefault="00F07327" w:rsidP="00F07327">
            <w:pPr>
              <w:spacing w:after="40"/>
              <w:jc w:val="center"/>
              <w:rPr>
                <w:rFonts w:ascii="Arial Narrow" w:hAnsi="Arial Narrow"/>
                <w:b/>
                <w:sz w:val="20"/>
              </w:rPr>
            </w:pPr>
          </w:p>
        </w:tc>
        <w:tc>
          <w:tcPr>
            <w:tcW w:w="1495" w:type="dxa"/>
            <w:tcBorders>
              <w:top w:val="single" w:sz="4" w:space="0" w:color="auto"/>
              <w:bottom w:val="single" w:sz="4" w:space="0" w:color="auto"/>
              <w:right w:val="single" w:sz="4" w:space="0" w:color="auto"/>
            </w:tcBorders>
            <w:noWrap/>
          </w:tcPr>
          <w:p w14:paraId="081BA586" w14:textId="77777777" w:rsidR="00F07327" w:rsidRPr="0039726C" w:rsidRDefault="00F07327" w:rsidP="00F07327">
            <w:pPr>
              <w:spacing w:after="40"/>
              <w:jc w:val="center"/>
              <w:rPr>
                <w:rFonts w:ascii="Arial Narrow" w:hAnsi="Arial Narrow"/>
                <w:b/>
                <w:sz w:val="20"/>
              </w:rPr>
            </w:pPr>
          </w:p>
        </w:tc>
      </w:tr>
      <w:tr w:rsidR="00F07327" w:rsidRPr="0064127C" w14:paraId="5BCAAA66" w14:textId="77777777" w:rsidTr="004F7C04">
        <w:trPr>
          <w:trHeight w:val="14"/>
        </w:trPr>
        <w:tc>
          <w:tcPr>
            <w:tcW w:w="4531" w:type="dxa"/>
            <w:tcBorders>
              <w:top w:val="single" w:sz="4" w:space="0" w:color="auto"/>
              <w:left w:val="single" w:sz="4" w:space="0" w:color="auto"/>
              <w:bottom w:val="single" w:sz="4" w:space="0" w:color="auto"/>
              <w:right w:val="single" w:sz="4" w:space="0" w:color="auto"/>
            </w:tcBorders>
            <w:noWrap/>
          </w:tcPr>
          <w:p w14:paraId="365917E2" w14:textId="77777777" w:rsidR="00F07327" w:rsidRPr="004F7C04" w:rsidRDefault="00F07327" w:rsidP="0001579B">
            <w:pPr>
              <w:spacing w:after="40"/>
              <w:ind w:left="227"/>
              <w:rPr>
                <w:rFonts w:ascii="Arial Narrow" w:hAnsi="Arial Narrow"/>
                <w:b/>
                <w:sz w:val="20"/>
              </w:rPr>
            </w:pPr>
            <w:r w:rsidRPr="004F7C04">
              <w:rPr>
                <w:rFonts w:ascii="Arial Narrow" w:hAnsi="Arial Narrow"/>
                <w:b/>
                <w:sz w:val="20"/>
              </w:rPr>
              <w:t>Pooled result (assuming 71% PTRCT and 29% FTRCT)</w:t>
            </w:r>
          </w:p>
        </w:tc>
        <w:tc>
          <w:tcPr>
            <w:tcW w:w="1495" w:type="dxa"/>
            <w:tcBorders>
              <w:top w:val="single" w:sz="4" w:space="0" w:color="auto"/>
              <w:left w:val="single" w:sz="4" w:space="0" w:color="auto"/>
              <w:bottom w:val="single" w:sz="4" w:space="0" w:color="auto"/>
              <w:right w:val="single" w:sz="4" w:space="0" w:color="auto"/>
            </w:tcBorders>
            <w:noWrap/>
          </w:tcPr>
          <w:p w14:paraId="12F61005" w14:textId="77777777" w:rsidR="00F07327" w:rsidRPr="0039726C" w:rsidRDefault="00F07327" w:rsidP="00F07327">
            <w:pPr>
              <w:spacing w:after="40"/>
              <w:jc w:val="center"/>
              <w:rPr>
                <w:rFonts w:ascii="Arial Narrow" w:hAnsi="Arial Narrow"/>
                <w:b/>
                <w:sz w:val="20"/>
              </w:rPr>
            </w:pPr>
            <w:r w:rsidRPr="0039726C">
              <w:rPr>
                <w:rFonts w:ascii="Arial Narrow" w:hAnsi="Arial Narrow"/>
                <w:b/>
                <w:sz w:val="20"/>
              </w:rPr>
              <w:t>$3,795</w:t>
            </w:r>
          </w:p>
        </w:tc>
        <w:tc>
          <w:tcPr>
            <w:tcW w:w="1495" w:type="dxa"/>
            <w:tcBorders>
              <w:top w:val="single" w:sz="4" w:space="0" w:color="auto"/>
              <w:left w:val="single" w:sz="4" w:space="0" w:color="auto"/>
              <w:bottom w:val="single" w:sz="4" w:space="0" w:color="auto"/>
              <w:right w:val="single" w:sz="4" w:space="0" w:color="auto"/>
            </w:tcBorders>
            <w:noWrap/>
          </w:tcPr>
          <w:p w14:paraId="04D15E45" w14:textId="77777777" w:rsidR="00F07327" w:rsidRPr="0039726C" w:rsidRDefault="00F07327" w:rsidP="00F07327">
            <w:pPr>
              <w:spacing w:after="40"/>
              <w:jc w:val="center"/>
              <w:rPr>
                <w:rFonts w:ascii="Arial Narrow" w:hAnsi="Arial Narrow"/>
                <w:b/>
                <w:sz w:val="20"/>
              </w:rPr>
            </w:pPr>
            <w:r w:rsidRPr="0039726C">
              <w:rPr>
                <w:rFonts w:ascii="Arial Narrow" w:hAnsi="Arial Narrow"/>
                <w:b/>
                <w:sz w:val="20"/>
              </w:rPr>
              <w:t>0.061</w:t>
            </w:r>
          </w:p>
        </w:tc>
        <w:tc>
          <w:tcPr>
            <w:tcW w:w="1495" w:type="dxa"/>
            <w:tcBorders>
              <w:top w:val="single" w:sz="4" w:space="0" w:color="auto"/>
              <w:left w:val="single" w:sz="4" w:space="0" w:color="auto"/>
              <w:bottom w:val="single" w:sz="4" w:space="0" w:color="auto"/>
              <w:right w:val="single" w:sz="4" w:space="0" w:color="auto"/>
            </w:tcBorders>
            <w:noWrap/>
          </w:tcPr>
          <w:p w14:paraId="6F1A375C" w14:textId="77777777" w:rsidR="00F07327" w:rsidRPr="0039726C" w:rsidRDefault="00F07327" w:rsidP="00F07327">
            <w:pPr>
              <w:spacing w:after="40"/>
              <w:jc w:val="center"/>
              <w:rPr>
                <w:rFonts w:ascii="Arial Narrow" w:hAnsi="Arial Narrow"/>
                <w:b/>
                <w:sz w:val="20"/>
              </w:rPr>
            </w:pPr>
            <w:r w:rsidRPr="0039726C">
              <w:rPr>
                <w:rFonts w:ascii="Arial Narrow" w:hAnsi="Arial Narrow"/>
                <w:b/>
                <w:sz w:val="20"/>
              </w:rPr>
              <w:t>$62,020</w:t>
            </w:r>
          </w:p>
        </w:tc>
      </w:tr>
      <w:tr w:rsidR="00F07327" w:rsidRPr="0064127C" w14:paraId="100ADB3F" w14:textId="77777777" w:rsidTr="004F7C04">
        <w:trPr>
          <w:trHeight w:val="14"/>
        </w:trPr>
        <w:tc>
          <w:tcPr>
            <w:tcW w:w="4531" w:type="dxa"/>
            <w:tcBorders>
              <w:top w:val="single" w:sz="4" w:space="0" w:color="auto"/>
              <w:left w:val="single" w:sz="4" w:space="0" w:color="auto"/>
              <w:bottom w:val="single" w:sz="4" w:space="0" w:color="auto"/>
              <w:right w:val="single" w:sz="4" w:space="0" w:color="auto"/>
            </w:tcBorders>
            <w:noWrap/>
            <w:hideMark/>
          </w:tcPr>
          <w:p w14:paraId="08F7ED24" w14:textId="77777777" w:rsidR="00F07327" w:rsidRPr="0064127C" w:rsidRDefault="00F07327" w:rsidP="0001579B">
            <w:pPr>
              <w:spacing w:after="40"/>
              <w:ind w:left="454"/>
              <w:rPr>
                <w:rFonts w:ascii="Arial Narrow" w:hAnsi="Arial Narrow"/>
                <w:sz w:val="20"/>
              </w:rPr>
            </w:pPr>
            <w:r>
              <w:rPr>
                <w:rFonts w:ascii="Arial Narrow" w:hAnsi="Arial Narrow"/>
                <w:sz w:val="20"/>
              </w:rPr>
              <w:t xml:space="preserve">Subpopulation 1: </w:t>
            </w:r>
            <w:r w:rsidRPr="0064127C">
              <w:rPr>
                <w:rFonts w:ascii="Arial Narrow" w:hAnsi="Arial Narrow"/>
                <w:sz w:val="20"/>
              </w:rPr>
              <w:t>PTRCT</w:t>
            </w:r>
          </w:p>
        </w:tc>
        <w:tc>
          <w:tcPr>
            <w:tcW w:w="1495" w:type="dxa"/>
            <w:tcBorders>
              <w:top w:val="single" w:sz="4" w:space="0" w:color="auto"/>
              <w:left w:val="single" w:sz="4" w:space="0" w:color="auto"/>
              <w:bottom w:val="single" w:sz="4" w:space="0" w:color="auto"/>
              <w:right w:val="single" w:sz="4" w:space="0" w:color="auto"/>
            </w:tcBorders>
            <w:noWrap/>
            <w:hideMark/>
          </w:tcPr>
          <w:p w14:paraId="2A5128A4"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$3,254</w:t>
            </w:r>
          </w:p>
        </w:tc>
        <w:tc>
          <w:tcPr>
            <w:tcW w:w="1495" w:type="dxa"/>
            <w:tcBorders>
              <w:top w:val="single" w:sz="4" w:space="0" w:color="auto"/>
              <w:left w:val="single" w:sz="4" w:space="0" w:color="auto"/>
              <w:bottom w:val="single" w:sz="4" w:space="0" w:color="auto"/>
              <w:right w:val="single" w:sz="4" w:space="0" w:color="auto"/>
            </w:tcBorders>
            <w:noWrap/>
            <w:hideMark/>
          </w:tcPr>
          <w:p w14:paraId="0690D5A7"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0.043</w:t>
            </w:r>
          </w:p>
        </w:tc>
        <w:tc>
          <w:tcPr>
            <w:tcW w:w="1495" w:type="dxa"/>
            <w:tcBorders>
              <w:top w:val="single" w:sz="4" w:space="0" w:color="auto"/>
              <w:left w:val="single" w:sz="4" w:space="0" w:color="auto"/>
              <w:bottom w:val="single" w:sz="4" w:space="0" w:color="auto"/>
              <w:right w:val="single" w:sz="4" w:space="0" w:color="auto"/>
            </w:tcBorders>
            <w:noWrap/>
            <w:hideMark/>
          </w:tcPr>
          <w:p w14:paraId="7D611260"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$75,370</w:t>
            </w:r>
          </w:p>
        </w:tc>
      </w:tr>
      <w:tr w:rsidR="00F07327" w:rsidRPr="0064127C" w14:paraId="2CBAC428" w14:textId="77777777" w:rsidTr="004F7C04">
        <w:trPr>
          <w:trHeight w:val="14"/>
        </w:trPr>
        <w:tc>
          <w:tcPr>
            <w:tcW w:w="4531" w:type="dxa"/>
            <w:tcBorders>
              <w:top w:val="single" w:sz="4" w:space="0" w:color="auto"/>
              <w:left w:val="single" w:sz="4" w:space="0" w:color="auto"/>
              <w:bottom w:val="single" w:sz="4" w:space="0" w:color="auto"/>
              <w:right w:val="single" w:sz="4" w:space="0" w:color="auto"/>
            </w:tcBorders>
            <w:noWrap/>
            <w:hideMark/>
          </w:tcPr>
          <w:p w14:paraId="0B89C8CC" w14:textId="77777777" w:rsidR="00F07327" w:rsidRPr="0064127C" w:rsidRDefault="00F07327" w:rsidP="0001579B">
            <w:pPr>
              <w:spacing w:after="40"/>
              <w:ind w:left="454"/>
              <w:rPr>
                <w:rFonts w:ascii="Arial Narrow" w:hAnsi="Arial Narrow"/>
                <w:sz w:val="20"/>
              </w:rPr>
            </w:pPr>
            <w:r>
              <w:rPr>
                <w:rFonts w:ascii="Arial Narrow" w:hAnsi="Arial Narrow"/>
                <w:sz w:val="20"/>
              </w:rPr>
              <w:t xml:space="preserve">Subpopulation 2: </w:t>
            </w:r>
            <w:r w:rsidRPr="0064127C">
              <w:rPr>
                <w:rFonts w:ascii="Arial Narrow" w:hAnsi="Arial Narrow"/>
                <w:sz w:val="20"/>
              </w:rPr>
              <w:t>FTRCT</w:t>
            </w:r>
          </w:p>
        </w:tc>
        <w:tc>
          <w:tcPr>
            <w:tcW w:w="1495" w:type="dxa"/>
            <w:tcBorders>
              <w:top w:val="single" w:sz="4" w:space="0" w:color="auto"/>
              <w:left w:val="single" w:sz="4" w:space="0" w:color="auto"/>
              <w:bottom w:val="single" w:sz="4" w:space="0" w:color="auto"/>
              <w:right w:val="single" w:sz="4" w:space="0" w:color="auto"/>
            </w:tcBorders>
            <w:noWrap/>
            <w:hideMark/>
          </w:tcPr>
          <w:p w14:paraId="3FE8E378"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$5,120</w:t>
            </w:r>
          </w:p>
        </w:tc>
        <w:tc>
          <w:tcPr>
            <w:tcW w:w="1495" w:type="dxa"/>
            <w:tcBorders>
              <w:top w:val="single" w:sz="4" w:space="0" w:color="auto"/>
              <w:left w:val="single" w:sz="4" w:space="0" w:color="auto"/>
              <w:bottom w:val="single" w:sz="4" w:space="0" w:color="auto"/>
              <w:right w:val="single" w:sz="4" w:space="0" w:color="auto"/>
            </w:tcBorders>
            <w:noWrap/>
            <w:hideMark/>
          </w:tcPr>
          <w:p w14:paraId="646B569F"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0.105</w:t>
            </w:r>
          </w:p>
        </w:tc>
        <w:tc>
          <w:tcPr>
            <w:tcW w:w="1495" w:type="dxa"/>
            <w:tcBorders>
              <w:top w:val="single" w:sz="4" w:space="0" w:color="auto"/>
              <w:left w:val="single" w:sz="4" w:space="0" w:color="auto"/>
              <w:bottom w:val="single" w:sz="4" w:space="0" w:color="auto"/>
              <w:right w:val="single" w:sz="4" w:space="0" w:color="auto"/>
            </w:tcBorders>
            <w:noWrap/>
            <w:hideMark/>
          </w:tcPr>
          <w:p w14:paraId="04E6FE69"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$48,619</w:t>
            </w:r>
          </w:p>
        </w:tc>
      </w:tr>
      <w:tr w:rsidR="00F07327" w:rsidRPr="0064127C" w14:paraId="122D50CC" w14:textId="77777777" w:rsidTr="004F7C04">
        <w:trPr>
          <w:trHeight w:val="14"/>
        </w:trPr>
        <w:tc>
          <w:tcPr>
            <w:tcW w:w="4531" w:type="dxa"/>
            <w:tcBorders>
              <w:top w:val="single" w:sz="4" w:space="0" w:color="auto"/>
              <w:left w:val="single" w:sz="4" w:space="0" w:color="auto"/>
              <w:bottom w:val="single" w:sz="4" w:space="0" w:color="auto"/>
            </w:tcBorders>
            <w:noWrap/>
          </w:tcPr>
          <w:p w14:paraId="14040D59" w14:textId="77777777" w:rsidR="00F07327" w:rsidRPr="0084043B" w:rsidRDefault="00F07327" w:rsidP="00F07327">
            <w:pPr>
              <w:spacing w:after="40"/>
              <w:rPr>
                <w:rFonts w:ascii="Arial Narrow" w:hAnsi="Arial Narrow"/>
                <w:sz w:val="20"/>
              </w:rPr>
            </w:pPr>
            <w:r w:rsidRPr="0084043B">
              <w:rPr>
                <w:rFonts w:ascii="Arial Narrow" w:hAnsi="Arial Narrow"/>
                <w:sz w:val="20"/>
              </w:rPr>
              <w:t>Societal perspective (healthcare and societal)</w:t>
            </w:r>
          </w:p>
        </w:tc>
        <w:tc>
          <w:tcPr>
            <w:tcW w:w="1495" w:type="dxa"/>
            <w:tcBorders>
              <w:top w:val="single" w:sz="4" w:space="0" w:color="auto"/>
              <w:bottom w:val="single" w:sz="4" w:space="0" w:color="auto"/>
            </w:tcBorders>
            <w:noWrap/>
          </w:tcPr>
          <w:p w14:paraId="7A80C880" w14:textId="77777777" w:rsidR="00F07327" w:rsidRPr="0064127C" w:rsidRDefault="00F07327" w:rsidP="00F07327">
            <w:pPr>
              <w:spacing w:after="40"/>
              <w:jc w:val="center"/>
              <w:rPr>
                <w:rFonts w:ascii="Arial Narrow" w:hAnsi="Arial Narrow"/>
                <w:sz w:val="20"/>
              </w:rPr>
            </w:pPr>
          </w:p>
        </w:tc>
        <w:tc>
          <w:tcPr>
            <w:tcW w:w="1495" w:type="dxa"/>
            <w:tcBorders>
              <w:top w:val="single" w:sz="4" w:space="0" w:color="auto"/>
              <w:bottom w:val="single" w:sz="4" w:space="0" w:color="auto"/>
            </w:tcBorders>
            <w:noWrap/>
          </w:tcPr>
          <w:p w14:paraId="3998C70B" w14:textId="77777777" w:rsidR="00F07327" w:rsidRPr="0064127C" w:rsidRDefault="00F07327" w:rsidP="00F07327">
            <w:pPr>
              <w:spacing w:after="40"/>
              <w:jc w:val="center"/>
              <w:rPr>
                <w:rFonts w:ascii="Arial Narrow" w:hAnsi="Arial Narrow"/>
                <w:sz w:val="20"/>
              </w:rPr>
            </w:pPr>
          </w:p>
        </w:tc>
        <w:tc>
          <w:tcPr>
            <w:tcW w:w="1495" w:type="dxa"/>
            <w:tcBorders>
              <w:top w:val="single" w:sz="4" w:space="0" w:color="auto"/>
              <w:bottom w:val="single" w:sz="4" w:space="0" w:color="auto"/>
              <w:right w:val="single" w:sz="4" w:space="0" w:color="auto"/>
            </w:tcBorders>
            <w:noWrap/>
          </w:tcPr>
          <w:p w14:paraId="3518C43E" w14:textId="77777777" w:rsidR="00F07327" w:rsidRPr="0064127C" w:rsidRDefault="00F07327" w:rsidP="00F07327">
            <w:pPr>
              <w:spacing w:after="40"/>
              <w:jc w:val="center"/>
              <w:rPr>
                <w:rFonts w:ascii="Arial Narrow" w:hAnsi="Arial Narrow"/>
                <w:sz w:val="20"/>
              </w:rPr>
            </w:pPr>
          </w:p>
        </w:tc>
      </w:tr>
      <w:tr w:rsidR="00F07327" w:rsidRPr="0064127C" w14:paraId="1A18A98E" w14:textId="77777777" w:rsidTr="004F7C04">
        <w:trPr>
          <w:trHeight w:val="14"/>
        </w:trPr>
        <w:tc>
          <w:tcPr>
            <w:tcW w:w="4531" w:type="dxa"/>
            <w:tcBorders>
              <w:top w:val="single" w:sz="4" w:space="0" w:color="auto"/>
              <w:left w:val="single" w:sz="4" w:space="0" w:color="auto"/>
              <w:bottom w:val="single" w:sz="4" w:space="0" w:color="auto"/>
              <w:right w:val="single" w:sz="4" w:space="0" w:color="auto"/>
            </w:tcBorders>
            <w:noWrap/>
          </w:tcPr>
          <w:p w14:paraId="6F816684" w14:textId="77777777" w:rsidR="00F07327" w:rsidRDefault="00F07327" w:rsidP="0001579B">
            <w:pPr>
              <w:spacing w:after="40"/>
              <w:ind w:left="227"/>
              <w:rPr>
                <w:rFonts w:ascii="Arial Narrow" w:hAnsi="Arial Narrow"/>
                <w:sz w:val="20"/>
              </w:rPr>
            </w:pPr>
            <w:r w:rsidRPr="0001579B">
              <w:rPr>
                <w:rFonts w:ascii="Arial Narrow" w:hAnsi="Arial Narrow"/>
                <w:sz w:val="20"/>
              </w:rPr>
              <w:t>Pooled result</w:t>
            </w:r>
            <w:r w:rsidRPr="0039726C">
              <w:rPr>
                <w:rFonts w:ascii="Arial Narrow" w:hAnsi="Arial Narrow"/>
                <w:b/>
                <w:sz w:val="20"/>
              </w:rPr>
              <w:t xml:space="preserve"> </w:t>
            </w:r>
            <w:r w:rsidRPr="00D724BB">
              <w:rPr>
                <w:rFonts w:ascii="Arial Narrow" w:hAnsi="Arial Narrow"/>
                <w:sz w:val="20"/>
              </w:rPr>
              <w:t>(assuming 71% PTRCT and 29% FTRCT)</w:t>
            </w:r>
          </w:p>
        </w:tc>
        <w:tc>
          <w:tcPr>
            <w:tcW w:w="1495" w:type="dxa"/>
            <w:tcBorders>
              <w:top w:val="single" w:sz="4" w:space="0" w:color="auto"/>
              <w:left w:val="single" w:sz="4" w:space="0" w:color="auto"/>
              <w:bottom w:val="single" w:sz="4" w:space="0" w:color="auto"/>
              <w:right w:val="single" w:sz="4" w:space="0" w:color="auto"/>
            </w:tcBorders>
            <w:noWrap/>
          </w:tcPr>
          <w:p w14:paraId="5246CFF0" w14:textId="77777777" w:rsidR="00F07327" w:rsidRPr="0064127C" w:rsidRDefault="00F07327" w:rsidP="00F07327">
            <w:pPr>
              <w:spacing w:after="40"/>
              <w:jc w:val="center"/>
              <w:rPr>
                <w:rFonts w:ascii="Arial Narrow" w:hAnsi="Arial Narrow"/>
                <w:sz w:val="20"/>
              </w:rPr>
            </w:pPr>
            <w:r>
              <w:rPr>
                <w:rFonts w:ascii="Arial Narrow" w:hAnsi="Arial Narrow"/>
                <w:sz w:val="20"/>
              </w:rPr>
              <w:t>-$10,277</w:t>
            </w:r>
          </w:p>
        </w:tc>
        <w:tc>
          <w:tcPr>
            <w:tcW w:w="1495" w:type="dxa"/>
            <w:tcBorders>
              <w:top w:val="single" w:sz="4" w:space="0" w:color="auto"/>
              <w:left w:val="single" w:sz="4" w:space="0" w:color="auto"/>
              <w:bottom w:val="single" w:sz="4" w:space="0" w:color="auto"/>
              <w:right w:val="single" w:sz="4" w:space="0" w:color="auto"/>
            </w:tcBorders>
            <w:noWrap/>
          </w:tcPr>
          <w:p w14:paraId="01A3F8F1" w14:textId="77777777" w:rsidR="00F07327" w:rsidRPr="0064127C" w:rsidRDefault="00F07327" w:rsidP="00F07327">
            <w:pPr>
              <w:spacing w:after="40"/>
              <w:jc w:val="center"/>
              <w:rPr>
                <w:rFonts w:ascii="Arial Narrow" w:hAnsi="Arial Narrow"/>
                <w:sz w:val="20"/>
              </w:rPr>
            </w:pPr>
            <w:r>
              <w:rPr>
                <w:rFonts w:ascii="Arial Narrow" w:hAnsi="Arial Narrow"/>
                <w:sz w:val="20"/>
              </w:rPr>
              <w:t>0.061</w:t>
            </w:r>
          </w:p>
        </w:tc>
        <w:tc>
          <w:tcPr>
            <w:tcW w:w="1495" w:type="dxa"/>
            <w:tcBorders>
              <w:top w:val="single" w:sz="4" w:space="0" w:color="auto"/>
              <w:left w:val="single" w:sz="4" w:space="0" w:color="auto"/>
              <w:right w:val="single" w:sz="4" w:space="0" w:color="auto"/>
            </w:tcBorders>
            <w:noWrap/>
          </w:tcPr>
          <w:p w14:paraId="0A91E55C" w14:textId="77777777" w:rsidR="00F07327" w:rsidRPr="0064127C" w:rsidRDefault="00F07327" w:rsidP="00F07327">
            <w:pPr>
              <w:spacing w:after="40"/>
              <w:jc w:val="center"/>
              <w:rPr>
                <w:rFonts w:ascii="Arial Narrow" w:hAnsi="Arial Narrow"/>
                <w:sz w:val="20"/>
              </w:rPr>
            </w:pPr>
          </w:p>
        </w:tc>
      </w:tr>
      <w:tr w:rsidR="00F07327" w:rsidRPr="0064127C" w14:paraId="07A70A73" w14:textId="77777777" w:rsidTr="004F7C04">
        <w:trPr>
          <w:trHeight w:val="14"/>
        </w:trPr>
        <w:tc>
          <w:tcPr>
            <w:tcW w:w="4531" w:type="dxa"/>
            <w:tcBorders>
              <w:top w:val="single" w:sz="4" w:space="0" w:color="auto"/>
              <w:left w:val="single" w:sz="4" w:space="0" w:color="auto"/>
              <w:bottom w:val="single" w:sz="4" w:space="0" w:color="auto"/>
              <w:right w:val="single" w:sz="4" w:space="0" w:color="auto"/>
            </w:tcBorders>
            <w:noWrap/>
          </w:tcPr>
          <w:p w14:paraId="3F2D753B" w14:textId="77777777" w:rsidR="00F07327" w:rsidRDefault="00F07327" w:rsidP="0001579B">
            <w:pPr>
              <w:spacing w:after="40"/>
              <w:ind w:left="454"/>
              <w:rPr>
                <w:rFonts w:ascii="Arial Narrow" w:hAnsi="Arial Narrow"/>
                <w:sz w:val="20"/>
              </w:rPr>
            </w:pPr>
            <w:r>
              <w:rPr>
                <w:rFonts w:ascii="Arial Narrow" w:hAnsi="Arial Narrow"/>
                <w:sz w:val="20"/>
              </w:rPr>
              <w:t xml:space="preserve">Subpopulation 1: </w:t>
            </w:r>
            <w:r w:rsidRPr="0064127C">
              <w:rPr>
                <w:rFonts w:ascii="Arial Narrow" w:hAnsi="Arial Narrow"/>
                <w:sz w:val="20"/>
              </w:rPr>
              <w:t>PTRCT</w:t>
            </w:r>
          </w:p>
        </w:tc>
        <w:tc>
          <w:tcPr>
            <w:tcW w:w="1495" w:type="dxa"/>
            <w:tcBorders>
              <w:top w:val="single" w:sz="4" w:space="0" w:color="auto"/>
              <w:left w:val="single" w:sz="4" w:space="0" w:color="auto"/>
              <w:bottom w:val="single" w:sz="4" w:space="0" w:color="auto"/>
              <w:right w:val="single" w:sz="4" w:space="0" w:color="auto"/>
            </w:tcBorders>
            <w:noWrap/>
          </w:tcPr>
          <w:p w14:paraId="4DF722F3" w14:textId="77777777" w:rsidR="00F07327" w:rsidRPr="0064127C" w:rsidRDefault="00F07327" w:rsidP="00F07327">
            <w:pPr>
              <w:spacing w:after="40"/>
              <w:jc w:val="center"/>
              <w:rPr>
                <w:rFonts w:ascii="Arial Narrow" w:hAnsi="Arial Narrow"/>
                <w:sz w:val="20"/>
              </w:rPr>
            </w:pPr>
            <w:r w:rsidRPr="006A3F61">
              <w:rPr>
                <w:rFonts w:ascii="Arial Narrow" w:hAnsi="Arial Narrow"/>
                <w:sz w:val="20"/>
              </w:rPr>
              <w:t>-$13,883</w:t>
            </w:r>
          </w:p>
        </w:tc>
        <w:tc>
          <w:tcPr>
            <w:tcW w:w="1495" w:type="dxa"/>
            <w:tcBorders>
              <w:top w:val="single" w:sz="4" w:space="0" w:color="auto"/>
              <w:left w:val="single" w:sz="4" w:space="0" w:color="auto"/>
              <w:bottom w:val="single" w:sz="4" w:space="0" w:color="auto"/>
              <w:right w:val="single" w:sz="4" w:space="0" w:color="auto"/>
            </w:tcBorders>
            <w:noWrap/>
          </w:tcPr>
          <w:p w14:paraId="1D04A397" w14:textId="77777777" w:rsidR="00F07327" w:rsidRPr="0064127C" w:rsidRDefault="00F07327" w:rsidP="00F07327">
            <w:pPr>
              <w:spacing w:after="40"/>
              <w:jc w:val="center"/>
              <w:rPr>
                <w:rFonts w:ascii="Arial Narrow" w:hAnsi="Arial Narrow"/>
                <w:sz w:val="20"/>
              </w:rPr>
            </w:pPr>
            <w:r w:rsidRPr="006A3F61">
              <w:rPr>
                <w:rFonts w:ascii="Arial Narrow" w:hAnsi="Arial Narrow"/>
                <w:sz w:val="20"/>
              </w:rPr>
              <w:t>0.043</w:t>
            </w:r>
          </w:p>
        </w:tc>
        <w:tc>
          <w:tcPr>
            <w:tcW w:w="1495" w:type="dxa"/>
            <w:tcBorders>
              <w:left w:val="single" w:sz="4" w:space="0" w:color="auto"/>
              <w:right w:val="single" w:sz="4" w:space="0" w:color="auto"/>
            </w:tcBorders>
            <w:noWrap/>
          </w:tcPr>
          <w:p w14:paraId="56048D21" w14:textId="77777777" w:rsidR="00F07327" w:rsidRPr="0064127C" w:rsidRDefault="00F07327" w:rsidP="00F07327">
            <w:pPr>
              <w:spacing w:after="40"/>
              <w:jc w:val="center"/>
              <w:rPr>
                <w:rFonts w:ascii="Arial Narrow" w:hAnsi="Arial Narrow"/>
                <w:sz w:val="20"/>
              </w:rPr>
            </w:pPr>
            <w:r w:rsidRPr="002E7410">
              <w:rPr>
                <w:rFonts w:ascii="Arial Narrow" w:hAnsi="Arial Narrow"/>
                <w:sz w:val="20"/>
              </w:rPr>
              <w:t>REGENETEN</w:t>
            </w:r>
          </w:p>
        </w:tc>
      </w:tr>
      <w:tr w:rsidR="00F07327" w:rsidRPr="0064127C" w14:paraId="6C94B740" w14:textId="77777777" w:rsidTr="004F7C04">
        <w:trPr>
          <w:trHeight w:val="14"/>
        </w:trPr>
        <w:tc>
          <w:tcPr>
            <w:tcW w:w="4531" w:type="dxa"/>
            <w:tcBorders>
              <w:top w:val="single" w:sz="4" w:space="0" w:color="auto"/>
              <w:left w:val="single" w:sz="4" w:space="0" w:color="auto"/>
              <w:bottom w:val="single" w:sz="4" w:space="0" w:color="auto"/>
              <w:right w:val="single" w:sz="4" w:space="0" w:color="auto"/>
            </w:tcBorders>
            <w:noWrap/>
          </w:tcPr>
          <w:p w14:paraId="2E48A0FD" w14:textId="77777777" w:rsidR="00F07327" w:rsidRDefault="00F07327" w:rsidP="0001579B">
            <w:pPr>
              <w:spacing w:after="40"/>
              <w:ind w:left="454"/>
              <w:rPr>
                <w:rFonts w:ascii="Arial Narrow" w:hAnsi="Arial Narrow"/>
                <w:sz w:val="20"/>
              </w:rPr>
            </w:pPr>
            <w:r>
              <w:rPr>
                <w:rFonts w:ascii="Arial Narrow" w:hAnsi="Arial Narrow"/>
                <w:sz w:val="20"/>
              </w:rPr>
              <w:t xml:space="preserve">Subpopulation 2: </w:t>
            </w:r>
            <w:r w:rsidRPr="0064127C">
              <w:rPr>
                <w:rFonts w:ascii="Arial Narrow" w:hAnsi="Arial Narrow"/>
                <w:sz w:val="20"/>
              </w:rPr>
              <w:t>FTRCT</w:t>
            </w:r>
          </w:p>
        </w:tc>
        <w:tc>
          <w:tcPr>
            <w:tcW w:w="1495" w:type="dxa"/>
            <w:tcBorders>
              <w:top w:val="single" w:sz="4" w:space="0" w:color="auto"/>
              <w:left w:val="single" w:sz="4" w:space="0" w:color="auto"/>
              <w:bottom w:val="single" w:sz="4" w:space="0" w:color="auto"/>
              <w:right w:val="single" w:sz="4" w:space="0" w:color="auto"/>
            </w:tcBorders>
            <w:noWrap/>
          </w:tcPr>
          <w:p w14:paraId="3354E121" w14:textId="77777777" w:rsidR="00F07327" w:rsidRPr="0064127C" w:rsidRDefault="00F07327" w:rsidP="00F07327">
            <w:pPr>
              <w:spacing w:after="40"/>
              <w:jc w:val="center"/>
              <w:rPr>
                <w:rFonts w:ascii="Arial Narrow" w:hAnsi="Arial Narrow"/>
                <w:sz w:val="20"/>
              </w:rPr>
            </w:pPr>
            <w:r w:rsidRPr="006A3F61">
              <w:rPr>
                <w:rFonts w:ascii="Arial Narrow" w:hAnsi="Arial Narrow"/>
                <w:sz w:val="20"/>
              </w:rPr>
              <w:t>-</w:t>
            </w:r>
            <w:r>
              <w:rPr>
                <w:rFonts w:ascii="Arial Narrow" w:hAnsi="Arial Narrow"/>
                <w:sz w:val="20"/>
              </w:rPr>
              <w:t>$</w:t>
            </w:r>
            <w:r w:rsidRPr="006A3F61">
              <w:rPr>
                <w:rFonts w:ascii="Arial Narrow" w:hAnsi="Arial Narrow"/>
                <w:sz w:val="20"/>
              </w:rPr>
              <w:t>1,448</w:t>
            </w:r>
          </w:p>
        </w:tc>
        <w:tc>
          <w:tcPr>
            <w:tcW w:w="1495" w:type="dxa"/>
            <w:tcBorders>
              <w:top w:val="single" w:sz="4" w:space="0" w:color="auto"/>
              <w:left w:val="single" w:sz="4" w:space="0" w:color="auto"/>
              <w:bottom w:val="single" w:sz="4" w:space="0" w:color="auto"/>
              <w:right w:val="single" w:sz="4" w:space="0" w:color="auto"/>
            </w:tcBorders>
            <w:noWrap/>
          </w:tcPr>
          <w:p w14:paraId="5A4D72F2" w14:textId="77777777" w:rsidR="00F07327" w:rsidRPr="0064127C" w:rsidRDefault="00F07327" w:rsidP="00F07327">
            <w:pPr>
              <w:spacing w:after="40"/>
              <w:jc w:val="center"/>
              <w:rPr>
                <w:rFonts w:ascii="Arial Narrow" w:hAnsi="Arial Narrow"/>
                <w:sz w:val="20"/>
              </w:rPr>
            </w:pPr>
            <w:r>
              <w:rPr>
                <w:rFonts w:ascii="Arial Narrow" w:hAnsi="Arial Narrow"/>
                <w:sz w:val="20"/>
              </w:rPr>
              <w:t>0.105</w:t>
            </w:r>
          </w:p>
        </w:tc>
        <w:tc>
          <w:tcPr>
            <w:tcW w:w="1495" w:type="dxa"/>
            <w:tcBorders>
              <w:left w:val="single" w:sz="4" w:space="0" w:color="auto"/>
              <w:bottom w:val="single" w:sz="4" w:space="0" w:color="auto"/>
              <w:right w:val="single" w:sz="4" w:space="0" w:color="auto"/>
            </w:tcBorders>
            <w:noWrap/>
          </w:tcPr>
          <w:p w14:paraId="683FA473" w14:textId="77777777" w:rsidR="00F07327" w:rsidRPr="0064127C" w:rsidRDefault="00F07327" w:rsidP="00F07327">
            <w:pPr>
              <w:spacing w:after="40"/>
              <w:jc w:val="center"/>
              <w:rPr>
                <w:rFonts w:ascii="Arial Narrow" w:hAnsi="Arial Narrow"/>
                <w:sz w:val="20"/>
              </w:rPr>
            </w:pPr>
            <w:r w:rsidRPr="002E7410">
              <w:rPr>
                <w:rFonts w:ascii="Arial Narrow" w:hAnsi="Arial Narrow"/>
                <w:sz w:val="20"/>
              </w:rPr>
              <w:t>dominates</w:t>
            </w:r>
          </w:p>
        </w:tc>
      </w:tr>
      <w:tr w:rsidR="0084043B" w:rsidRPr="0064127C" w14:paraId="6FA4953F" w14:textId="77777777" w:rsidTr="004F7C04">
        <w:trPr>
          <w:trHeight w:val="14"/>
        </w:trPr>
        <w:tc>
          <w:tcPr>
            <w:tcW w:w="4531" w:type="dxa"/>
            <w:tcBorders>
              <w:top w:val="single" w:sz="4" w:space="0" w:color="auto"/>
              <w:left w:val="single" w:sz="4" w:space="0" w:color="auto"/>
              <w:bottom w:val="single" w:sz="4" w:space="0" w:color="auto"/>
            </w:tcBorders>
            <w:noWrap/>
          </w:tcPr>
          <w:p w14:paraId="20470C89" w14:textId="77777777" w:rsidR="0084043B" w:rsidRPr="0084043B" w:rsidRDefault="0084043B" w:rsidP="0084043B">
            <w:pPr>
              <w:spacing w:after="40"/>
              <w:rPr>
                <w:rFonts w:ascii="Arial Narrow" w:hAnsi="Arial Narrow"/>
                <w:b/>
                <w:sz w:val="20"/>
              </w:rPr>
            </w:pPr>
            <w:r w:rsidRPr="0084043B">
              <w:rPr>
                <w:rFonts w:ascii="Arial Narrow" w:hAnsi="Arial Narrow"/>
                <w:b/>
                <w:sz w:val="20"/>
              </w:rPr>
              <w:t>Pre-ESC and Pre-MSAC values</w:t>
            </w:r>
          </w:p>
        </w:tc>
        <w:tc>
          <w:tcPr>
            <w:tcW w:w="1495" w:type="dxa"/>
            <w:tcBorders>
              <w:top w:val="single" w:sz="4" w:space="0" w:color="auto"/>
              <w:bottom w:val="single" w:sz="4" w:space="0" w:color="auto"/>
            </w:tcBorders>
            <w:noWrap/>
          </w:tcPr>
          <w:p w14:paraId="60B8A807" w14:textId="77777777" w:rsidR="0084043B" w:rsidRPr="006A3F61" w:rsidRDefault="0084043B" w:rsidP="00F07327">
            <w:pPr>
              <w:spacing w:after="40"/>
              <w:jc w:val="center"/>
              <w:rPr>
                <w:rFonts w:ascii="Arial Narrow" w:hAnsi="Arial Narrow"/>
                <w:sz w:val="20"/>
              </w:rPr>
            </w:pPr>
          </w:p>
        </w:tc>
        <w:tc>
          <w:tcPr>
            <w:tcW w:w="1495" w:type="dxa"/>
            <w:tcBorders>
              <w:top w:val="single" w:sz="4" w:space="0" w:color="auto"/>
              <w:bottom w:val="single" w:sz="4" w:space="0" w:color="auto"/>
            </w:tcBorders>
            <w:noWrap/>
          </w:tcPr>
          <w:p w14:paraId="27130097" w14:textId="77777777" w:rsidR="0084043B" w:rsidRDefault="0084043B" w:rsidP="00F07327">
            <w:pPr>
              <w:spacing w:after="40"/>
              <w:jc w:val="center"/>
              <w:rPr>
                <w:rFonts w:ascii="Arial Narrow" w:hAnsi="Arial Narrow"/>
                <w:sz w:val="20"/>
              </w:rPr>
            </w:pPr>
          </w:p>
        </w:tc>
        <w:tc>
          <w:tcPr>
            <w:tcW w:w="1495" w:type="dxa"/>
            <w:tcBorders>
              <w:top w:val="single" w:sz="4" w:space="0" w:color="auto"/>
              <w:bottom w:val="single" w:sz="4" w:space="0" w:color="auto"/>
              <w:right w:val="single" w:sz="4" w:space="0" w:color="auto"/>
            </w:tcBorders>
            <w:noWrap/>
          </w:tcPr>
          <w:p w14:paraId="1F0A77D9" w14:textId="77777777" w:rsidR="0084043B" w:rsidRPr="002E7410" w:rsidRDefault="0084043B" w:rsidP="00F07327">
            <w:pPr>
              <w:spacing w:after="40"/>
              <w:jc w:val="center"/>
              <w:rPr>
                <w:rFonts w:ascii="Arial Narrow" w:hAnsi="Arial Narrow"/>
                <w:sz w:val="20"/>
              </w:rPr>
            </w:pPr>
          </w:p>
        </w:tc>
      </w:tr>
      <w:tr w:rsidR="0084043B" w:rsidRPr="0064127C" w14:paraId="0C3B6DF7" w14:textId="77777777" w:rsidTr="004F7C04">
        <w:trPr>
          <w:trHeight w:val="14"/>
        </w:trPr>
        <w:tc>
          <w:tcPr>
            <w:tcW w:w="4531" w:type="dxa"/>
            <w:tcBorders>
              <w:top w:val="single" w:sz="4" w:space="0" w:color="auto"/>
              <w:left w:val="single" w:sz="4" w:space="0" w:color="auto"/>
              <w:bottom w:val="single" w:sz="4" w:space="0" w:color="auto"/>
            </w:tcBorders>
            <w:noWrap/>
          </w:tcPr>
          <w:p w14:paraId="17FE94CA" w14:textId="77777777" w:rsidR="0084043B" w:rsidRPr="0001579B" w:rsidRDefault="0084043B" w:rsidP="0084043B">
            <w:pPr>
              <w:spacing w:after="40"/>
              <w:rPr>
                <w:rFonts w:ascii="Arial Narrow" w:hAnsi="Arial Narrow"/>
                <w:sz w:val="20"/>
              </w:rPr>
            </w:pPr>
            <w:r w:rsidRPr="0001579B">
              <w:rPr>
                <w:rFonts w:ascii="Arial Narrow" w:hAnsi="Arial Narrow"/>
                <w:sz w:val="20"/>
              </w:rPr>
              <w:t>Healthcare payer perspective</w:t>
            </w:r>
          </w:p>
        </w:tc>
        <w:tc>
          <w:tcPr>
            <w:tcW w:w="1495" w:type="dxa"/>
            <w:tcBorders>
              <w:top w:val="single" w:sz="4" w:space="0" w:color="auto"/>
              <w:bottom w:val="single" w:sz="4" w:space="0" w:color="auto"/>
            </w:tcBorders>
            <w:noWrap/>
          </w:tcPr>
          <w:p w14:paraId="1C9EC973" w14:textId="77777777" w:rsidR="0084043B" w:rsidRPr="006A3F61" w:rsidRDefault="0084043B" w:rsidP="0084043B">
            <w:pPr>
              <w:spacing w:after="40"/>
              <w:jc w:val="center"/>
              <w:rPr>
                <w:rFonts w:ascii="Arial Narrow" w:hAnsi="Arial Narrow"/>
                <w:sz w:val="20"/>
              </w:rPr>
            </w:pPr>
          </w:p>
        </w:tc>
        <w:tc>
          <w:tcPr>
            <w:tcW w:w="1495" w:type="dxa"/>
            <w:tcBorders>
              <w:top w:val="single" w:sz="4" w:space="0" w:color="auto"/>
              <w:bottom w:val="single" w:sz="4" w:space="0" w:color="auto"/>
            </w:tcBorders>
            <w:noWrap/>
          </w:tcPr>
          <w:p w14:paraId="12A2FFDF" w14:textId="77777777" w:rsidR="0084043B" w:rsidRDefault="0084043B" w:rsidP="0084043B">
            <w:pPr>
              <w:spacing w:after="40"/>
              <w:jc w:val="center"/>
              <w:rPr>
                <w:rFonts w:ascii="Arial Narrow" w:hAnsi="Arial Narrow"/>
                <w:sz w:val="20"/>
              </w:rPr>
            </w:pPr>
          </w:p>
        </w:tc>
        <w:tc>
          <w:tcPr>
            <w:tcW w:w="1495" w:type="dxa"/>
            <w:tcBorders>
              <w:top w:val="single" w:sz="4" w:space="0" w:color="auto"/>
              <w:bottom w:val="single" w:sz="4" w:space="0" w:color="auto"/>
              <w:right w:val="single" w:sz="4" w:space="0" w:color="auto"/>
            </w:tcBorders>
            <w:noWrap/>
          </w:tcPr>
          <w:p w14:paraId="123EBF3E" w14:textId="77777777" w:rsidR="0084043B" w:rsidRPr="002E7410" w:rsidRDefault="0084043B" w:rsidP="0084043B">
            <w:pPr>
              <w:spacing w:after="40"/>
              <w:jc w:val="center"/>
              <w:rPr>
                <w:rFonts w:ascii="Arial Narrow" w:hAnsi="Arial Narrow"/>
                <w:sz w:val="20"/>
              </w:rPr>
            </w:pPr>
          </w:p>
        </w:tc>
      </w:tr>
      <w:tr w:rsidR="0084043B" w:rsidRPr="0064127C" w14:paraId="26ABF8D2" w14:textId="77777777" w:rsidTr="004F7C04">
        <w:trPr>
          <w:trHeight w:val="14"/>
        </w:trPr>
        <w:tc>
          <w:tcPr>
            <w:tcW w:w="4531" w:type="dxa"/>
            <w:tcBorders>
              <w:top w:val="single" w:sz="4" w:space="0" w:color="auto"/>
              <w:left w:val="single" w:sz="4" w:space="0" w:color="auto"/>
              <w:bottom w:val="single" w:sz="4" w:space="0" w:color="auto"/>
              <w:right w:val="single" w:sz="4" w:space="0" w:color="auto"/>
            </w:tcBorders>
            <w:noWrap/>
          </w:tcPr>
          <w:p w14:paraId="5EF6584C" w14:textId="77777777" w:rsidR="0084043B" w:rsidRPr="004F7C04" w:rsidRDefault="0084043B" w:rsidP="0084043B">
            <w:pPr>
              <w:spacing w:after="40"/>
              <w:ind w:left="227"/>
              <w:rPr>
                <w:rFonts w:ascii="Arial Narrow" w:hAnsi="Arial Narrow"/>
                <w:b/>
                <w:sz w:val="20"/>
              </w:rPr>
            </w:pPr>
            <w:r w:rsidRPr="004F7C04">
              <w:rPr>
                <w:rFonts w:ascii="Arial Narrow" w:hAnsi="Arial Narrow"/>
                <w:b/>
                <w:sz w:val="20"/>
              </w:rPr>
              <w:t>Pooled result (assuming 39% PTRCT and 71% FTRCT)</w:t>
            </w:r>
          </w:p>
        </w:tc>
        <w:tc>
          <w:tcPr>
            <w:tcW w:w="1495" w:type="dxa"/>
            <w:tcBorders>
              <w:top w:val="single" w:sz="4" w:space="0" w:color="auto"/>
              <w:left w:val="single" w:sz="4" w:space="0" w:color="auto"/>
              <w:bottom w:val="single" w:sz="4" w:space="0" w:color="auto"/>
              <w:right w:val="single" w:sz="4" w:space="0" w:color="auto"/>
            </w:tcBorders>
            <w:noWrap/>
          </w:tcPr>
          <w:p w14:paraId="2BA644F6" w14:textId="77777777" w:rsidR="0084043B" w:rsidRPr="004F7C04" w:rsidRDefault="0084043B" w:rsidP="0084043B">
            <w:pPr>
              <w:spacing w:after="40"/>
              <w:jc w:val="center"/>
              <w:rPr>
                <w:rFonts w:ascii="Arial Narrow" w:hAnsi="Arial Narrow"/>
                <w:b/>
                <w:sz w:val="20"/>
              </w:rPr>
            </w:pPr>
            <w:r w:rsidRPr="004F7C04">
              <w:rPr>
                <w:rFonts w:ascii="Arial Narrow" w:hAnsi="Arial Narrow"/>
                <w:b/>
                <w:sz w:val="20"/>
              </w:rPr>
              <w:t>-$4,932</w:t>
            </w:r>
          </w:p>
        </w:tc>
        <w:tc>
          <w:tcPr>
            <w:tcW w:w="1495" w:type="dxa"/>
            <w:tcBorders>
              <w:top w:val="single" w:sz="4" w:space="0" w:color="auto"/>
              <w:left w:val="single" w:sz="4" w:space="0" w:color="auto"/>
              <w:bottom w:val="single" w:sz="4" w:space="0" w:color="auto"/>
              <w:right w:val="single" w:sz="4" w:space="0" w:color="auto"/>
            </w:tcBorders>
            <w:noWrap/>
          </w:tcPr>
          <w:p w14:paraId="24B053AE" w14:textId="77777777" w:rsidR="0084043B" w:rsidRPr="004F7C04" w:rsidRDefault="0084043B" w:rsidP="0084043B">
            <w:pPr>
              <w:spacing w:after="40"/>
              <w:jc w:val="center"/>
              <w:rPr>
                <w:rFonts w:ascii="Arial Narrow" w:hAnsi="Arial Narrow"/>
                <w:b/>
                <w:sz w:val="20"/>
              </w:rPr>
            </w:pPr>
            <w:r w:rsidRPr="004F7C04">
              <w:rPr>
                <w:rFonts w:ascii="Arial Narrow" w:hAnsi="Arial Narrow"/>
                <w:b/>
                <w:sz w:val="20"/>
              </w:rPr>
              <w:t>0.081</w:t>
            </w:r>
          </w:p>
        </w:tc>
        <w:tc>
          <w:tcPr>
            <w:tcW w:w="1495" w:type="dxa"/>
            <w:tcBorders>
              <w:top w:val="single" w:sz="4" w:space="0" w:color="auto"/>
              <w:left w:val="single" w:sz="4" w:space="0" w:color="auto"/>
              <w:bottom w:val="single" w:sz="4" w:space="0" w:color="auto"/>
              <w:right w:val="single" w:sz="4" w:space="0" w:color="auto"/>
            </w:tcBorders>
            <w:noWrap/>
          </w:tcPr>
          <w:p w14:paraId="1B870A89" w14:textId="77777777" w:rsidR="0084043B" w:rsidRPr="004F7C04" w:rsidRDefault="0084043B" w:rsidP="0084043B">
            <w:pPr>
              <w:spacing w:after="40"/>
              <w:jc w:val="center"/>
              <w:rPr>
                <w:rFonts w:ascii="Arial Narrow" w:hAnsi="Arial Narrow"/>
                <w:b/>
                <w:sz w:val="20"/>
              </w:rPr>
            </w:pPr>
            <w:r w:rsidRPr="004F7C04">
              <w:rPr>
                <w:rFonts w:ascii="Arial Narrow" w:hAnsi="Arial Narrow"/>
                <w:b/>
                <w:sz w:val="20"/>
              </w:rPr>
              <w:t>$54,175</w:t>
            </w:r>
          </w:p>
        </w:tc>
      </w:tr>
      <w:tr w:rsidR="0084043B" w:rsidRPr="0064127C" w14:paraId="53C439E6" w14:textId="77777777" w:rsidTr="004F7C04">
        <w:trPr>
          <w:trHeight w:val="14"/>
        </w:trPr>
        <w:tc>
          <w:tcPr>
            <w:tcW w:w="4531" w:type="dxa"/>
            <w:tcBorders>
              <w:top w:val="single" w:sz="4" w:space="0" w:color="auto"/>
              <w:left w:val="single" w:sz="4" w:space="0" w:color="auto"/>
              <w:bottom w:val="single" w:sz="4" w:space="0" w:color="auto"/>
            </w:tcBorders>
            <w:noWrap/>
          </w:tcPr>
          <w:p w14:paraId="2E755BF8" w14:textId="77777777" w:rsidR="0084043B" w:rsidRDefault="0084043B" w:rsidP="0084043B">
            <w:pPr>
              <w:spacing w:after="40"/>
              <w:rPr>
                <w:rFonts w:ascii="Arial Narrow" w:hAnsi="Arial Narrow"/>
                <w:sz w:val="20"/>
              </w:rPr>
            </w:pPr>
            <w:r w:rsidRPr="0084043B">
              <w:rPr>
                <w:rFonts w:ascii="Arial Narrow" w:hAnsi="Arial Narrow"/>
                <w:sz w:val="20"/>
              </w:rPr>
              <w:t>Societal perspective (healthcare and societal)</w:t>
            </w:r>
          </w:p>
        </w:tc>
        <w:tc>
          <w:tcPr>
            <w:tcW w:w="1495" w:type="dxa"/>
            <w:tcBorders>
              <w:top w:val="single" w:sz="4" w:space="0" w:color="auto"/>
              <w:bottom w:val="single" w:sz="4" w:space="0" w:color="auto"/>
            </w:tcBorders>
            <w:noWrap/>
          </w:tcPr>
          <w:p w14:paraId="6755FE1A" w14:textId="77777777" w:rsidR="0084043B" w:rsidRPr="006A3F61" w:rsidRDefault="0084043B" w:rsidP="0084043B">
            <w:pPr>
              <w:spacing w:after="40"/>
              <w:jc w:val="center"/>
              <w:rPr>
                <w:rFonts w:ascii="Arial Narrow" w:hAnsi="Arial Narrow"/>
                <w:sz w:val="20"/>
              </w:rPr>
            </w:pPr>
          </w:p>
        </w:tc>
        <w:tc>
          <w:tcPr>
            <w:tcW w:w="1495" w:type="dxa"/>
            <w:tcBorders>
              <w:top w:val="single" w:sz="4" w:space="0" w:color="auto"/>
              <w:bottom w:val="single" w:sz="4" w:space="0" w:color="auto"/>
            </w:tcBorders>
            <w:noWrap/>
          </w:tcPr>
          <w:p w14:paraId="69021072" w14:textId="77777777" w:rsidR="0084043B" w:rsidRDefault="0084043B" w:rsidP="0084043B">
            <w:pPr>
              <w:spacing w:after="40"/>
              <w:jc w:val="center"/>
              <w:rPr>
                <w:rFonts w:ascii="Arial Narrow" w:hAnsi="Arial Narrow"/>
                <w:sz w:val="20"/>
              </w:rPr>
            </w:pPr>
          </w:p>
        </w:tc>
        <w:tc>
          <w:tcPr>
            <w:tcW w:w="1495" w:type="dxa"/>
            <w:tcBorders>
              <w:top w:val="single" w:sz="4" w:space="0" w:color="auto"/>
              <w:bottom w:val="single" w:sz="4" w:space="0" w:color="auto"/>
              <w:right w:val="single" w:sz="4" w:space="0" w:color="auto"/>
            </w:tcBorders>
            <w:noWrap/>
          </w:tcPr>
          <w:p w14:paraId="0F3DDFED" w14:textId="77777777" w:rsidR="0084043B" w:rsidRPr="002E7410" w:rsidRDefault="0084043B" w:rsidP="0084043B">
            <w:pPr>
              <w:spacing w:after="40"/>
              <w:jc w:val="center"/>
              <w:rPr>
                <w:rFonts w:ascii="Arial Narrow" w:hAnsi="Arial Narrow"/>
                <w:sz w:val="20"/>
              </w:rPr>
            </w:pPr>
          </w:p>
        </w:tc>
      </w:tr>
      <w:tr w:rsidR="0084043B" w:rsidRPr="0064127C" w14:paraId="1C5BC8F0" w14:textId="77777777" w:rsidTr="004F7C04">
        <w:trPr>
          <w:trHeight w:val="14"/>
        </w:trPr>
        <w:tc>
          <w:tcPr>
            <w:tcW w:w="4531" w:type="dxa"/>
            <w:tcBorders>
              <w:top w:val="single" w:sz="4" w:space="0" w:color="auto"/>
              <w:left w:val="single" w:sz="4" w:space="0" w:color="auto"/>
              <w:bottom w:val="single" w:sz="4" w:space="0" w:color="auto"/>
              <w:right w:val="single" w:sz="4" w:space="0" w:color="auto"/>
            </w:tcBorders>
            <w:noWrap/>
          </w:tcPr>
          <w:p w14:paraId="29EE0C3D" w14:textId="77777777" w:rsidR="0084043B" w:rsidRDefault="0084043B" w:rsidP="0084043B">
            <w:pPr>
              <w:spacing w:after="40"/>
              <w:ind w:left="227"/>
              <w:rPr>
                <w:rFonts w:ascii="Arial Narrow" w:hAnsi="Arial Narrow"/>
                <w:sz w:val="20"/>
              </w:rPr>
            </w:pPr>
            <w:r w:rsidRPr="0001579B">
              <w:rPr>
                <w:rFonts w:ascii="Arial Narrow" w:hAnsi="Arial Narrow"/>
                <w:sz w:val="20"/>
              </w:rPr>
              <w:t>Pooled result</w:t>
            </w:r>
            <w:r w:rsidRPr="0039726C">
              <w:rPr>
                <w:rFonts w:ascii="Arial Narrow" w:hAnsi="Arial Narrow"/>
                <w:b/>
                <w:sz w:val="20"/>
              </w:rPr>
              <w:t xml:space="preserve"> </w:t>
            </w:r>
            <w:r>
              <w:rPr>
                <w:rFonts w:ascii="Arial Narrow" w:hAnsi="Arial Narrow"/>
                <w:sz w:val="20"/>
              </w:rPr>
              <w:t>(assuming 39% PTRCT and 71</w:t>
            </w:r>
            <w:r w:rsidRPr="00D724BB">
              <w:rPr>
                <w:rFonts w:ascii="Arial Narrow" w:hAnsi="Arial Narrow"/>
                <w:sz w:val="20"/>
              </w:rPr>
              <w:t>% FTRCT)</w:t>
            </w:r>
          </w:p>
        </w:tc>
        <w:tc>
          <w:tcPr>
            <w:tcW w:w="1495" w:type="dxa"/>
            <w:tcBorders>
              <w:top w:val="single" w:sz="4" w:space="0" w:color="auto"/>
              <w:left w:val="single" w:sz="4" w:space="0" w:color="auto"/>
              <w:bottom w:val="single" w:sz="4" w:space="0" w:color="auto"/>
              <w:right w:val="single" w:sz="4" w:space="0" w:color="auto"/>
            </w:tcBorders>
            <w:noWrap/>
          </w:tcPr>
          <w:p w14:paraId="2C585847" w14:textId="77777777" w:rsidR="0084043B" w:rsidRPr="006A3F61" w:rsidRDefault="0084043B" w:rsidP="0084043B">
            <w:pPr>
              <w:spacing w:after="40"/>
              <w:jc w:val="center"/>
              <w:rPr>
                <w:rFonts w:ascii="Arial Narrow" w:hAnsi="Arial Narrow"/>
                <w:sz w:val="20"/>
              </w:rPr>
            </w:pPr>
            <w:r>
              <w:rPr>
                <w:rFonts w:ascii="Arial Narrow" w:hAnsi="Arial Narrow"/>
                <w:sz w:val="20"/>
              </w:rPr>
              <w:t>-$6,298</w:t>
            </w:r>
          </w:p>
        </w:tc>
        <w:tc>
          <w:tcPr>
            <w:tcW w:w="1495" w:type="dxa"/>
            <w:tcBorders>
              <w:top w:val="single" w:sz="4" w:space="0" w:color="auto"/>
              <w:left w:val="single" w:sz="4" w:space="0" w:color="auto"/>
              <w:bottom w:val="single" w:sz="4" w:space="0" w:color="auto"/>
              <w:right w:val="single" w:sz="4" w:space="0" w:color="auto"/>
            </w:tcBorders>
            <w:noWrap/>
          </w:tcPr>
          <w:p w14:paraId="543F66A5" w14:textId="77777777" w:rsidR="0084043B" w:rsidRDefault="0084043B" w:rsidP="0084043B">
            <w:pPr>
              <w:spacing w:after="40"/>
              <w:jc w:val="center"/>
              <w:rPr>
                <w:rFonts w:ascii="Arial Narrow" w:hAnsi="Arial Narrow"/>
                <w:sz w:val="20"/>
              </w:rPr>
            </w:pPr>
            <w:r>
              <w:rPr>
                <w:rFonts w:ascii="Arial Narrow" w:hAnsi="Arial Narrow"/>
                <w:sz w:val="20"/>
              </w:rPr>
              <w:t>0.081</w:t>
            </w:r>
          </w:p>
        </w:tc>
        <w:tc>
          <w:tcPr>
            <w:tcW w:w="1495" w:type="dxa"/>
            <w:tcBorders>
              <w:top w:val="single" w:sz="4" w:space="0" w:color="auto"/>
              <w:left w:val="single" w:sz="4" w:space="0" w:color="auto"/>
              <w:bottom w:val="single" w:sz="4" w:space="0" w:color="auto"/>
              <w:right w:val="single" w:sz="4" w:space="0" w:color="auto"/>
            </w:tcBorders>
            <w:noWrap/>
          </w:tcPr>
          <w:p w14:paraId="1F51B364" w14:textId="77777777" w:rsidR="0084043B" w:rsidRPr="002E7410" w:rsidRDefault="0084043B" w:rsidP="0084043B">
            <w:pPr>
              <w:spacing w:after="40"/>
              <w:jc w:val="center"/>
              <w:rPr>
                <w:rFonts w:ascii="Arial Narrow" w:hAnsi="Arial Narrow"/>
                <w:sz w:val="20"/>
              </w:rPr>
            </w:pPr>
            <w:r w:rsidRPr="002E7410">
              <w:rPr>
                <w:rFonts w:ascii="Arial Narrow" w:hAnsi="Arial Narrow"/>
                <w:sz w:val="20"/>
              </w:rPr>
              <w:t>REGENETEN</w:t>
            </w:r>
            <w:r>
              <w:rPr>
                <w:rFonts w:ascii="Arial Narrow" w:hAnsi="Arial Narrow"/>
                <w:sz w:val="20"/>
              </w:rPr>
              <w:t xml:space="preserve"> dominates</w:t>
            </w:r>
          </w:p>
        </w:tc>
      </w:tr>
    </w:tbl>
    <w:bookmarkEnd w:id="22"/>
    <w:p w14:paraId="08386F37" w14:textId="77777777" w:rsidR="00F07327" w:rsidRPr="0064127C" w:rsidRDefault="00F07327" w:rsidP="00F07327">
      <w:pPr>
        <w:pStyle w:val="Tablenotes"/>
      </w:pPr>
      <w:r w:rsidRPr="0064127C">
        <w:t>QALY, quality adjusted life year. ICER, incremental cost effectiveness ratio.</w:t>
      </w:r>
    </w:p>
    <w:p w14:paraId="780F4427" w14:textId="77777777" w:rsidR="00F07327" w:rsidRPr="00A83A91" w:rsidRDefault="00F07327" w:rsidP="00F07327">
      <w:pPr>
        <w:pStyle w:val="Tablenotes"/>
      </w:pPr>
      <w:r w:rsidRPr="0064127C">
        <w:t xml:space="preserve">Source: </w:t>
      </w:r>
      <w:r w:rsidRPr="00A83A91">
        <w:t xml:space="preserve">Compiled from </w:t>
      </w:r>
      <w:r>
        <w:t>Tables 62 and 63, p73 of the Commentary</w:t>
      </w:r>
      <w:r w:rsidR="0084043B">
        <w:t xml:space="preserve">; and Table </w:t>
      </w:r>
      <w:proofErr w:type="gramStart"/>
      <w:r w:rsidR="0084043B">
        <w:t>2 ,</w:t>
      </w:r>
      <w:proofErr w:type="gramEnd"/>
      <w:r w:rsidR="0084043B">
        <w:t xml:space="preserve"> p6 of pre-MSAC response</w:t>
      </w:r>
    </w:p>
    <w:p w14:paraId="7CB68EB1" w14:textId="77777777" w:rsidR="00F07327" w:rsidRDefault="00F07327" w:rsidP="00F07327">
      <w:pPr>
        <w:rPr>
          <w:snapToGrid w:val="0"/>
          <w:lang w:eastAsia="en-US"/>
        </w:rPr>
      </w:pPr>
      <w:r>
        <w:rPr>
          <w:snapToGrid w:val="0"/>
          <w:lang w:eastAsia="en-US"/>
        </w:rPr>
        <w:t>In the pre-ESC response, the applicant highlighted that:</w:t>
      </w:r>
    </w:p>
    <w:p w14:paraId="028D0654" w14:textId="09AA9279" w:rsidR="00F07327" w:rsidRPr="000C1AAF" w:rsidRDefault="00F07327" w:rsidP="00F07327">
      <w:pPr>
        <w:pStyle w:val="ListParagraph"/>
        <w:numPr>
          <w:ilvl w:val="0"/>
          <w:numId w:val="37"/>
        </w:numPr>
      </w:pPr>
      <w:proofErr w:type="gramStart"/>
      <w:r>
        <w:rPr>
          <w:snapToGrid w:val="0"/>
          <w:lang w:eastAsia="en-US"/>
        </w:rPr>
        <w:t>the</w:t>
      </w:r>
      <w:proofErr w:type="gramEnd"/>
      <w:r>
        <w:rPr>
          <w:snapToGrid w:val="0"/>
          <w:lang w:eastAsia="en-US"/>
        </w:rPr>
        <w:t xml:space="preserve"> </w:t>
      </w:r>
      <w:r w:rsidRPr="00734C6B">
        <w:rPr>
          <w:snapToGrid w:val="0"/>
          <w:lang w:eastAsia="en-US"/>
        </w:rPr>
        <w:t>prevalence of symptomatic PTRCT: FTRCT was conservatively based (as the higher the proportion of FTRCT population, the better the pooled ICER) on the Sher paper and aligned with the Ratified PICO. Australian data from a retrospective cohort study of 1,624 patients who underwent arthroscopic rotator cuff repair showed a prevalence of 39% PTRCTs and 61% FTRCT (Yeo 2017</w:t>
      </w:r>
      <w:r>
        <w:rPr>
          <w:rStyle w:val="FootnoteReference"/>
          <w:snapToGrid w:val="0"/>
          <w:lang w:eastAsia="en-US"/>
        </w:rPr>
        <w:footnoteReference w:id="21"/>
      </w:r>
      <w:r w:rsidRPr="00734C6B">
        <w:rPr>
          <w:snapToGrid w:val="0"/>
          <w:lang w:eastAsia="en-US"/>
        </w:rPr>
        <w:t>). Use of these figures in the economic evaluation would improve the pooled ICER from $62,020 to $54,175.</w:t>
      </w:r>
      <w:r w:rsidR="0084043B">
        <w:rPr>
          <w:snapToGrid w:val="0"/>
          <w:lang w:eastAsia="en-US"/>
        </w:rPr>
        <w:t xml:space="preserve"> (</w:t>
      </w:r>
      <w:proofErr w:type="gramStart"/>
      <w:r w:rsidR="0084043B" w:rsidRPr="00461E5E">
        <w:rPr>
          <w:snapToGrid w:val="0"/>
          <w:szCs w:val="24"/>
          <w:lang w:eastAsia="en-US"/>
        </w:rPr>
        <w:t>see</w:t>
      </w:r>
      <w:proofErr w:type="gramEnd"/>
      <w:r w:rsidR="0084043B" w:rsidRPr="00461E5E">
        <w:rPr>
          <w:snapToGrid w:val="0"/>
          <w:szCs w:val="24"/>
          <w:lang w:eastAsia="en-US"/>
        </w:rPr>
        <w:t xml:space="preserve"> </w:t>
      </w:r>
      <w:r w:rsidR="00461E5E" w:rsidRPr="00461E5E">
        <w:rPr>
          <w:snapToGrid w:val="0"/>
          <w:szCs w:val="24"/>
          <w:lang w:eastAsia="en-US"/>
        </w:rPr>
        <w:fldChar w:fldCharType="begin"/>
      </w:r>
      <w:r w:rsidR="00461E5E" w:rsidRPr="00461E5E">
        <w:rPr>
          <w:snapToGrid w:val="0"/>
          <w:szCs w:val="24"/>
          <w:lang w:eastAsia="en-US"/>
        </w:rPr>
        <w:instrText xml:space="preserve"> REF _Ref34853664 \h  \* MERGEFORMAT </w:instrText>
      </w:r>
      <w:r w:rsidR="00461E5E" w:rsidRPr="00461E5E">
        <w:rPr>
          <w:snapToGrid w:val="0"/>
          <w:szCs w:val="24"/>
          <w:lang w:eastAsia="en-US"/>
        </w:rPr>
      </w:r>
      <w:r w:rsidR="00461E5E" w:rsidRPr="00461E5E">
        <w:rPr>
          <w:snapToGrid w:val="0"/>
          <w:szCs w:val="24"/>
          <w:lang w:eastAsia="en-US"/>
        </w:rPr>
        <w:fldChar w:fldCharType="separate"/>
      </w:r>
      <w:r w:rsidR="00455942" w:rsidRPr="00455942">
        <w:rPr>
          <w:szCs w:val="24"/>
        </w:rPr>
        <w:t>Table 8</w:t>
      </w:r>
      <w:r w:rsidR="00461E5E" w:rsidRPr="00461E5E">
        <w:rPr>
          <w:snapToGrid w:val="0"/>
          <w:szCs w:val="24"/>
          <w:lang w:eastAsia="en-US"/>
        </w:rPr>
        <w:fldChar w:fldCharType="end"/>
      </w:r>
      <w:r w:rsidR="0084043B" w:rsidRPr="00461E5E">
        <w:rPr>
          <w:snapToGrid w:val="0"/>
          <w:szCs w:val="24"/>
          <w:lang w:eastAsia="en-US"/>
        </w:rPr>
        <w:t xml:space="preserve"> above</w:t>
      </w:r>
      <w:r w:rsidR="0084043B">
        <w:rPr>
          <w:snapToGrid w:val="0"/>
          <w:lang w:eastAsia="en-US"/>
        </w:rPr>
        <w:t>).</w:t>
      </w:r>
      <w:r w:rsidR="0001579B">
        <w:rPr>
          <w:snapToGrid w:val="0"/>
          <w:lang w:eastAsia="en-US"/>
        </w:rPr>
        <w:t xml:space="preserve"> </w:t>
      </w:r>
    </w:p>
    <w:p w14:paraId="773878E3" w14:textId="77777777" w:rsidR="00F07327" w:rsidRDefault="00F07327" w:rsidP="00F07327">
      <w:pPr>
        <w:pStyle w:val="ListParagraph"/>
        <w:numPr>
          <w:ilvl w:val="0"/>
          <w:numId w:val="37"/>
        </w:numPr>
      </w:pPr>
      <w:proofErr w:type="gramStart"/>
      <w:r w:rsidRPr="000C1AAF">
        <w:t>the</w:t>
      </w:r>
      <w:proofErr w:type="gramEnd"/>
      <w:r w:rsidRPr="000C1AAF">
        <w:t xml:space="preserve"> economic analyses conducted from a societal perspective should not be relegated to just another sensitivity analysis</w:t>
      </w:r>
      <w:r>
        <w:t xml:space="preserve"> (as done by Commentary)</w:t>
      </w:r>
      <w:r w:rsidRPr="000C1AAF">
        <w:t>, but be included as a critical and central e</w:t>
      </w:r>
      <w:r>
        <w:t>lement of the economic analyses.</w:t>
      </w:r>
    </w:p>
    <w:p w14:paraId="49905712" w14:textId="4CB2C9B8" w:rsidR="0001579B" w:rsidRDefault="000A1BE7" w:rsidP="00885C08">
      <w:pPr>
        <w:spacing w:before="240"/>
      </w:pPr>
      <w:r>
        <w:t xml:space="preserve">In the pre-MSAC response, the applicant performed a targeted literature search to provide more certainty around the estimate of </w:t>
      </w:r>
      <w:proofErr w:type="gramStart"/>
      <w:r>
        <w:t>prevalence,</w:t>
      </w:r>
      <w:proofErr w:type="gramEnd"/>
      <w:r>
        <w:t xml:space="preserve"> identifying three additional Australian </w:t>
      </w:r>
      <w:r>
        <w:lastRenderedPageBreak/>
        <w:t>studies</w:t>
      </w:r>
      <w:r w:rsidR="008219E7">
        <w:t xml:space="preserve"> which showed similar prevalence rates of PTRCT and FTRCT to Yeo 2017</w:t>
      </w:r>
      <w:r w:rsidR="005A160D">
        <w:br/>
      </w:r>
      <w:r w:rsidR="007A30C9">
        <w:t xml:space="preserve">(see </w:t>
      </w:r>
      <w:r w:rsidR="0098433F" w:rsidRPr="003562E2">
        <w:rPr>
          <w:szCs w:val="24"/>
        </w:rPr>
        <w:fldChar w:fldCharType="begin"/>
      </w:r>
      <w:r w:rsidR="0098433F" w:rsidRPr="003562E2">
        <w:rPr>
          <w:szCs w:val="24"/>
        </w:rPr>
        <w:instrText xml:space="preserve"> REF _Ref49846763 \h </w:instrText>
      </w:r>
      <w:r w:rsidR="0098433F" w:rsidRPr="003562E2">
        <w:rPr>
          <w:szCs w:val="24"/>
        </w:rPr>
      </w:r>
      <w:r w:rsidR="003562E2" w:rsidRPr="003562E2">
        <w:rPr>
          <w:szCs w:val="24"/>
        </w:rPr>
        <w:instrText xml:space="preserve"> \* MERGEFORMAT </w:instrText>
      </w:r>
      <w:r w:rsidR="0098433F" w:rsidRPr="003562E2">
        <w:rPr>
          <w:szCs w:val="24"/>
        </w:rPr>
        <w:fldChar w:fldCharType="separate"/>
      </w:r>
      <w:r w:rsidR="00455942" w:rsidRPr="00455942">
        <w:rPr>
          <w:szCs w:val="24"/>
        </w:rPr>
        <w:t>Table</w:t>
      </w:r>
      <w:r w:rsidR="00455942" w:rsidRPr="00D32FC9">
        <w:rPr>
          <w:rFonts w:ascii="Arial Narrow" w:hAnsi="Arial Narrow"/>
          <w:b/>
          <w:sz w:val="20"/>
        </w:rPr>
        <w:t xml:space="preserve"> </w:t>
      </w:r>
      <w:r w:rsidR="00455942" w:rsidRPr="00455942">
        <w:rPr>
          <w:noProof/>
          <w:szCs w:val="24"/>
        </w:rPr>
        <w:t>1</w:t>
      </w:r>
      <w:r w:rsidR="0098433F" w:rsidRPr="003562E2">
        <w:rPr>
          <w:szCs w:val="24"/>
        </w:rPr>
        <w:fldChar w:fldCharType="end"/>
      </w:r>
      <w:r w:rsidR="007A30C9">
        <w:t>).</w:t>
      </w:r>
    </w:p>
    <w:p w14:paraId="41691E2A" w14:textId="77777777" w:rsidR="00F07327" w:rsidRDefault="00F07327" w:rsidP="00F07327">
      <w:pPr>
        <w:pStyle w:val="Heading2"/>
      </w:pPr>
      <w:r>
        <w:t>Evaluator’s re-specified base-case model</w:t>
      </w:r>
    </w:p>
    <w:p w14:paraId="78B6F5D0" w14:textId="77777777" w:rsidR="00F07327" w:rsidRPr="00C31341" w:rsidRDefault="00F07327" w:rsidP="00F07327">
      <w:r>
        <w:t xml:space="preserve">During evaluation, the Commentary </w:t>
      </w:r>
      <w:r w:rsidRPr="00C31341">
        <w:t xml:space="preserve">re-specified </w:t>
      </w:r>
      <w:r>
        <w:t xml:space="preserve">the </w:t>
      </w:r>
      <w:r w:rsidRPr="00C31341">
        <w:t xml:space="preserve">base case ICER </w:t>
      </w:r>
      <w:proofErr w:type="gramStart"/>
      <w:r w:rsidRPr="00C31341">
        <w:t>was performed</w:t>
      </w:r>
      <w:proofErr w:type="gramEnd"/>
      <w:r w:rsidRPr="00C31341">
        <w:t xml:space="preserve"> as the ADARs base case pooled ICER failed to accurately represent the cost-effectiveness of REGENETEN due to the following two issues: </w:t>
      </w:r>
    </w:p>
    <w:p w14:paraId="1E01347C" w14:textId="77777777" w:rsidR="00F07327" w:rsidRDefault="00F07327" w:rsidP="00F07327">
      <w:pPr>
        <w:pStyle w:val="ListParagraph"/>
        <w:numPr>
          <w:ilvl w:val="0"/>
          <w:numId w:val="39"/>
        </w:numPr>
      </w:pPr>
      <w:r w:rsidRPr="00C31341">
        <w:t xml:space="preserve">The PTRCT and FTRCT re-tear rates were used as proxies for revision surgery </w:t>
      </w:r>
      <w:proofErr w:type="gramStart"/>
      <w:r w:rsidRPr="00C31341">
        <w:t>rate</w:t>
      </w:r>
      <w:r>
        <w:t>s which</w:t>
      </w:r>
      <w:proofErr w:type="gramEnd"/>
      <w:r>
        <w:t xml:space="preserve"> is not appropriate.  The Commentary </w:t>
      </w:r>
      <w:r w:rsidRPr="00C31341">
        <w:t xml:space="preserve">used the revision surgery rates directly from Section </w:t>
      </w:r>
      <w:r>
        <w:t>B in the re-specified base case</w:t>
      </w:r>
    </w:p>
    <w:p w14:paraId="5B63C13E" w14:textId="0B483C73" w:rsidR="00F07327" w:rsidRPr="005A160D" w:rsidRDefault="00F07327" w:rsidP="00F07327">
      <w:pPr>
        <w:pStyle w:val="ListParagraph"/>
        <w:numPr>
          <w:ilvl w:val="0"/>
          <w:numId w:val="39"/>
        </w:numPr>
        <w:rPr>
          <w:szCs w:val="24"/>
        </w:rPr>
      </w:pPr>
      <w:r w:rsidRPr="003E0B3F">
        <w:rPr>
          <w:bCs/>
        </w:rPr>
        <w:t xml:space="preserve">Revision surgeries were included as a cost in the model in the first year, which is appropriate.  However, the utility value after revision surgery </w:t>
      </w:r>
      <w:proofErr w:type="gramStart"/>
      <w:r w:rsidRPr="003E0B3F">
        <w:rPr>
          <w:bCs/>
        </w:rPr>
        <w:t>should be increased</w:t>
      </w:r>
      <w:proofErr w:type="gramEnd"/>
      <w:r w:rsidRPr="003E0B3F">
        <w:rPr>
          <w:bCs/>
        </w:rPr>
        <w:t xml:space="preserve"> in the second year for consistency with the costs.  </w:t>
      </w:r>
      <w:r w:rsidR="007A30C9">
        <w:rPr>
          <w:bCs/>
        </w:rPr>
        <w:t>Thus, the Commentary</w:t>
      </w:r>
      <w:r w:rsidRPr="003E0B3F">
        <w:rPr>
          <w:bCs/>
        </w:rPr>
        <w:t xml:space="preserve"> assumed a higher utility value for patients undergoing revi</w:t>
      </w:r>
      <w:r w:rsidRPr="008B2F30">
        <w:rPr>
          <w:bCs/>
        </w:rPr>
        <w:t xml:space="preserve">sion surgery in the second year </w:t>
      </w:r>
      <w:r w:rsidR="005A160D">
        <w:rPr>
          <w:bCs/>
        </w:rPr>
        <w:br/>
      </w:r>
      <w:r w:rsidRPr="008B2F30">
        <w:t>(</w:t>
      </w:r>
      <w:r w:rsidR="0098433F" w:rsidRPr="005A160D">
        <w:rPr>
          <w:bCs/>
          <w:szCs w:val="24"/>
        </w:rPr>
        <w:fldChar w:fldCharType="begin"/>
      </w:r>
      <w:r w:rsidR="0098433F" w:rsidRPr="005A160D">
        <w:rPr>
          <w:szCs w:val="24"/>
        </w:rPr>
        <w:instrText xml:space="preserve"> REF _Ref35895527 \h </w:instrText>
      </w:r>
      <w:r w:rsidR="0098433F" w:rsidRPr="005A160D">
        <w:rPr>
          <w:bCs/>
          <w:szCs w:val="24"/>
        </w:rPr>
      </w:r>
      <w:r w:rsidR="003562E2" w:rsidRPr="005A160D">
        <w:rPr>
          <w:bCs/>
          <w:szCs w:val="24"/>
        </w:rPr>
        <w:instrText xml:space="preserve"> \* MERGEFORMAT </w:instrText>
      </w:r>
      <w:r w:rsidR="0098433F" w:rsidRPr="005A160D">
        <w:rPr>
          <w:bCs/>
          <w:szCs w:val="24"/>
        </w:rPr>
        <w:fldChar w:fldCharType="separate"/>
      </w:r>
      <w:r w:rsidR="00455942" w:rsidRPr="00455942">
        <w:rPr>
          <w:szCs w:val="24"/>
        </w:rPr>
        <w:t xml:space="preserve">Table </w:t>
      </w:r>
      <w:r w:rsidR="00455942" w:rsidRPr="00455942">
        <w:rPr>
          <w:noProof/>
          <w:szCs w:val="24"/>
        </w:rPr>
        <w:t>9</w:t>
      </w:r>
      <w:r w:rsidR="0098433F" w:rsidRPr="005A160D">
        <w:rPr>
          <w:bCs/>
          <w:szCs w:val="24"/>
        </w:rPr>
        <w:fldChar w:fldCharType="end"/>
      </w:r>
      <w:r w:rsidRPr="005A160D">
        <w:rPr>
          <w:szCs w:val="24"/>
        </w:rPr>
        <w:t>).</w:t>
      </w:r>
    </w:p>
    <w:p w14:paraId="1CF95419" w14:textId="4017ED89" w:rsidR="00F07327" w:rsidRPr="00D32FC9" w:rsidRDefault="0098433F" w:rsidP="00D32FC9">
      <w:pPr>
        <w:spacing w:before="240"/>
        <w:rPr>
          <w:rFonts w:ascii="Arial Narrow" w:hAnsi="Arial Narrow"/>
          <w:b/>
          <w:sz w:val="20"/>
        </w:rPr>
      </w:pPr>
      <w:bookmarkStart w:id="23" w:name="_Ref35895527"/>
      <w:r w:rsidRPr="00D32FC9">
        <w:rPr>
          <w:rFonts w:ascii="Arial Narrow" w:hAnsi="Arial Narrow"/>
          <w:b/>
          <w:sz w:val="20"/>
        </w:rPr>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9</w:t>
      </w:r>
      <w:r w:rsidR="00F62D1A" w:rsidRPr="00D32FC9">
        <w:rPr>
          <w:rFonts w:ascii="Arial Narrow" w:hAnsi="Arial Narrow"/>
          <w:b/>
          <w:sz w:val="20"/>
        </w:rPr>
        <w:fldChar w:fldCharType="end"/>
      </w:r>
      <w:bookmarkEnd w:id="23"/>
      <w:r w:rsidR="00F07327" w:rsidRPr="00D32FC9">
        <w:rPr>
          <w:rFonts w:ascii="Arial Narrow" w:hAnsi="Arial Narrow"/>
          <w:b/>
          <w:sz w:val="20"/>
        </w:rPr>
        <w:tab/>
      </w:r>
      <w:proofErr w:type="gramStart"/>
      <w:r w:rsidR="00F07327" w:rsidRPr="00D32FC9">
        <w:rPr>
          <w:rFonts w:ascii="Arial Narrow" w:hAnsi="Arial Narrow"/>
          <w:b/>
          <w:sz w:val="20"/>
        </w:rPr>
        <w:t>Commentary’s</w:t>
      </w:r>
      <w:proofErr w:type="gramEnd"/>
      <w:r w:rsidR="00F07327" w:rsidRPr="00D32FC9">
        <w:rPr>
          <w:rFonts w:ascii="Arial Narrow" w:hAnsi="Arial Narrow"/>
          <w:b/>
          <w:sz w:val="20"/>
        </w:rPr>
        <w:t xml:space="preserve"> re-specified base case of the economic evaluation (payer perspective)</w:t>
      </w:r>
    </w:p>
    <w:tbl>
      <w:tblPr>
        <w:tblW w:w="9072" w:type="dxa"/>
        <w:tblInd w:w="-5" w:type="dxa"/>
        <w:tblLayout w:type="fixed"/>
        <w:tblCellMar>
          <w:left w:w="28" w:type="dxa"/>
          <w:right w:w="28" w:type="dxa"/>
        </w:tblCellMar>
        <w:tblLook w:val="04A0" w:firstRow="1" w:lastRow="0" w:firstColumn="1" w:lastColumn="0" w:noHBand="0" w:noVBand="1"/>
        <w:tblDescription w:val="This table provides a description of the results of the economic evaluation. This includes detail on the cost, incremental cost, effectiveness, incremental effectiveness and incremental cost effectiveness ratio for both the intervention and comparator in the economic model."/>
      </w:tblPr>
      <w:tblGrid>
        <w:gridCol w:w="1985"/>
        <w:gridCol w:w="1134"/>
        <w:gridCol w:w="992"/>
        <w:gridCol w:w="851"/>
        <w:gridCol w:w="1134"/>
        <w:gridCol w:w="992"/>
        <w:gridCol w:w="992"/>
        <w:gridCol w:w="992"/>
      </w:tblGrid>
      <w:tr w:rsidR="00F07327" w:rsidRPr="0064127C" w14:paraId="4F4D8FD4" w14:textId="77777777" w:rsidTr="00F07327">
        <w:trPr>
          <w:trHeight w:val="8"/>
        </w:trPr>
        <w:tc>
          <w:tcPr>
            <w:tcW w:w="1985" w:type="dxa"/>
            <w:tcBorders>
              <w:top w:val="single" w:sz="4" w:space="0" w:color="auto"/>
              <w:left w:val="single" w:sz="4" w:space="0" w:color="auto"/>
              <w:bottom w:val="single" w:sz="4" w:space="0" w:color="auto"/>
              <w:right w:val="single" w:sz="4" w:space="0" w:color="auto"/>
            </w:tcBorders>
            <w:noWrap/>
            <w:vAlign w:val="center"/>
          </w:tcPr>
          <w:p w14:paraId="241BFE21" w14:textId="77777777" w:rsidR="00F07327" w:rsidRPr="0064127C" w:rsidRDefault="00F07327" w:rsidP="00F07327">
            <w:pPr>
              <w:spacing w:after="40"/>
              <w:rPr>
                <w:rFonts w:ascii="Arial Narrow" w:hAnsi="Arial Narrow"/>
                <w:sz w:val="20"/>
              </w:rPr>
            </w:pPr>
          </w:p>
        </w:tc>
        <w:tc>
          <w:tcPr>
            <w:tcW w:w="1134" w:type="dxa"/>
            <w:tcBorders>
              <w:top w:val="single" w:sz="4" w:space="0" w:color="auto"/>
              <w:left w:val="single" w:sz="4" w:space="0" w:color="auto"/>
              <w:bottom w:val="single" w:sz="4" w:space="0" w:color="auto"/>
            </w:tcBorders>
            <w:vAlign w:val="center"/>
          </w:tcPr>
          <w:p w14:paraId="60F0F08F" w14:textId="77777777" w:rsidR="00F07327" w:rsidRPr="0064127C" w:rsidRDefault="00F07327" w:rsidP="00F07327">
            <w:pPr>
              <w:spacing w:after="40"/>
              <w:jc w:val="center"/>
              <w:rPr>
                <w:rFonts w:ascii="Arial Narrow" w:hAnsi="Arial Narrow"/>
                <w:sz w:val="20"/>
              </w:rPr>
            </w:pPr>
          </w:p>
        </w:tc>
        <w:tc>
          <w:tcPr>
            <w:tcW w:w="992" w:type="dxa"/>
            <w:tcBorders>
              <w:top w:val="single" w:sz="4" w:space="0" w:color="auto"/>
              <w:bottom w:val="single" w:sz="4" w:space="0" w:color="auto"/>
            </w:tcBorders>
            <w:vAlign w:val="center"/>
          </w:tcPr>
          <w:p w14:paraId="16497D1C" w14:textId="77777777" w:rsidR="00F07327" w:rsidRPr="00D220DA" w:rsidRDefault="00F07327" w:rsidP="00F07327">
            <w:pPr>
              <w:spacing w:after="40"/>
              <w:jc w:val="center"/>
              <w:rPr>
                <w:rFonts w:ascii="Arial Narrow" w:hAnsi="Arial Narrow"/>
                <w:b/>
                <w:sz w:val="20"/>
              </w:rPr>
            </w:pPr>
            <w:r w:rsidRPr="00D220DA">
              <w:rPr>
                <w:rFonts w:ascii="Arial Narrow" w:hAnsi="Arial Narrow"/>
                <w:b/>
                <w:sz w:val="20"/>
              </w:rPr>
              <w:t>PTRCT</w:t>
            </w:r>
          </w:p>
        </w:tc>
        <w:tc>
          <w:tcPr>
            <w:tcW w:w="851" w:type="dxa"/>
            <w:tcBorders>
              <w:top w:val="single" w:sz="4" w:space="0" w:color="auto"/>
              <w:bottom w:val="single" w:sz="4" w:space="0" w:color="auto"/>
              <w:right w:val="single" w:sz="4" w:space="0" w:color="auto"/>
            </w:tcBorders>
            <w:noWrap/>
            <w:vAlign w:val="center"/>
          </w:tcPr>
          <w:p w14:paraId="1C5168E0" w14:textId="77777777" w:rsidR="00F07327" w:rsidRPr="00D220DA" w:rsidRDefault="00F07327" w:rsidP="00F07327">
            <w:pPr>
              <w:spacing w:after="40"/>
              <w:jc w:val="center"/>
              <w:rPr>
                <w:rFonts w:ascii="Arial Narrow" w:hAnsi="Arial Narrow"/>
                <w:b/>
                <w:sz w:val="20"/>
              </w:rPr>
            </w:pPr>
          </w:p>
        </w:tc>
        <w:tc>
          <w:tcPr>
            <w:tcW w:w="1134" w:type="dxa"/>
            <w:tcBorders>
              <w:top w:val="single" w:sz="4" w:space="0" w:color="auto"/>
              <w:left w:val="single" w:sz="4" w:space="0" w:color="auto"/>
              <w:bottom w:val="single" w:sz="4" w:space="0" w:color="auto"/>
            </w:tcBorders>
            <w:vAlign w:val="center"/>
          </w:tcPr>
          <w:p w14:paraId="7A311AB6" w14:textId="77777777" w:rsidR="00F07327" w:rsidRPr="00D220DA" w:rsidRDefault="00F07327" w:rsidP="00F07327">
            <w:pPr>
              <w:spacing w:after="40"/>
              <w:jc w:val="center"/>
              <w:rPr>
                <w:rFonts w:ascii="Arial Narrow" w:hAnsi="Arial Narrow"/>
                <w:b/>
                <w:sz w:val="20"/>
              </w:rPr>
            </w:pPr>
          </w:p>
        </w:tc>
        <w:tc>
          <w:tcPr>
            <w:tcW w:w="992" w:type="dxa"/>
            <w:tcBorders>
              <w:top w:val="single" w:sz="4" w:space="0" w:color="auto"/>
              <w:bottom w:val="single" w:sz="4" w:space="0" w:color="auto"/>
            </w:tcBorders>
            <w:vAlign w:val="center"/>
          </w:tcPr>
          <w:p w14:paraId="48DAA0F1" w14:textId="77777777" w:rsidR="00F07327" w:rsidRPr="00D220DA" w:rsidRDefault="00F07327" w:rsidP="00F07327">
            <w:pPr>
              <w:spacing w:after="40"/>
              <w:jc w:val="center"/>
              <w:rPr>
                <w:rFonts w:ascii="Arial Narrow" w:hAnsi="Arial Narrow"/>
                <w:b/>
                <w:sz w:val="20"/>
              </w:rPr>
            </w:pPr>
            <w:r w:rsidRPr="00D220DA">
              <w:rPr>
                <w:rFonts w:ascii="Arial Narrow" w:hAnsi="Arial Narrow"/>
                <w:b/>
                <w:sz w:val="20"/>
              </w:rPr>
              <w:t>FTRCT</w:t>
            </w:r>
          </w:p>
        </w:tc>
        <w:tc>
          <w:tcPr>
            <w:tcW w:w="992" w:type="dxa"/>
            <w:tcBorders>
              <w:top w:val="single" w:sz="4" w:space="0" w:color="auto"/>
              <w:bottom w:val="single" w:sz="4" w:space="0" w:color="auto"/>
              <w:right w:val="single" w:sz="4" w:space="0" w:color="auto"/>
            </w:tcBorders>
            <w:noWrap/>
            <w:vAlign w:val="center"/>
          </w:tcPr>
          <w:p w14:paraId="065D1BE4" w14:textId="77777777" w:rsidR="00F07327" w:rsidRPr="0064127C" w:rsidRDefault="00F07327" w:rsidP="00F07327">
            <w:pPr>
              <w:spacing w:after="40"/>
              <w:jc w:val="center"/>
              <w:rPr>
                <w:rFonts w:ascii="Arial Narrow" w:hAnsi="Arial Narrow"/>
                <w:sz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3D03A13E" w14:textId="77777777" w:rsidR="00F07327" w:rsidRDefault="00F07327" w:rsidP="00F07327">
            <w:pPr>
              <w:spacing w:after="40"/>
              <w:jc w:val="center"/>
              <w:rPr>
                <w:rFonts w:ascii="Arial Narrow" w:hAnsi="Arial Narrow" w:cs="Calibri"/>
                <w:color w:val="000000"/>
                <w:sz w:val="20"/>
              </w:rPr>
            </w:pPr>
          </w:p>
        </w:tc>
      </w:tr>
      <w:tr w:rsidR="00F07327" w:rsidRPr="0064127C" w14:paraId="5CC30FDD" w14:textId="77777777" w:rsidTr="00F07327">
        <w:trPr>
          <w:trHeight w:val="8"/>
        </w:trPr>
        <w:tc>
          <w:tcPr>
            <w:tcW w:w="1985" w:type="dxa"/>
            <w:tcBorders>
              <w:top w:val="single" w:sz="4" w:space="0" w:color="auto"/>
              <w:left w:val="single" w:sz="4" w:space="0" w:color="auto"/>
              <w:bottom w:val="single" w:sz="4" w:space="0" w:color="auto"/>
              <w:right w:val="single" w:sz="4" w:space="0" w:color="auto"/>
            </w:tcBorders>
            <w:noWrap/>
            <w:vAlign w:val="center"/>
          </w:tcPr>
          <w:p w14:paraId="6D939CB7" w14:textId="77777777" w:rsidR="00F07327" w:rsidRPr="00D220DA" w:rsidRDefault="00F07327" w:rsidP="00F07327">
            <w:pPr>
              <w:spacing w:after="40"/>
              <w:rPr>
                <w:rFonts w:ascii="Arial Narrow" w:hAnsi="Arial Narrow"/>
                <w:b/>
                <w:sz w:val="20"/>
              </w:rPr>
            </w:pPr>
            <w:r w:rsidRPr="00D220DA">
              <w:rPr>
                <w:rFonts w:ascii="Arial Narrow" w:hAnsi="Arial Narrow"/>
                <w:b/>
                <w:sz w:val="20"/>
              </w:rPr>
              <w:t>Scenario</w:t>
            </w:r>
          </w:p>
        </w:tc>
        <w:tc>
          <w:tcPr>
            <w:tcW w:w="1134" w:type="dxa"/>
            <w:tcBorders>
              <w:top w:val="single" w:sz="4" w:space="0" w:color="auto"/>
              <w:left w:val="single" w:sz="4" w:space="0" w:color="auto"/>
              <w:bottom w:val="single" w:sz="4" w:space="0" w:color="auto"/>
              <w:right w:val="single" w:sz="4" w:space="0" w:color="auto"/>
            </w:tcBorders>
            <w:vAlign w:val="center"/>
          </w:tcPr>
          <w:p w14:paraId="52F01D7A" w14:textId="77777777" w:rsidR="00F07327" w:rsidRPr="00D220DA" w:rsidRDefault="00F07327" w:rsidP="00F07327">
            <w:pPr>
              <w:pStyle w:val="Tabletext"/>
              <w:jc w:val="center"/>
              <w:rPr>
                <w:b/>
              </w:rPr>
            </w:pPr>
            <w:r w:rsidRPr="00D220DA">
              <w:rPr>
                <w:b/>
              </w:rPr>
              <w:t>Incremental Costs</w:t>
            </w:r>
          </w:p>
        </w:tc>
        <w:tc>
          <w:tcPr>
            <w:tcW w:w="992" w:type="dxa"/>
            <w:tcBorders>
              <w:top w:val="single" w:sz="4" w:space="0" w:color="auto"/>
              <w:left w:val="single" w:sz="4" w:space="0" w:color="auto"/>
              <w:bottom w:val="single" w:sz="4" w:space="0" w:color="auto"/>
              <w:right w:val="single" w:sz="4" w:space="0" w:color="auto"/>
            </w:tcBorders>
            <w:vAlign w:val="center"/>
          </w:tcPr>
          <w:p w14:paraId="60A7BB0B" w14:textId="77777777" w:rsidR="00F07327" w:rsidRPr="00D220DA" w:rsidRDefault="00F07327" w:rsidP="00F07327">
            <w:pPr>
              <w:pStyle w:val="Tabletext"/>
              <w:jc w:val="center"/>
              <w:rPr>
                <w:b/>
              </w:rPr>
            </w:pPr>
            <w:r w:rsidRPr="00D220DA">
              <w:rPr>
                <w:b/>
              </w:rPr>
              <w:t>Incremental QALY</w:t>
            </w:r>
          </w:p>
        </w:tc>
        <w:tc>
          <w:tcPr>
            <w:tcW w:w="851" w:type="dxa"/>
            <w:tcBorders>
              <w:top w:val="single" w:sz="4" w:space="0" w:color="auto"/>
              <w:left w:val="single" w:sz="4" w:space="0" w:color="auto"/>
              <w:bottom w:val="single" w:sz="4" w:space="0" w:color="auto"/>
              <w:right w:val="single" w:sz="4" w:space="0" w:color="auto"/>
            </w:tcBorders>
            <w:noWrap/>
            <w:vAlign w:val="center"/>
          </w:tcPr>
          <w:p w14:paraId="1DBF7A27" w14:textId="77777777" w:rsidR="00F07327" w:rsidRPr="00D220DA" w:rsidRDefault="00F07327" w:rsidP="00F07327">
            <w:pPr>
              <w:pStyle w:val="Tabletext"/>
              <w:jc w:val="center"/>
              <w:rPr>
                <w:b/>
              </w:rPr>
            </w:pPr>
            <w:r w:rsidRPr="00D220DA">
              <w:rPr>
                <w:b/>
              </w:rPr>
              <w:t>ICER</w:t>
            </w:r>
          </w:p>
        </w:tc>
        <w:tc>
          <w:tcPr>
            <w:tcW w:w="1134" w:type="dxa"/>
            <w:tcBorders>
              <w:top w:val="single" w:sz="4" w:space="0" w:color="auto"/>
              <w:left w:val="single" w:sz="4" w:space="0" w:color="auto"/>
              <w:bottom w:val="single" w:sz="4" w:space="0" w:color="auto"/>
              <w:right w:val="single" w:sz="4" w:space="0" w:color="auto"/>
            </w:tcBorders>
            <w:vAlign w:val="center"/>
          </w:tcPr>
          <w:p w14:paraId="55BDE5E3" w14:textId="77777777" w:rsidR="00F07327" w:rsidRPr="00D220DA" w:rsidRDefault="00F07327" w:rsidP="00F07327">
            <w:pPr>
              <w:pStyle w:val="Tabletext"/>
              <w:jc w:val="center"/>
              <w:rPr>
                <w:b/>
              </w:rPr>
            </w:pPr>
            <w:r w:rsidRPr="00D220DA">
              <w:rPr>
                <w:b/>
              </w:rPr>
              <w:t>Incremental Costs</w:t>
            </w:r>
          </w:p>
        </w:tc>
        <w:tc>
          <w:tcPr>
            <w:tcW w:w="992" w:type="dxa"/>
            <w:tcBorders>
              <w:top w:val="single" w:sz="4" w:space="0" w:color="auto"/>
              <w:left w:val="single" w:sz="4" w:space="0" w:color="auto"/>
              <w:bottom w:val="single" w:sz="4" w:space="0" w:color="auto"/>
              <w:right w:val="single" w:sz="4" w:space="0" w:color="auto"/>
            </w:tcBorders>
            <w:vAlign w:val="center"/>
          </w:tcPr>
          <w:p w14:paraId="71290662" w14:textId="77777777" w:rsidR="00F07327" w:rsidRPr="00D220DA" w:rsidRDefault="00F07327" w:rsidP="00F07327">
            <w:pPr>
              <w:pStyle w:val="Tabletext"/>
              <w:jc w:val="center"/>
              <w:rPr>
                <w:b/>
              </w:rPr>
            </w:pPr>
            <w:r w:rsidRPr="00D220DA">
              <w:rPr>
                <w:b/>
              </w:rPr>
              <w:t>Incremental QALY</w:t>
            </w:r>
          </w:p>
        </w:tc>
        <w:tc>
          <w:tcPr>
            <w:tcW w:w="992" w:type="dxa"/>
            <w:tcBorders>
              <w:top w:val="single" w:sz="4" w:space="0" w:color="auto"/>
              <w:left w:val="single" w:sz="4" w:space="0" w:color="auto"/>
              <w:bottom w:val="single" w:sz="4" w:space="0" w:color="auto"/>
              <w:right w:val="single" w:sz="4" w:space="0" w:color="auto"/>
            </w:tcBorders>
            <w:noWrap/>
            <w:vAlign w:val="center"/>
          </w:tcPr>
          <w:p w14:paraId="4DE6E466" w14:textId="77777777" w:rsidR="00F07327" w:rsidRPr="00D220DA" w:rsidRDefault="00F07327" w:rsidP="00F07327">
            <w:pPr>
              <w:pStyle w:val="Tabletext"/>
              <w:jc w:val="center"/>
              <w:rPr>
                <w:b/>
              </w:rPr>
            </w:pPr>
            <w:r w:rsidRPr="00D220DA">
              <w:rPr>
                <w:b/>
              </w:rPr>
              <w:t>ICER</w:t>
            </w:r>
          </w:p>
        </w:tc>
        <w:tc>
          <w:tcPr>
            <w:tcW w:w="992" w:type="dxa"/>
            <w:tcBorders>
              <w:top w:val="single" w:sz="4" w:space="0" w:color="auto"/>
              <w:left w:val="single" w:sz="4" w:space="0" w:color="auto"/>
              <w:bottom w:val="single" w:sz="4" w:space="0" w:color="auto"/>
              <w:right w:val="single" w:sz="4" w:space="0" w:color="auto"/>
            </w:tcBorders>
            <w:vAlign w:val="center"/>
          </w:tcPr>
          <w:p w14:paraId="2DD4EE34" w14:textId="77777777" w:rsidR="00F07327" w:rsidRPr="00D220DA" w:rsidRDefault="00F07327" w:rsidP="00F07327">
            <w:pPr>
              <w:spacing w:after="40"/>
              <w:jc w:val="center"/>
              <w:rPr>
                <w:rFonts w:ascii="Arial Narrow" w:hAnsi="Arial Narrow" w:cs="Calibri"/>
                <w:b/>
                <w:color w:val="000000"/>
                <w:sz w:val="20"/>
              </w:rPr>
            </w:pPr>
            <w:r w:rsidRPr="00D220DA">
              <w:rPr>
                <w:rFonts w:ascii="Arial Narrow" w:hAnsi="Arial Narrow" w:cs="Calibri"/>
                <w:b/>
                <w:color w:val="000000"/>
                <w:sz w:val="20"/>
              </w:rPr>
              <w:t>Pooled ICER</w:t>
            </w:r>
          </w:p>
        </w:tc>
      </w:tr>
      <w:tr w:rsidR="00F07327" w:rsidRPr="0064127C" w14:paraId="4FA78826" w14:textId="77777777" w:rsidTr="00F07327">
        <w:trPr>
          <w:trHeight w:val="8"/>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42447C5C" w14:textId="77777777" w:rsidR="00F07327" w:rsidRPr="0064127C" w:rsidRDefault="00F07327" w:rsidP="00F07327">
            <w:pPr>
              <w:spacing w:after="40"/>
              <w:rPr>
                <w:rFonts w:ascii="Arial Narrow" w:hAnsi="Arial Narrow"/>
                <w:sz w:val="20"/>
              </w:rPr>
            </w:pPr>
            <w:r w:rsidRPr="0064127C">
              <w:rPr>
                <w:rFonts w:ascii="Arial Narrow" w:hAnsi="Arial Narrow"/>
                <w:sz w:val="20"/>
              </w:rPr>
              <w:t>Base case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39E8D"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$3,254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0C66BDB"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0.043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572461DC"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$75,370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CB22B2"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$5,120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FEC993"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0.105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987EE1B" w14:textId="77777777" w:rsidR="00F07327" w:rsidRPr="0064127C" w:rsidRDefault="00F07327" w:rsidP="00F07327">
            <w:pPr>
              <w:spacing w:after="40"/>
              <w:jc w:val="center"/>
              <w:rPr>
                <w:rFonts w:ascii="Arial Narrow" w:hAnsi="Arial Narrow"/>
                <w:sz w:val="20"/>
              </w:rPr>
            </w:pPr>
            <w:r w:rsidRPr="0064127C">
              <w:rPr>
                <w:rFonts w:ascii="Arial Narrow" w:hAnsi="Arial Narrow"/>
                <w:sz w:val="20"/>
              </w:rPr>
              <w:t>$48,619</w:t>
            </w:r>
          </w:p>
        </w:tc>
        <w:tc>
          <w:tcPr>
            <w:tcW w:w="992" w:type="dxa"/>
            <w:tcBorders>
              <w:top w:val="single" w:sz="4" w:space="0" w:color="auto"/>
              <w:left w:val="single" w:sz="4" w:space="0" w:color="auto"/>
              <w:bottom w:val="single" w:sz="4" w:space="0" w:color="auto"/>
              <w:right w:val="single" w:sz="4" w:space="0" w:color="auto"/>
            </w:tcBorders>
            <w:vAlign w:val="center"/>
          </w:tcPr>
          <w:p w14:paraId="6EC67C9D" w14:textId="77777777" w:rsidR="00F07327" w:rsidRPr="0064127C" w:rsidRDefault="00F07327" w:rsidP="00F07327">
            <w:pPr>
              <w:spacing w:after="40"/>
              <w:jc w:val="center"/>
              <w:rPr>
                <w:rFonts w:ascii="Arial Narrow" w:hAnsi="Arial Narrow"/>
                <w:sz w:val="20"/>
              </w:rPr>
            </w:pPr>
            <w:r>
              <w:rPr>
                <w:rFonts w:ascii="Arial Narrow" w:hAnsi="Arial Narrow" w:cs="Calibri"/>
                <w:color w:val="000000"/>
                <w:sz w:val="20"/>
              </w:rPr>
              <w:t>$62,020</w:t>
            </w:r>
          </w:p>
        </w:tc>
      </w:tr>
      <w:tr w:rsidR="00F07327" w:rsidRPr="0064127C" w14:paraId="2E1C6A2C" w14:textId="77777777" w:rsidTr="00F07327">
        <w:trPr>
          <w:trHeight w:val="8"/>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691EF00C" w14:textId="77777777" w:rsidR="00F07327" w:rsidRPr="00532132" w:rsidRDefault="00F07327" w:rsidP="00F07327">
            <w:pPr>
              <w:spacing w:after="40"/>
              <w:rPr>
                <w:rFonts w:ascii="Arial Narrow" w:hAnsi="Arial Narrow"/>
                <w:i/>
                <w:iCs/>
                <w:sz w:val="20"/>
              </w:rPr>
            </w:pPr>
            <w:r w:rsidRPr="00532132">
              <w:rPr>
                <w:rFonts w:ascii="Arial Narrow" w:hAnsi="Arial Narrow"/>
                <w:i/>
                <w:iCs/>
                <w:sz w:val="20"/>
              </w:rPr>
              <w:t>A. Use revision surgery rates rather than re-tear rates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EBD8D2"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$3,471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E9CFAD"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0.043</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0D0DC18"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$80,394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9839B1"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$6,969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5EA2540"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0.094</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12A3E769"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$66,186</w:t>
            </w:r>
          </w:p>
        </w:tc>
        <w:tc>
          <w:tcPr>
            <w:tcW w:w="992" w:type="dxa"/>
            <w:tcBorders>
              <w:top w:val="single" w:sz="4" w:space="0" w:color="auto"/>
              <w:left w:val="single" w:sz="4" w:space="0" w:color="auto"/>
              <w:bottom w:val="single" w:sz="4" w:space="0" w:color="auto"/>
              <w:right w:val="single" w:sz="4" w:space="0" w:color="auto"/>
            </w:tcBorders>
            <w:vAlign w:val="center"/>
          </w:tcPr>
          <w:p w14:paraId="34F174D9" w14:textId="77777777" w:rsidR="00F07327" w:rsidRPr="00532132" w:rsidRDefault="00F07327" w:rsidP="00F07327">
            <w:pPr>
              <w:spacing w:after="40"/>
              <w:jc w:val="center"/>
              <w:rPr>
                <w:rFonts w:ascii="Arial Narrow" w:hAnsi="Arial Narrow"/>
                <w:i/>
                <w:iCs/>
                <w:sz w:val="20"/>
              </w:rPr>
            </w:pPr>
            <w:r w:rsidRPr="00532132">
              <w:rPr>
                <w:rFonts w:ascii="Arial Narrow" w:hAnsi="Arial Narrow" w:cs="Calibri"/>
                <w:i/>
                <w:iCs/>
                <w:color w:val="000000"/>
                <w:sz w:val="20"/>
              </w:rPr>
              <w:t>$73,303</w:t>
            </w:r>
          </w:p>
        </w:tc>
      </w:tr>
      <w:tr w:rsidR="00F07327" w:rsidRPr="0064127C" w14:paraId="18CEE723" w14:textId="77777777" w:rsidTr="00F07327">
        <w:trPr>
          <w:trHeight w:val="8"/>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1321DC73" w14:textId="77777777" w:rsidR="00F07327" w:rsidRPr="00532132" w:rsidRDefault="00F07327" w:rsidP="00F07327">
            <w:pPr>
              <w:spacing w:after="40"/>
              <w:rPr>
                <w:rFonts w:ascii="Arial Narrow" w:hAnsi="Arial Narrow"/>
                <w:i/>
                <w:iCs/>
                <w:sz w:val="20"/>
              </w:rPr>
            </w:pPr>
            <w:r w:rsidRPr="00532132">
              <w:rPr>
                <w:rFonts w:ascii="Arial Narrow" w:hAnsi="Arial Narrow"/>
                <w:i/>
                <w:iCs/>
                <w:sz w:val="20"/>
              </w:rPr>
              <w:t>B. Adjust utility value for second year after revision surgery to equal value after successful surgery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12DFAD"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$3,254</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1BB6A8"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0.022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23B1776"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$146,972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FFC7D4"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$5,120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2A2188A"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0.068</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6F9417CF"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$74,887</w:t>
            </w:r>
          </w:p>
        </w:tc>
        <w:tc>
          <w:tcPr>
            <w:tcW w:w="992" w:type="dxa"/>
            <w:tcBorders>
              <w:top w:val="single" w:sz="4" w:space="0" w:color="auto"/>
              <w:left w:val="single" w:sz="4" w:space="0" w:color="auto"/>
              <w:bottom w:val="single" w:sz="4" w:space="0" w:color="auto"/>
              <w:right w:val="single" w:sz="4" w:space="0" w:color="auto"/>
            </w:tcBorders>
            <w:vAlign w:val="center"/>
          </w:tcPr>
          <w:p w14:paraId="1F624A73" w14:textId="77777777" w:rsidR="00F07327" w:rsidRPr="00532132" w:rsidRDefault="00F07327" w:rsidP="00F07327">
            <w:pPr>
              <w:spacing w:after="40"/>
              <w:jc w:val="center"/>
              <w:rPr>
                <w:rFonts w:ascii="Arial Narrow" w:hAnsi="Arial Narrow"/>
                <w:i/>
                <w:iCs/>
                <w:sz w:val="20"/>
              </w:rPr>
            </w:pPr>
            <w:r w:rsidRPr="00532132">
              <w:rPr>
                <w:rFonts w:ascii="Arial Narrow" w:hAnsi="Arial Narrow" w:cs="Calibri"/>
                <w:i/>
                <w:iCs/>
                <w:color w:val="000000"/>
                <w:sz w:val="20"/>
              </w:rPr>
              <w:t>$106,766</w:t>
            </w:r>
          </w:p>
        </w:tc>
      </w:tr>
      <w:tr w:rsidR="00F07327" w:rsidRPr="0064127C" w14:paraId="46415771" w14:textId="77777777" w:rsidTr="00F07327">
        <w:trPr>
          <w:trHeight w:val="8"/>
        </w:trPr>
        <w:tc>
          <w:tcPr>
            <w:tcW w:w="1985" w:type="dxa"/>
            <w:tcBorders>
              <w:top w:val="single" w:sz="4" w:space="0" w:color="auto"/>
              <w:left w:val="single" w:sz="4" w:space="0" w:color="auto"/>
              <w:bottom w:val="single" w:sz="4" w:space="0" w:color="auto"/>
              <w:right w:val="single" w:sz="4" w:space="0" w:color="auto"/>
            </w:tcBorders>
            <w:noWrap/>
            <w:vAlign w:val="center"/>
            <w:hideMark/>
          </w:tcPr>
          <w:p w14:paraId="5485D685" w14:textId="77777777" w:rsidR="00F07327" w:rsidRPr="00532132" w:rsidRDefault="00F07327" w:rsidP="00F07327">
            <w:pPr>
              <w:spacing w:after="40"/>
              <w:rPr>
                <w:rFonts w:ascii="Arial Narrow" w:hAnsi="Arial Narrow"/>
                <w:b/>
                <w:bCs/>
                <w:i/>
                <w:iCs/>
                <w:sz w:val="20"/>
              </w:rPr>
            </w:pPr>
            <w:r w:rsidRPr="00532132">
              <w:rPr>
                <w:rFonts w:ascii="Arial Narrow" w:hAnsi="Arial Narrow"/>
                <w:b/>
                <w:bCs/>
                <w:i/>
                <w:iCs/>
                <w:sz w:val="20"/>
              </w:rPr>
              <w:t xml:space="preserve">A and B </w:t>
            </w:r>
          </w:p>
          <w:p w14:paraId="2D839DFC" w14:textId="77777777" w:rsidR="00F07327" w:rsidRPr="00532132" w:rsidRDefault="00F07327" w:rsidP="00F07327">
            <w:pPr>
              <w:spacing w:after="40"/>
              <w:rPr>
                <w:rFonts w:ascii="Arial Narrow" w:hAnsi="Arial Narrow"/>
                <w:b/>
                <w:bCs/>
                <w:i/>
                <w:iCs/>
                <w:sz w:val="20"/>
              </w:rPr>
            </w:pPr>
            <w:r w:rsidRPr="00532132">
              <w:rPr>
                <w:rFonts w:ascii="Arial Narrow" w:hAnsi="Arial Narrow"/>
                <w:b/>
                <w:bCs/>
                <w:i/>
                <w:iCs/>
                <w:sz w:val="20"/>
              </w:rPr>
              <w:t>Re-specified base case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509514"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$3,471</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73F384"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0.016</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0651BADD"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$213,407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7A74B3"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$6,969</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DBA448"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0.105^</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3A5344" w14:textId="77777777" w:rsidR="00F07327" w:rsidRPr="00532132" w:rsidRDefault="00F07327" w:rsidP="00F07327">
            <w:pPr>
              <w:spacing w:after="40"/>
              <w:jc w:val="center"/>
              <w:rPr>
                <w:rFonts w:ascii="Arial Narrow" w:hAnsi="Arial Narrow"/>
                <w:i/>
                <w:iCs/>
                <w:sz w:val="20"/>
              </w:rPr>
            </w:pPr>
            <w:r w:rsidRPr="00532132">
              <w:rPr>
                <w:rFonts w:ascii="Arial Narrow" w:hAnsi="Arial Narrow"/>
                <w:i/>
                <w:iCs/>
                <w:sz w:val="20"/>
              </w:rPr>
              <w:t>$66,442</w:t>
            </w:r>
          </w:p>
        </w:tc>
        <w:tc>
          <w:tcPr>
            <w:tcW w:w="992" w:type="dxa"/>
            <w:tcBorders>
              <w:top w:val="single" w:sz="4" w:space="0" w:color="auto"/>
              <w:left w:val="single" w:sz="4" w:space="0" w:color="auto"/>
              <w:bottom w:val="single" w:sz="4" w:space="0" w:color="auto"/>
              <w:right w:val="single" w:sz="4" w:space="0" w:color="auto"/>
            </w:tcBorders>
            <w:vAlign w:val="center"/>
          </w:tcPr>
          <w:p w14:paraId="6599543B" w14:textId="77777777" w:rsidR="00F07327" w:rsidRPr="00532132" w:rsidRDefault="00F07327" w:rsidP="00F07327">
            <w:pPr>
              <w:spacing w:after="40"/>
              <w:jc w:val="center"/>
              <w:rPr>
                <w:rFonts w:ascii="Arial Narrow" w:hAnsi="Arial Narrow"/>
                <w:i/>
                <w:iCs/>
                <w:sz w:val="20"/>
              </w:rPr>
            </w:pPr>
            <w:r w:rsidRPr="00532132">
              <w:rPr>
                <w:rFonts w:ascii="Arial Narrow" w:hAnsi="Arial Narrow" w:cs="Calibri"/>
                <w:i/>
                <w:iCs/>
                <w:color w:val="000000"/>
                <w:sz w:val="20"/>
              </w:rPr>
              <w:t>$106,880</w:t>
            </w:r>
          </w:p>
        </w:tc>
      </w:tr>
    </w:tbl>
    <w:p w14:paraId="53C45521" w14:textId="77777777" w:rsidR="00F07327" w:rsidRPr="0064127C" w:rsidRDefault="00F07327" w:rsidP="00F07327">
      <w:pPr>
        <w:pStyle w:val="Tablenotes"/>
      </w:pPr>
      <w:r w:rsidRPr="0064127C">
        <w:t>QALY, quality adjusted life year. ICER, incremental cost effectiveness ratio.</w:t>
      </w:r>
    </w:p>
    <w:p w14:paraId="2E02ACFB" w14:textId="52CA1051" w:rsidR="00F07327" w:rsidRPr="0039726C" w:rsidRDefault="00F07327" w:rsidP="00F07327">
      <w:pPr>
        <w:pStyle w:val="Tablenotes"/>
        <w:rPr>
          <w:b/>
        </w:rPr>
      </w:pPr>
      <w:r>
        <w:t xml:space="preserve">^ See Section D for further discussion and full details of the FTRCT calculation in </w:t>
      </w:r>
      <w:r>
        <w:fldChar w:fldCharType="begin"/>
      </w:r>
      <w:r>
        <w:instrText xml:space="preserve"> REF _Ref364237293 \h </w:instrText>
      </w:r>
      <w:r>
        <w:fldChar w:fldCharType="separate"/>
      </w:r>
      <w:r w:rsidR="00455942">
        <w:rPr>
          <w:b/>
          <w:bCs/>
          <w:lang w:val="en-US"/>
        </w:rPr>
        <w:t>Error! Reference source not found.</w:t>
      </w:r>
      <w:r>
        <w:fldChar w:fldCharType="end"/>
      </w:r>
      <w:r>
        <w:t>.</w:t>
      </w:r>
    </w:p>
    <w:p w14:paraId="37B2D26E" w14:textId="77777777" w:rsidR="00F07327" w:rsidRPr="003C0820" w:rsidRDefault="00F07327" w:rsidP="00F07327">
      <w:pPr>
        <w:pStyle w:val="Tablenotes"/>
      </w:pPr>
      <w:r w:rsidRPr="0064127C">
        <w:t xml:space="preserve">Source: </w:t>
      </w:r>
      <w:r>
        <w:t>Table 11 of the Commentary</w:t>
      </w:r>
    </w:p>
    <w:p w14:paraId="2423A0CE" w14:textId="01B31447" w:rsidR="0098433F" w:rsidRPr="00885C08" w:rsidRDefault="00F07327">
      <w:r w:rsidRPr="0064127C">
        <w:t xml:space="preserve">The results of </w:t>
      </w:r>
      <w:r>
        <w:t xml:space="preserve">deterministic </w:t>
      </w:r>
      <w:r w:rsidRPr="0064127C">
        <w:t xml:space="preserve">sensitivity </w:t>
      </w:r>
      <w:r>
        <w:t xml:space="preserve">analyses </w:t>
      </w:r>
      <w:r w:rsidRPr="0064127C">
        <w:t>found that modelled results were most sensitive to the utility values</w:t>
      </w:r>
      <w:r>
        <w:t>, the number of REGENETEN patches used,</w:t>
      </w:r>
      <w:r w:rsidRPr="0064127C">
        <w:t xml:space="preserve"> and the </w:t>
      </w:r>
      <w:r w:rsidRPr="0064127C">
        <w:rPr>
          <w:iCs/>
        </w:rPr>
        <w:t xml:space="preserve">difference in numbers of physiotherapy visits between treatment </w:t>
      </w:r>
      <w:r w:rsidRPr="00461E5E">
        <w:rPr>
          <w:iCs/>
          <w:szCs w:val="24"/>
        </w:rPr>
        <w:t>arms (</w:t>
      </w:r>
      <w:r w:rsidR="00461E5E" w:rsidRPr="00461E5E">
        <w:rPr>
          <w:iCs/>
          <w:szCs w:val="24"/>
        </w:rPr>
        <w:fldChar w:fldCharType="begin"/>
      </w:r>
      <w:r w:rsidR="00461E5E" w:rsidRPr="00461E5E">
        <w:rPr>
          <w:iCs/>
          <w:szCs w:val="24"/>
        </w:rPr>
        <w:instrText xml:space="preserve"> REF _Ref50454619 \h  \* MERGEFORMAT </w:instrText>
      </w:r>
      <w:r w:rsidR="00461E5E" w:rsidRPr="00461E5E">
        <w:rPr>
          <w:iCs/>
          <w:szCs w:val="24"/>
        </w:rPr>
      </w:r>
      <w:r w:rsidR="00461E5E" w:rsidRPr="00461E5E">
        <w:rPr>
          <w:iCs/>
          <w:szCs w:val="24"/>
        </w:rPr>
        <w:fldChar w:fldCharType="separate"/>
      </w:r>
      <w:r w:rsidR="00455942" w:rsidRPr="00455942">
        <w:rPr>
          <w:szCs w:val="24"/>
        </w:rPr>
        <w:t>Table 10</w:t>
      </w:r>
      <w:r w:rsidR="00461E5E" w:rsidRPr="00461E5E">
        <w:rPr>
          <w:iCs/>
          <w:szCs w:val="24"/>
        </w:rPr>
        <w:fldChar w:fldCharType="end"/>
      </w:r>
      <w:r w:rsidRPr="00461E5E">
        <w:rPr>
          <w:iCs/>
          <w:szCs w:val="24"/>
        </w:rPr>
        <w:t>)</w:t>
      </w:r>
      <w:r w:rsidRPr="00461E5E">
        <w:rPr>
          <w:szCs w:val="24"/>
        </w:rPr>
        <w:t>.</w:t>
      </w:r>
      <w:r w:rsidR="00690480" w:rsidRPr="00461E5E">
        <w:rPr>
          <w:szCs w:val="24"/>
        </w:rPr>
        <w:t xml:space="preserve"> It</w:t>
      </w:r>
      <w:r w:rsidR="00690480">
        <w:t xml:space="preserve"> was noted the </w:t>
      </w:r>
      <w:proofErr w:type="gramStart"/>
      <w:r w:rsidR="00690480">
        <w:t>Commentary’s</w:t>
      </w:r>
      <w:proofErr w:type="gramEnd"/>
      <w:r w:rsidR="00690480">
        <w:t xml:space="preserve"> respecified base case for the pooled ICER decreased to $79,696 per QALY from the healthcare payer perspective, using the applicant’s prevalence estimate provided in the pre ESC response (Yeo 2017).</w:t>
      </w:r>
      <w:bookmarkStart w:id="24" w:name="_Ref36643346"/>
      <w:bookmarkStart w:id="25" w:name="_Toc399251127"/>
      <w:r w:rsidR="0098433F">
        <w:br w:type="page"/>
      </w:r>
    </w:p>
    <w:p w14:paraId="35CE6284" w14:textId="024A91D7" w:rsidR="00F07327" w:rsidRPr="00D32FC9" w:rsidRDefault="0098433F" w:rsidP="00D32FC9">
      <w:pPr>
        <w:rPr>
          <w:rFonts w:ascii="Arial Narrow" w:hAnsi="Arial Narrow"/>
          <w:b/>
          <w:sz w:val="20"/>
        </w:rPr>
      </w:pPr>
      <w:bookmarkStart w:id="26" w:name="_Ref50454619"/>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10</w:t>
      </w:r>
      <w:r w:rsidR="00F62D1A" w:rsidRPr="00D32FC9">
        <w:rPr>
          <w:rFonts w:ascii="Arial Narrow" w:hAnsi="Arial Narrow"/>
          <w:b/>
          <w:sz w:val="20"/>
        </w:rPr>
        <w:fldChar w:fldCharType="end"/>
      </w:r>
      <w:bookmarkEnd w:id="24"/>
      <w:bookmarkEnd w:id="26"/>
      <w:r w:rsidR="00F07327" w:rsidRPr="00D32FC9">
        <w:rPr>
          <w:rFonts w:ascii="Arial Narrow" w:hAnsi="Arial Narrow"/>
          <w:b/>
          <w:sz w:val="20"/>
        </w:rPr>
        <w:tab/>
        <w:t>Key drivers of the economic model</w:t>
      </w:r>
      <w:bookmarkEnd w:id="25"/>
      <w:r w:rsidR="00F07327" w:rsidRPr="00D32FC9">
        <w:rPr>
          <w:rFonts w:ascii="Arial Narrow" w:hAnsi="Arial Narrow"/>
          <w:b/>
          <w:sz w:val="20"/>
        </w:rPr>
        <w:t>, base case and re-specified base case (payer perspective)</w:t>
      </w:r>
    </w:p>
    <w:tbl>
      <w:tblPr>
        <w:tblStyle w:val="TableGrid9"/>
        <w:tblW w:w="5000" w:type="pct"/>
        <w:tblLayout w:type="fixed"/>
        <w:tblLook w:val="04A0" w:firstRow="1" w:lastRow="0" w:firstColumn="1" w:lastColumn="0" w:noHBand="0" w:noVBand="1"/>
        <w:tblDescription w:val="Key drivers of the economic model, base case and re-specified base case (payer perspective)"/>
      </w:tblPr>
      <w:tblGrid>
        <w:gridCol w:w="3540"/>
        <w:gridCol w:w="1560"/>
        <w:gridCol w:w="1700"/>
        <w:gridCol w:w="2216"/>
      </w:tblGrid>
      <w:tr w:rsidR="00F07327" w:rsidRPr="002D59CD" w14:paraId="43DE3124" w14:textId="77777777" w:rsidTr="00DF15E1">
        <w:trPr>
          <w:trHeight w:val="20"/>
          <w:tblHeader/>
        </w:trPr>
        <w:tc>
          <w:tcPr>
            <w:tcW w:w="1963" w:type="pct"/>
            <w:hideMark/>
          </w:tcPr>
          <w:p w14:paraId="49A62B15" w14:textId="77777777" w:rsidR="00F07327" w:rsidRPr="002D59CD" w:rsidRDefault="00F07327" w:rsidP="00F07327">
            <w:pPr>
              <w:pStyle w:val="TableHeading"/>
            </w:pPr>
            <w:r w:rsidRPr="002D59CD">
              <w:t>Description</w:t>
            </w:r>
          </w:p>
        </w:tc>
        <w:tc>
          <w:tcPr>
            <w:tcW w:w="865" w:type="pct"/>
            <w:hideMark/>
          </w:tcPr>
          <w:p w14:paraId="06CFA943" w14:textId="77777777" w:rsidR="00F07327" w:rsidRPr="002D59CD" w:rsidRDefault="00F07327" w:rsidP="00F07327">
            <w:pPr>
              <w:pStyle w:val="TableHeading"/>
              <w:jc w:val="center"/>
            </w:pPr>
            <w:r>
              <w:t>ICER</w:t>
            </w:r>
          </w:p>
        </w:tc>
        <w:tc>
          <w:tcPr>
            <w:tcW w:w="943" w:type="pct"/>
            <w:hideMark/>
          </w:tcPr>
          <w:p w14:paraId="679D20A4" w14:textId="77777777" w:rsidR="00F07327" w:rsidRPr="002D59CD" w:rsidRDefault="00F07327" w:rsidP="00F07327">
            <w:pPr>
              <w:pStyle w:val="TableHeading"/>
              <w:jc w:val="center"/>
            </w:pPr>
            <w:r w:rsidRPr="002D59CD">
              <w:t>Base case</w:t>
            </w:r>
          </w:p>
        </w:tc>
        <w:tc>
          <w:tcPr>
            <w:tcW w:w="1229" w:type="pct"/>
            <w:hideMark/>
          </w:tcPr>
          <w:p w14:paraId="11FA215A" w14:textId="77777777" w:rsidR="00F07327" w:rsidRPr="0039726C" w:rsidRDefault="00F07327" w:rsidP="00F07327">
            <w:pPr>
              <w:pStyle w:val="TableHeading"/>
              <w:jc w:val="center"/>
              <w:rPr>
                <w:i/>
              </w:rPr>
            </w:pPr>
            <w:r>
              <w:rPr>
                <w:i/>
              </w:rPr>
              <w:t>Re-specified base</w:t>
            </w:r>
            <w:r w:rsidRPr="0039726C">
              <w:rPr>
                <w:i/>
              </w:rPr>
              <w:t xml:space="preserve"> case</w:t>
            </w:r>
          </w:p>
        </w:tc>
      </w:tr>
      <w:tr w:rsidR="00F07327" w:rsidRPr="002D59CD" w14:paraId="384BF0C8" w14:textId="77777777" w:rsidTr="00DF15E1">
        <w:trPr>
          <w:trHeight w:val="20"/>
        </w:trPr>
        <w:tc>
          <w:tcPr>
            <w:tcW w:w="1963" w:type="pct"/>
          </w:tcPr>
          <w:p w14:paraId="3E101BCD" w14:textId="77777777" w:rsidR="00F07327" w:rsidRPr="00F829F9" w:rsidRDefault="00F07327" w:rsidP="00F07327">
            <w:pPr>
              <w:spacing w:after="40"/>
              <w:rPr>
                <w:rFonts w:ascii="Arial Narrow" w:hAnsi="Arial Narrow"/>
                <w:sz w:val="20"/>
              </w:rPr>
            </w:pPr>
            <w:r w:rsidRPr="00F829F9">
              <w:rPr>
                <w:rFonts w:ascii="Arial Narrow" w:hAnsi="Arial Narrow"/>
                <w:sz w:val="20"/>
              </w:rPr>
              <w:t>Base case</w:t>
            </w:r>
            <w:r>
              <w:rPr>
                <w:rFonts w:ascii="Arial Narrow" w:hAnsi="Arial Narrow"/>
                <w:sz w:val="20"/>
              </w:rPr>
              <w:t xml:space="preserve"> / re-specified base case</w:t>
            </w:r>
          </w:p>
        </w:tc>
        <w:tc>
          <w:tcPr>
            <w:tcW w:w="865" w:type="pct"/>
          </w:tcPr>
          <w:p w14:paraId="0B076CA1" w14:textId="77777777" w:rsidR="00F07327" w:rsidRPr="007B50AD" w:rsidRDefault="00F07327" w:rsidP="00F07327">
            <w:pPr>
              <w:spacing w:after="40"/>
              <w:rPr>
                <w:rFonts w:ascii="Arial Narrow" w:hAnsi="Arial Narrow"/>
                <w:sz w:val="20"/>
                <w:highlight w:val="yellow"/>
              </w:rPr>
            </w:pPr>
            <w:r>
              <w:rPr>
                <w:rFonts w:ascii="Arial Narrow" w:hAnsi="Arial Narrow" w:cs="Calibri"/>
                <w:color w:val="000000"/>
                <w:sz w:val="20"/>
              </w:rPr>
              <w:t>Pooled ICER</w:t>
            </w:r>
          </w:p>
        </w:tc>
        <w:tc>
          <w:tcPr>
            <w:tcW w:w="943" w:type="pct"/>
          </w:tcPr>
          <w:p w14:paraId="36DF1835" w14:textId="77777777" w:rsidR="00F07327" w:rsidRPr="007B50AD" w:rsidRDefault="00F07327" w:rsidP="00F07327">
            <w:pPr>
              <w:spacing w:after="40"/>
              <w:jc w:val="right"/>
              <w:rPr>
                <w:rFonts w:ascii="Arial Narrow" w:hAnsi="Arial Narrow"/>
                <w:sz w:val="20"/>
                <w:highlight w:val="yellow"/>
              </w:rPr>
            </w:pPr>
            <w:r>
              <w:rPr>
                <w:rFonts w:ascii="Arial Narrow" w:hAnsi="Arial Narrow" w:cs="Calibri"/>
                <w:color w:val="000000"/>
                <w:sz w:val="20"/>
              </w:rPr>
              <w:t>$62,020</w:t>
            </w:r>
          </w:p>
        </w:tc>
        <w:tc>
          <w:tcPr>
            <w:tcW w:w="1229" w:type="pct"/>
          </w:tcPr>
          <w:p w14:paraId="27B07A2E" w14:textId="77777777" w:rsidR="00F07327" w:rsidRPr="007B50AD" w:rsidRDefault="00F07327" w:rsidP="00F07327">
            <w:pPr>
              <w:spacing w:after="40"/>
              <w:jc w:val="right"/>
              <w:rPr>
                <w:rFonts w:ascii="Arial Narrow" w:hAnsi="Arial Narrow"/>
                <w:i/>
                <w:iCs/>
                <w:sz w:val="20"/>
                <w:highlight w:val="yellow"/>
              </w:rPr>
            </w:pPr>
            <w:r w:rsidRPr="00F91F1A">
              <w:rPr>
                <w:rFonts w:ascii="Arial Narrow" w:hAnsi="Arial Narrow" w:cs="Calibri"/>
                <w:i/>
                <w:iCs/>
                <w:color w:val="000000"/>
                <w:sz w:val="20"/>
              </w:rPr>
              <w:t>$106,880</w:t>
            </w:r>
          </w:p>
        </w:tc>
      </w:tr>
      <w:tr w:rsidR="00F07327" w:rsidRPr="002D59CD" w14:paraId="7B660335" w14:textId="77777777" w:rsidTr="00DF15E1">
        <w:trPr>
          <w:trHeight w:val="20"/>
        </w:trPr>
        <w:tc>
          <w:tcPr>
            <w:tcW w:w="1963" w:type="pct"/>
            <w:hideMark/>
          </w:tcPr>
          <w:p w14:paraId="5460F9BA" w14:textId="77777777" w:rsidR="00F07327" w:rsidRPr="0015536C" w:rsidRDefault="00F07327" w:rsidP="00F07327">
            <w:pPr>
              <w:spacing w:after="40"/>
              <w:rPr>
                <w:rFonts w:ascii="Arial Narrow" w:hAnsi="Arial Narrow"/>
                <w:sz w:val="20"/>
              </w:rPr>
            </w:pPr>
            <w:r w:rsidRPr="0015536C">
              <w:rPr>
                <w:rFonts w:ascii="Arial Narrow" w:hAnsi="Arial Narrow"/>
                <w:sz w:val="20"/>
              </w:rPr>
              <w:t>Subpopulation 1</w:t>
            </w:r>
          </w:p>
        </w:tc>
        <w:tc>
          <w:tcPr>
            <w:tcW w:w="865" w:type="pct"/>
            <w:hideMark/>
          </w:tcPr>
          <w:p w14:paraId="275942F1"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PTRCT ICER</w:t>
            </w:r>
          </w:p>
        </w:tc>
        <w:tc>
          <w:tcPr>
            <w:tcW w:w="943" w:type="pct"/>
            <w:hideMark/>
          </w:tcPr>
          <w:p w14:paraId="2669E062"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$75,370</w:t>
            </w:r>
          </w:p>
        </w:tc>
        <w:tc>
          <w:tcPr>
            <w:tcW w:w="1229" w:type="pct"/>
            <w:hideMark/>
          </w:tcPr>
          <w:p w14:paraId="46D1D85B"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$213,407</w:t>
            </w:r>
          </w:p>
        </w:tc>
      </w:tr>
      <w:tr w:rsidR="00F07327" w:rsidRPr="002D59CD" w14:paraId="5C84D157" w14:textId="77777777" w:rsidTr="00DF15E1">
        <w:trPr>
          <w:trHeight w:val="20"/>
        </w:trPr>
        <w:tc>
          <w:tcPr>
            <w:tcW w:w="1963" w:type="pct"/>
            <w:hideMark/>
          </w:tcPr>
          <w:p w14:paraId="1395F487" w14:textId="77777777" w:rsidR="00F07327" w:rsidRPr="0015536C" w:rsidRDefault="00F07327" w:rsidP="00F07327">
            <w:pPr>
              <w:spacing w:after="40"/>
              <w:rPr>
                <w:rFonts w:ascii="Arial Narrow" w:hAnsi="Arial Narrow"/>
                <w:sz w:val="20"/>
              </w:rPr>
            </w:pPr>
            <w:r w:rsidRPr="0015536C">
              <w:rPr>
                <w:rFonts w:ascii="Arial Narrow" w:hAnsi="Arial Narrow"/>
                <w:sz w:val="20"/>
              </w:rPr>
              <w:t>Subpopulation 2</w:t>
            </w:r>
          </w:p>
        </w:tc>
        <w:tc>
          <w:tcPr>
            <w:tcW w:w="865" w:type="pct"/>
            <w:hideMark/>
          </w:tcPr>
          <w:p w14:paraId="7AD2A4A6"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FTRCT ICER</w:t>
            </w:r>
          </w:p>
        </w:tc>
        <w:tc>
          <w:tcPr>
            <w:tcW w:w="943" w:type="pct"/>
            <w:hideMark/>
          </w:tcPr>
          <w:p w14:paraId="7E036AB0"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$48,619</w:t>
            </w:r>
          </w:p>
        </w:tc>
        <w:tc>
          <w:tcPr>
            <w:tcW w:w="1229" w:type="pct"/>
            <w:hideMark/>
          </w:tcPr>
          <w:p w14:paraId="6420E1D7"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$66,442</w:t>
            </w:r>
          </w:p>
        </w:tc>
      </w:tr>
      <w:tr w:rsidR="00BE1417" w:rsidRPr="002D59CD" w14:paraId="4CD49CEA" w14:textId="77777777" w:rsidTr="00DF15E1">
        <w:trPr>
          <w:trHeight w:val="20"/>
        </w:trPr>
        <w:tc>
          <w:tcPr>
            <w:tcW w:w="1963" w:type="pct"/>
            <w:vMerge w:val="restart"/>
          </w:tcPr>
          <w:p w14:paraId="6E5FE772" w14:textId="77777777" w:rsidR="00BE1417" w:rsidRPr="00690480" w:rsidRDefault="00BE1417" w:rsidP="00BE1417">
            <w:pPr>
              <w:spacing w:after="40"/>
              <w:rPr>
                <w:rFonts w:ascii="Arial Narrow" w:hAnsi="Arial Narrow"/>
                <w:i/>
                <w:sz w:val="20"/>
              </w:rPr>
            </w:pPr>
            <w:proofErr w:type="spellStart"/>
            <w:r w:rsidRPr="00690480">
              <w:rPr>
                <w:rFonts w:ascii="Arial Narrow" w:hAnsi="Arial Narrow"/>
                <w:i/>
                <w:sz w:val="20"/>
              </w:rPr>
              <w:t>Prevalence</w:t>
            </w:r>
            <w:r w:rsidR="00690480" w:rsidRPr="00690480">
              <w:rPr>
                <w:rFonts w:ascii="Arial Narrow" w:hAnsi="Arial Narrow"/>
                <w:i/>
                <w:sz w:val="20"/>
                <w:vertAlign w:val="superscript"/>
              </w:rPr>
              <w:t>a</w:t>
            </w:r>
            <w:proofErr w:type="spellEnd"/>
            <w:r w:rsidRPr="00690480">
              <w:rPr>
                <w:rFonts w:ascii="Arial Narrow" w:hAnsi="Arial Narrow"/>
                <w:i/>
                <w:sz w:val="20"/>
              </w:rPr>
              <w:t>, pre-ESC response values: 39% PTRCT; 61% FTRCT, Yeo 2017 (ADAR base</w:t>
            </w:r>
          </w:p>
          <w:p w14:paraId="703EEF61" w14:textId="77777777" w:rsidR="00BE1417" w:rsidRPr="00BE1417" w:rsidRDefault="00BE1417" w:rsidP="00BE1417">
            <w:pPr>
              <w:spacing w:after="40"/>
              <w:rPr>
                <w:rFonts w:ascii="Arial Narrow" w:hAnsi="Arial Narrow"/>
                <w:sz w:val="20"/>
                <w:vertAlign w:val="superscript"/>
              </w:rPr>
            </w:pPr>
            <w:r w:rsidRPr="00690480">
              <w:rPr>
                <w:rFonts w:ascii="Arial Narrow" w:hAnsi="Arial Narrow"/>
                <w:i/>
                <w:sz w:val="20"/>
              </w:rPr>
              <w:t>case: 71% PTRCT, 29% FTRCT, Sher 1995</w:t>
            </w:r>
          </w:p>
        </w:tc>
        <w:tc>
          <w:tcPr>
            <w:tcW w:w="865" w:type="pct"/>
          </w:tcPr>
          <w:p w14:paraId="39725CE4" w14:textId="77777777" w:rsidR="00BE1417" w:rsidRPr="007B50AD" w:rsidRDefault="00BE1417" w:rsidP="00BE1417">
            <w:pPr>
              <w:spacing w:after="40"/>
              <w:rPr>
                <w:rFonts w:ascii="Arial Narrow" w:hAnsi="Arial Narrow"/>
                <w:sz w:val="20"/>
                <w:highlight w:val="yellow"/>
              </w:rPr>
            </w:pPr>
            <w:r>
              <w:rPr>
                <w:rFonts w:ascii="Arial Narrow" w:hAnsi="Arial Narrow" w:cs="Calibri"/>
                <w:color w:val="000000"/>
                <w:sz w:val="20"/>
              </w:rPr>
              <w:t>Pooled ICER</w:t>
            </w:r>
          </w:p>
        </w:tc>
        <w:tc>
          <w:tcPr>
            <w:tcW w:w="943" w:type="pct"/>
          </w:tcPr>
          <w:p w14:paraId="73626C05" w14:textId="77777777" w:rsidR="00BE1417" w:rsidRDefault="00BE1417" w:rsidP="00BE1417">
            <w:pPr>
              <w:spacing w:after="40"/>
              <w:jc w:val="right"/>
              <w:rPr>
                <w:rFonts w:ascii="Arial Narrow" w:hAnsi="Arial Narrow" w:cs="Calibri"/>
                <w:color w:val="000000"/>
                <w:sz w:val="20"/>
              </w:rPr>
            </w:pPr>
            <w:r>
              <w:rPr>
                <w:rFonts w:ascii="Arial Narrow" w:hAnsi="Arial Narrow" w:cs="Calibri"/>
                <w:color w:val="000000"/>
                <w:sz w:val="20"/>
              </w:rPr>
              <w:t>$54,175</w:t>
            </w:r>
          </w:p>
        </w:tc>
        <w:tc>
          <w:tcPr>
            <w:tcW w:w="1229" w:type="pct"/>
          </w:tcPr>
          <w:p w14:paraId="21D6E9D0" w14:textId="77777777" w:rsidR="00BE1417" w:rsidRPr="00F91F1A" w:rsidRDefault="00690480" w:rsidP="00BE1417">
            <w:pPr>
              <w:spacing w:after="40"/>
              <w:jc w:val="right"/>
              <w:rPr>
                <w:rFonts w:ascii="Arial Narrow" w:hAnsi="Arial Narrow" w:cs="Calibri"/>
                <w:i/>
                <w:iCs/>
                <w:color w:val="000000"/>
                <w:sz w:val="20"/>
              </w:rPr>
            </w:pPr>
            <w:r>
              <w:rPr>
                <w:rFonts w:ascii="Arial Narrow" w:hAnsi="Arial Narrow" w:cs="Calibri"/>
                <w:i/>
                <w:iCs/>
                <w:color w:val="000000"/>
                <w:sz w:val="20"/>
              </w:rPr>
              <w:t>$79,696</w:t>
            </w:r>
          </w:p>
        </w:tc>
      </w:tr>
      <w:tr w:rsidR="00BE1417" w:rsidRPr="002D59CD" w14:paraId="3C7C4F47" w14:textId="77777777" w:rsidTr="00DF15E1">
        <w:trPr>
          <w:trHeight w:val="20"/>
        </w:trPr>
        <w:tc>
          <w:tcPr>
            <w:tcW w:w="1963" w:type="pct"/>
            <w:vMerge/>
          </w:tcPr>
          <w:p w14:paraId="13949A5F" w14:textId="77777777" w:rsidR="00BE1417" w:rsidRPr="002D59CD" w:rsidRDefault="00BE1417" w:rsidP="00BE1417">
            <w:pPr>
              <w:spacing w:after="40"/>
              <w:rPr>
                <w:rFonts w:ascii="Arial Narrow" w:hAnsi="Arial Narrow"/>
                <w:sz w:val="20"/>
              </w:rPr>
            </w:pPr>
          </w:p>
        </w:tc>
        <w:tc>
          <w:tcPr>
            <w:tcW w:w="865" w:type="pct"/>
          </w:tcPr>
          <w:p w14:paraId="46F2EE6D" w14:textId="77777777" w:rsidR="00BE1417" w:rsidRPr="002D59CD" w:rsidRDefault="00BE1417" w:rsidP="00BE1417">
            <w:pPr>
              <w:spacing w:after="40"/>
              <w:rPr>
                <w:rFonts w:ascii="Arial Narrow" w:hAnsi="Arial Narrow"/>
                <w:sz w:val="20"/>
              </w:rPr>
            </w:pPr>
            <w:r>
              <w:rPr>
                <w:rFonts w:ascii="Arial Narrow" w:hAnsi="Arial Narrow" w:cs="Calibri"/>
                <w:color w:val="000000"/>
                <w:sz w:val="20"/>
              </w:rPr>
              <w:t>PTRCT ICER</w:t>
            </w:r>
          </w:p>
        </w:tc>
        <w:tc>
          <w:tcPr>
            <w:tcW w:w="943" w:type="pct"/>
          </w:tcPr>
          <w:p w14:paraId="70B1A31C" w14:textId="77777777" w:rsidR="00BE1417" w:rsidRDefault="00BE1417" w:rsidP="00BE1417">
            <w:pPr>
              <w:spacing w:after="40"/>
              <w:jc w:val="right"/>
              <w:rPr>
                <w:rFonts w:ascii="Arial Narrow" w:hAnsi="Arial Narrow" w:cs="Calibri"/>
                <w:color w:val="000000"/>
                <w:sz w:val="20"/>
              </w:rPr>
            </w:pPr>
            <w:r>
              <w:rPr>
                <w:rFonts w:ascii="Arial Narrow" w:hAnsi="Arial Narrow" w:cs="Calibri"/>
                <w:color w:val="000000"/>
                <w:sz w:val="20"/>
              </w:rPr>
              <w:t>$75,370</w:t>
            </w:r>
          </w:p>
        </w:tc>
        <w:tc>
          <w:tcPr>
            <w:tcW w:w="1229" w:type="pct"/>
          </w:tcPr>
          <w:p w14:paraId="69CB6F5E" w14:textId="77777777" w:rsidR="00BE1417" w:rsidRPr="00F91F1A" w:rsidRDefault="00BE1417" w:rsidP="00BE1417">
            <w:pPr>
              <w:spacing w:after="40"/>
              <w:jc w:val="right"/>
              <w:rPr>
                <w:rFonts w:ascii="Arial Narrow" w:hAnsi="Arial Narrow"/>
                <w:i/>
                <w:iCs/>
                <w:sz w:val="20"/>
              </w:rPr>
            </w:pPr>
            <w:r w:rsidRPr="00F91F1A">
              <w:rPr>
                <w:rFonts w:ascii="Arial Narrow" w:hAnsi="Arial Narrow" w:cs="Calibri"/>
                <w:i/>
                <w:iCs/>
                <w:color w:val="000000"/>
                <w:sz w:val="20"/>
              </w:rPr>
              <w:t>$213,407</w:t>
            </w:r>
          </w:p>
        </w:tc>
      </w:tr>
      <w:tr w:rsidR="00BE1417" w:rsidRPr="002D59CD" w14:paraId="4410A1E2" w14:textId="77777777" w:rsidTr="00DF15E1">
        <w:trPr>
          <w:trHeight w:val="20"/>
        </w:trPr>
        <w:tc>
          <w:tcPr>
            <w:tcW w:w="1963" w:type="pct"/>
            <w:vMerge/>
          </w:tcPr>
          <w:p w14:paraId="07FA2060" w14:textId="77777777" w:rsidR="00BE1417" w:rsidRPr="002D59CD" w:rsidRDefault="00BE1417" w:rsidP="00BE1417">
            <w:pPr>
              <w:spacing w:after="40"/>
              <w:rPr>
                <w:rFonts w:ascii="Arial Narrow" w:hAnsi="Arial Narrow"/>
                <w:sz w:val="20"/>
              </w:rPr>
            </w:pPr>
          </w:p>
        </w:tc>
        <w:tc>
          <w:tcPr>
            <w:tcW w:w="865" w:type="pct"/>
          </w:tcPr>
          <w:p w14:paraId="21B8C497" w14:textId="77777777" w:rsidR="00BE1417" w:rsidRPr="002D59CD" w:rsidRDefault="00BE1417" w:rsidP="00BE1417">
            <w:pPr>
              <w:spacing w:after="40"/>
              <w:rPr>
                <w:rFonts w:ascii="Arial Narrow" w:hAnsi="Arial Narrow"/>
                <w:sz w:val="20"/>
              </w:rPr>
            </w:pPr>
            <w:r>
              <w:rPr>
                <w:rFonts w:ascii="Arial Narrow" w:hAnsi="Arial Narrow" w:cs="Calibri"/>
                <w:color w:val="000000"/>
                <w:sz w:val="20"/>
              </w:rPr>
              <w:t>FTRCT ICER</w:t>
            </w:r>
          </w:p>
        </w:tc>
        <w:tc>
          <w:tcPr>
            <w:tcW w:w="943" w:type="pct"/>
          </w:tcPr>
          <w:p w14:paraId="485A93CC" w14:textId="77777777" w:rsidR="00BE1417" w:rsidRDefault="00BE1417" w:rsidP="00BE1417">
            <w:pPr>
              <w:spacing w:after="40"/>
              <w:jc w:val="right"/>
              <w:rPr>
                <w:rFonts w:ascii="Arial Narrow" w:hAnsi="Arial Narrow" w:cs="Calibri"/>
                <w:color w:val="000000"/>
                <w:sz w:val="20"/>
              </w:rPr>
            </w:pPr>
            <w:r>
              <w:rPr>
                <w:rFonts w:ascii="Arial Narrow" w:hAnsi="Arial Narrow" w:cs="Calibri"/>
                <w:color w:val="000000"/>
                <w:sz w:val="20"/>
              </w:rPr>
              <w:t>$48,619</w:t>
            </w:r>
          </w:p>
        </w:tc>
        <w:tc>
          <w:tcPr>
            <w:tcW w:w="1229" w:type="pct"/>
          </w:tcPr>
          <w:p w14:paraId="55E4C2C3" w14:textId="77777777" w:rsidR="00BE1417" w:rsidRPr="00F91F1A" w:rsidRDefault="00BE1417" w:rsidP="00BE1417">
            <w:pPr>
              <w:spacing w:after="40"/>
              <w:jc w:val="right"/>
              <w:rPr>
                <w:rFonts w:ascii="Arial Narrow" w:hAnsi="Arial Narrow"/>
                <w:i/>
                <w:iCs/>
                <w:sz w:val="20"/>
              </w:rPr>
            </w:pPr>
            <w:r w:rsidRPr="00F91F1A">
              <w:rPr>
                <w:rFonts w:ascii="Arial Narrow" w:hAnsi="Arial Narrow" w:cs="Calibri"/>
                <w:i/>
                <w:iCs/>
                <w:color w:val="000000"/>
                <w:sz w:val="20"/>
              </w:rPr>
              <w:t>$66,442</w:t>
            </w:r>
          </w:p>
        </w:tc>
      </w:tr>
      <w:tr w:rsidR="00F07327" w:rsidRPr="002D59CD" w14:paraId="5D4DF09D" w14:textId="77777777" w:rsidTr="00DF15E1">
        <w:trPr>
          <w:trHeight w:val="20"/>
        </w:trPr>
        <w:tc>
          <w:tcPr>
            <w:tcW w:w="1963" w:type="pct"/>
            <w:vMerge w:val="restart"/>
          </w:tcPr>
          <w:p w14:paraId="4D1F3C48" w14:textId="77777777" w:rsidR="00F07327" w:rsidRPr="00690480" w:rsidRDefault="00F07327" w:rsidP="00F07327">
            <w:pPr>
              <w:spacing w:after="40"/>
              <w:rPr>
                <w:rFonts w:ascii="Arial Narrow" w:hAnsi="Arial Narrow"/>
                <w:sz w:val="20"/>
              </w:rPr>
            </w:pPr>
            <w:r w:rsidRPr="00690480">
              <w:rPr>
                <w:rFonts w:ascii="Arial Narrow" w:hAnsi="Arial Narrow"/>
                <w:sz w:val="20"/>
              </w:rPr>
              <w:t xml:space="preserve">Use upper limit of CI for pre-operative utility and the lower limit of the post-operative utility value from </w:t>
            </w:r>
            <w:proofErr w:type="spellStart"/>
            <w:r w:rsidRPr="00690480">
              <w:rPr>
                <w:rFonts w:ascii="Arial Narrow" w:hAnsi="Arial Narrow"/>
                <w:sz w:val="20"/>
              </w:rPr>
              <w:t>Flury</w:t>
            </w:r>
            <w:proofErr w:type="spellEnd"/>
            <w:r w:rsidRPr="00690480">
              <w:rPr>
                <w:rFonts w:ascii="Arial Narrow" w:hAnsi="Arial Narrow"/>
                <w:sz w:val="20"/>
              </w:rPr>
              <w:t xml:space="preserve"> 2019 (EQ-5D, abstract)</w:t>
            </w:r>
          </w:p>
        </w:tc>
        <w:tc>
          <w:tcPr>
            <w:tcW w:w="865" w:type="pct"/>
          </w:tcPr>
          <w:p w14:paraId="4258868D"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Pooled ICER</w:t>
            </w:r>
          </w:p>
        </w:tc>
        <w:tc>
          <w:tcPr>
            <w:tcW w:w="943" w:type="pct"/>
          </w:tcPr>
          <w:p w14:paraId="592E9461"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$77,885</w:t>
            </w:r>
          </w:p>
        </w:tc>
        <w:tc>
          <w:tcPr>
            <w:tcW w:w="1229" w:type="pct"/>
          </w:tcPr>
          <w:p w14:paraId="6AFF402D" w14:textId="77777777" w:rsidR="00F07327" w:rsidRPr="00674950"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$134,222</w:t>
            </w:r>
          </w:p>
        </w:tc>
      </w:tr>
      <w:tr w:rsidR="00F07327" w:rsidRPr="002D59CD" w14:paraId="42AA6450" w14:textId="77777777" w:rsidTr="00DF15E1">
        <w:trPr>
          <w:trHeight w:val="20"/>
        </w:trPr>
        <w:tc>
          <w:tcPr>
            <w:tcW w:w="1963" w:type="pct"/>
            <w:vMerge/>
            <w:hideMark/>
          </w:tcPr>
          <w:p w14:paraId="12149107" w14:textId="77777777" w:rsidR="00F07327" w:rsidRPr="00690480" w:rsidRDefault="00F07327" w:rsidP="00F07327">
            <w:pPr>
              <w:spacing w:after="40"/>
              <w:rPr>
                <w:rFonts w:ascii="Arial Narrow" w:hAnsi="Arial Narrow"/>
                <w:sz w:val="20"/>
              </w:rPr>
            </w:pPr>
          </w:p>
        </w:tc>
        <w:tc>
          <w:tcPr>
            <w:tcW w:w="865" w:type="pct"/>
            <w:hideMark/>
          </w:tcPr>
          <w:p w14:paraId="3A0C72CA"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PTRCT ICER</w:t>
            </w:r>
          </w:p>
        </w:tc>
        <w:tc>
          <w:tcPr>
            <w:tcW w:w="943" w:type="pct"/>
            <w:hideMark/>
          </w:tcPr>
          <w:p w14:paraId="0A9C8089"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$94,651</w:t>
            </w:r>
          </w:p>
        </w:tc>
        <w:tc>
          <w:tcPr>
            <w:tcW w:w="1229" w:type="pct"/>
            <w:hideMark/>
          </w:tcPr>
          <w:p w14:paraId="30FBB062"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$268,000</w:t>
            </w:r>
          </w:p>
        </w:tc>
      </w:tr>
      <w:tr w:rsidR="00F07327" w:rsidRPr="002D59CD" w14:paraId="4185AB00" w14:textId="77777777" w:rsidTr="00DF15E1">
        <w:trPr>
          <w:trHeight w:val="20"/>
        </w:trPr>
        <w:tc>
          <w:tcPr>
            <w:tcW w:w="1963" w:type="pct"/>
            <w:vMerge/>
            <w:hideMark/>
          </w:tcPr>
          <w:p w14:paraId="1DD71A32" w14:textId="77777777" w:rsidR="00F07327" w:rsidRPr="00690480" w:rsidRDefault="00F07327" w:rsidP="00F07327">
            <w:pPr>
              <w:spacing w:after="40"/>
              <w:rPr>
                <w:rFonts w:ascii="Arial Narrow" w:hAnsi="Arial Narrow"/>
                <w:sz w:val="20"/>
              </w:rPr>
            </w:pPr>
          </w:p>
        </w:tc>
        <w:tc>
          <w:tcPr>
            <w:tcW w:w="865" w:type="pct"/>
            <w:hideMark/>
          </w:tcPr>
          <w:p w14:paraId="6014AE6E"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FTRCT ICER</w:t>
            </w:r>
          </w:p>
        </w:tc>
        <w:tc>
          <w:tcPr>
            <w:tcW w:w="943" w:type="pct"/>
            <w:hideMark/>
          </w:tcPr>
          <w:p w14:paraId="147489A1"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$61,056</w:t>
            </w:r>
          </w:p>
        </w:tc>
        <w:tc>
          <w:tcPr>
            <w:tcW w:w="1229" w:type="pct"/>
            <w:hideMark/>
          </w:tcPr>
          <w:p w14:paraId="55D0ACE5"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$83,438</w:t>
            </w:r>
          </w:p>
        </w:tc>
      </w:tr>
      <w:tr w:rsidR="00F07327" w:rsidRPr="002D59CD" w14:paraId="395D5174" w14:textId="77777777" w:rsidTr="00DF15E1">
        <w:trPr>
          <w:trHeight w:val="20"/>
        </w:trPr>
        <w:tc>
          <w:tcPr>
            <w:tcW w:w="1963" w:type="pct"/>
            <w:vMerge w:val="restart"/>
          </w:tcPr>
          <w:p w14:paraId="3FFE08B9" w14:textId="77777777" w:rsidR="00F07327" w:rsidRPr="00690480" w:rsidRDefault="00F07327" w:rsidP="00F07327">
            <w:pPr>
              <w:spacing w:after="40"/>
              <w:rPr>
                <w:rFonts w:ascii="Arial Narrow" w:hAnsi="Arial Narrow"/>
                <w:sz w:val="20"/>
              </w:rPr>
            </w:pPr>
            <w:r w:rsidRPr="00690480">
              <w:rPr>
                <w:rFonts w:ascii="Arial Narrow" w:hAnsi="Arial Narrow"/>
                <w:sz w:val="20"/>
              </w:rPr>
              <w:t>Use Huang 2017 utility values (from Vitale et al. using HUI from a survey of 87 patients in US hospital over 1 year)</w:t>
            </w:r>
          </w:p>
        </w:tc>
        <w:tc>
          <w:tcPr>
            <w:tcW w:w="865" w:type="pct"/>
          </w:tcPr>
          <w:p w14:paraId="0FA1865D"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Pooled ICER</w:t>
            </w:r>
          </w:p>
        </w:tc>
        <w:tc>
          <w:tcPr>
            <w:tcW w:w="943" w:type="pct"/>
          </w:tcPr>
          <w:p w14:paraId="42AC5981"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$244,565</w:t>
            </w:r>
          </w:p>
        </w:tc>
        <w:tc>
          <w:tcPr>
            <w:tcW w:w="1229" w:type="pct"/>
          </w:tcPr>
          <w:p w14:paraId="68F27AC9" w14:textId="77777777" w:rsidR="00F07327" w:rsidRPr="00674950"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$436,085</w:t>
            </w:r>
          </w:p>
        </w:tc>
      </w:tr>
      <w:tr w:rsidR="00F07327" w:rsidRPr="002D59CD" w14:paraId="1C62D285" w14:textId="77777777" w:rsidTr="00DF15E1">
        <w:trPr>
          <w:trHeight w:val="20"/>
        </w:trPr>
        <w:tc>
          <w:tcPr>
            <w:tcW w:w="1963" w:type="pct"/>
            <w:vMerge/>
            <w:hideMark/>
          </w:tcPr>
          <w:p w14:paraId="4C0AA036" w14:textId="77777777" w:rsidR="00F07327" w:rsidRPr="002D59CD" w:rsidRDefault="00F07327" w:rsidP="00F07327">
            <w:pPr>
              <w:spacing w:after="40"/>
              <w:rPr>
                <w:rFonts w:ascii="Arial Narrow" w:hAnsi="Arial Narrow"/>
                <w:sz w:val="20"/>
              </w:rPr>
            </w:pPr>
          </w:p>
        </w:tc>
        <w:tc>
          <w:tcPr>
            <w:tcW w:w="865" w:type="pct"/>
            <w:hideMark/>
          </w:tcPr>
          <w:p w14:paraId="4EB125FC"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PTRCT ICER</w:t>
            </w:r>
          </w:p>
        </w:tc>
        <w:tc>
          <w:tcPr>
            <w:tcW w:w="943" w:type="pct"/>
            <w:hideMark/>
          </w:tcPr>
          <w:p w14:paraId="7D0B23BD"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$283,446</w:t>
            </w:r>
          </w:p>
        </w:tc>
        <w:tc>
          <w:tcPr>
            <w:tcW w:w="1229" w:type="pct"/>
            <w:hideMark/>
          </w:tcPr>
          <w:p w14:paraId="2F66F8C8"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$411,571</w:t>
            </w:r>
          </w:p>
        </w:tc>
      </w:tr>
      <w:tr w:rsidR="00F07327" w:rsidRPr="002D59CD" w14:paraId="6AA2AE84" w14:textId="77777777" w:rsidTr="00DF15E1">
        <w:trPr>
          <w:trHeight w:val="20"/>
        </w:trPr>
        <w:tc>
          <w:tcPr>
            <w:tcW w:w="1963" w:type="pct"/>
            <w:vMerge/>
            <w:hideMark/>
          </w:tcPr>
          <w:p w14:paraId="16330532" w14:textId="77777777" w:rsidR="00F07327" w:rsidRPr="002D59CD" w:rsidRDefault="00F07327" w:rsidP="00F07327">
            <w:pPr>
              <w:spacing w:after="40"/>
              <w:rPr>
                <w:rFonts w:ascii="Arial Narrow" w:hAnsi="Arial Narrow"/>
                <w:sz w:val="20"/>
              </w:rPr>
            </w:pPr>
          </w:p>
        </w:tc>
        <w:tc>
          <w:tcPr>
            <w:tcW w:w="865" w:type="pct"/>
            <w:hideMark/>
          </w:tcPr>
          <w:p w14:paraId="3E5B1094"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FTRCT ICER</w:t>
            </w:r>
          </w:p>
        </w:tc>
        <w:tc>
          <w:tcPr>
            <w:tcW w:w="943" w:type="pct"/>
            <w:hideMark/>
          </w:tcPr>
          <w:p w14:paraId="4697C732"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$201,545</w:t>
            </w:r>
          </w:p>
        </w:tc>
        <w:tc>
          <w:tcPr>
            <w:tcW w:w="1229" w:type="pct"/>
            <w:hideMark/>
          </w:tcPr>
          <w:p w14:paraId="47C1A34D"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$470,236</w:t>
            </w:r>
          </w:p>
        </w:tc>
      </w:tr>
      <w:tr w:rsidR="00F07327" w:rsidRPr="002D59CD" w14:paraId="6A07A3D4" w14:textId="77777777" w:rsidTr="00DF15E1">
        <w:trPr>
          <w:trHeight w:val="20"/>
        </w:trPr>
        <w:tc>
          <w:tcPr>
            <w:tcW w:w="1963" w:type="pct"/>
            <w:vMerge w:val="restart"/>
          </w:tcPr>
          <w:p w14:paraId="7E0DED38" w14:textId="77777777" w:rsidR="00F07327" w:rsidRPr="002D59CD" w:rsidRDefault="00F07327" w:rsidP="00F07327">
            <w:pPr>
              <w:spacing w:after="40"/>
              <w:rPr>
                <w:rFonts w:ascii="Arial Narrow" w:hAnsi="Arial Narrow"/>
                <w:sz w:val="20"/>
              </w:rPr>
            </w:pPr>
            <w:r w:rsidRPr="002D59CD">
              <w:rPr>
                <w:rFonts w:ascii="Arial Narrow" w:hAnsi="Arial Narrow"/>
                <w:sz w:val="20"/>
              </w:rPr>
              <w:t>Set the number of physiotherapy visits to be equal between REGENETEN and the comparator</w:t>
            </w:r>
          </w:p>
        </w:tc>
        <w:tc>
          <w:tcPr>
            <w:tcW w:w="865" w:type="pct"/>
          </w:tcPr>
          <w:p w14:paraId="7752736D"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Pooled ICER</w:t>
            </w:r>
          </w:p>
        </w:tc>
        <w:tc>
          <w:tcPr>
            <w:tcW w:w="943" w:type="pct"/>
          </w:tcPr>
          <w:p w14:paraId="312326FE"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$74,424</w:t>
            </w:r>
          </w:p>
        </w:tc>
        <w:tc>
          <w:tcPr>
            <w:tcW w:w="1229" w:type="pct"/>
          </w:tcPr>
          <w:p w14:paraId="2C9BA4A2" w14:textId="77777777" w:rsidR="00F07327" w:rsidRPr="00674950"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$124,966</w:t>
            </w:r>
          </w:p>
        </w:tc>
      </w:tr>
      <w:tr w:rsidR="00F07327" w:rsidRPr="002D59CD" w14:paraId="4E9D6AEB" w14:textId="77777777" w:rsidTr="00DF15E1">
        <w:trPr>
          <w:trHeight w:val="20"/>
        </w:trPr>
        <w:tc>
          <w:tcPr>
            <w:tcW w:w="1963" w:type="pct"/>
            <w:vMerge/>
            <w:hideMark/>
          </w:tcPr>
          <w:p w14:paraId="4224F912" w14:textId="77777777" w:rsidR="00F07327" w:rsidRPr="002D59CD" w:rsidRDefault="00F07327" w:rsidP="00F07327">
            <w:pPr>
              <w:spacing w:after="40"/>
              <w:rPr>
                <w:rFonts w:ascii="Arial Narrow" w:hAnsi="Arial Narrow"/>
                <w:sz w:val="20"/>
              </w:rPr>
            </w:pPr>
          </w:p>
        </w:tc>
        <w:tc>
          <w:tcPr>
            <w:tcW w:w="865" w:type="pct"/>
            <w:hideMark/>
          </w:tcPr>
          <w:p w14:paraId="1F740773"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PTRCT ICER</w:t>
            </w:r>
          </w:p>
        </w:tc>
        <w:tc>
          <w:tcPr>
            <w:tcW w:w="943" w:type="pct"/>
            <w:hideMark/>
          </w:tcPr>
          <w:p w14:paraId="414E8D6F"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$92,951</w:t>
            </w:r>
          </w:p>
        </w:tc>
        <w:tc>
          <w:tcPr>
            <w:tcW w:w="1229" w:type="pct"/>
            <w:hideMark/>
          </w:tcPr>
          <w:p w14:paraId="7D94C02D"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$260,074</w:t>
            </w:r>
          </w:p>
        </w:tc>
      </w:tr>
      <w:tr w:rsidR="00F07327" w:rsidRPr="002D59CD" w14:paraId="0CE8076D" w14:textId="77777777" w:rsidTr="00DF15E1">
        <w:trPr>
          <w:trHeight w:val="20"/>
        </w:trPr>
        <w:tc>
          <w:tcPr>
            <w:tcW w:w="1963" w:type="pct"/>
            <w:vMerge/>
            <w:hideMark/>
          </w:tcPr>
          <w:p w14:paraId="081B9ADB" w14:textId="77777777" w:rsidR="00F07327" w:rsidRPr="002D59CD" w:rsidRDefault="00F07327" w:rsidP="00F07327">
            <w:pPr>
              <w:spacing w:after="40"/>
              <w:rPr>
                <w:rFonts w:ascii="Arial Narrow" w:hAnsi="Arial Narrow"/>
                <w:sz w:val="20"/>
              </w:rPr>
            </w:pPr>
          </w:p>
        </w:tc>
        <w:tc>
          <w:tcPr>
            <w:tcW w:w="865" w:type="pct"/>
            <w:hideMark/>
          </w:tcPr>
          <w:p w14:paraId="2610831A"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FTRCT ICER</w:t>
            </w:r>
          </w:p>
        </w:tc>
        <w:tc>
          <w:tcPr>
            <w:tcW w:w="943" w:type="pct"/>
            <w:hideMark/>
          </w:tcPr>
          <w:p w14:paraId="6282311E"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$55,827</w:t>
            </w:r>
          </w:p>
        </w:tc>
        <w:tc>
          <w:tcPr>
            <w:tcW w:w="1229" w:type="pct"/>
            <w:hideMark/>
          </w:tcPr>
          <w:p w14:paraId="37A34056"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$73,677</w:t>
            </w:r>
          </w:p>
        </w:tc>
      </w:tr>
      <w:tr w:rsidR="00F07327" w:rsidRPr="002D59CD" w14:paraId="0E687E48" w14:textId="77777777" w:rsidTr="00DF15E1">
        <w:trPr>
          <w:trHeight w:val="20"/>
        </w:trPr>
        <w:tc>
          <w:tcPr>
            <w:tcW w:w="1963" w:type="pct"/>
            <w:vMerge w:val="restart"/>
          </w:tcPr>
          <w:p w14:paraId="3C718E74" w14:textId="77777777" w:rsidR="00F07327" w:rsidRPr="002D59CD" w:rsidRDefault="00F07327" w:rsidP="00F07327">
            <w:pPr>
              <w:spacing w:after="40"/>
              <w:rPr>
                <w:rFonts w:ascii="Arial Narrow" w:hAnsi="Arial Narrow"/>
                <w:sz w:val="20"/>
              </w:rPr>
            </w:pPr>
            <w:r w:rsidRPr="002D59CD">
              <w:rPr>
                <w:rFonts w:ascii="Arial Narrow" w:hAnsi="Arial Narrow"/>
                <w:sz w:val="20"/>
              </w:rPr>
              <w:t>Replace the use of the incomplete healing rate with re-tear rate in FTRCT</w:t>
            </w:r>
          </w:p>
        </w:tc>
        <w:tc>
          <w:tcPr>
            <w:tcW w:w="865" w:type="pct"/>
          </w:tcPr>
          <w:p w14:paraId="6B72D845"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Pooled ICER</w:t>
            </w:r>
          </w:p>
        </w:tc>
        <w:tc>
          <w:tcPr>
            <w:tcW w:w="943" w:type="pct"/>
          </w:tcPr>
          <w:p w14:paraId="2FDFD0FE"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$72,094</w:t>
            </w:r>
          </w:p>
        </w:tc>
        <w:tc>
          <w:tcPr>
            <w:tcW w:w="1229" w:type="pct"/>
          </w:tcPr>
          <w:p w14:paraId="386178EA" w14:textId="77777777" w:rsidR="00F07327" w:rsidRPr="00674950"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$166,516</w:t>
            </w:r>
          </w:p>
        </w:tc>
      </w:tr>
      <w:tr w:rsidR="00F07327" w:rsidRPr="002D59CD" w14:paraId="3C54829C" w14:textId="77777777" w:rsidTr="00DF15E1">
        <w:trPr>
          <w:trHeight w:val="20"/>
        </w:trPr>
        <w:tc>
          <w:tcPr>
            <w:tcW w:w="1963" w:type="pct"/>
            <w:vMerge/>
            <w:hideMark/>
          </w:tcPr>
          <w:p w14:paraId="59C13864" w14:textId="77777777" w:rsidR="00F07327" w:rsidRPr="002D59CD" w:rsidRDefault="00F07327" w:rsidP="00F07327">
            <w:pPr>
              <w:spacing w:after="40"/>
              <w:rPr>
                <w:rFonts w:ascii="Arial Narrow" w:hAnsi="Arial Narrow"/>
                <w:sz w:val="20"/>
              </w:rPr>
            </w:pPr>
          </w:p>
        </w:tc>
        <w:tc>
          <w:tcPr>
            <w:tcW w:w="865" w:type="pct"/>
            <w:hideMark/>
          </w:tcPr>
          <w:p w14:paraId="649D42EC"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PTRCT ICER</w:t>
            </w:r>
          </w:p>
        </w:tc>
        <w:tc>
          <w:tcPr>
            <w:tcW w:w="943" w:type="pct"/>
            <w:hideMark/>
          </w:tcPr>
          <w:p w14:paraId="001D3579"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$75,370</w:t>
            </w:r>
          </w:p>
        </w:tc>
        <w:tc>
          <w:tcPr>
            <w:tcW w:w="1229" w:type="pct"/>
            <w:hideMark/>
          </w:tcPr>
          <w:p w14:paraId="7B991F59"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$213,407</w:t>
            </w:r>
          </w:p>
        </w:tc>
      </w:tr>
      <w:tr w:rsidR="00F07327" w:rsidRPr="002D59CD" w14:paraId="719319AE" w14:textId="77777777" w:rsidTr="00DF15E1">
        <w:trPr>
          <w:trHeight w:val="20"/>
        </w:trPr>
        <w:tc>
          <w:tcPr>
            <w:tcW w:w="1963" w:type="pct"/>
            <w:vMerge/>
            <w:hideMark/>
          </w:tcPr>
          <w:p w14:paraId="1123647B" w14:textId="77777777" w:rsidR="00F07327" w:rsidRPr="002D59CD" w:rsidRDefault="00F07327" w:rsidP="00F07327">
            <w:pPr>
              <w:spacing w:after="40"/>
              <w:rPr>
                <w:rFonts w:ascii="Arial Narrow" w:hAnsi="Arial Narrow"/>
                <w:sz w:val="20"/>
              </w:rPr>
            </w:pPr>
          </w:p>
        </w:tc>
        <w:tc>
          <w:tcPr>
            <w:tcW w:w="865" w:type="pct"/>
            <w:hideMark/>
          </w:tcPr>
          <w:p w14:paraId="15D272F1"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FTRCT ICER</w:t>
            </w:r>
          </w:p>
        </w:tc>
        <w:tc>
          <w:tcPr>
            <w:tcW w:w="943" w:type="pct"/>
            <w:hideMark/>
          </w:tcPr>
          <w:p w14:paraId="45903A21"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$67,526</w:t>
            </w:r>
          </w:p>
        </w:tc>
        <w:tc>
          <w:tcPr>
            <w:tcW w:w="1229" w:type="pct"/>
            <w:hideMark/>
          </w:tcPr>
          <w:p w14:paraId="4912CEC4"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$131,332</w:t>
            </w:r>
          </w:p>
        </w:tc>
      </w:tr>
      <w:tr w:rsidR="00F07327" w:rsidRPr="002D59CD" w14:paraId="2EC012E7" w14:textId="77777777" w:rsidTr="00DF15E1">
        <w:trPr>
          <w:trHeight w:val="20"/>
        </w:trPr>
        <w:tc>
          <w:tcPr>
            <w:tcW w:w="1963" w:type="pct"/>
            <w:vMerge w:val="restart"/>
          </w:tcPr>
          <w:p w14:paraId="334D184E" w14:textId="77777777" w:rsidR="00F07327" w:rsidRPr="002D59CD" w:rsidRDefault="00F07327" w:rsidP="00F07327">
            <w:pPr>
              <w:spacing w:after="40"/>
              <w:rPr>
                <w:rFonts w:ascii="Arial Narrow" w:hAnsi="Arial Narrow"/>
                <w:sz w:val="20"/>
              </w:rPr>
            </w:pPr>
            <w:r w:rsidRPr="002D59CD">
              <w:rPr>
                <w:rFonts w:ascii="Arial Narrow" w:hAnsi="Arial Narrow"/>
                <w:sz w:val="20"/>
              </w:rPr>
              <w:t>Two REGENETEN patches are required</w:t>
            </w:r>
            <w:r>
              <w:rPr>
                <w:rFonts w:ascii="Arial Narrow" w:hAnsi="Arial Narrow"/>
                <w:sz w:val="20"/>
              </w:rPr>
              <w:t>^:</w:t>
            </w:r>
            <w:r w:rsidRPr="002D59CD">
              <w:rPr>
                <w:rFonts w:ascii="Arial Narrow" w:hAnsi="Arial Narrow"/>
                <w:sz w:val="20"/>
              </w:rPr>
              <w:t xml:space="preserve"> affecting surgical devices and operating theatre costs</w:t>
            </w:r>
          </w:p>
        </w:tc>
        <w:tc>
          <w:tcPr>
            <w:tcW w:w="865" w:type="pct"/>
          </w:tcPr>
          <w:p w14:paraId="2FAA37FC"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Pooled ICER</w:t>
            </w:r>
          </w:p>
        </w:tc>
        <w:tc>
          <w:tcPr>
            <w:tcW w:w="943" w:type="pct"/>
          </w:tcPr>
          <w:p w14:paraId="30329B9C"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$184,556</w:t>
            </w:r>
          </w:p>
        </w:tc>
        <w:tc>
          <w:tcPr>
            <w:tcW w:w="1229" w:type="pct"/>
          </w:tcPr>
          <w:p w14:paraId="20887A14" w14:textId="77777777" w:rsidR="00F07327" w:rsidRPr="00674950"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$285,544</w:t>
            </w:r>
          </w:p>
        </w:tc>
      </w:tr>
      <w:tr w:rsidR="00F07327" w:rsidRPr="002D59CD" w14:paraId="13422618" w14:textId="77777777" w:rsidTr="00DF15E1">
        <w:trPr>
          <w:trHeight w:val="20"/>
        </w:trPr>
        <w:tc>
          <w:tcPr>
            <w:tcW w:w="1963" w:type="pct"/>
            <w:vMerge/>
            <w:hideMark/>
          </w:tcPr>
          <w:p w14:paraId="19A20641" w14:textId="77777777" w:rsidR="00F07327" w:rsidRPr="002D59CD" w:rsidRDefault="00F07327" w:rsidP="00F07327">
            <w:pPr>
              <w:spacing w:after="40"/>
              <w:rPr>
                <w:rFonts w:ascii="Arial Narrow" w:hAnsi="Arial Narrow"/>
                <w:sz w:val="20"/>
              </w:rPr>
            </w:pPr>
          </w:p>
        </w:tc>
        <w:tc>
          <w:tcPr>
            <w:tcW w:w="865" w:type="pct"/>
            <w:hideMark/>
          </w:tcPr>
          <w:p w14:paraId="77D6B963"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PTRCT ICER</w:t>
            </w:r>
          </w:p>
        </w:tc>
        <w:tc>
          <w:tcPr>
            <w:tcW w:w="943" w:type="pct"/>
            <w:hideMark/>
          </w:tcPr>
          <w:p w14:paraId="0392F9A3"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$244,776</w:t>
            </w:r>
          </w:p>
        </w:tc>
        <w:tc>
          <w:tcPr>
            <w:tcW w:w="1229" w:type="pct"/>
            <w:hideMark/>
          </w:tcPr>
          <w:p w14:paraId="387FA0A2"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$663,097</w:t>
            </w:r>
          </w:p>
        </w:tc>
      </w:tr>
      <w:tr w:rsidR="00F07327" w:rsidRPr="002D59CD" w14:paraId="393FE0DD" w14:textId="77777777" w:rsidTr="00DF15E1">
        <w:trPr>
          <w:trHeight w:val="20"/>
        </w:trPr>
        <w:tc>
          <w:tcPr>
            <w:tcW w:w="1963" w:type="pct"/>
            <w:vMerge/>
            <w:hideMark/>
          </w:tcPr>
          <w:p w14:paraId="6BBC25E2" w14:textId="77777777" w:rsidR="00F07327" w:rsidRPr="002D59CD" w:rsidRDefault="00F07327" w:rsidP="00F07327">
            <w:pPr>
              <w:spacing w:after="40"/>
              <w:rPr>
                <w:rFonts w:ascii="Arial Narrow" w:hAnsi="Arial Narrow"/>
                <w:sz w:val="20"/>
              </w:rPr>
            </w:pPr>
          </w:p>
        </w:tc>
        <w:tc>
          <w:tcPr>
            <w:tcW w:w="865" w:type="pct"/>
            <w:hideMark/>
          </w:tcPr>
          <w:p w14:paraId="2C062DAA" w14:textId="77777777" w:rsidR="00F07327" w:rsidRPr="002D59CD" w:rsidRDefault="00F07327" w:rsidP="00F07327">
            <w:pPr>
              <w:spacing w:after="40"/>
              <w:rPr>
                <w:rFonts w:ascii="Arial Narrow" w:hAnsi="Arial Narrow"/>
                <w:sz w:val="20"/>
              </w:rPr>
            </w:pPr>
            <w:r>
              <w:rPr>
                <w:rFonts w:ascii="Arial Narrow" w:hAnsi="Arial Narrow" w:cs="Calibri"/>
                <w:color w:val="000000"/>
                <w:sz w:val="20"/>
              </w:rPr>
              <w:t>FTRCT ICER</w:t>
            </w:r>
          </w:p>
        </w:tc>
        <w:tc>
          <w:tcPr>
            <w:tcW w:w="943" w:type="pct"/>
            <w:hideMark/>
          </w:tcPr>
          <w:p w14:paraId="04128F3B" w14:textId="77777777" w:rsidR="00F07327" w:rsidRPr="002D59CD" w:rsidRDefault="00F07327" w:rsidP="00F07327">
            <w:pPr>
              <w:spacing w:after="40"/>
              <w:jc w:val="right"/>
              <w:rPr>
                <w:rFonts w:ascii="Arial Narrow" w:hAnsi="Arial Narrow"/>
                <w:sz w:val="20"/>
              </w:rPr>
            </w:pPr>
            <w:r>
              <w:rPr>
                <w:rFonts w:ascii="Arial Narrow" w:hAnsi="Arial Narrow" w:cs="Calibri"/>
                <w:color w:val="000000"/>
                <w:sz w:val="20"/>
              </w:rPr>
              <w:t>$124,107</w:t>
            </w:r>
          </w:p>
        </w:tc>
        <w:tc>
          <w:tcPr>
            <w:tcW w:w="1229" w:type="pct"/>
            <w:hideMark/>
          </w:tcPr>
          <w:p w14:paraId="570D6DF3" w14:textId="77777777" w:rsidR="00F07327" w:rsidRPr="00F91F1A" w:rsidRDefault="00F07327" w:rsidP="00F07327">
            <w:pPr>
              <w:spacing w:after="40"/>
              <w:jc w:val="right"/>
              <w:rPr>
                <w:rFonts w:ascii="Arial Narrow" w:hAnsi="Arial Narrow"/>
                <w:i/>
                <w:iCs/>
                <w:sz w:val="20"/>
              </w:rPr>
            </w:pPr>
            <w:r w:rsidRPr="00F91F1A">
              <w:rPr>
                <w:rFonts w:ascii="Arial Narrow" w:hAnsi="Arial Narrow" w:cs="Calibri"/>
                <w:i/>
                <w:iCs/>
                <w:color w:val="000000"/>
                <w:sz w:val="20"/>
              </w:rPr>
              <w:t>$142,222</w:t>
            </w:r>
          </w:p>
        </w:tc>
      </w:tr>
    </w:tbl>
    <w:p w14:paraId="62A2531A" w14:textId="77777777" w:rsidR="00F07327" w:rsidRDefault="00F07327" w:rsidP="00F07327">
      <w:pPr>
        <w:pStyle w:val="Tablenotes"/>
      </w:pPr>
      <w:r>
        <w:t>CI, confidence interval; EQ-5D = EuroQol-5 dimensions scale;</w:t>
      </w:r>
      <w:r w:rsidRPr="0064127C">
        <w:t xml:space="preserve"> ICER, incremental cost effectiveness ratio</w:t>
      </w:r>
      <w:r>
        <w:t>; HUI = Health Utilities Index</w:t>
      </w:r>
    </w:p>
    <w:p w14:paraId="085AFDF7" w14:textId="77777777" w:rsidR="00690480" w:rsidRDefault="00F07327" w:rsidP="00F07327">
      <w:pPr>
        <w:pStyle w:val="Tablenotes"/>
      </w:pPr>
      <w:r>
        <w:t xml:space="preserve">^ </w:t>
      </w:r>
      <w:r w:rsidRPr="00F91F1A">
        <w:t>The number of REGENETEN patches required was included in sensitivity analyses to make explicit the potential impact of the number of REGENETEN patches used on the ICER</w:t>
      </w:r>
      <w:r>
        <w:t xml:space="preserve">s, e.g. in patients with bilateral rotator cuff tears or in patients with rotator cuff tears that involve more than one tendon. </w:t>
      </w:r>
      <w:r w:rsidRPr="00F91F1A">
        <w:t>Three (</w:t>
      </w:r>
      <w:proofErr w:type="spellStart"/>
      <w:r w:rsidRPr="00F91F1A">
        <w:t>Bokor</w:t>
      </w:r>
      <w:proofErr w:type="spellEnd"/>
      <w:r w:rsidRPr="00F91F1A">
        <w:t xml:space="preserve"> 2015, 2016, Schlegel 2018) of the five REGENETEN studies involved supraspinatus tear</w:t>
      </w:r>
      <w:r>
        <w:t>s</w:t>
      </w:r>
      <w:r w:rsidRPr="00F91F1A">
        <w:t xml:space="preserve"> only but </w:t>
      </w:r>
      <w:r>
        <w:t xml:space="preserve">in Thon (2019), </w:t>
      </w:r>
      <w:r w:rsidRPr="00F91F1A">
        <w:t>at least two tendons (both supraspinatus and infraspinatus) were involved.</w:t>
      </w:r>
      <w:r>
        <w:t xml:space="preserve"> It is not entirely clear whether more than one REGENETEN patches may be required in certain occasions. </w:t>
      </w:r>
      <w:r w:rsidRPr="00F91F1A">
        <w:t>As the</w:t>
      </w:r>
      <w:r>
        <w:t xml:space="preserve"> </w:t>
      </w:r>
      <w:r w:rsidRPr="00AD25F4">
        <w:t>REGENETEN patch</w:t>
      </w:r>
      <w:r>
        <w:t xml:space="preserve"> is available </w:t>
      </w:r>
      <w:r w:rsidRPr="00AD25F4">
        <w:t>in two sizes,</w:t>
      </w:r>
      <w:r>
        <w:t xml:space="preserve"> it seems reasonable to suppose that one patch may suffice for both supraspinatus and infraspinatus tears but it is not clear as </w:t>
      </w:r>
      <w:r w:rsidRPr="00F91F1A">
        <w:t>t</w:t>
      </w:r>
      <w:r w:rsidRPr="00D375A6">
        <w:t>h</w:t>
      </w:r>
      <w:r>
        <w:t xml:space="preserve">e ADAR stated that </w:t>
      </w:r>
      <w:r w:rsidRPr="00DD3712">
        <w:t xml:space="preserve">the proposed intervention </w:t>
      </w:r>
      <w:r>
        <w:t>wa</w:t>
      </w:r>
      <w:r w:rsidRPr="00DD3712">
        <w:t xml:space="preserve">s intended to be used </w:t>
      </w:r>
      <w:r>
        <w:t>“</w:t>
      </w:r>
      <w:r w:rsidRPr="00DD3712">
        <w:t>once per tendon</w:t>
      </w:r>
      <w:r>
        <w:t>”</w:t>
      </w:r>
      <w:r w:rsidRPr="00DD3712">
        <w:t xml:space="preserve"> (p16, ADAR)</w:t>
      </w:r>
      <w:r w:rsidR="00690480">
        <w:t>.</w:t>
      </w:r>
    </w:p>
    <w:p w14:paraId="25CDA754" w14:textId="77777777" w:rsidR="00690480" w:rsidRPr="00690480" w:rsidRDefault="00690480" w:rsidP="00F07327">
      <w:pPr>
        <w:pStyle w:val="Tablenotes"/>
        <w:rPr>
          <w:vertAlign w:val="superscript"/>
        </w:rPr>
      </w:pPr>
      <w:proofErr w:type="gramStart"/>
      <w:r>
        <w:rPr>
          <w:vertAlign w:val="superscript"/>
        </w:rPr>
        <w:t>a</w:t>
      </w:r>
      <w:proofErr w:type="gramEnd"/>
      <w:r>
        <w:rPr>
          <w:vertAlign w:val="superscript"/>
        </w:rPr>
        <w:t xml:space="preserve"> </w:t>
      </w:r>
      <w:r>
        <w:t>Calculated</w:t>
      </w:r>
      <w:r w:rsidRPr="00690480">
        <w:t xml:space="preserve"> by Department</w:t>
      </w:r>
      <w:r>
        <w:t xml:space="preserve"> using Commentary’s respecified spreadsheet</w:t>
      </w:r>
    </w:p>
    <w:p w14:paraId="5D98F6A3" w14:textId="77777777" w:rsidR="00F07327" w:rsidRDefault="00F07327" w:rsidP="00F07327">
      <w:pPr>
        <w:pStyle w:val="Tablenotes"/>
      </w:pPr>
      <w:r w:rsidRPr="0064127C">
        <w:t xml:space="preserve">Source: </w:t>
      </w:r>
      <w:r w:rsidR="00690480">
        <w:t xml:space="preserve">compiled from </w:t>
      </w:r>
      <w:r w:rsidRPr="00C222FA">
        <w:t xml:space="preserve">Table 12, </w:t>
      </w:r>
      <w:proofErr w:type="spellStart"/>
      <w:r w:rsidRPr="00C222FA">
        <w:t>pxxii</w:t>
      </w:r>
      <w:proofErr w:type="spellEnd"/>
      <w:r w:rsidRPr="00C222FA">
        <w:t xml:space="preserve"> of the Commentary</w:t>
      </w:r>
      <w:r w:rsidR="00690480">
        <w:t xml:space="preserve"> and from </w:t>
      </w:r>
      <w:proofErr w:type="gramStart"/>
      <w:r w:rsidR="00690480">
        <w:t>Commentary’s</w:t>
      </w:r>
      <w:proofErr w:type="gramEnd"/>
      <w:r w:rsidR="00690480">
        <w:t xml:space="preserve"> respecified spreadsheet</w:t>
      </w:r>
    </w:p>
    <w:p w14:paraId="503AC319" w14:textId="77777777" w:rsidR="001A360C" w:rsidRDefault="001A360C" w:rsidP="001A360C">
      <w:pPr>
        <w:pStyle w:val="Heading3"/>
      </w:pPr>
      <w:r>
        <w:t>Scenario analysis</w:t>
      </w:r>
    </w:p>
    <w:p w14:paraId="46ECD64F" w14:textId="78BDDED4" w:rsidR="0098433F" w:rsidRPr="00885C08" w:rsidRDefault="007A30C9">
      <w:r>
        <w:t xml:space="preserve">The Commentary </w:t>
      </w:r>
      <w:r w:rsidR="0001579B">
        <w:t>performed f</w:t>
      </w:r>
      <w:r w:rsidR="001A360C" w:rsidRPr="00D220DA">
        <w:t xml:space="preserve">urther scenario testing </w:t>
      </w:r>
      <w:r w:rsidR="0001579B">
        <w:t xml:space="preserve">of the assumptions used in the </w:t>
      </w:r>
      <w:r w:rsidR="001A360C" w:rsidRPr="00D220DA">
        <w:t xml:space="preserve">re-specified base case </w:t>
      </w:r>
      <w:r w:rsidR="0001579B">
        <w:t>resulting</w:t>
      </w:r>
      <w:r w:rsidR="001A360C" w:rsidRPr="00D220DA">
        <w:t xml:space="preserve"> in the pooled ICER increasing to $688,818</w:t>
      </w:r>
      <w:r w:rsidR="001A360C">
        <w:t xml:space="preserve"> ($501,572 for subpopulation 1 [PTRCT]</w:t>
      </w:r>
      <w:r w:rsidR="001A360C" w:rsidRPr="00D220DA">
        <w:t xml:space="preserve"> and </w:t>
      </w:r>
      <w:r w:rsidR="001A360C">
        <w:t>$1,378,299 for subpopulation 2 [FTRCT]</w:t>
      </w:r>
      <w:r w:rsidR="001A360C" w:rsidRPr="00D220DA">
        <w:t>)</w:t>
      </w:r>
      <w:r>
        <w:t xml:space="preserve">. </w:t>
      </w:r>
      <w:bookmarkStart w:id="27" w:name="_Ref35893137"/>
      <w:bookmarkStart w:id="28" w:name="_Ref35893101"/>
      <w:r w:rsidR="0098433F">
        <w:br w:type="page"/>
      </w:r>
    </w:p>
    <w:p w14:paraId="15590656" w14:textId="6D907504" w:rsidR="001A360C" w:rsidRPr="00D32FC9" w:rsidRDefault="0098433F" w:rsidP="00D32FC9">
      <w:pPr>
        <w:rPr>
          <w:rFonts w:ascii="Arial Narrow" w:hAnsi="Arial Narrow"/>
          <w:b/>
          <w:sz w:val="20"/>
        </w:rPr>
      </w:pPr>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11</w:t>
      </w:r>
      <w:r w:rsidR="00F62D1A" w:rsidRPr="00D32FC9">
        <w:rPr>
          <w:rFonts w:ascii="Arial Narrow" w:hAnsi="Arial Narrow"/>
          <w:b/>
          <w:sz w:val="20"/>
        </w:rPr>
        <w:fldChar w:fldCharType="end"/>
      </w:r>
      <w:bookmarkEnd w:id="27"/>
      <w:r w:rsidR="001A360C" w:rsidRPr="00D32FC9">
        <w:rPr>
          <w:rFonts w:ascii="Arial Narrow" w:hAnsi="Arial Narrow"/>
          <w:b/>
          <w:sz w:val="20"/>
        </w:rPr>
        <w:tab/>
        <w:t xml:space="preserve">Re-specified base-case model results </w:t>
      </w:r>
      <w:bookmarkEnd w:id="28"/>
      <w:r w:rsidR="001A360C" w:rsidRPr="00D32FC9">
        <w:rPr>
          <w:rFonts w:ascii="Arial Narrow" w:hAnsi="Arial Narrow"/>
          <w:b/>
          <w:sz w:val="20"/>
        </w:rPr>
        <w:t>with modification of uncertain assumptions (payer perspective)</w:t>
      </w:r>
    </w:p>
    <w:tbl>
      <w:tblPr>
        <w:tblStyle w:val="TableGrid9"/>
        <w:tblW w:w="5000" w:type="pct"/>
        <w:tblLayout w:type="fixed"/>
        <w:tblLook w:val="04A0" w:firstRow="1" w:lastRow="0" w:firstColumn="1" w:lastColumn="0" w:noHBand="0" w:noVBand="1"/>
        <w:tblDescription w:val="Re-specified base-case model results with modification of uncertain assumptions (payer perspective)"/>
      </w:tblPr>
      <w:tblGrid>
        <w:gridCol w:w="4248"/>
        <w:gridCol w:w="1558"/>
        <w:gridCol w:w="1560"/>
        <w:gridCol w:w="1650"/>
      </w:tblGrid>
      <w:tr w:rsidR="001A360C" w:rsidRPr="002D59CD" w14:paraId="2C5EDCF9" w14:textId="77777777" w:rsidTr="00DF15E1">
        <w:trPr>
          <w:trHeight w:val="493"/>
          <w:tblHeader/>
        </w:trPr>
        <w:tc>
          <w:tcPr>
            <w:tcW w:w="2356" w:type="pct"/>
            <w:hideMark/>
          </w:tcPr>
          <w:p w14:paraId="1354CBD7" w14:textId="77777777" w:rsidR="001A360C" w:rsidRPr="002D59CD" w:rsidRDefault="001A360C" w:rsidP="00E06A2F">
            <w:pPr>
              <w:pStyle w:val="TableHeading"/>
              <w:jc w:val="center"/>
            </w:pPr>
            <w:r w:rsidRPr="002D59CD">
              <w:t>Scenario</w:t>
            </w:r>
          </w:p>
        </w:tc>
        <w:tc>
          <w:tcPr>
            <w:tcW w:w="864" w:type="pct"/>
            <w:hideMark/>
          </w:tcPr>
          <w:p w14:paraId="371CAC3B" w14:textId="77777777" w:rsidR="001A360C" w:rsidRPr="002D59CD" w:rsidRDefault="001A360C" w:rsidP="00E06A2F">
            <w:pPr>
              <w:pStyle w:val="TableHeading"/>
              <w:jc w:val="center"/>
            </w:pPr>
            <w:r w:rsidRPr="002D59CD">
              <w:t>PTRCT ICER</w:t>
            </w:r>
          </w:p>
        </w:tc>
        <w:tc>
          <w:tcPr>
            <w:tcW w:w="865" w:type="pct"/>
            <w:hideMark/>
          </w:tcPr>
          <w:p w14:paraId="620824F4" w14:textId="77777777" w:rsidR="001A360C" w:rsidRPr="002D59CD" w:rsidRDefault="001A360C" w:rsidP="00E06A2F">
            <w:pPr>
              <w:pStyle w:val="TableHeading"/>
              <w:jc w:val="center"/>
            </w:pPr>
            <w:r w:rsidRPr="002D59CD">
              <w:t>FTRCT ICER</w:t>
            </w:r>
          </w:p>
        </w:tc>
        <w:tc>
          <w:tcPr>
            <w:tcW w:w="915" w:type="pct"/>
          </w:tcPr>
          <w:p w14:paraId="6D7E9674" w14:textId="77777777" w:rsidR="001A360C" w:rsidRPr="001001D3" w:rsidRDefault="001A360C" w:rsidP="00E06A2F">
            <w:pPr>
              <w:pStyle w:val="TableHeading"/>
              <w:jc w:val="center"/>
            </w:pPr>
            <w:r w:rsidRPr="001001D3">
              <w:t>Pooled ICER</w:t>
            </w:r>
          </w:p>
        </w:tc>
      </w:tr>
      <w:tr w:rsidR="001A360C" w:rsidRPr="002D59CD" w14:paraId="450D124B" w14:textId="77777777" w:rsidTr="00DF15E1">
        <w:trPr>
          <w:trHeight w:val="8"/>
        </w:trPr>
        <w:tc>
          <w:tcPr>
            <w:tcW w:w="2356" w:type="pct"/>
            <w:noWrap/>
            <w:hideMark/>
          </w:tcPr>
          <w:p w14:paraId="4E50079C" w14:textId="77777777" w:rsidR="001A360C" w:rsidRPr="002D59CD" w:rsidRDefault="001A360C" w:rsidP="00E06A2F">
            <w:pPr>
              <w:spacing w:after="40"/>
              <w:rPr>
                <w:rFonts w:ascii="Arial Narrow" w:hAnsi="Arial Narrow"/>
                <w:sz w:val="20"/>
              </w:rPr>
            </w:pPr>
            <w:r w:rsidRPr="002D59CD">
              <w:rPr>
                <w:rFonts w:ascii="Arial Narrow" w:hAnsi="Arial Narrow"/>
                <w:sz w:val="20"/>
              </w:rPr>
              <w:t>Base case</w:t>
            </w:r>
          </w:p>
        </w:tc>
        <w:tc>
          <w:tcPr>
            <w:tcW w:w="864" w:type="pct"/>
            <w:noWrap/>
            <w:hideMark/>
          </w:tcPr>
          <w:p w14:paraId="6F40CCA0" w14:textId="77777777" w:rsidR="001A360C" w:rsidRPr="002D59CD" w:rsidRDefault="001A360C" w:rsidP="00E06A2F">
            <w:pPr>
              <w:spacing w:after="40"/>
              <w:jc w:val="right"/>
              <w:rPr>
                <w:rFonts w:ascii="Arial Narrow" w:hAnsi="Arial Narrow"/>
                <w:sz w:val="20"/>
              </w:rPr>
            </w:pPr>
            <w:r w:rsidRPr="002D59CD">
              <w:rPr>
                <w:rFonts w:ascii="Arial Narrow" w:hAnsi="Arial Narrow"/>
                <w:sz w:val="20"/>
              </w:rPr>
              <w:t>$75,370</w:t>
            </w:r>
          </w:p>
        </w:tc>
        <w:tc>
          <w:tcPr>
            <w:tcW w:w="865" w:type="pct"/>
            <w:noWrap/>
            <w:hideMark/>
          </w:tcPr>
          <w:p w14:paraId="23F717FA" w14:textId="77777777" w:rsidR="001A360C" w:rsidRPr="002D59CD" w:rsidRDefault="001A360C" w:rsidP="00E06A2F">
            <w:pPr>
              <w:spacing w:after="40"/>
              <w:jc w:val="right"/>
              <w:rPr>
                <w:rFonts w:ascii="Arial Narrow" w:hAnsi="Arial Narrow"/>
                <w:sz w:val="20"/>
              </w:rPr>
            </w:pPr>
            <w:r w:rsidRPr="002D59CD">
              <w:rPr>
                <w:rFonts w:ascii="Arial Narrow" w:hAnsi="Arial Narrow"/>
                <w:sz w:val="20"/>
              </w:rPr>
              <w:t>$48,619</w:t>
            </w:r>
          </w:p>
        </w:tc>
        <w:tc>
          <w:tcPr>
            <w:tcW w:w="915" w:type="pct"/>
          </w:tcPr>
          <w:p w14:paraId="595FA36A" w14:textId="77777777" w:rsidR="001A360C" w:rsidRPr="002D59CD" w:rsidRDefault="001A360C" w:rsidP="00E06A2F">
            <w:pPr>
              <w:spacing w:after="40"/>
              <w:jc w:val="right"/>
              <w:rPr>
                <w:rFonts w:ascii="Arial Narrow" w:hAnsi="Arial Narrow"/>
                <w:sz w:val="20"/>
              </w:rPr>
            </w:pPr>
            <w:r>
              <w:rPr>
                <w:rFonts w:ascii="Arial Narrow" w:hAnsi="Arial Narrow" w:cs="Calibri"/>
                <w:color w:val="000000"/>
                <w:sz w:val="20"/>
              </w:rPr>
              <w:t>$62,020</w:t>
            </w:r>
          </w:p>
        </w:tc>
      </w:tr>
      <w:tr w:rsidR="001A360C" w:rsidRPr="002D59CD" w14:paraId="19868AC3" w14:textId="77777777" w:rsidTr="00DF15E1">
        <w:trPr>
          <w:trHeight w:val="8"/>
        </w:trPr>
        <w:tc>
          <w:tcPr>
            <w:tcW w:w="2356" w:type="pct"/>
            <w:noWrap/>
            <w:hideMark/>
          </w:tcPr>
          <w:p w14:paraId="21839998" w14:textId="77777777" w:rsidR="001A360C" w:rsidRPr="002D59CD" w:rsidRDefault="001A360C" w:rsidP="00E06A2F">
            <w:pPr>
              <w:spacing w:after="40"/>
              <w:rPr>
                <w:rFonts w:ascii="Arial Narrow" w:hAnsi="Arial Narrow"/>
                <w:sz w:val="20"/>
              </w:rPr>
            </w:pPr>
            <w:r w:rsidRPr="002D59CD">
              <w:rPr>
                <w:rFonts w:ascii="Arial Narrow" w:hAnsi="Arial Narrow"/>
                <w:sz w:val="20"/>
              </w:rPr>
              <w:t>Re-specified base case</w:t>
            </w:r>
          </w:p>
        </w:tc>
        <w:tc>
          <w:tcPr>
            <w:tcW w:w="864" w:type="pct"/>
            <w:noWrap/>
            <w:hideMark/>
          </w:tcPr>
          <w:p w14:paraId="50A82799" w14:textId="77777777" w:rsidR="001A360C" w:rsidRPr="002D59CD" w:rsidRDefault="001A360C" w:rsidP="00E06A2F">
            <w:pPr>
              <w:spacing w:after="40"/>
              <w:jc w:val="right"/>
              <w:rPr>
                <w:rFonts w:ascii="Arial Narrow" w:hAnsi="Arial Narrow"/>
                <w:sz w:val="20"/>
              </w:rPr>
            </w:pPr>
            <w:r w:rsidRPr="002D59CD">
              <w:rPr>
                <w:rFonts w:ascii="Arial Narrow" w:hAnsi="Arial Narrow"/>
                <w:sz w:val="20"/>
              </w:rPr>
              <w:t>$213,407</w:t>
            </w:r>
          </w:p>
        </w:tc>
        <w:tc>
          <w:tcPr>
            <w:tcW w:w="865" w:type="pct"/>
            <w:noWrap/>
            <w:hideMark/>
          </w:tcPr>
          <w:p w14:paraId="5E03E814" w14:textId="77777777" w:rsidR="001A360C" w:rsidRPr="002D59CD" w:rsidRDefault="001A360C" w:rsidP="00E06A2F">
            <w:pPr>
              <w:spacing w:after="40"/>
              <w:jc w:val="right"/>
              <w:rPr>
                <w:rFonts w:ascii="Arial Narrow" w:hAnsi="Arial Narrow"/>
                <w:sz w:val="20"/>
              </w:rPr>
            </w:pPr>
            <w:r w:rsidRPr="002D59CD">
              <w:rPr>
                <w:rFonts w:ascii="Arial Narrow" w:hAnsi="Arial Narrow"/>
                <w:sz w:val="20"/>
              </w:rPr>
              <w:t>$66,442</w:t>
            </w:r>
          </w:p>
        </w:tc>
        <w:tc>
          <w:tcPr>
            <w:tcW w:w="915" w:type="pct"/>
          </w:tcPr>
          <w:p w14:paraId="56EB3CC1" w14:textId="77777777" w:rsidR="001A360C" w:rsidRPr="002D59CD" w:rsidRDefault="001A360C" w:rsidP="00E06A2F">
            <w:pPr>
              <w:spacing w:after="40"/>
              <w:jc w:val="right"/>
              <w:rPr>
                <w:rFonts w:ascii="Arial Narrow" w:hAnsi="Arial Narrow"/>
                <w:sz w:val="20"/>
              </w:rPr>
            </w:pPr>
            <w:r>
              <w:rPr>
                <w:rFonts w:ascii="Arial Narrow" w:hAnsi="Arial Narrow" w:cs="Calibri"/>
                <w:color w:val="000000"/>
                <w:sz w:val="20"/>
              </w:rPr>
              <w:t>$106,880</w:t>
            </w:r>
          </w:p>
        </w:tc>
      </w:tr>
      <w:tr w:rsidR="001A360C" w:rsidRPr="002D59CD" w14:paraId="539F2CF3" w14:textId="77777777" w:rsidTr="00DF15E1">
        <w:trPr>
          <w:trHeight w:val="8"/>
        </w:trPr>
        <w:tc>
          <w:tcPr>
            <w:tcW w:w="2356" w:type="pct"/>
            <w:noWrap/>
            <w:hideMark/>
          </w:tcPr>
          <w:p w14:paraId="59861BBA" w14:textId="77777777" w:rsidR="001A360C" w:rsidRPr="002D59CD" w:rsidRDefault="001A360C" w:rsidP="00E06A2F">
            <w:pPr>
              <w:spacing w:after="40"/>
              <w:rPr>
                <w:rFonts w:ascii="Arial Narrow" w:hAnsi="Arial Narrow"/>
                <w:sz w:val="20"/>
              </w:rPr>
            </w:pPr>
            <w:r w:rsidRPr="002D59CD">
              <w:rPr>
                <w:rFonts w:ascii="Arial Narrow" w:hAnsi="Arial Narrow"/>
                <w:sz w:val="20"/>
              </w:rPr>
              <w:t>Re-specified base case with FTRCT incomplete healing replaced by re-tear rate</w:t>
            </w:r>
            <w:r>
              <w:rPr>
                <w:rFonts w:ascii="Arial Narrow" w:hAnsi="Arial Narrow"/>
                <w:sz w:val="20"/>
              </w:rPr>
              <w:t xml:space="preserve"> (</w:t>
            </w:r>
            <w:r w:rsidRPr="002D59CD">
              <w:rPr>
                <w:rFonts w:ascii="Arial Narrow" w:hAnsi="Arial Narrow"/>
                <w:sz w:val="20"/>
              </w:rPr>
              <w:t>Scenario 1</w:t>
            </w:r>
            <w:r>
              <w:rPr>
                <w:rFonts w:ascii="Arial Narrow" w:hAnsi="Arial Narrow"/>
                <w:sz w:val="20"/>
              </w:rPr>
              <w:t>)</w:t>
            </w:r>
          </w:p>
        </w:tc>
        <w:tc>
          <w:tcPr>
            <w:tcW w:w="864" w:type="pct"/>
            <w:noWrap/>
            <w:hideMark/>
          </w:tcPr>
          <w:p w14:paraId="08E293F4" w14:textId="77777777" w:rsidR="001A360C" w:rsidRPr="002D59CD" w:rsidRDefault="001A360C" w:rsidP="00E06A2F">
            <w:pPr>
              <w:spacing w:after="40"/>
              <w:jc w:val="right"/>
              <w:rPr>
                <w:rFonts w:ascii="Arial Narrow" w:hAnsi="Arial Narrow"/>
                <w:sz w:val="20"/>
              </w:rPr>
            </w:pPr>
            <w:r w:rsidRPr="002D59CD">
              <w:rPr>
                <w:rFonts w:ascii="Arial Narrow" w:hAnsi="Arial Narrow"/>
                <w:sz w:val="20"/>
              </w:rPr>
              <w:t>$213,407</w:t>
            </w:r>
          </w:p>
        </w:tc>
        <w:tc>
          <w:tcPr>
            <w:tcW w:w="865" w:type="pct"/>
            <w:noWrap/>
            <w:hideMark/>
          </w:tcPr>
          <w:p w14:paraId="7752A1E6" w14:textId="77777777" w:rsidR="001A360C" w:rsidRPr="002D59CD" w:rsidRDefault="001A360C" w:rsidP="00E06A2F">
            <w:pPr>
              <w:spacing w:after="40"/>
              <w:jc w:val="right"/>
              <w:rPr>
                <w:rFonts w:ascii="Arial Narrow" w:hAnsi="Arial Narrow"/>
                <w:sz w:val="20"/>
              </w:rPr>
            </w:pPr>
            <w:r w:rsidRPr="002D59CD">
              <w:rPr>
                <w:rFonts w:ascii="Arial Narrow" w:hAnsi="Arial Narrow"/>
                <w:sz w:val="20"/>
              </w:rPr>
              <w:t>$131,332</w:t>
            </w:r>
          </w:p>
        </w:tc>
        <w:tc>
          <w:tcPr>
            <w:tcW w:w="915" w:type="pct"/>
          </w:tcPr>
          <w:p w14:paraId="3819DF7A" w14:textId="77777777" w:rsidR="001A360C" w:rsidRPr="002D59CD" w:rsidRDefault="001A360C" w:rsidP="00E06A2F">
            <w:pPr>
              <w:spacing w:after="40"/>
              <w:jc w:val="right"/>
              <w:rPr>
                <w:rFonts w:ascii="Arial Narrow" w:hAnsi="Arial Narrow"/>
                <w:sz w:val="20"/>
              </w:rPr>
            </w:pPr>
            <w:r>
              <w:rPr>
                <w:rFonts w:ascii="Arial Narrow" w:hAnsi="Arial Narrow" w:cs="Calibri"/>
                <w:color w:val="000000"/>
                <w:sz w:val="20"/>
              </w:rPr>
              <w:t>$166,516</w:t>
            </w:r>
          </w:p>
        </w:tc>
      </w:tr>
      <w:tr w:rsidR="001A360C" w:rsidRPr="002D59CD" w14:paraId="3B64A63B" w14:textId="77777777" w:rsidTr="00DF15E1">
        <w:trPr>
          <w:trHeight w:val="8"/>
        </w:trPr>
        <w:tc>
          <w:tcPr>
            <w:tcW w:w="2356" w:type="pct"/>
            <w:noWrap/>
            <w:hideMark/>
          </w:tcPr>
          <w:p w14:paraId="1C8C5A1E" w14:textId="77777777" w:rsidR="001A360C" w:rsidRPr="0039726C" w:rsidRDefault="001A360C" w:rsidP="00E06A2F">
            <w:pPr>
              <w:spacing w:after="40"/>
              <w:rPr>
                <w:rFonts w:ascii="Arial Narrow" w:hAnsi="Arial Narrow"/>
                <w:sz w:val="20"/>
              </w:rPr>
            </w:pPr>
            <w:r w:rsidRPr="002D59CD">
              <w:rPr>
                <w:rFonts w:ascii="Arial Narrow" w:hAnsi="Arial Narrow"/>
                <w:sz w:val="20"/>
              </w:rPr>
              <w:t xml:space="preserve">Re-specified base case with </w:t>
            </w:r>
            <w:r>
              <w:rPr>
                <w:rFonts w:ascii="Arial Narrow" w:hAnsi="Arial Narrow"/>
                <w:sz w:val="20"/>
              </w:rPr>
              <w:t>u</w:t>
            </w:r>
            <w:r w:rsidRPr="002D59CD">
              <w:rPr>
                <w:rFonts w:ascii="Arial Narrow" w:hAnsi="Arial Narrow"/>
                <w:sz w:val="20"/>
              </w:rPr>
              <w:t>tility values from Huang 2017</w:t>
            </w:r>
            <w:r>
              <w:rPr>
                <w:rFonts w:ascii="Arial Narrow" w:hAnsi="Arial Narrow"/>
                <w:sz w:val="20"/>
              </w:rPr>
              <w:t xml:space="preserve"> (</w:t>
            </w:r>
            <w:r w:rsidRPr="002D59CD">
              <w:rPr>
                <w:rFonts w:ascii="Arial Narrow" w:hAnsi="Arial Narrow"/>
                <w:sz w:val="20"/>
              </w:rPr>
              <w:t xml:space="preserve">Scenario </w:t>
            </w:r>
            <w:r>
              <w:rPr>
                <w:rFonts w:ascii="Arial Narrow" w:hAnsi="Arial Narrow"/>
                <w:sz w:val="20"/>
              </w:rPr>
              <w:t>2)</w:t>
            </w:r>
          </w:p>
        </w:tc>
        <w:tc>
          <w:tcPr>
            <w:tcW w:w="864" w:type="pct"/>
            <w:noWrap/>
            <w:hideMark/>
          </w:tcPr>
          <w:p w14:paraId="4F6A03B2"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$411,571</w:t>
            </w:r>
          </w:p>
        </w:tc>
        <w:tc>
          <w:tcPr>
            <w:tcW w:w="865" w:type="pct"/>
            <w:noWrap/>
            <w:hideMark/>
          </w:tcPr>
          <w:p w14:paraId="311C927D"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$470,236</w:t>
            </w:r>
          </w:p>
        </w:tc>
        <w:tc>
          <w:tcPr>
            <w:tcW w:w="915" w:type="pct"/>
          </w:tcPr>
          <w:p w14:paraId="302CA28C" w14:textId="77777777" w:rsidR="001A360C" w:rsidRPr="002D59CD" w:rsidRDefault="001A360C" w:rsidP="00E06A2F">
            <w:pPr>
              <w:spacing w:after="40"/>
              <w:jc w:val="right"/>
              <w:rPr>
                <w:rFonts w:ascii="Arial Narrow" w:hAnsi="Arial Narrow"/>
                <w:b/>
                <w:bCs/>
                <w:sz w:val="20"/>
              </w:rPr>
            </w:pPr>
            <w:r>
              <w:rPr>
                <w:rFonts w:ascii="Arial Narrow" w:hAnsi="Arial Narrow" w:cs="Calibri"/>
                <w:color w:val="000000"/>
                <w:sz w:val="20"/>
              </w:rPr>
              <w:t>$436,085</w:t>
            </w:r>
          </w:p>
        </w:tc>
      </w:tr>
      <w:tr w:rsidR="001A360C" w:rsidRPr="002D59CD" w14:paraId="05667C2B" w14:textId="77777777" w:rsidTr="00DF15E1">
        <w:trPr>
          <w:trHeight w:val="8"/>
        </w:trPr>
        <w:tc>
          <w:tcPr>
            <w:tcW w:w="2356" w:type="pct"/>
            <w:noWrap/>
            <w:hideMark/>
          </w:tcPr>
          <w:p w14:paraId="1F4A0951" w14:textId="77777777" w:rsidR="001A360C" w:rsidRPr="002D59CD" w:rsidRDefault="001A360C" w:rsidP="00E06A2F">
            <w:pPr>
              <w:spacing w:after="40"/>
              <w:rPr>
                <w:rFonts w:ascii="Arial Narrow" w:hAnsi="Arial Narrow"/>
                <w:sz w:val="20"/>
              </w:rPr>
            </w:pPr>
            <w:r w:rsidRPr="002D59CD">
              <w:rPr>
                <w:rFonts w:ascii="Arial Narrow" w:hAnsi="Arial Narrow"/>
                <w:sz w:val="20"/>
              </w:rPr>
              <w:t xml:space="preserve">Re-specified base case with </w:t>
            </w:r>
            <w:r>
              <w:rPr>
                <w:rFonts w:ascii="Arial Narrow" w:hAnsi="Arial Narrow"/>
                <w:sz w:val="20"/>
              </w:rPr>
              <w:t>n</w:t>
            </w:r>
            <w:r w:rsidRPr="002D59CD">
              <w:rPr>
                <w:rFonts w:ascii="Arial Narrow" w:hAnsi="Arial Narrow"/>
                <w:sz w:val="20"/>
              </w:rPr>
              <w:t>o differential in the number of physiotherapy visits</w:t>
            </w:r>
            <w:r>
              <w:rPr>
                <w:rFonts w:ascii="Arial Narrow" w:hAnsi="Arial Narrow"/>
                <w:sz w:val="20"/>
              </w:rPr>
              <w:t xml:space="preserve"> (</w:t>
            </w:r>
            <w:r w:rsidRPr="002D59CD">
              <w:rPr>
                <w:rFonts w:ascii="Arial Narrow" w:hAnsi="Arial Narrow"/>
                <w:sz w:val="20"/>
              </w:rPr>
              <w:t>Scenario 3</w:t>
            </w:r>
            <w:r>
              <w:rPr>
                <w:rFonts w:ascii="Arial Narrow" w:hAnsi="Arial Narrow"/>
                <w:sz w:val="20"/>
              </w:rPr>
              <w:t>)</w:t>
            </w:r>
          </w:p>
        </w:tc>
        <w:tc>
          <w:tcPr>
            <w:tcW w:w="864" w:type="pct"/>
            <w:noWrap/>
            <w:hideMark/>
          </w:tcPr>
          <w:p w14:paraId="765420C5"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$260,074</w:t>
            </w:r>
          </w:p>
        </w:tc>
        <w:tc>
          <w:tcPr>
            <w:tcW w:w="865" w:type="pct"/>
            <w:noWrap/>
            <w:hideMark/>
          </w:tcPr>
          <w:p w14:paraId="147A1630"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$73,677</w:t>
            </w:r>
          </w:p>
        </w:tc>
        <w:tc>
          <w:tcPr>
            <w:tcW w:w="915" w:type="pct"/>
          </w:tcPr>
          <w:p w14:paraId="2AB1E337" w14:textId="77777777" w:rsidR="001A360C" w:rsidRPr="002D59CD" w:rsidRDefault="001A360C" w:rsidP="00E06A2F">
            <w:pPr>
              <w:spacing w:after="40"/>
              <w:jc w:val="right"/>
              <w:rPr>
                <w:rFonts w:ascii="Arial Narrow" w:hAnsi="Arial Narrow"/>
                <w:b/>
                <w:bCs/>
                <w:sz w:val="20"/>
              </w:rPr>
            </w:pPr>
            <w:r>
              <w:rPr>
                <w:rFonts w:ascii="Arial Narrow" w:hAnsi="Arial Narrow" w:cs="Calibri"/>
                <w:color w:val="000000"/>
                <w:sz w:val="20"/>
              </w:rPr>
              <w:t>$124,966</w:t>
            </w:r>
          </w:p>
        </w:tc>
      </w:tr>
      <w:tr w:rsidR="001A360C" w:rsidRPr="002D59CD" w14:paraId="5ACCB44B" w14:textId="77777777" w:rsidTr="00DF15E1">
        <w:trPr>
          <w:trHeight w:val="8"/>
        </w:trPr>
        <w:tc>
          <w:tcPr>
            <w:tcW w:w="2356" w:type="pct"/>
            <w:noWrap/>
            <w:hideMark/>
          </w:tcPr>
          <w:p w14:paraId="47B6202A" w14:textId="77777777" w:rsidR="001A360C" w:rsidRPr="002D59CD" w:rsidRDefault="001A360C" w:rsidP="00E06A2F">
            <w:pPr>
              <w:spacing w:after="40"/>
              <w:rPr>
                <w:rFonts w:ascii="Arial Narrow" w:hAnsi="Arial Narrow"/>
                <w:b/>
                <w:bCs/>
                <w:sz w:val="20"/>
              </w:rPr>
            </w:pPr>
            <w:r w:rsidRPr="002D59CD">
              <w:rPr>
                <w:rFonts w:ascii="Arial Narrow" w:hAnsi="Arial Narrow"/>
                <w:b/>
                <w:bCs/>
                <w:sz w:val="20"/>
              </w:rPr>
              <w:t xml:space="preserve">Alternative scenario of </w:t>
            </w:r>
            <w:r>
              <w:rPr>
                <w:rFonts w:ascii="Arial Narrow" w:hAnsi="Arial Narrow"/>
                <w:b/>
                <w:bCs/>
                <w:sz w:val="20"/>
              </w:rPr>
              <w:t>re-specified base</w:t>
            </w:r>
            <w:r w:rsidRPr="002D59CD">
              <w:rPr>
                <w:rFonts w:ascii="Arial Narrow" w:hAnsi="Arial Narrow"/>
                <w:b/>
                <w:bCs/>
                <w:sz w:val="20"/>
              </w:rPr>
              <w:t xml:space="preserve"> case </w:t>
            </w:r>
          </w:p>
          <w:p w14:paraId="30FCBAFC" w14:textId="77777777" w:rsidR="001A360C" w:rsidRPr="002D59CD" w:rsidRDefault="001A360C" w:rsidP="00E06A2F">
            <w:pPr>
              <w:spacing w:after="40"/>
              <w:rPr>
                <w:rFonts w:ascii="Arial Narrow" w:hAnsi="Arial Narrow"/>
                <w:sz w:val="20"/>
              </w:rPr>
            </w:pPr>
            <w:r w:rsidRPr="002D59CD">
              <w:rPr>
                <w:rFonts w:ascii="Arial Narrow" w:hAnsi="Arial Narrow"/>
                <w:sz w:val="20"/>
              </w:rPr>
              <w:t xml:space="preserve">Re-specified base case with Scenarios 1 through 3 </w:t>
            </w:r>
          </w:p>
        </w:tc>
        <w:tc>
          <w:tcPr>
            <w:tcW w:w="864" w:type="pct"/>
            <w:noWrap/>
            <w:hideMark/>
          </w:tcPr>
          <w:p w14:paraId="6A9E1336"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$501,572</w:t>
            </w:r>
          </w:p>
        </w:tc>
        <w:tc>
          <w:tcPr>
            <w:tcW w:w="865" w:type="pct"/>
            <w:noWrap/>
            <w:hideMark/>
          </w:tcPr>
          <w:p w14:paraId="4D53EB43"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$1,378,299</w:t>
            </w:r>
          </w:p>
        </w:tc>
        <w:tc>
          <w:tcPr>
            <w:tcW w:w="915" w:type="pct"/>
          </w:tcPr>
          <w:p w14:paraId="277551B7" w14:textId="77777777" w:rsidR="001A360C" w:rsidRDefault="001A360C" w:rsidP="00E06A2F">
            <w:pPr>
              <w:spacing w:after="40"/>
              <w:jc w:val="right"/>
              <w:rPr>
                <w:rFonts w:ascii="Arial Narrow" w:hAnsi="Arial Narrow"/>
                <w:b/>
                <w:bCs/>
                <w:sz w:val="20"/>
              </w:rPr>
            </w:pPr>
            <w:r>
              <w:rPr>
                <w:rFonts w:ascii="Arial Narrow" w:hAnsi="Arial Narrow" w:cs="Calibri"/>
                <w:color w:val="000000"/>
                <w:sz w:val="20"/>
              </w:rPr>
              <w:t>$688,818</w:t>
            </w:r>
          </w:p>
        </w:tc>
      </w:tr>
      <w:tr w:rsidR="001A360C" w:rsidRPr="002D59CD" w14:paraId="7E08697B" w14:textId="77777777" w:rsidTr="00DF15E1">
        <w:trPr>
          <w:trHeight w:val="8"/>
        </w:trPr>
        <w:tc>
          <w:tcPr>
            <w:tcW w:w="2356" w:type="pct"/>
            <w:noWrap/>
            <w:hideMark/>
          </w:tcPr>
          <w:p w14:paraId="7A2D80C7" w14:textId="77777777" w:rsidR="001A360C" w:rsidRPr="002D59CD" w:rsidRDefault="001A360C" w:rsidP="00E06A2F">
            <w:pPr>
              <w:spacing w:after="40"/>
              <w:rPr>
                <w:rFonts w:ascii="Arial Narrow" w:hAnsi="Arial Narrow"/>
                <w:sz w:val="20"/>
              </w:rPr>
            </w:pPr>
            <w:r w:rsidRPr="002D59CD">
              <w:rPr>
                <w:rFonts w:ascii="Arial Narrow" w:hAnsi="Arial Narrow"/>
                <w:sz w:val="20"/>
              </w:rPr>
              <w:t>Re-specified base case with Scenarios 1 and 2</w:t>
            </w:r>
          </w:p>
        </w:tc>
        <w:tc>
          <w:tcPr>
            <w:tcW w:w="864" w:type="pct"/>
            <w:noWrap/>
            <w:hideMark/>
          </w:tcPr>
          <w:p w14:paraId="3EB242D6"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$411,571</w:t>
            </w:r>
          </w:p>
        </w:tc>
        <w:tc>
          <w:tcPr>
            <w:tcW w:w="865" w:type="pct"/>
            <w:noWrap/>
            <w:hideMark/>
          </w:tcPr>
          <w:p w14:paraId="57BADEFD"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$1,242,937</w:t>
            </w:r>
          </w:p>
        </w:tc>
        <w:tc>
          <w:tcPr>
            <w:tcW w:w="915" w:type="pct"/>
          </w:tcPr>
          <w:p w14:paraId="3709622F" w14:textId="77777777" w:rsidR="001A360C" w:rsidRDefault="001A360C" w:rsidP="00E06A2F">
            <w:pPr>
              <w:spacing w:after="40"/>
              <w:jc w:val="right"/>
              <w:rPr>
                <w:rFonts w:ascii="Arial Narrow" w:hAnsi="Arial Narrow"/>
                <w:b/>
                <w:bCs/>
                <w:sz w:val="20"/>
              </w:rPr>
            </w:pPr>
            <w:r>
              <w:rPr>
                <w:rFonts w:ascii="Arial Narrow" w:hAnsi="Arial Narrow" w:cs="Calibri"/>
                <w:color w:val="000000"/>
                <w:sz w:val="20"/>
              </w:rPr>
              <w:t>$589,129</w:t>
            </w:r>
          </w:p>
        </w:tc>
      </w:tr>
      <w:tr w:rsidR="001A360C" w:rsidRPr="002D59CD" w14:paraId="133A8C66" w14:textId="77777777" w:rsidTr="00DF15E1">
        <w:trPr>
          <w:trHeight w:val="8"/>
        </w:trPr>
        <w:tc>
          <w:tcPr>
            <w:tcW w:w="2356" w:type="pct"/>
            <w:noWrap/>
            <w:hideMark/>
          </w:tcPr>
          <w:p w14:paraId="23C38DAB" w14:textId="77777777" w:rsidR="001A360C" w:rsidRPr="002D59CD" w:rsidRDefault="001A360C" w:rsidP="00E06A2F">
            <w:pPr>
              <w:spacing w:after="40"/>
              <w:rPr>
                <w:rFonts w:ascii="Arial Narrow" w:hAnsi="Arial Narrow"/>
                <w:sz w:val="20"/>
              </w:rPr>
            </w:pPr>
            <w:r w:rsidRPr="002D59CD">
              <w:rPr>
                <w:rFonts w:ascii="Arial Narrow" w:hAnsi="Arial Narrow"/>
                <w:sz w:val="20"/>
              </w:rPr>
              <w:t>Re-specified base case with Scenarios 1 and 3</w:t>
            </w:r>
          </w:p>
        </w:tc>
        <w:tc>
          <w:tcPr>
            <w:tcW w:w="864" w:type="pct"/>
            <w:noWrap/>
            <w:hideMark/>
          </w:tcPr>
          <w:p w14:paraId="201EA7DF"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$260,074</w:t>
            </w:r>
          </w:p>
        </w:tc>
        <w:tc>
          <w:tcPr>
            <w:tcW w:w="865" w:type="pct"/>
            <w:noWrap/>
            <w:hideMark/>
          </w:tcPr>
          <w:p w14:paraId="531AEC2E"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$145,634</w:t>
            </w:r>
          </w:p>
        </w:tc>
        <w:tc>
          <w:tcPr>
            <w:tcW w:w="915" w:type="pct"/>
          </w:tcPr>
          <w:p w14:paraId="4AE37634" w14:textId="77777777" w:rsidR="001A360C" w:rsidRDefault="001A360C" w:rsidP="00E06A2F">
            <w:pPr>
              <w:spacing w:after="40"/>
              <w:jc w:val="right"/>
              <w:rPr>
                <w:rFonts w:ascii="Arial Narrow" w:hAnsi="Arial Narrow"/>
                <w:b/>
                <w:bCs/>
                <w:sz w:val="20"/>
              </w:rPr>
            </w:pPr>
            <w:r>
              <w:rPr>
                <w:rFonts w:ascii="Arial Narrow" w:hAnsi="Arial Narrow" w:cs="Calibri"/>
                <w:color w:val="000000"/>
                <w:sz w:val="20"/>
              </w:rPr>
              <w:t>$194,693</w:t>
            </w:r>
          </w:p>
        </w:tc>
      </w:tr>
      <w:tr w:rsidR="001A360C" w:rsidRPr="002D59CD" w14:paraId="742A070E" w14:textId="77777777" w:rsidTr="00DF15E1">
        <w:trPr>
          <w:trHeight w:val="8"/>
        </w:trPr>
        <w:tc>
          <w:tcPr>
            <w:tcW w:w="2356" w:type="pct"/>
            <w:noWrap/>
            <w:hideMark/>
          </w:tcPr>
          <w:p w14:paraId="4828E0EC" w14:textId="77777777" w:rsidR="001A360C" w:rsidRPr="002D59CD" w:rsidRDefault="001A360C" w:rsidP="00E06A2F">
            <w:pPr>
              <w:spacing w:after="40"/>
              <w:rPr>
                <w:rFonts w:ascii="Arial Narrow" w:hAnsi="Arial Narrow"/>
                <w:sz w:val="20"/>
              </w:rPr>
            </w:pPr>
            <w:r w:rsidRPr="002D59CD">
              <w:rPr>
                <w:rFonts w:ascii="Arial Narrow" w:hAnsi="Arial Narrow"/>
                <w:sz w:val="20"/>
              </w:rPr>
              <w:t>Re-specified base case with Scenarios 2 and 3</w:t>
            </w:r>
          </w:p>
        </w:tc>
        <w:tc>
          <w:tcPr>
            <w:tcW w:w="864" w:type="pct"/>
            <w:noWrap/>
            <w:hideMark/>
          </w:tcPr>
          <w:p w14:paraId="63499C97"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$501,572</w:t>
            </w:r>
          </w:p>
        </w:tc>
        <w:tc>
          <w:tcPr>
            <w:tcW w:w="865" w:type="pct"/>
            <w:noWrap/>
            <w:hideMark/>
          </w:tcPr>
          <w:p w14:paraId="1A094B69" w14:textId="77777777" w:rsidR="001A360C" w:rsidRPr="0039726C" w:rsidRDefault="001A360C" w:rsidP="00E06A2F">
            <w:pPr>
              <w:spacing w:after="40"/>
              <w:jc w:val="right"/>
              <w:rPr>
                <w:rFonts w:ascii="Arial Narrow" w:hAnsi="Arial Narrow"/>
                <w:sz w:val="20"/>
              </w:rPr>
            </w:pPr>
            <w:r w:rsidRPr="0039726C">
              <w:rPr>
                <w:rFonts w:ascii="Arial Narrow" w:hAnsi="Arial Narrow"/>
                <w:sz w:val="20"/>
              </w:rPr>
              <w:t>$521,447</w:t>
            </w:r>
          </w:p>
        </w:tc>
        <w:tc>
          <w:tcPr>
            <w:tcW w:w="915" w:type="pct"/>
          </w:tcPr>
          <w:p w14:paraId="719ECCF7" w14:textId="77777777" w:rsidR="001A360C" w:rsidRDefault="001A360C" w:rsidP="00E06A2F">
            <w:pPr>
              <w:spacing w:after="40"/>
              <w:jc w:val="right"/>
              <w:rPr>
                <w:rFonts w:ascii="Arial Narrow" w:hAnsi="Arial Narrow"/>
                <w:b/>
                <w:bCs/>
                <w:sz w:val="20"/>
              </w:rPr>
            </w:pPr>
            <w:r>
              <w:rPr>
                <w:rFonts w:ascii="Arial Narrow" w:hAnsi="Arial Narrow" w:cs="Calibri"/>
                <w:color w:val="000000"/>
                <w:sz w:val="20"/>
              </w:rPr>
              <w:t>$509,877</w:t>
            </w:r>
          </w:p>
        </w:tc>
      </w:tr>
    </w:tbl>
    <w:p w14:paraId="0B5D9083" w14:textId="77777777" w:rsidR="001A360C" w:rsidRPr="0064127C" w:rsidRDefault="001A360C" w:rsidP="00E06A2F">
      <w:pPr>
        <w:pStyle w:val="Tablenotes1"/>
      </w:pPr>
      <w:r w:rsidRPr="0064127C">
        <w:t>QALY, quality adjusted life year. ICER, incremental cost effectiveness ratio.</w:t>
      </w:r>
    </w:p>
    <w:p w14:paraId="1F7D9EC6" w14:textId="77777777" w:rsidR="007A30C9" w:rsidRDefault="001A360C" w:rsidP="00E06A2F">
      <w:pPr>
        <w:pStyle w:val="Tablenotes1"/>
      </w:pPr>
      <w:r w:rsidRPr="0064127C">
        <w:t>So</w:t>
      </w:r>
      <w:r>
        <w:t xml:space="preserve">urce: Table 13, </w:t>
      </w:r>
      <w:proofErr w:type="spellStart"/>
      <w:r>
        <w:t>ppxxiii</w:t>
      </w:r>
      <w:proofErr w:type="spellEnd"/>
      <w:r>
        <w:t>- xxiv of the Commentary</w:t>
      </w:r>
    </w:p>
    <w:p w14:paraId="3140D9B6" w14:textId="77777777" w:rsidR="007A30C9" w:rsidRDefault="007A30C9" w:rsidP="007A30C9">
      <w:pPr>
        <w:rPr>
          <w:snapToGrid w:val="0"/>
          <w:lang w:eastAsia="en-US"/>
        </w:rPr>
      </w:pPr>
      <w:r>
        <w:rPr>
          <w:snapToGrid w:val="0"/>
          <w:lang w:eastAsia="en-US"/>
        </w:rPr>
        <w:t>In the pre-ESC response, the applicant:</w:t>
      </w:r>
    </w:p>
    <w:p w14:paraId="1FECF568" w14:textId="77777777" w:rsidR="007A30C9" w:rsidRDefault="007A30C9" w:rsidP="007A30C9">
      <w:pPr>
        <w:pStyle w:val="ListParagraph"/>
        <w:numPr>
          <w:ilvl w:val="0"/>
          <w:numId w:val="38"/>
        </w:numPr>
        <w:rPr>
          <w:snapToGrid w:val="0"/>
          <w:lang w:eastAsia="en-US"/>
        </w:rPr>
      </w:pPr>
      <w:proofErr w:type="gramStart"/>
      <w:r>
        <w:rPr>
          <w:snapToGrid w:val="0"/>
          <w:lang w:eastAsia="en-US"/>
        </w:rPr>
        <w:t>noted</w:t>
      </w:r>
      <w:proofErr w:type="gramEnd"/>
      <w:r>
        <w:rPr>
          <w:snapToGrid w:val="0"/>
          <w:lang w:eastAsia="en-US"/>
        </w:rPr>
        <w:t xml:space="preserve"> that t</w:t>
      </w:r>
      <w:r w:rsidRPr="000C1AAF">
        <w:rPr>
          <w:snapToGrid w:val="0"/>
          <w:lang w:eastAsia="en-US"/>
        </w:rPr>
        <w:t xml:space="preserve">he utility scores from Vitale et al using the EuroQol-5 dimensions scale </w:t>
      </w:r>
      <w:r>
        <w:rPr>
          <w:snapToGrid w:val="0"/>
          <w:lang w:eastAsia="en-US"/>
        </w:rPr>
        <w:t>(</w:t>
      </w:r>
      <w:r w:rsidRPr="000C1AAF">
        <w:rPr>
          <w:snapToGrid w:val="0"/>
          <w:lang w:eastAsia="en-US"/>
        </w:rPr>
        <w:t>EQ-5D</w:t>
      </w:r>
      <w:r>
        <w:rPr>
          <w:snapToGrid w:val="0"/>
          <w:lang w:eastAsia="en-US"/>
        </w:rPr>
        <w:t>)</w:t>
      </w:r>
      <w:r w:rsidRPr="000C1AAF">
        <w:rPr>
          <w:snapToGrid w:val="0"/>
          <w:lang w:eastAsia="en-US"/>
        </w:rPr>
        <w:t xml:space="preserve">, are broadly consistent with the other sources. </w:t>
      </w:r>
      <w:proofErr w:type="spellStart"/>
      <w:r w:rsidRPr="000C1AAF">
        <w:rPr>
          <w:snapToGrid w:val="0"/>
          <w:lang w:eastAsia="en-US"/>
        </w:rPr>
        <w:t>Grobet</w:t>
      </w:r>
      <w:proofErr w:type="spellEnd"/>
      <w:r w:rsidRPr="000C1AAF">
        <w:rPr>
          <w:snapToGrid w:val="0"/>
          <w:lang w:eastAsia="en-US"/>
        </w:rPr>
        <w:t xml:space="preserve"> (2018) reported a 0.22 improvement, </w:t>
      </w:r>
      <w:proofErr w:type="spellStart"/>
      <w:r w:rsidRPr="000C1AAF">
        <w:rPr>
          <w:snapToGrid w:val="0"/>
          <w:lang w:eastAsia="en-US"/>
        </w:rPr>
        <w:t>Flury</w:t>
      </w:r>
      <w:proofErr w:type="spellEnd"/>
      <w:r w:rsidRPr="000C1AAF">
        <w:rPr>
          <w:snapToGrid w:val="0"/>
          <w:lang w:eastAsia="en-US"/>
        </w:rPr>
        <w:t xml:space="preserve"> (2019) a 0.27 improvement and Huang (2017) reported a 0.2 improvement – all based on EQ-5D scores. The lower reported improvement in utility noted by the Evaluators as referenced in the alternative analysis is derived from the Health Utilities Index (HUI) rating scale and appears to be widely inconsistent with all other studies that report the incremental benefit using the EQ-5D.</w:t>
      </w:r>
    </w:p>
    <w:p w14:paraId="792B3D94" w14:textId="623B922E" w:rsidR="007A30C9" w:rsidRPr="0098433F" w:rsidRDefault="007A30C9" w:rsidP="00E06A2F">
      <w:pPr>
        <w:pStyle w:val="ListParagraph"/>
        <w:numPr>
          <w:ilvl w:val="0"/>
          <w:numId w:val="38"/>
        </w:numPr>
        <w:rPr>
          <w:snapToGrid w:val="0"/>
          <w:lang w:eastAsia="en-US"/>
        </w:rPr>
      </w:pPr>
      <w:proofErr w:type="gramStart"/>
      <w:r w:rsidRPr="000C1AAF">
        <w:rPr>
          <w:snapToGrid w:val="0"/>
          <w:lang w:eastAsia="en-US"/>
        </w:rPr>
        <w:t>acknowledges</w:t>
      </w:r>
      <w:proofErr w:type="gramEnd"/>
      <w:r w:rsidRPr="000C1AAF">
        <w:rPr>
          <w:snapToGrid w:val="0"/>
          <w:lang w:eastAsia="en-US"/>
        </w:rPr>
        <w:t xml:space="preserve"> that the additional utility in year 2 following revision surgery as noted by the Evaluators is reasonable.</w:t>
      </w:r>
    </w:p>
    <w:p w14:paraId="0AE64D9B" w14:textId="77777777" w:rsidR="00BC1364" w:rsidRPr="00F715D1" w:rsidRDefault="00BC1364" w:rsidP="00F715D1">
      <w:pPr>
        <w:pStyle w:val="Heading1"/>
      </w:pPr>
      <w:r w:rsidRPr="00F715D1">
        <w:t>Financial/budgetary impacts</w:t>
      </w:r>
    </w:p>
    <w:p w14:paraId="558FF900" w14:textId="6D0C5C9C" w:rsidR="00E06A2F" w:rsidRDefault="00E06A2F" w:rsidP="00E06A2F">
      <w:r w:rsidRPr="001F45A8">
        <w:t xml:space="preserve">An epidemiological approach </w:t>
      </w:r>
      <w:proofErr w:type="gramStart"/>
      <w:r w:rsidRPr="001F45A8">
        <w:t>has been used</w:t>
      </w:r>
      <w:proofErr w:type="gramEnd"/>
      <w:r w:rsidRPr="001F45A8">
        <w:t xml:space="preserve"> to estimate the financial implications of the introduction of REGENETEN. </w:t>
      </w:r>
      <w:proofErr w:type="gramStart"/>
      <w:r w:rsidRPr="001F45A8">
        <w:t xml:space="preserve">The financial implications were based on the output from the economic evaluation and the expected utilisation of REGENETEN, </w:t>
      </w:r>
      <w:r>
        <w:t>assuming the incidence rate from a population-based Finland study (</w:t>
      </w:r>
      <w:r w:rsidRPr="001F45A8">
        <w:t>131 rotator cuff repairs per 100,000 population</w:t>
      </w:r>
      <w:r>
        <w:t xml:space="preserve">) would remain stable, using </w:t>
      </w:r>
      <w:r w:rsidRPr="001F45A8">
        <w:t>the proportion of Australians with private health insurance (44.2%)</w:t>
      </w:r>
      <w:r>
        <w:t>; and the Sponsor’s assumption that uptake increasing</w:t>
      </w:r>
      <w:r w:rsidRPr="001F45A8">
        <w:t xml:space="preserve"> linearly at </w:t>
      </w:r>
      <w:r w:rsidR="00B93A95" w:rsidRPr="00B93A95">
        <w:rPr>
          <w:b/>
        </w:rPr>
        <w:t>redacted</w:t>
      </w:r>
      <w:r w:rsidRPr="001F45A8">
        <w:t xml:space="preserve">% per year, reaching </w:t>
      </w:r>
      <w:r w:rsidR="00B93A95" w:rsidRPr="00B93A95">
        <w:rPr>
          <w:b/>
        </w:rPr>
        <w:t>redacted</w:t>
      </w:r>
      <w:r w:rsidRPr="001F45A8">
        <w:t>% in year 5.</w:t>
      </w:r>
      <w:proofErr w:type="gramEnd"/>
      <w:r w:rsidR="00645E8A">
        <w:t xml:space="preserve"> Consistent with the ADARs economic model, the ADARs base case estimate of prevalence was </w:t>
      </w:r>
      <w:r w:rsidR="00645E8A" w:rsidRPr="00645E8A">
        <w:t>assuming 71% PTRCT and 29% FTRCT</w:t>
      </w:r>
      <w:r w:rsidR="00645E8A">
        <w:t xml:space="preserve"> from Sher 2017.</w:t>
      </w:r>
    </w:p>
    <w:p w14:paraId="071CFF41" w14:textId="75C64F5C" w:rsidR="005A160D" w:rsidRDefault="00E06A2F" w:rsidP="005A160D">
      <w:pPr>
        <w:spacing w:before="240"/>
        <w:rPr>
          <w:rFonts w:ascii="Arial Narrow" w:hAnsi="Arial Narrow"/>
          <w:b/>
          <w:sz w:val="20"/>
        </w:rPr>
      </w:pPr>
      <w:r w:rsidRPr="001F45A8">
        <w:t xml:space="preserve">The </w:t>
      </w:r>
      <w:r>
        <w:t xml:space="preserve">Commentary </w:t>
      </w:r>
      <w:r w:rsidRPr="001F45A8">
        <w:t>re-calculated</w:t>
      </w:r>
      <w:r>
        <w:t xml:space="preserve"> the </w:t>
      </w:r>
      <w:r w:rsidR="00645E8A">
        <w:t>ADARs</w:t>
      </w:r>
      <w:r w:rsidR="0098433F">
        <w:t xml:space="preserve"> base case costs as </w:t>
      </w:r>
      <w:bookmarkStart w:id="29" w:name="_Ref36503869"/>
      <w:bookmarkStart w:id="30" w:name="_Ref36556720"/>
      <w:bookmarkStart w:id="31" w:name="_Toc36643073"/>
      <w:r w:rsidR="005A160D">
        <w:rPr>
          <w:szCs w:val="24"/>
        </w:rPr>
        <w:t>per Table 12.</w:t>
      </w:r>
    </w:p>
    <w:p w14:paraId="1B5BC1B7" w14:textId="30902DDB" w:rsidR="00DF15E1" w:rsidRPr="00DF15E1" w:rsidRDefault="00DF15E1" w:rsidP="00DF15E1">
      <w:pPr>
        <w:spacing w:before="240"/>
      </w:pPr>
      <w:r>
        <w:rPr>
          <w:rFonts w:ascii="Arial Narrow" w:hAnsi="Arial Narrow"/>
          <w:b/>
          <w:sz w:val="20"/>
        </w:rPr>
        <w:br w:type="page"/>
      </w:r>
    </w:p>
    <w:p w14:paraId="645B9C08" w14:textId="24BFBB2B" w:rsidR="00E06A2F" w:rsidRPr="00D32FC9" w:rsidRDefault="0098433F" w:rsidP="00D32FC9">
      <w:pPr>
        <w:keepNext/>
        <w:keepLines/>
        <w:spacing w:before="240"/>
        <w:rPr>
          <w:rFonts w:ascii="Arial Narrow" w:hAnsi="Arial Narrow"/>
          <w:b/>
          <w:sz w:val="20"/>
        </w:rPr>
      </w:pPr>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12</w:t>
      </w:r>
      <w:r w:rsidR="00F62D1A" w:rsidRPr="00D32FC9">
        <w:rPr>
          <w:rFonts w:ascii="Arial Narrow" w:hAnsi="Arial Narrow"/>
          <w:b/>
          <w:sz w:val="20"/>
        </w:rPr>
        <w:fldChar w:fldCharType="end"/>
      </w:r>
      <w:bookmarkEnd w:id="29"/>
      <w:r w:rsidR="00E06A2F" w:rsidRPr="00D32FC9">
        <w:rPr>
          <w:rFonts w:ascii="Arial Narrow" w:hAnsi="Arial Narrow"/>
          <w:b/>
          <w:sz w:val="20"/>
        </w:rPr>
        <w:tab/>
        <w:t xml:space="preserve">Elements of the costs associated with REGENETEN, as presented in the </w:t>
      </w:r>
      <w:r w:rsidR="00501BDF" w:rsidRPr="00D32FC9">
        <w:rPr>
          <w:rFonts w:ascii="Arial Narrow" w:hAnsi="Arial Narrow"/>
          <w:b/>
          <w:sz w:val="20"/>
        </w:rPr>
        <w:t>ADAR v</w:t>
      </w:r>
      <w:r w:rsidR="00E06A2F" w:rsidRPr="00D32FC9">
        <w:rPr>
          <w:rFonts w:ascii="Arial Narrow" w:hAnsi="Arial Narrow"/>
          <w:b/>
          <w:sz w:val="20"/>
        </w:rPr>
        <w:t>s</w:t>
      </w:r>
      <w:r w:rsidR="00501BDF" w:rsidRPr="00D32FC9">
        <w:rPr>
          <w:rFonts w:ascii="Arial Narrow" w:hAnsi="Arial Narrow"/>
          <w:b/>
          <w:sz w:val="20"/>
        </w:rPr>
        <w:t>.</w:t>
      </w:r>
      <w:r w:rsidR="00E06A2F" w:rsidRPr="00D32FC9">
        <w:rPr>
          <w:rFonts w:ascii="Arial Narrow" w:hAnsi="Arial Narrow"/>
          <w:b/>
          <w:sz w:val="20"/>
        </w:rPr>
        <w:t xml:space="preserve"> Recalculated</w:t>
      </w:r>
      <w:bookmarkEnd w:id="30"/>
      <w:bookmarkEnd w:id="31"/>
    </w:p>
    <w:tbl>
      <w:tblPr>
        <w:tblStyle w:val="TableGrid9"/>
        <w:tblW w:w="0" w:type="auto"/>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918"/>
        <w:gridCol w:w="3971"/>
        <w:gridCol w:w="4127"/>
      </w:tblGrid>
      <w:tr w:rsidR="00E06A2F" w:rsidRPr="001F45A8" w14:paraId="2148FFF1" w14:textId="77777777" w:rsidTr="00DF15E1">
        <w:trPr>
          <w:trHeight w:val="296"/>
          <w:tblHeader/>
        </w:trPr>
        <w:tc>
          <w:tcPr>
            <w:tcW w:w="0" w:type="auto"/>
            <w:hideMark/>
          </w:tcPr>
          <w:p w14:paraId="297DB8F9" w14:textId="77777777" w:rsidR="00E06A2F" w:rsidRPr="001F45A8" w:rsidRDefault="00E06A2F" w:rsidP="00DF15E1">
            <w:pPr>
              <w:pStyle w:val="TableHeading"/>
              <w:keepLines/>
              <w:spacing w:before="0" w:after="0"/>
            </w:pPr>
            <w:r w:rsidRPr="001F45A8">
              <w:t>Costs</w:t>
            </w:r>
          </w:p>
        </w:tc>
        <w:tc>
          <w:tcPr>
            <w:tcW w:w="0" w:type="auto"/>
            <w:hideMark/>
          </w:tcPr>
          <w:p w14:paraId="572DE8AB" w14:textId="77777777" w:rsidR="00E06A2F" w:rsidRPr="001F45A8" w:rsidRDefault="00E06A2F" w:rsidP="00DF15E1">
            <w:pPr>
              <w:pStyle w:val="TableHeading"/>
              <w:keepLines/>
              <w:spacing w:before="0" w:after="0"/>
              <w:jc w:val="center"/>
            </w:pPr>
            <w:r w:rsidRPr="001F45A8">
              <w:t>ADAR</w:t>
            </w:r>
          </w:p>
        </w:tc>
        <w:tc>
          <w:tcPr>
            <w:tcW w:w="0" w:type="auto"/>
            <w:hideMark/>
          </w:tcPr>
          <w:p w14:paraId="1743DB83" w14:textId="77777777" w:rsidR="00E06A2F" w:rsidRPr="00DE779A" w:rsidRDefault="00E06A2F" w:rsidP="00DF15E1">
            <w:pPr>
              <w:pStyle w:val="TableHeading"/>
              <w:keepLines/>
              <w:spacing w:before="0" w:after="0"/>
              <w:jc w:val="center"/>
              <w:rPr>
                <w:i/>
              </w:rPr>
            </w:pPr>
            <w:r w:rsidRPr="00DE779A">
              <w:rPr>
                <w:i/>
              </w:rPr>
              <w:t>Recalculated</w:t>
            </w:r>
          </w:p>
        </w:tc>
      </w:tr>
      <w:tr w:rsidR="00E06A2F" w:rsidRPr="001F45A8" w14:paraId="083E373D" w14:textId="77777777" w:rsidTr="00DF15E1">
        <w:trPr>
          <w:trHeight w:val="296"/>
        </w:trPr>
        <w:tc>
          <w:tcPr>
            <w:tcW w:w="0" w:type="auto"/>
            <w:hideMark/>
          </w:tcPr>
          <w:p w14:paraId="088F81BE" w14:textId="77777777" w:rsidR="00E06A2F" w:rsidRPr="001F45A8" w:rsidRDefault="00E06A2F" w:rsidP="00DF15E1">
            <w:pPr>
              <w:rPr>
                <w:rFonts w:ascii="Arial Narrow" w:hAnsi="Arial Narrow"/>
                <w:b/>
                <w:sz w:val="20"/>
              </w:rPr>
            </w:pPr>
            <w:r w:rsidRPr="001F45A8">
              <w:rPr>
                <w:rFonts w:ascii="Arial Narrow" w:hAnsi="Arial Narrow"/>
                <w:b/>
                <w:sz w:val="20"/>
              </w:rPr>
              <w:t>Other MBS</w:t>
            </w:r>
          </w:p>
        </w:tc>
        <w:tc>
          <w:tcPr>
            <w:tcW w:w="0" w:type="auto"/>
            <w:hideMark/>
          </w:tcPr>
          <w:p w14:paraId="04710A8D" w14:textId="77777777" w:rsidR="00E06A2F" w:rsidRPr="004920F4" w:rsidRDefault="00E06A2F" w:rsidP="00DF15E1">
            <w:pPr>
              <w:numPr>
                <w:ilvl w:val="0"/>
                <w:numId w:val="40"/>
              </w:numPr>
              <w:ind w:left="0" w:firstLine="0"/>
              <w:rPr>
                <w:rFonts w:ascii="Arial Narrow" w:hAnsi="Arial Narrow"/>
                <w:sz w:val="20"/>
              </w:rPr>
            </w:pPr>
            <w:r w:rsidRPr="001F45A8">
              <w:rPr>
                <w:rFonts w:ascii="Arial Narrow" w:hAnsi="Arial Narrow"/>
                <w:bCs/>
                <w:sz w:val="20"/>
              </w:rPr>
              <w:t xml:space="preserve">MBS items 23025, 23045 and 23065 from </w:t>
            </w:r>
            <w:r w:rsidRPr="00AD7D85">
              <w:rPr>
                <w:rFonts w:ascii="Arial Narrow" w:hAnsi="Arial Narrow"/>
                <w:sz w:val="20"/>
              </w:rPr>
              <w:t xml:space="preserve">the initial use of REGENETEN </w:t>
            </w:r>
          </w:p>
          <w:p w14:paraId="7FAE835C" w14:textId="77777777" w:rsidR="00E06A2F" w:rsidRPr="004920F4" w:rsidRDefault="00E06A2F" w:rsidP="00DF15E1">
            <w:pPr>
              <w:numPr>
                <w:ilvl w:val="0"/>
                <w:numId w:val="40"/>
              </w:numPr>
              <w:ind w:left="0" w:firstLine="0"/>
              <w:rPr>
                <w:rFonts w:ascii="Arial Narrow" w:hAnsi="Arial Narrow"/>
                <w:sz w:val="20"/>
              </w:rPr>
            </w:pPr>
            <w:r w:rsidRPr="004920F4">
              <w:rPr>
                <w:rFonts w:ascii="Arial Narrow" w:hAnsi="Arial Narrow"/>
                <w:sz w:val="20"/>
              </w:rPr>
              <w:t>MBS items 63325 associated with the change in estimated number of revision surgeries</w:t>
            </w:r>
          </w:p>
        </w:tc>
        <w:tc>
          <w:tcPr>
            <w:tcW w:w="0" w:type="auto"/>
            <w:hideMark/>
          </w:tcPr>
          <w:p w14:paraId="64F24CD7" w14:textId="77777777" w:rsidR="00E06A2F" w:rsidRPr="0013254D" w:rsidRDefault="00E06A2F" w:rsidP="00DF15E1">
            <w:pPr>
              <w:numPr>
                <w:ilvl w:val="0"/>
                <w:numId w:val="40"/>
              </w:numPr>
              <w:ind w:left="0" w:firstLine="0"/>
              <w:rPr>
                <w:rFonts w:ascii="Arial Narrow" w:hAnsi="Arial Narrow"/>
                <w:sz w:val="20"/>
              </w:rPr>
            </w:pPr>
            <w:r w:rsidRPr="0013254D">
              <w:rPr>
                <w:rFonts w:ascii="Arial Narrow" w:hAnsi="Arial Narrow"/>
                <w:sz w:val="20"/>
              </w:rPr>
              <w:t xml:space="preserve">MBS items 23025, 23045 and 23065 from the initial use of REGENETEN </w:t>
            </w:r>
          </w:p>
          <w:p w14:paraId="3E7ACE04" w14:textId="77777777" w:rsidR="00E06A2F" w:rsidRPr="0013254D" w:rsidRDefault="00E06A2F" w:rsidP="00DF15E1">
            <w:pPr>
              <w:numPr>
                <w:ilvl w:val="0"/>
                <w:numId w:val="40"/>
              </w:numPr>
              <w:ind w:left="0" w:firstLine="0"/>
              <w:rPr>
                <w:rFonts w:ascii="Arial Narrow" w:hAnsi="Arial Narrow"/>
                <w:sz w:val="20"/>
              </w:rPr>
            </w:pPr>
            <w:r w:rsidRPr="0013254D">
              <w:rPr>
                <w:rFonts w:ascii="Arial Narrow" w:hAnsi="Arial Narrow"/>
                <w:sz w:val="20"/>
              </w:rPr>
              <w:t xml:space="preserve">MBS items 63325 as well as MBS items 17610, 23045, and 48960 </w:t>
            </w:r>
            <w:r w:rsidRPr="0013254D">
              <w:rPr>
                <w:rFonts w:ascii="Arial Narrow" w:hAnsi="Arial Narrow"/>
                <w:bCs/>
                <w:sz w:val="20"/>
              </w:rPr>
              <w:t xml:space="preserve">associated with the change in estimated number of revision surgeries </w:t>
            </w:r>
          </w:p>
        </w:tc>
      </w:tr>
      <w:tr w:rsidR="00E06A2F" w:rsidRPr="001F45A8" w14:paraId="708DE722" w14:textId="77777777" w:rsidTr="00DF15E1">
        <w:trPr>
          <w:trHeight w:val="296"/>
        </w:trPr>
        <w:tc>
          <w:tcPr>
            <w:tcW w:w="0" w:type="auto"/>
            <w:hideMark/>
          </w:tcPr>
          <w:p w14:paraId="55D9D316" w14:textId="77777777" w:rsidR="00E06A2F" w:rsidRPr="001F45A8" w:rsidRDefault="00E06A2F" w:rsidP="00DF15E1">
            <w:pPr>
              <w:rPr>
                <w:rFonts w:ascii="Arial Narrow" w:hAnsi="Arial Narrow"/>
                <w:b/>
                <w:sz w:val="20"/>
              </w:rPr>
            </w:pPr>
            <w:r w:rsidRPr="001F45A8">
              <w:rPr>
                <w:rFonts w:ascii="Arial Narrow" w:hAnsi="Arial Narrow"/>
                <w:b/>
                <w:sz w:val="20"/>
              </w:rPr>
              <w:t>Hospital</w:t>
            </w:r>
          </w:p>
        </w:tc>
        <w:tc>
          <w:tcPr>
            <w:tcW w:w="0" w:type="auto"/>
            <w:hideMark/>
          </w:tcPr>
          <w:p w14:paraId="2083C81D" w14:textId="77777777" w:rsidR="00E06A2F" w:rsidRPr="00AD7D85" w:rsidRDefault="00E06A2F" w:rsidP="00DF15E1">
            <w:pPr>
              <w:numPr>
                <w:ilvl w:val="0"/>
                <w:numId w:val="40"/>
              </w:numPr>
              <w:ind w:left="0" w:firstLine="0"/>
              <w:rPr>
                <w:rFonts w:ascii="Arial Narrow" w:hAnsi="Arial Narrow"/>
                <w:sz w:val="20"/>
              </w:rPr>
            </w:pPr>
            <w:r w:rsidRPr="001F45A8">
              <w:rPr>
                <w:rFonts w:ascii="Arial Narrow" w:hAnsi="Arial Narrow"/>
                <w:bCs/>
                <w:sz w:val="20"/>
              </w:rPr>
              <w:t xml:space="preserve">Changes in Operating Theatre time from initial use of REGENETEN </w:t>
            </w:r>
          </w:p>
          <w:p w14:paraId="7AA0C132" w14:textId="77777777" w:rsidR="00E06A2F" w:rsidRPr="00A049F3" w:rsidRDefault="00E06A2F" w:rsidP="00DF15E1">
            <w:pPr>
              <w:numPr>
                <w:ilvl w:val="0"/>
                <w:numId w:val="40"/>
              </w:numPr>
              <w:ind w:left="0" w:firstLine="0"/>
              <w:rPr>
                <w:rFonts w:ascii="Arial Narrow" w:hAnsi="Arial Narrow"/>
                <w:sz w:val="20"/>
              </w:rPr>
            </w:pPr>
            <w:r w:rsidRPr="00A049F3">
              <w:rPr>
                <w:rFonts w:ascii="Arial Narrow" w:hAnsi="Arial Narrow"/>
                <w:sz w:val="20"/>
              </w:rPr>
              <w:t>Public payer AR-DRG-I16Z associated with the change in estimated number of revision surgeries</w:t>
            </w:r>
          </w:p>
        </w:tc>
        <w:tc>
          <w:tcPr>
            <w:tcW w:w="0" w:type="auto"/>
            <w:hideMark/>
          </w:tcPr>
          <w:p w14:paraId="04209201" w14:textId="77777777" w:rsidR="00E06A2F" w:rsidRPr="0013254D" w:rsidRDefault="00E06A2F" w:rsidP="00DF15E1">
            <w:pPr>
              <w:numPr>
                <w:ilvl w:val="0"/>
                <w:numId w:val="40"/>
              </w:numPr>
              <w:ind w:left="0" w:firstLine="0"/>
              <w:rPr>
                <w:rFonts w:ascii="Arial Narrow" w:hAnsi="Arial Narrow"/>
                <w:sz w:val="20"/>
              </w:rPr>
            </w:pPr>
            <w:r w:rsidRPr="0013254D">
              <w:rPr>
                <w:rFonts w:ascii="Arial Narrow" w:hAnsi="Arial Narrow"/>
                <w:bCs/>
                <w:sz w:val="20"/>
              </w:rPr>
              <w:t>Changes in Operating Theatre time from initial use of REGENETEN</w:t>
            </w:r>
          </w:p>
        </w:tc>
      </w:tr>
      <w:tr w:rsidR="00E06A2F" w:rsidRPr="001F45A8" w14:paraId="2F57E756" w14:textId="77777777" w:rsidTr="00DF15E1">
        <w:trPr>
          <w:trHeight w:val="296"/>
        </w:trPr>
        <w:tc>
          <w:tcPr>
            <w:tcW w:w="0" w:type="auto"/>
            <w:hideMark/>
          </w:tcPr>
          <w:p w14:paraId="0EE8FB17" w14:textId="77777777" w:rsidR="00E06A2F" w:rsidRPr="001F45A8" w:rsidRDefault="00E06A2F" w:rsidP="00DF15E1">
            <w:pPr>
              <w:rPr>
                <w:rFonts w:ascii="Arial Narrow" w:hAnsi="Arial Narrow"/>
                <w:b/>
                <w:sz w:val="20"/>
              </w:rPr>
            </w:pPr>
            <w:r w:rsidRPr="001F45A8">
              <w:rPr>
                <w:rFonts w:ascii="Arial Narrow" w:hAnsi="Arial Narrow"/>
                <w:b/>
                <w:sz w:val="20"/>
              </w:rPr>
              <w:t>PHI</w:t>
            </w:r>
          </w:p>
        </w:tc>
        <w:tc>
          <w:tcPr>
            <w:tcW w:w="0" w:type="auto"/>
            <w:hideMark/>
          </w:tcPr>
          <w:p w14:paraId="1AF55F06" w14:textId="77777777" w:rsidR="00E06A2F" w:rsidRPr="00AD7D85" w:rsidRDefault="00E06A2F" w:rsidP="00DF15E1">
            <w:pPr>
              <w:numPr>
                <w:ilvl w:val="0"/>
                <w:numId w:val="40"/>
              </w:numPr>
              <w:ind w:left="0" w:firstLine="0"/>
              <w:rPr>
                <w:rFonts w:ascii="Arial Narrow" w:hAnsi="Arial Narrow"/>
                <w:sz w:val="20"/>
              </w:rPr>
            </w:pPr>
            <w:r w:rsidRPr="001F45A8">
              <w:rPr>
                <w:rFonts w:ascii="Arial Narrow" w:hAnsi="Arial Narrow"/>
                <w:bCs/>
                <w:sz w:val="20"/>
              </w:rPr>
              <w:t>Reduced number of physiotherapy visits from use of REGENETEN, based on KOL input. Has input error for the number of visits.</w:t>
            </w:r>
          </w:p>
        </w:tc>
        <w:tc>
          <w:tcPr>
            <w:tcW w:w="0" w:type="auto"/>
            <w:hideMark/>
          </w:tcPr>
          <w:p w14:paraId="524B2F76" w14:textId="77777777" w:rsidR="00E06A2F" w:rsidRPr="0013254D" w:rsidRDefault="00E06A2F" w:rsidP="00DF15E1">
            <w:pPr>
              <w:numPr>
                <w:ilvl w:val="0"/>
                <w:numId w:val="40"/>
              </w:numPr>
              <w:ind w:left="0" w:firstLine="0"/>
              <w:rPr>
                <w:rFonts w:ascii="Arial Narrow" w:hAnsi="Arial Narrow"/>
                <w:bCs/>
                <w:sz w:val="20"/>
              </w:rPr>
            </w:pPr>
            <w:r w:rsidRPr="0013254D">
              <w:rPr>
                <w:rFonts w:ascii="Arial Narrow" w:hAnsi="Arial Narrow"/>
                <w:sz w:val="20"/>
              </w:rPr>
              <w:t>Reduced number of physiotherapy visits from use of REGENETEN, based on KOL input. With number of visits input error corrected.</w:t>
            </w:r>
          </w:p>
          <w:p w14:paraId="2968AA3E" w14:textId="77777777" w:rsidR="00E06A2F" w:rsidRPr="0013254D" w:rsidRDefault="00E06A2F" w:rsidP="00DF15E1">
            <w:pPr>
              <w:numPr>
                <w:ilvl w:val="0"/>
                <w:numId w:val="40"/>
              </w:numPr>
              <w:ind w:left="0" w:firstLine="0"/>
              <w:rPr>
                <w:rFonts w:ascii="Arial Narrow" w:hAnsi="Arial Narrow"/>
                <w:sz w:val="20"/>
              </w:rPr>
            </w:pPr>
            <w:r w:rsidRPr="0013254D">
              <w:rPr>
                <w:rFonts w:ascii="Arial Narrow" w:hAnsi="Arial Narrow"/>
                <w:sz w:val="20"/>
              </w:rPr>
              <w:t>Private payer AR-DRG-I16Z associated with the change in estimated number of revision surgeries</w:t>
            </w:r>
          </w:p>
        </w:tc>
      </w:tr>
    </w:tbl>
    <w:p w14:paraId="5A52ADC6" w14:textId="77777777" w:rsidR="00E06A2F" w:rsidRPr="001F45A8" w:rsidRDefault="00E06A2F" w:rsidP="00E06A2F">
      <w:pPr>
        <w:pStyle w:val="Tablenotes"/>
      </w:pPr>
      <w:r w:rsidRPr="001F45A8">
        <w:t xml:space="preserve">Source: </w:t>
      </w:r>
      <w:r>
        <w:t xml:space="preserve">Table 14, </w:t>
      </w:r>
      <w:proofErr w:type="spellStart"/>
      <w:r>
        <w:t>pxxv</w:t>
      </w:r>
      <w:proofErr w:type="spellEnd"/>
      <w:r>
        <w:t xml:space="preserve"> of the Commentary</w:t>
      </w:r>
    </w:p>
    <w:p w14:paraId="5464760D" w14:textId="42B5AD38" w:rsidR="00E06A2F" w:rsidRPr="001F45A8" w:rsidRDefault="00E06A2F" w:rsidP="00E06A2F">
      <w:r w:rsidRPr="001F45A8">
        <w:t xml:space="preserve">The </w:t>
      </w:r>
      <w:r>
        <w:t xml:space="preserve">ADARs </w:t>
      </w:r>
      <w:r w:rsidRPr="001F45A8">
        <w:t>financial implications to the three payer sources, resulting from the proposed Prosthes</w:t>
      </w:r>
      <w:r>
        <w:t>e</w:t>
      </w:r>
      <w:r w:rsidRPr="001F45A8">
        <w:t xml:space="preserve">s List listing of REGENETEN, are summarised </w:t>
      </w:r>
      <w:r w:rsidRPr="006B7E20">
        <w:rPr>
          <w:szCs w:val="24"/>
        </w:rPr>
        <w:t xml:space="preserve">in </w:t>
      </w:r>
      <w:r w:rsidR="0098433F" w:rsidRPr="006B7E20">
        <w:rPr>
          <w:szCs w:val="24"/>
        </w:rPr>
        <w:fldChar w:fldCharType="begin"/>
      </w:r>
      <w:r w:rsidR="0098433F" w:rsidRPr="006B7E20">
        <w:rPr>
          <w:szCs w:val="24"/>
        </w:rPr>
        <w:instrText xml:space="preserve"> REF _Ref404372077 \h </w:instrText>
      </w:r>
      <w:r w:rsidR="0098433F" w:rsidRPr="006B7E20">
        <w:rPr>
          <w:szCs w:val="24"/>
        </w:rPr>
      </w:r>
      <w:r w:rsidR="006B7E20" w:rsidRPr="006B7E20">
        <w:rPr>
          <w:szCs w:val="24"/>
        </w:rPr>
        <w:instrText xml:space="preserve"> \* MERGEFORMAT </w:instrText>
      </w:r>
      <w:r w:rsidR="0098433F" w:rsidRPr="006B7E20">
        <w:rPr>
          <w:szCs w:val="24"/>
        </w:rPr>
        <w:fldChar w:fldCharType="separate"/>
      </w:r>
      <w:r w:rsidR="00455942" w:rsidRPr="00455942">
        <w:rPr>
          <w:szCs w:val="24"/>
        </w:rPr>
        <w:t xml:space="preserve">Table </w:t>
      </w:r>
      <w:r w:rsidR="00455942" w:rsidRPr="00455942">
        <w:rPr>
          <w:noProof/>
          <w:szCs w:val="24"/>
        </w:rPr>
        <w:t>13</w:t>
      </w:r>
      <w:r w:rsidR="0098433F" w:rsidRPr="006B7E20">
        <w:rPr>
          <w:szCs w:val="24"/>
        </w:rPr>
        <w:fldChar w:fldCharType="end"/>
      </w:r>
      <w:r w:rsidR="00645E8A" w:rsidRPr="006B7E20">
        <w:rPr>
          <w:szCs w:val="24"/>
        </w:rPr>
        <w:t>, noting</w:t>
      </w:r>
      <w:r w:rsidR="00645E8A">
        <w:t xml:space="preserve"> that the </w:t>
      </w:r>
      <w:proofErr w:type="gramStart"/>
      <w:r w:rsidR="00645E8A">
        <w:t>Commentary’s</w:t>
      </w:r>
      <w:proofErr w:type="gramEnd"/>
      <w:r w:rsidR="00645E8A">
        <w:t xml:space="preserve"> recalculated values are presented also in italics below.</w:t>
      </w:r>
    </w:p>
    <w:p w14:paraId="2D11BB6C" w14:textId="30B5368C" w:rsidR="00E06A2F" w:rsidRPr="00D32FC9" w:rsidRDefault="0098433F" w:rsidP="00D32FC9">
      <w:pPr>
        <w:spacing w:before="240"/>
        <w:rPr>
          <w:rFonts w:ascii="Arial Narrow" w:hAnsi="Arial Narrow"/>
          <w:b/>
          <w:sz w:val="20"/>
        </w:rPr>
      </w:pPr>
      <w:bookmarkStart w:id="32" w:name="_Ref404372077"/>
      <w:bookmarkStart w:id="33" w:name="_Toc399251128"/>
      <w:bookmarkStart w:id="34" w:name="_Toc393378192"/>
      <w:bookmarkStart w:id="35" w:name="_Toc393197779"/>
      <w:bookmarkStart w:id="36" w:name="_Toc36643074"/>
      <w:r w:rsidRPr="00D32FC9">
        <w:rPr>
          <w:rFonts w:ascii="Arial Narrow" w:hAnsi="Arial Narrow"/>
          <w:b/>
          <w:sz w:val="20"/>
        </w:rPr>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13</w:t>
      </w:r>
      <w:r w:rsidR="00F62D1A" w:rsidRPr="00D32FC9">
        <w:rPr>
          <w:rFonts w:ascii="Arial Narrow" w:hAnsi="Arial Narrow"/>
          <w:b/>
          <w:sz w:val="20"/>
        </w:rPr>
        <w:fldChar w:fldCharType="end"/>
      </w:r>
      <w:bookmarkEnd w:id="32"/>
      <w:r w:rsidR="00E06A2F" w:rsidRPr="00D32FC9">
        <w:rPr>
          <w:rFonts w:ascii="Arial Narrow" w:hAnsi="Arial Narrow"/>
          <w:b/>
          <w:sz w:val="20"/>
        </w:rPr>
        <w:t xml:space="preserve"> </w:t>
      </w:r>
      <w:r w:rsidR="00E06A2F" w:rsidRPr="00D32FC9">
        <w:rPr>
          <w:rFonts w:ascii="Arial Narrow" w:hAnsi="Arial Narrow"/>
          <w:b/>
          <w:sz w:val="20"/>
        </w:rPr>
        <w:tab/>
        <w:t xml:space="preserve">Total costs to the MBS with </w:t>
      </w:r>
      <w:bookmarkEnd w:id="33"/>
      <w:bookmarkEnd w:id="34"/>
      <w:bookmarkEnd w:id="35"/>
      <w:r w:rsidR="00E06A2F" w:rsidRPr="00D32FC9">
        <w:rPr>
          <w:rFonts w:ascii="Arial Narrow" w:hAnsi="Arial Narrow"/>
          <w:b/>
          <w:sz w:val="20"/>
        </w:rPr>
        <w:t>REGENETEN from ADAR</w:t>
      </w:r>
      <w:bookmarkEnd w:id="36"/>
      <w:r w:rsidR="00E06A2F" w:rsidRPr="00D32FC9">
        <w:rPr>
          <w:rFonts w:ascii="Arial Narrow" w:hAnsi="Arial Narrow"/>
          <w:b/>
          <w:sz w:val="20"/>
        </w:rPr>
        <w:t>- Pooled (prevalence: 71/29% PTRCT/FTRCT)</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958"/>
        <w:gridCol w:w="1199"/>
        <w:gridCol w:w="996"/>
        <w:gridCol w:w="1178"/>
        <w:gridCol w:w="1568"/>
        <w:gridCol w:w="1259"/>
      </w:tblGrid>
      <w:tr w:rsidR="00E06A2F" w:rsidRPr="001F45A8" w14:paraId="50CF76C9" w14:textId="77777777" w:rsidTr="00E06A2F">
        <w:trPr>
          <w:trHeight w:val="300"/>
          <w:tblHeader/>
        </w:trPr>
        <w:tc>
          <w:tcPr>
            <w:tcW w:w="2943" w:type="dxa"/>
            <w:tcBorders>
              <w:top w:val="single" w:sz="4" w:space="0" w:color="auto"/>
              <w:left w:val="single" w:sz="4" w:space="0" w:color="auto"/>
              <w:bottom w:val="single" w:sz="4" w:space="0" w:color="auto"/>
              <w:right w:val="single" w:sz="4" w:space="0" w:color="auto"/>
            </w:tcBorders>
            <w:vAlign w:val="center"/>
            <w:hideMark/>
          </w:tcPr>
          <w:p w14:paraId="1C4FEAE3" w14:textId="77777777" w:rsidR="00E06A2F" w:rsidRPr="001F45A8" w:rsidRDefault="00E06A2F" w:rsidP="00E06A2F">
            <w:pPr>
              <w:pStyle w:val="TableHeading"/>
            </w:pPr>
            <w:r w:rsidRPr="001F45A8">
              <w:t>-</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0F2D956" w14:textId="77777777" w:rsidR="00E06A2F" w:rsidRPr="001F45A8" w:rsidRDefault="00E06A2F" w:rsidP="00E06A2F">
            <w:pPr>
              <w:pStyle w:val="TableHeading"/>
              <w:jc w:val="center"/>
            </w:pPr>
            <w:r w:rsidRPr="001F45A8">
              <w:t>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888E09" w14:textId="77777777" w:rsidR="00E06A2F" w:rsidRPr="001F45A8" w:rsidRDefault="00E06A2F" w:rsidP="00E06A2F">
            <w:pPr>
              <w:pStyle w:val="TableHeading"/>
              <w:jc w:val="center"/>
            </w:pPr>
            <w:r w:rsidRPr="001F45A8">
              <w:t>2021</w:t>
            </w:r>
          </w:p>
        </w:tc>
        <w:tc>
          <w:tcPr>
            <w:tcW w:w="1172" w:type="dxa"/>
            <w:tcBorders>
              <w:top w:val="single" w:sz="4" w:space="0" w:color="auto"/>
              <w:left w:val="single" w:sz="4" w:space="0" w:color="auto"/>
              <w:bottom w:val="single" w:sz="4" w:space="0" w:color="auto"/>
              <w:right w:val="single" w:sz="4" w:space="0" w:color="auto"/>
            </w:tcBorders>
            <w:vAlign w:val="center"/>
            <w:hideMark/>
          </w:tcPr>
          <w:p w14:paraId="74BDC848" w14:textId="77777777" w:rsidR="00E06A2F" w:rsidRPr="001F45A8" w:rsidRDefault="00E06A2F" w:rsidP="00E06A2F">
            <w:pPr>
              <w:pStyle w:val="TableHeading"/>
              <w:jc w:val="center"/>
            </w:pPr>
            <w:r w:rsidRPr="001F45A8">
              <w:t>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B96A45" w14:textId="77777777" w:rsidR="00E06A2F" w:rsidRPr="001F45A8" w:rsidRDefault="00E06A2F" w:rsidP="00E06A2F">
            <w:pPr>
              <w:pStyle w:val="TableHeading"/>
              <w:jc w:val="center"/>
            </w:pPr>
            <w:r w:rsidRPr="001F45A8">
              <w:t>2023</w:t>
            </w:r>
          </w:p>
        </w:tc>
        <w:tc>
          <w:tcPr>
            <w:tcW w:w="1253" w:type="dxa"/>
            <w:tcBorders>
              <w:top w:val="single" w:sz="4" w:space="0" w:color="auto"/>
              <w:left w:val="single" w:sz="4" w:space="0" w:color="auto"/>
              <w:bottom w:val="single" w:sz="4" w:space="0" w:color="auto"/>
              <w:right w:val="single" w:sz="4" w:space="0" w:color="auto"/>
            </w:tcBorders>
            <w:vAlign w:val="center"/>
            <w:hideMark/>
          </w:tcPr>
          <w:p w14:paraId="772E9322" w14:textId="77777777" w:rsidR="00E06A2F" w:rsidRPr="001F45A8" w:rsidRDefault="00E06A2F" w:rsidP="00E06A2F">
            <w:pPr>
              <w:pStyle w:val="TableHeading"/>
              <w:jc w:val="center"/>
            </w:pPr>
            <w:r w:rsidRPr="001F45A8">
              <w:t>2024</w:t>
            </w:r>
          </w:p>
        </w:tc>
      </w:tr>
      <w:tr w:rsidR="00E06A2F" w:rsidRPr="001F45A8" w14:paraId="3051EE5D" w14:textId="77777777" w:rsidTr="00E06A2F">
        <w:trPr>
          <w:cantSplit/>
          <w:trHeight w:val="300"/>
        </w:trPr>
        <w:tc>
          <w:tcPr>
            <w:tcW w:w="2943" w:type="dxa"/>
            <w:tcBorders>
              <w:top w:val="single" w:sz="4" w:space="0" w:color="auto"/>
              <w:left w:val="single" w:sz="4" w:space="0" w:color="auto"/>
              <w:bottom w:val="single" w:sz="4" w:space="0" w:color="auto"/>
              <w:right w:val="nil"/>
            </w:tcBorders>
            <w:hideMark/>
          </w:tcPr>
          <w:p w14:paraId="420CEB8A" w14:textId="77777777" w:rsidR="00E06A2F" w:rsidRPr="001F45A8" w:rsidRDefault="00E06A2F" w:rsidP="00E06A2F">
            <w:pPr>
              <w:rPr>
                <w:rFonts w:ascii="Arial Narrow" w:hAnsi="Arial Narrow"/>
                <w:b/>
                <w:sz w:val="20"/>
              </w:rPr>
            </w:pPr>
            <w:r w:rsidRPr="001F45A8">
              <w:rPr>
                <w:rFonts w:ascii="Arial Narrow" w:hAnsi="Arial Narrow"/>
                <w:b/>
                <w:sz w:val="20"/>
              </w:rPr>
              <w:t>REGENETEN</w:t>
            </w:r>
          </w:p>
        </w:tc>
        <w:tc>
          <w:tcPr>
            <w:tcW w:w="1193" w:type="dxa"/>
            <w:tcBorders>
              <w:top w:val="single" w:sz="4" w:space="0" w:color="auto"/>
              <w:left w:val="nil"/>
              <w:bottom w:val="single" w:sz="4" w:space="0" w:color="auto"/>
              <w:right w:val="nil"/>
            </w:tcBorders>
            <w:hideMark/>
          </w:tcPr>
          <w:p w14:paraId="04B4E3E7"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c>
          <w:tcPr>
            <w:tcW w:w="0" w:type="auto"/>
            <w:tcBorders>
              <w:top w:val="single" w:sz="4" w:space="0" w:color="auto"/>
              <w:left w:val="nil"/>
              <w:bottom w:val="single" w:sz="4" w:space="0" w:color="auto"/>
              <w:right w:val="nil"/>
            </w:tcBorders>
            <w:hideMark/>
          </w:tcPr>
          <w:p w14:paraId="2A97D56F"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c>
          <w:tcPr>
            <w:tcW w:w="1172" w:type="dxa"/>
            <w:tcBorders>
              <w:top w:val="single" w:sz="4" w:space="0" w:color="auto"/>
              <w:left w:val="nil"/>
              <w:bottom w:val="single" w:sz="4" w:space="0" w:color="auto"/>
              <w:right w:val="nil"/>
            </w:tcBorders>
            <w:hideMark/>
          </w:tcPr>
          <w:p w14:paraId="1DE3C5DD"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c>
          <w:tcPr>
            <w:tcW w:w="1560" w:type="dxa"/>
            <w:tcBorders>
              <w:top w:val="single" w:sz="4" w:space="0" w:color="auto"/>
              <w:left w:val="nil"/>
              <w:bottom w:val="single" w:sz="4" w:space="0" w:color="auto"/>
              <w:right w:val="nil"/>
            </w:tcBorders>
            <w:hideMark/>
          </w:tcPr>
          <w:p w14:paraId="462A6E26"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c>
          <w:tcPr>
            <w:tcW w:w="1253" w:type="dxa"/>
            <w:tcBorders>
              <w:top w:val="single" w:sz="4" w:space="0" w:color="auto"/>
              <w:left w:val="nil"/>
              <w:bottom w:val="single" w:sz="4" w:space="0" w:color="auto"/>
              <w:right w:val="single" w:sz="4" w:space="0" w:color="auto"/>
            </w:tcBorders>
            <w:hideMark/>
          </w:tcPr>
          <w:p w14:paraId="64D090DA"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r>
      <w:tr w:rsidR="004F6878" w:rsidRPr="001F45A8" w14:paraId="2196BE28" w14:textId="77777777" w:rsidTr="00E06A2F">
        <w:trPr>
          <w:cantSplit/>
          <w:trHeight w:val="300"/>
        </w:trPr>
        <w:tc>
          <w:tcPr>
            <w:tcW w:w="2943" w:type="dxa"/>
            <w:tcBorders>
              <w:top w:val="single" w:sz="4" w:space="0" w:color="auto"/>
              <w:left w:val="single" w:sz="4" w:space="0" w:color="auto"/>
              <w:bottom w:val="single" w:sz="4" w:space="0" w:color="auto"/>
              <w:right w:val="single" w:sz="4" w:space="0" w:color="auto"/>
            </w:tcBorders>
            <w:hideMark/>
          </w:tcPr>
          <w:p w14:paraId="5232203A" w14:textId="77777777" w:rsidR="004F6878" w:rsidRPr="001F45A8" w:rsidRDefault="004F6878" w:rsidP="004F6878">
            <w:pPr>
              <w:rPr>
                <w:rFonts w:ascii="Arial Narrow" w:hAnsi="Arial Narrow"/>
                <w:sz w:val="20"/>
              </w:rPr>
            </w:pPr>
            <w:r w:rsidRPr="001F45A8">
              <w:rPr>
                <w:rFonts w:ascii="Arial Narrow" w:hAnsi="Arial Narrow"/>
                <w:sz w:val="20"/>
              </w:rPr>
              <w:t>Number of services</w:t>
            </w:r>
          </w:p>
        </w:tc>
        <w:tc>
          <w:tcPr>
            <w:tcW w:w="1193" w:type="dxa"/>
            <w:tcBorders>
              <w:top w:val="single" w:sz="4" w:space="0" w:color="auto"/>
              <w:left w:val="single" w:sz="4" w:space="0" w:color="auto"/>
              <w:bottom w:val="single" w:sz="4" w:space="0" w:color="auto"/>
              <w:right w:val="single" w:sz="4" w:space="0" w:color="auto"/>
            </w:tcBorders>
            <w:hideMark/>
          </w:tcPr>
          <w:p w14:paraId="680B44FB" w14:textId="3E6B20A7" w:rsidR="004F6878" w:rsidRPr="001F45A8" w:rsidRDefault="004F6878" w:rsidP="004F6878">
            <w:pPr>
              <w:jc w:val="center"/>
              <w:rPr>
                <w:rFonts w:ascii="Arial Narrow" w:hAnsi="Arial Narrow"/>
                <w:sz w:val="20"/>
              </w:rPr>
            </w:pPr>
            <w:r w:rsidRPr="004F6878">
              <w:rPr>
                <w:rFonts w:ascii="Arial Narrow" w:hAnsi="Arial Narrow"/>
                <w:b/>
                <w:sz w:val="20"/>
              </w:rPr>
              <w:t>redacted</w:t>
            </w:r>
          </w:p>
        </w:tc>
        <w:tc>
          <w:tcPr>
            <w:tcW w:w="0" w:type="auto"/>
            <w:tcBorders>
              <w:top w:val="single" w:sz="4" w:space="0" w:color="auto"/>
              <w:left w:val="single" w:sz="4" w:space="0" w:color="auto"/>
              <w:bottom w:val="single" w:sz="4" w:space="0" w:color="auto"/>
              <w:right w:val="single" w:sz="4" w:space="0" w:color="auto"/>
            </w:tcBorders>
            <w:hideMark/>
          </w:tcPr>
          <w:p w14:paraId="13625150" w14:textId="5F6213EC" w:rsidR="004F6878" w:rsidRPr="001F45A8" w:rsidRDefault="004F6878" w:rsidP="004F6878">
            <w:pPr>
              <w:jc w:val="center"/>
              <w:rPr>
                <w:rFonts w:ascii="Arial Narrow" w:hAnsi="Arial Narrow"/>
                <w:sz w:val="20"/>
              </w:rPr>
            </w:pPr>
            <w:r w:rsidRPr="00F174B8">
              <w:rPr>
                <w:rFonts w:ascii="Arial Narrow" w:hAnsi="Arial Narrow"/>
                <w:b/>
                <w:sz w:val="20"/>
              </w:rPr>
              <w:t>redacted</w:t>
            </w:r>
          </w:p>
        </w:tc>
        <w:tc>
          <w:tcPr>
            <w:tcW w:w="1172" w:type="dxa"/>
            <w:tcBorders>
              <w:top w:val="single" w:sz="4" w:space="0" w:color="auto"/>
              <w:left w:val="single" w:sz="4" w:space="0" w:color="auto"/>
              <w:bottom w:val="single" w:sz="4" w:space="0" w:color="auto"/>
              <w:right w:val="single" w:sz="4" w:space="0" w:color="auto"/>
            </w:tcBorders>
            <w:hideMark/>
          </w:tcPr>
          <w:p w14:paraId="3DD634C4" w14:textId="25AE1A8F" w:rsidR="004F6878" w:rsidRPr="001F45A8" w:rsidRDefault="004F6878" w:rsidP="004F6878">
            <w:pPr>
              <w:jc w:val="center"/>
              <w:rPr>
                <w:rFonts w:ascii="Arial Narrow" w:hAnsi="Arial Narrow"/>
                <w:sz w:val="20"/>
              </w:rPr>
            </w:pPr>
            <w:r w:rsidRPr="00F174B8">
              <w:rPr>
                <w:rFonts w:ascii="Arial Narrow" w:hAnsi="Arial Narrow"/>
                <w:b/>
                <w:sz w:val="20"/>
              </w:rPr>
              <w:t>redacted</w:t>
            </w:r>
          </w:p>
        </w:tc>
        <w:tc>
          <w:tcPr>
            <w:tcW w:w="1560" w:type="dxa"/>
            <w:tcBorders>
              <w:top w:val="single" w:sz="4" w:space="0" w:color="auto"/>
              <w:left w:val="single" w:sz="4" w:space="0" w:color="auto"/>
              <w:bottom w:val="single" w:sz="4" w:space="0" w:color="auto"/>
              <w:right w:val="single" w:sz="4" w:space="0" w:color="auto"/>
            </w:tcBorders>
            <w:hideMark/>
          </w:tcPr>
          <w:p w14:paraId="5DB320B6" w14:textId="7B153791" w:rsidR="004F6878" w:rsidRPr="001F45A8" w:rsidRDefault="004F6878" w:rsidP="004F6878">
            <w:pPr>
              <w:jc w:val="center"/>
              <w:rPr>
                <w:rFonts w:ascii="Arial Narrow" w:hAnsi="Arial Narrow"/>
                <w:sz w:val="20"/>
              </w:rPr>
            </w:pPr>
            <w:r w:rsidRPr="00F174B8">
              <w:rPr>
                <w:rFonts w:ascii="Arial Narrow" w:hAnsi="Arial Narrow"/>
                <w:b/>
                <w:sz w:val="20"/>
              </w:rPr>
              <w:t>redacted</w:t>
            </w:r>
          </w:p>
        </w:tc>
        <w:tc>
          <w:tcPr>
            <w:tcW w:w="1253" w:type="dxa"/>
            <w:tcBorders>
              <w:top w:val="single" w:sz="4" w:space="0" w:color="auto"/>
              <w:left w:val="single" w:sz="4" w:space="0" w:color="auto"/>
              <w:bottom w:val="single" w:sz="4" w:space="0" w:color="auto"/>
              <w:right w:val="single" w:sz="4" w:space="0" w:color="auto"/>
            </w:tcBorders>
            <w:hideMark/>
          </w:tcPr>
          <w:p w14:paraId="3BFADA55" w14:textId="59A752B2" w:rsidR="004F6878" w:rsidRPr="001F45A8" w:rsidRDefault="004F6878" w:rsidP="004F6878">
            <w:pPr>
              <w:jc w:val="center"/>
              <w:rPr>
                <w:rFonts w:ascii="Arial Narrow" w:hAnsi="Arial Narrow"/>
                <w:sz w:val="20"/>
              </w:rPr>
            </w:pPr>
            <w:r w:rsidRPr="00F174B8">
              <w:rPr>
                <w:rFonts w:ascii="Arial Narrow" w:hAnsi="Arial Narrow"/>
                <w:b/>
                <w:sz w:val="20"/>
              </w:rPr>
              <w:t>redacted</w:t>
            </w:r>
          </w:p>
        </w:tc>
      </w:tr>
      <w:tr w:rsidR="00E06A2F" w:rsidRPr="001F45A8" w14:paraId="1F9D2E58" w14:textId="77777777" w:rsidTr="00E06A2F">
        <w:trPr>
          <w:cantSplit/>
          <w:trHeight w:val="315"/>
        </w:trPr>
        <w:tc>
          <w:tcPr>
            <w:tcW w:w="2943" w:type="dxa"/>
            <w:tcBorders>
              <w:top w:val="single" w:sz="4" w:space="0" w:color="auto"/>
              <w:left w:val="single" w:sz="4" w:space="0" w:color="auto"/>
              <w:bottom w:val="single" w:sz="4" w:space="0" w:color="auto"/>
              <w:right w:val="single" w:sz="4" w:space="0" w:color="auto"/>
            </w:tcBorders>
            <w:hideMark/>
          </w:tcPr>
          <w:p w14:paraId="2F09BEC0" w14:textId="77777777" w:rsidR="00E06A2F" w:rsidRPr="001F45A8" w:rsidRDefault="00E06A2F" w:rsidP="00E06A2F">
            <w:pPr>
              <w:rPr>
                <w:rFonts w:ascii="Arial Narrow" w:hAnsi="Arial Narrow"/>
                <w:sz w:val="20"/>
              </w:rPr>
            </w:pPr>
            <w:r w:rsidRPr="001F45A8">
              <w:rPr>
                <w:rFonts w:ascii="Arial Narrow" w:hAnsi="Arial Narrow"/>
                <w:sz w:val="20"/>
              </w:rPr>
              <w:t>Sub-total direct cost to MBS</w:t>
            </w:r>
          </w:p>
        </w:tc>
        <w:tc>
          <w:tcPr>
            <w:tcW w:w="1193" w:type="dxa"/>
            <w:tcBorders>
              <w:top w:val="single" w:sz="4" w:space="0" w:color="auto"/>
              <w:left w:val="single" w:sz="4" w:space="0" w:color="auto"/>
              <w:bottom w:val="single" w:sz="4" w:space="0" w:color="auto"/>
              <w:right w:val="single" w:sz="4" w:space="0" w:color="auto"/>
            </w:tcBorders>
            <w:hideMark/>
          </w:tcPr>
          <w:p w14:paraId="23E7AAC3"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c>
          <w:tcPr>
            <w:tcW w:w="0" w:type="auto"/>
            <w:tcBorders>
              <w:top w:val="single" w:sz="4" w:space="0" w:color="auto"/>
              <w:left w:val="single" w:sz="4" w:space="0" w:color="auto"/>
              <w:bottom w:val="single" w:sz="4" w:space="0" w:color="auto"/>
              <w:right w:val="single" w:sz="4" w:space="0" w:color="auto"/>
            </w:tcBorders>
            <w:hideMark/>
          </w:tcPr>
          <w:p w14:paraId="098EBA9C"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c>
          <w:tcPr>
            <w:tcW w:w="1172" w:type="dxa"/>
            <w:tcBorders>
              <w:top w:val="single" w:sz="4" w:space="0" w:color="auto"/>
              <w:left w:val="single" w:sz="4" w:space="0" w:color="auto"/>
              <w:bottom w:val="single" w:sz="4" w:space="0" w:color="auto"/>
              <w:right w:val="single" w:sz="4" w:space="0" w:color="auto"/>
            </w:tcBorders>
            <w:hideMark/>
          </w:tcPr>
          <w:p w14:paraId="439995E3"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c>
          <w:tcPr>
            <w:tcW w:w="1560" w:type="dxa"/>
            <w:tcBorders>
              <w:top w:val="single" w:sz="4" w:space="0" w:color="auto"/>
              <w:left w:val="single" w:sz="4" w:space="0" w:color="auto"/>
              <w:bottom w:val="single" w:sz="4" w:space="0" w:color="auto"/>
              <w:right w:val="single" w:sz="4" w:space="0" w:color="auto"/>
            </w:tcBorders>
            <w:hideMark/>
          </w:tcPr>
          <w:p w14:paraId="76180D8A"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c>
          <w:tcPr>
            <w:tcW w:w="1253" w:type="dxa"/>
            <w:tcBorders>
              <w:top w:val="single" w:sz="4" w:space="0" w:color="auto"/>
              <w:left w:val="single" w:sz="4" w:space="0" w:color="auto"/>
              <w:bottom w:val="single" w:sz="4" w:space="0" w:color="auto"/>
              <w:right w:val="single" w:sz="4" w:space="0" w:color="auto"/>
            </w:tcBorders>
            <w:hideMark/>
          </w:tcPr>
          <w:p w14:paraId="13CC4C70"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r>
      <w:tr w:rsidR="00E06A2F" w:rsidRPr="001F45A8" w14:paraId="7DC3F77C" w14:textId="77777777" w:rsidTr="00E06A2F">
        <w:trPr>
          <w:cantSplit/>
          <w:trHeight w:val="95"/>
        </w:trPr>
        <w:tc>
          <w:tcPr>
            <w:tcW w:w="9158" w:type="dxa"/>
            <w:gridSpan w:val="6"/>
            <w:tcBorders>
              <w:top w:val="single" w:sz="4" w:space="0" w:color="auto"/>
              <w:left w:val="single" w:sz="4" w:space="0" w:color="auto"/>
              <w:bottom w:val="single" w:sz="4" w:space="0" w:color="auto"/>
              <w:right w:val="single" w:sz="4" w:space="0" w:color="auto"/>
            </w:tcBorders>
            <w:vAlign w:val="center"/>
            <w:hideMark/>
          </w:tcPr>
          <w:p w14:paraId="6C07AEA6" w14:textId="77777777" w:rsidR="00E06A2F" w:rsidRPr="001F45A8" w:rsidRDefault="00E06A2F" w:rsidP="00E06A2F">
            <w:pPr>
              <w:rPr>
                <w:rFonts w:ascii="Arial Narrow" w:hAnsi="Arial Narrow"/>
                <w:b/>
                <w:sz w:val="20"/>
              </w:rPr>
            </w:pPr>
            <w:r w:rsidRPr="001F45A8">
              <w:rPr>
                <w:rFonts w:ascii="Arial Narrow" w:hAnsi="Arial Narrow"/>
                <w:b/>
                <w:sz w:val="20"/>
              </w:rPr>
              <w:t>Revision surgeries and anaesthesia costs for initial surgery</w:t>
            </w:r>
          </w:p>
        </w:tc>
      </w:tr>
      <w:tr w:rsidR="00E06A2F" w:rsidRPr="001F45A8" w14:paraId="211980F8" w14:textId="77777777" w:rsidTr="00E06A2F">
        <w:trPr>
          <w:cantSplit/>
          <w:trHeight w:val="300"/>
        </w:trPr>
        <w:tc>
          <w:tcPr>
            <w:tcW w:w="2943" w:type="dxa"/>
            <w:tcBorders>
              <w:top w:val="single" w:sz="4" w:space="0" w:color="auto"/>
              <w:left w:val="single" w:sz="4" w:space="0" w:color="auto"/>
              <w:bottom w:val="single" w:sz="4" w:space="0" w:color="auto"/>
              <w:right w:val="single" w:sz="4" w:space="0" w:color="auto"/>
            </w:tcBorders>
            <w:hideMark/>
          </w:tcPr>
          <w:p w14:paraId="61FA4083" w14:textId="77777777" w:rsidR="00E06A2F" w:rsidRPr="001F45A8" w:rsidRDefault="00E06A2F" w:rsidP="00E06A2F">
            <w:pPr>
              <w:rPr>
                <w:rFonts w:ascii="Arial Narrow" w:hAnsi="Arial Narrow"/>
                <w:sz w:val="20"/>
              </w:rPr>
            </w:pPr>
            <w:r w:rsidRPr="001F45A8">
              <w:rPr>
                <w:rFonts w:ascii="Arial Narrow" w:hAnsi="Arial Narrow"/>
                <w:sz w:val="20"/>
              </w:rPr>
              <w:t xml:space="preserve">Estimated change in services </w:t>
            </w:r>
          </w:p>
        </w:tc>
        <w:tc>
          <w:tcPr>
            <w:tcW w:w="1193" w:type="dxa"/>
            <w:tcBorders>
              <w:top w:val="single" w:sz="4" w:space="0" w:color="auto"/>
              <w:left w:val="single" w:sz="4" w:space="0" w:color="auto"/>
              <w:bottom w:val="single" w:sz="4" w:space="0" w:color="auto"/>
              <w:right w:val="single" w:sz="4" w:space="0" w:color="auto"/>
            </w:tcBorders>
            <w:hideMark/>
          </w:tcPr>
          <w:p w14:paraId="5889D427" w14:textId="77777777" w:rsidR="00E06A2F" w:rsidRPr="001F45A8" w:rsidRDefault="00E06A2F" w:rsidP="00E06A2F">
            <w:pPr>
              <w:jc w:val="center"/>
              <w:rPr>
                <w:rFonts w:ascii="Arial Narrow" w:hAnsi="Arial Narrow"/>
                <w:sz w:val="20"/>
              </w:rPr>
            </w:pPr>
            <w:r w:rsidRPr="001F45A8">
              <w:rPr>
                <w:rFonts w:ascii="Arial Narrow" w:hAnsi="Arial Narrow"/>
                <w:sz w:val="20"/>
              </w:rPr>
              <w:t>-29</w:t>
            </w:r>
          </w:p>
        </w:tc>
        <w:tc>
          <w:tcPr>
            <w:tcW w:w="0" w:type="auto"/>
            <w:tcBorders>
              <w:top w:val="single" w:sz="4" w:space="0" w:color="auto"/>
              <w:left w:val="single" w:sz="4" w:space="0" w:color="auto"/>
              <w:bottom w:val="single" w:sz="4" w:space="0" w:color="auto"/>
              <w:right w:val="single" w:sz="4" w:space="0" w:color="auto"/>
            </w:tcBorders>
            <w:hideMark/>
          </w:tcPr>
          <w:p w14:paraId="3A9CD1F5" w14:textId="77777777" w:rsidR="00E06A2F" w:rsidRPr="001F45A8" w:rsidRDefault="00E06A2F" w:rsidP="00E06A2F">
            <w:pPr>
              <w:jc w:val="center"/>
              <w:rPr>
                <w:rFonts w:ascii="Arial Narrow" w:hAnsi="Arial Narrow"/>
                <w:sz w:val="20"/>
              </w:rPr>
            </w:pPr>
            <w:r w:rsidRPr="001F45A8">
              <w:rPr>
                <w:rFonts w:ascii="Arial Narrow" w:hAnsi="Arial Narrow"/>
                <w:sz w:val="20"/>
              </w:rPr>
              <w:t>-59</w:t>
            </w:r>
          </w:p>
        </w:tc>
        <w:tc>
          <w:tcPr>
            <w:tcW w:w="1172" w:type="dxa"/>
            <w:tcBorders>
              <w:top w:val="single" w:sz="4" w:space="0" w:color="auto"/>
              <w:left w:val="single" w:sz="4" w:space="0" w:color="auto"/>
              <w:bottom w:val="single" w:sz="4" w:space="0" w:color="auto"/>
              <w:right w:val="single" w:sz="4" w:space="0" w:color="auto"/>
            </w:tcBorders>
            <w:hideMark/>
          </w:tcPr>
          <w:p w14:paraId="2D2F6C29" w14:textId="77777777" w:rsidR="00E06A2F" w:rsidRPr="001F45A8" w:rsidRDefault="00E06A2F" w:rsidP="00E06A2F">
            <w:pPr>
              <w:jc w:val="center"/>
              <w:rPr>
                <w:rFonts w:ascii="Arial Narrow" w:hAnsi="Arial Narrow"/>
                <w:sz w:val="20"/>
              </w:rPr>
            </w:pPr>
            <w:r w:rsidRPr="001F45A8">
              <w:rPr>
                <w:rFonts w:ascii="Arial Narrow" w:hAnsi="Arial Narrow"/>
                <w:sz w:val="20"/>
              </w:rPr>
              <w:t>-90</w:t>
            </w:r>
          </w:p>
        </w:tc>
        <w:tc>
          <w:tcPr>
            <w:tcW w:w="1560" w:type="dxa"/>
            <w:tcBorders>
              <w:top w:val="single" w:sz="4" w:space="0" w:color="auto"/>
              <w:left w:val="single" w:sz="4" w:space="0" w:color="auto"/>
              <w:bottom w:val="single" w:sz="4" w:space="0" w:color="auto"/>
              <w:right w:val="single" w:sz="4" w:space="0" w:color="auto"/>
            </w:tcBorders>
            <w:hideMark/>
          </w:tcPr>
          <w:p w14:paraId="0F5537AA" w14:textId="77777777" w:rsidR="00E06A2F" w:rsidRPr="001F45A8" w:rsidRDefault="00E06A2F" w:rsidP="00E06A2F">
            <w:pPr>
              <w:jc w:val="center"/>
              <w:rPr>
                <w:rFonts w:ascii="Arial Narrow" w:hAnsi="Arial Narrow"/>
                <w:sz w:val="20"/>
              </w:rPr>
            </w:pPr>
            <w:r w:rsidRPr="001F45A8">
              <w:rPr>
                <w:rFonts w:ascii="Arial Narrow" w:hAnsi="Arial Narrow"/>
                <w:sz w:val="20"/>
              </w:rPr>
              <w:t>-122</w:t>
            </w:r>
          </w:p>
        </w:tc>
        <w:tc>
          <w:tcPr>
            <w:tcW w:w="1253" w:type="dxa"/>
            <w:tcBorders>
              <w:top w:val="single" w:sz="4" w:space="0" w:color="auto"/>
              <w:left w:val="single" w:sz="4" w:space="0" w:color="auto"/>
              <w:bottom w:val="single" w:sz="4" w:space="0" w:color="auto"/>
              <w:right w:val="single" w:sz="4" w:space="0" w:color="auto"/>
            </w:tcBorders>
            <w:hideMark/>
          </w:tcPr>
          <w:p w14:paraId="53453545" w14:textId="77777777" w:rsidR="00E06A2F" w:rsidRPr="001F45A8" w:rsidRDefault="00E06A2F" w:rsidP="00E06A2F">
            <w:pPr>
              <w:jc w:val="center"/>
              <w:rPr>
                <w:rFonts w:ascii="Arial Narrow" w:hAnsi="Arial Narrow"/>
                <w:sz w:val="20"/>
              </w:rPr>
            </w:pPr>
            <w:r w:rsidRPr="001F45A8">
              <w:rPr>
                <w:rFonts w:ascii="Arial Narrow" w:hAnsi="Arial Narrow"/>
                <w:sz w:val="20"/>
              </w:rPr>
              <w:t>-155</w:t>
            </w:r>
          </w:p>
        </w:tc>
      </w:tr>
      <w:tr w:rsidR="00E06A2F" w:rsidRPr="001F45A8" w14:paraId="219C57AE" w14:textId="77777777" w:rsidTr="00E06A2F">
        <w:trPr>
          <w:cantSplit/>
          <w:trHeight w:val="300"/>
        </w:trPr>
        <w:tc>
          <w:tcPr>
            <w:tcW w:w="2943" w:type="dxa"/>
            <w:tcBorders>
              <w:top w:val="single" w:sz="4" w:space="0" w:color="auto"/>
              <w:left w:val="single" w:sz="4" w:space="0" w:color="auto"/>
              <w:bottom w:val="single" w:sz="4" w:space="0" w:color="auto"/>
              <w:right w:val="single" w:sz="4" w:space="0" w:color="auto"/>
            </w:tcBorders>
            <w:hideMark/>
          </w:tcPr>
          <w:p w14:paraId="6A7568F5" w14:textId="77777777" w:rsidR="00E06A2F" w:rsidRPr="001F45A8" w:rsidRDefault="00E06A2F" w:rsidP="00E06A2F">
            <w:pPr>
              <w:rPr>
                <w:rFonts w:ascii="Arial Narrow" w:hAnsi="Arial Narrow"/>
                <w:sz w:val="20"/>
              </w:rPr>
            </w:pPr>
            <w:r w:rsidRPr="001F45A8">
              <w:rPr>
                <w:rFonts w:ascii="Arial Narrow" w:hAnsi="Arial Narrow"/>
                <w:sz w:val="20"/>
              </w:rPr>
              <w:t>Sub-total cost to MBS^</w:t>
            </w:r>
          </w:p>
        </w:tc>
        <w:tc>
          <w:tcPr>
            <w:tcW w:w="1193" w:type="dxa"/>
            <w:tcBorders>
              <w:top w:val="single" w:sz="4" w:space="0" w:color="auto"/>
              <w:left w:val="single" w:sz="4" w:space="0" w:color="auto"/>
              <w:bottom w:val="single" w:sz="4" w:space="0" w:color="auto"/>
              <w:right w:val="single" w:sz="4" w:space="0" w:color="auto"/>
            </w:tcBorders>
            <w:hideMark/>
          </w:tcPr>
          <w:p w14:paraId="3548680E" w14:textId="77777777" w:rsidR="00E06A2F" w:rsidRPr="002E6009" w:rsidRDefault="00E06A2F" w:rsidP="00E06A2F">
            <w:pPr>
              <w:jc w:val="right"/>
              <w:rPr>
                <w:rFonts w:ascii="Arial Narrow" w:hAnsi="Arial Narrow"/>
                <w:bCs/>
                <w:sz w:val="20"/>
              </w:rPr>
            </w:pPr>
            <w:r w:rsidRPr="002E6009">
              <w:rPr>
                <w:rFonts w:ascii="Arial Narrow" w:hAnsi="Arial Narrow"/>
                <w:bCs/>
                <w:sz w:val="20"/>
              </w:rPr>
              <w:t>-$12,534</w:t>
            </w:r>
          </w:p>
          <w:p w14:paraId="35CCADE3" w14:textId="77777777" w:rsidR="00E06A2F" w:rsidRPr="000E64BC" w:rsidRDefault="00E06A2F" w:rsidP="00E06A2F">
            <w:pPr>
              <w:jc w:val="right"/>
              <w:rPr>
                <w:rFonts w:ascii="Arial Narrow" w:hAnsi="Arial Narrow"/>
                <w:bCs/>
                <w:i/>
                <w:iCs/>
                <w:sz w:val="20"/>
              </w:rPr>
            </w:pPr>
            <w:r w:rsidRPr="000E64BC">
              <w:rPr>
                <w:rFonts w:ascii="Arial Narrow" w:hAnsi="Arial Narrow"/>
                <w:bCs/>
                <w:i/>
                <w:iCs/>
                <w:sz w:val="20"/>
              </w:rPr>
              <w:t>-$36,064</w:t>
            </w:r>
          </w:p>
        </w:tc>
        <w:tc>
          <w:tcPr>
            <w:tcW w:w="0" w:type="auto"/>
            <w:tcBorders>
              <w:top w:val="single" w:sz="4" w:space="0" w:color="auto"/>
              <w:left w:val="single" w:sz="4" w:space="0" w:color="auto"/>
              <w:bottom w:val="single" w:sz="4" w:space="0" w:color="auto"/>
              <w:right w:val="single" w:sz="4" w:space="0" w:color="auto"/>
            </w:tcBorders>
            <w:hideMark/>
          </w:tcPr>
          <w:p w14:paraId="0837BE47" w14:textId="77777777" w:rsidR="00E06A2F" w:rsidRPr="002E6009" w:rsidRDefault="00E06A2F" w:rsidP="00E06A2F">
            <w:pPr>
              <w:jc w:val="right"/>
              <w:rPr>
                <w:rFonts w:ascii="Arial Narrow" w:hAnsi="Arial Narrow"/>
                <w:bCs/>
                <w:sz w:val="20"/>
              </w:rPr>
            </w:pPr>
            <w:r w:rsidRPr="002E6009">
              <w:rPr>
                <w:rFonts w:ascii="Arial Narrow" w:hAnsi="Arial Narrow"/>
                <w:bCs/>
                <w:sz w:val="20"/>
              </w:rPr>
              <w:t>-$25,477</w:t>
            </w:r>
          </w:p>
          <w:p w14:paraId="5D8B50FB" w14:textId="77777777" w:rsidR="00E06A2F" w:rsidRPr="000E64BC" w:rsidRDefault="00E06A2F" w:rsidP="00E06A2F">
            <w:pPr>
              <w:jc w:val="right"/>
              <w:rPr>
                <w:rFonts w:ascii="Arial Narrow" w:hAnsi="Arial Narrow"/>
                <w:bCs/>
                <w:i/>
                <w:iCs/>
                <w:sz w:val="20"/>
              </w:rPr>
            </w:pPr>
            <w:r w:rsidRPr="000E64BC">
              <w:rPr>
                <w:rFonts w:ascii="Arial Narrow" w:hAnsi="Arial Narrow"/>
                <w:bCs/>
                <w:i/>
                <w:iCs/>
                <w:sz w:val="20"/>
              </w:rPr>
              <w:t>-$73,308</w:t>
            </w:r>
          </w:p>
        </w:tc>
        <w:tc>
          <w:tcPr>
            <w:tcW w:w="1172" w:type="dxa"/>
            <w:tcBorders>
              <w:top w:val="single" w:sz="4" w:space="0" w:color="auto"/>
              <w:left w:val="single" w:sz="4" w:space="0" w:color="auto"/>
              <w:bottom w:val="single" w:sz="4" w:space="0" w:color="auto"/>
              <w:right w:val="single" w:sz="4" w:space="0" w:color="auto"/>
            </w:tcBorders>
            <w:hideMark/>
          </w:tcPr>
          <w:p w14:paraId="44AE86F3" w14:textId="77777777" w:rsidR="00E06A2F" w:rsidRPr="002E6009" w:rsidRDefault="00E06A2F" w:rsidP="00E06A2F">
            <w:pPr>
              <w:jc w:val="right"/>
              <w:rPr>
                <w:rFonts w:ascii="Arial Narrow" w:hAnsi="Arial Narrow"/>
                <w:bCs/>
                <w:sz w:val="20"/>
              </w:rPr>
            </w:pPr>
            <w:r w:rsidRPr="002E6009">
              <w:rPr>
                <w:rFonts w:ascii="Arial Narrow" w:hAnsi="Arial Narrow"/>
                <w:bCs/>
                <w:sz w:val="20"/>
              </w:rPr>
              <w:t>-$38,830</w:t>
            </w:r>
          </w:p>
          <w:p w14:paraId="767BE2FA" w14:textId="77777777" w:rsidR="00E06A2F" w:rsidRPr="000E64BC" w:rsidRDefault="00E06A2F" w:rsidP="00E06A2F">
            <w:pPr>
              <w:jc w:val="right"/>
              <w:rPr>
                <w:rFonts w:ascii="Arial Narrow" w:hAnsi="Arial Narrow"/>
                <w:bCs/>
                <w:i/>
                <w:iCs/>
                <w:sz w:val="20"/>
              </w:rPr>
            </w:pPr>
            <w:r w:rsidRPr="000E64BC">
              <w:rPr>
                <w:rFonts w:ascii="Arial Narrow" w:hAnsi="Arial Narrow"/>
                <w:bCs/>
                <w:i/>
                <w:iCs/>
                <w:sz w:val="20"/>
              </w:rPr>
              <w:t>-111,728</w:t>
            </w:r>
          </w:p>
        </w:tc>
        <w:tc>
          <w:tcPr>
            <w:tcW w:w="1560" w:type="dxa"/>
            <w:tcBorders>
              <w:top w:val="single" w:sz="4" w:space="0" w:color="auto"/>
              <w:left w:val="single" w:sz="4" w:space="0" w:color="auto"/>
              <w:bottom w:val="single" w:sz="4" w:space="0" w:color="auto"/>
              <w:right w:val="single" w:sz="4" w:space="0" w:color="auto"/>
            </w:tcBorders>
            <w:hideMark/>
          </w:tcPr>
          <w:p w14:paraId="09BF94B3" w14:textId="77777777" w:rsidR="00E06A2F" w:rsidRPr="002E6009" w:rsidRDefault="00E06A2F" w:rsidP="00E06A2F">
            <w:pPr>
              <w:jc w:val="right"/>
              <w:rPr>
                <w:rFonts w:ascii="Arial Narrow" w:hAnsi="Arial Narrow"/>
                <w:bCs/>
                <w:sz w:val="20"/>
              </w:rPr>
            </w:pPr>
            <w:r w:rsidRPr="002E6009">
              <w:rPr>
                <w:rFonts w:ascii="Arial Narrow" w:hAnsi="Arial Narrow"/>
                <w:bCs/>
                <w:sz w:val="20"/>
              </w:rPr>
              <w:t>-$52,582</w:t>
            </w:r>
          </w:p>
          <w:p w14:paraId="15B83E84" w14:textId="77777777" w:rsidR="00E06A2F" w:rsidRPr="000E64BC" w:rsidRDefault="00E06A2F" w:rsidP="00E06A2F">
            <w:pPr>
              <w:jc w:val="right"/>
              <w:rPr>
                <w:rFonts w:ascii="Arial Narrow" w:hAnsi="Arial Narrow"/>
                <w:bCs/>
                <w:i/>
                <w:iCs/>
                <w:sz w:val="20"/>
              </w:rPr>
            </w:pPr>
            <w:r w:rsidRPr="002E6009">
              <w:rPr>
                <w:rFonts w:ascii="Arial Narrow" w:hAnsi="Arial Narrow"/>
                <w:bCs/>
                <w:i/>
                <w:iCs/>
                <w:sz w:val="20"/>
              </w:rPr>
              <w:t>-</w:t>
            </w:r>
            <w:r w:rsidRPr="000E64BC">
              <w:rPr>
                <w:rFonts w:ascii="Arial Narrow" w:hAnsi="Arial Narrow"/>
                <w:bCs/>
                <w:i/>
                <w:iCs/>
                <w:sz w:val="20"/>
              </w:rPr>
              <w:t>151,300</w:t>
            </w:r>
          </w:p>
        </w:tc>
        <w:tc>
          <w:tcPr>
            <w:tcW w:w="1253" w:type="dxa"/>
            <w:tcBorders>
              <w:top w:val="single" w:sz="4" w:space="0" w:color="auto"/>
              <w:left w:val="single" w:sz="4" w:space="0" w:color="auto"/>
              <w:bottom w:val="single" w:sz="4" w:space="0" w:color="auto"/>
              <w:right w:val="single" w:sz="4" w:space="0" w:color="auto"/>
            </w:tcBorders>
            <w:hideMark/>
          </w:tcPr>
          <w:p w14:paraId="58431D3A" w14:textId="77777777" w:rsidR="00E06A2F" w:rsidRPr="002E6009" w:rsidRDefault="00E06A2F" w:rsidP="00E06A2F">
            <w:pPr>
              <w:jc w:val="right"/>
              <w:rPr>
                <w:rFonts w:ascii="Arial Narrow" w:hAnsi="Arial Narrow"/>
                <w:bCs/>
                <w:sz w:val="20"/>
              </w:rPr>
            </w:pPr>
            <w:r w:rsidRPr="002E6009">
              <w:rPr>
                <w:rFonts w:ascii="Arial Narrow" w:hAnsi="Arial Narrow"/>
                <w:bCs/>
                <w:sz w:val="20"/>
              </w:rPr>
              <w:t>-$66,755</w:t>
            </w:r>
          </w:p>
          <w:p w14:paraId="21C51AA8" w14:textId="77777777" w:rsidR="00E06A2F" w:rsidRPr="000E64BC" w:rsidRDefault="00E06A2F" w:rsidP="00E06A2F">
            <w:pPr>
              <w:jc w:val="right"/>
              <w:rPr>
                <w:rFonts w:ascii="Arial Narrow" w:hAnsi="Arial Narrow"/>
                <w:bCs/>
                <w:i/>
                <w:iCs/>
                <w:sz w:val="20"/>
              </w:rPr>
            </w:pPr>
            <w:r w:rsidRPr="000E64BC">
              <w:rPr>
                <w:rFonts w:ascii="Arial Narrow" w:hAnsi="Arial Narrow"/>
                <w:bCs/>
                <w:i/>
                <w:iCs/>
                <w:sz w:val="20"/>
              </w:rPr>
              <w:t>-192,079</w:t>
            </w:r>
          </w:p>
        </w:tc>
      </w:tr>
      <w:tr w:rsidR="00E06A2F" w:rsidRPr="001F45A8" w14:paraId="2ABF076F" w14:textId="77777777" w:rsidTr="00E06A2F">
        <w:trPr>
          <w:cantSplit/>
          <w:trHeight w:val="315"/>
        </w:trPr>
        <w:tc>
          <w:tcPr>
            <w:tcW w:w="2943" w:type="dxa"/>
            <w:tcBorders>
              <w:top w:val="single" w:sz="4" w:space="0" w:color="auto"/>
              <w:left w:val="single" w:sz="4" w:space="0" w:color="auto"/>
              <w:bottom w:val="single" w:sz="4" w:space="0" w:color="auto"/>
              <w:right w:val="single" w:sz="4" w:space="0" w:color="auto"/>
            </w:tcBorders>
            <w:hideMark/>
          </w:tcPr>
          <w:p w14:paraId="05DC6DFB" w14:textId="77777777" w:rsidR="00E06A2F" w:rsidRPr="001F45A8" w:rsidRDefault="00E06A2F" w:rsidP="00E06A2F">
            <w:pPr>
              <w:rPr>
                <w:rFonts w:ascii="Arial Narrow" w:hAnsi="Arial Narrow"/>
                <w:b/>
                <w:sz w:val="20"/>
              </w:rPr>
            </w:pPr>
            <w:r w:rsidRPr="001F45A8">
              <w:rPr>
                <w:rFonts w:ascii="Arial Narrow" w:hAnsi="Arial Narrow"/>
                <w:b/>
                <w:sz w:val="20"/>
              </w:rPr>
              <w:t>Estimated change in services</w:t>
            </w:r>
          </w:p>
        </w:tc>
        <w:tc>
          <w:tcPr>
            <w:tcW w:w="1193" w:type="dxa"/>
            <w:tcBorders>
              <w:top w:val="single" w:sz="4" w:space="0" w:color="auto"/>
              <w:left w:val="single" w:sz="4" w:space="0" w:color="auto"/>
              <w:bottom w:val="single" w:sz="4" w:space="0" w:color="auto"/>
              <w:right w:val="single" w:sz="4" w:space="0" w:color="auto"/>
            </w:tcBorders>
            <w:hideMark/>
          </w:tcPr>
          <w:p w14:paraId="7473D966" w14:textId="77777777" w:rsidR="00E06A2F" w:rsidRPr="000E64BC" w:rsidRDefault="00E06A2F" w:rsidP="00E06A2F">
            <w:pPr>
              <w:jc w:val="center"/>
              <w:rPr>
                <w:rFonts w:ascii="Arial Narrow" w:hAnsi="Arial Narrow"/>
                <w:bCs/>
                <w:sz w:val="20"/>
              </w:rPr>
            </w:pPr>
            <w:r w:rsidRPr="000E64BC">
              <w:rPr>
                <w:rFonts w:ascii="Arial Narrow" w:hAnsi="Arial Narrow"/>
                <w:bCs/>
                <w:sz w:val="20"/>
              </w:rPr>
              <w:t>-29</w:t>
            </w:r>
          </w:p>
        </w:tc>
        <w:tc>
          <w:tcPr>
            <w:tcW w:w="0" w:type="auto"/>
            <w:tcBorders>
              <w:top w:val="single" w:sz="4" w:space="0" w:color="auto"/>
              <w:left w:val="single" w:sz="4" w:space="0" w:color="auto"/>
              <w:bottom w:val="single" w:sz="4" w:space="0" w:color="auto"/>
              <w:right w:val="single" w:sz="4" w:space="0" w:color="auto"/>
            </w:tcBorders>
            <w:hideMark/>
          </w:tcPr>
          <w:p w14:paraId="1B680622" w14:textId="77777777" w:rsidR="00E06A2F" w:rsidRPr="000E64BC" w:rsidRDefault="00E06A2F" w:rsidP="00E06A2F">
            <w:pPr>
              <w:jc w:val="center"/>
              <w:rPr>
                <w:rFonts w:ascii="Arial Narrow" w:hAnsi="Arial Narrow"/>
                <w:bCs/>
                <w:sz w:val="20"/>
              </w:rPr>
            </w:pPr>
            <w:r w:rsidRPr="000E64BC">
              <w:rPr>
                <w:rFonts w:ascii="Arial Narrow" w:hAnsi="Arial Narrow"/>
                <w:bCs/>
                <w:sz w:val="20"/>
              </w:rPr>
              <w:t>-59</w:t>
            </w:r>
          </w:p>
        </w:tc>
        <w:tc>
          <w:tcPr>
            <w:tcW w:w="1172" w:type="dxa"/>
            <w:tcBorders>
              <w:top w:val="single" w:sz="4" w:space="0" w:color="auto"/>
              <w:left w:val="single" w:sz="4" w:space="0" w:color="auto"/>
              <w:bottom w:val="single" w:sz="4" w:space="0" w:color="auto"/>
              <w:right w:val="single" w:sz="4" w:space="0" w:color="auto"/>
            </w:tcBorders>
            <w:hideMark/>
          </w:tcPr>
          <w:p w14:paraId="00C0055F" w14:textId="77777777" w:rsidR="00E06A2F" w:rsidRPr="000E64BC" w:rsidRDefault="00E06A2F" w:rsidP="00E06A2F">
            <w:pPr>
              <w:jc w:val="center"/>
              <w:rPr>
                <w:rFonts w:ascii="Arial Narrow" w:hAnsi="Arial Narrow"/>
                <w:bCs/>
                <w:sz w:val="20"/>
              </w:rPr>
            </w:pPr>
            <w:r w:rsidRPr="000E64BC">
              <w:rPr>
                <w:rFonts w:ascii="Arial Narrow" w:hAnsi="Arial Narrow"/>
                <w:bCs/>
                <w:sz w:val="20"/>
              </w:rPr>
              <w:t>-90</w:t>
            </w:r>
          </w:p>
        </w:tc>
        <w:tc>
          <w:tcPr>
            <w:tcW w:w="1560" w:type="dxa"/>
            <w:tcBorders>
              <w:top w:val="single" w:sz="4" w:space="0" w:color="auto"/>
              <w:left w:val="single" w:sz="4" w:space="0" w:color="auto"/>
              <w:bottom w:val="single" w:sz="4" w:space="0" w:color="auto"/>
              <w:right w:val="single" w:sz="4" w:space="0" w:color="auto"/>
            </w:tcBorders>
            <w:hideMark/>
          </w:tcPr>
          <w:p w14:paraId="619AB7C5" w14:textId="77777777" w:rsidR="00E06A2F" w:rsidRPr="000B69A6" w:rsidRDefault="00E06A2F" w:rsidP="00E06A2F">
            <w:pPr>
              <w:jc w:val="center"/>
              <w:rPr>
                <w:rFonts w:ascii="Arial Narrow" w:hAnsi="Arial Narrow"/>
                <w:bCs/>
                <w:sz w:val="20"/>
              </w:rPr>
            </w:pPr>
            <w:r w:rsidRPr="000E64BC">
              <w:rPr>
                <w:rFonts w:ascii="Arial Narrow" w:hAnsi="Arial Narrow"/>
                <w:bCs/>
                <w:sz w:val="20"/>
              </w:rPr>
              <w:t>-122</w:t>
            </w:r>
          </w:p>
        </w:tc>
        <w:tc>
          <w:tcPr>
            <w:tcW w:w="1253" w:type="dxa"/>
            <w:tcBorders>
              <w:top w:val="single" w:sz="4" w:space="0" w:color="auto"/>
              <w:left w:val="single" w:sz="4" w:space="0" w:color="auto"/>
              <w:bottom w:val="single" w:sz="4" w:space="0" w:color="auto"/>
              <w:right w:val="single" w:sz="4" w:space="0" w:color="auto"/>
            </w:tcBorders>
            <w:hideMark/>
          </w:tcPr>
          <w:p w14:paraId="0788EB7E" w14:textId="77777777" w:rsidR="00E06A2F" w:rsidRPr="000B69A6" w:rsidRDefault="00E06A2F" w:rsidP="00E06A2F">
            <w:pPr>
              <w:jc w:val="center"/>
              <w:rPr>
                <w:rFonts w:ascii="Arial Narrow" w:hAnsi="Arial Narrow"/>
                <w:bCs/>
                <w:sz w:val="20"/>
              </w:rPr>
            </w:pPr>
            <w:r w:rsidRPr="000B69A6">
              <w:rPr>
                <w:rFonts w:ascii="Arial Narrow" w:hAnsi="Arial Narrow"/>
                <w:bCs/>
                <w:sz w:val="20"/>
              </w:rPr>
              <w:t>-155</w:t>
            </w:r>
          </w:p>
        </w:tc>
      </w:tr>
      <w:tr w:rsidR="00E06A2F" w:rsidRPr="001F45A8" w14:paraId="45BACD76" w14:textId="77777777" w:rsidTr="00E06A2F">
        <w:trPr>
          <w:cantSplit/>
          <w:trHeight w:val="315"/>
        </w:trPr>
        <w:tc>
          <w:tcPr>
            <w:tcW w:w="2943" w:type="dxa"/>
            <w:tcBorders>
              <w:top w:val="single" w:sz="4" w:space="0" w:color="auto"/>
              <w:left w:val="single" w:sz="4" w:space="0" w:color="auto"/>
              <w:bottom w:val="single" w:sz="4" w:space="0" w:color="auto"/>
              <w:right w:val="single" w:sz="4" w:space="0" w:color="auto"/>
            </w:tcBorders>
            <w:hideMark/>
          </w:tcPr>
          <w:p w14:paraId="7D8CEBD0" w14:textId="77777777" w:rsidR="00E06A2F" w:rsidRPr="001F45A8" w:rsidRDefault="00E06A2F" w:rsidP="00E06A2F">
            <w:pPr>
              <w:rPr>
                <w:rFonts w:ascii="Arial Narrow" w:hAnsi="Arial Narrow"/>
                <w:b/>
                <w:sz w:val="20"/>
              </w:rPr>
            </w:pPr>
            <w:r w:rsidRPr="001F45A8">
              <w:rPr>
                <w:rFonts w:ascii="Arial Narrow" w:hAnsi="Arial Narrow"/>
                <w:b/>
                <w:sz w:val="20"/>
              </w:rPr>
              <w:t>Total costs to MBS</w:t>
            </w:r>
          </w:p>
        </w:tc>
        <w:tc>
          <w:tcPr>
            <w:tcW w:w="1193" w:type="dxa"/>
            <w:tcBorders>
              <w:top w:val="single" w:sz="4" w:space="0" w:color="auto"/>
              <w:left w:val="single" w:sz="4" w:space="0" w:color="auto"/>
              <w:bottom w:val="single" w:sz="4" w:space="0" w:color="auto"/>
              <w:right w:val="single" w:sz="4" w:space="0" w:color="auto"/>
            </w:tcBorders>
            <w:hideMark/>
          </w:tcPr>
          <w:p w14:paraId="223F7723" w14:textId="77777777" w:rsidR="00E06A2F" w:rsidRPr="002E6009" w:rsidRDefault="00E06A2F" w:rsidP="00E06A2F">
            <w:pPr>
              <w:jc w:val="right"/>
              <w:rPr>
                <w:rFonts w:ascii="Arial Narrow" w:hAnsi="Arial Narrow"/>
                <w:bCs/>
                <w:sz w:val="20"/>
              </w:rPr>
            </w:pPr>
            <w:r w:rsidRPr="002E6009">
              <w:rPr>
                <w:rFonts w:ascii="Arial Narrow" w:hAnsi="Arial Narrow"/>
                <w:bCs/>
                <w:sz w:val="20"/>
              </w:rPr>
              <w:t>-$12,534</w:t>
            </w:r>
          </w:p>
          <w:p w14:paraId="77CA34D5" w14:textId="77777777" w:rsidR="00E06A2F" w:rsidRPr="002E6009" w:rsidRDefault="00E06A2F" w:rsidP="00E06A2F">
            <w:pPr>
              <w:jc w:val="right"/>
              <w:rPr>
                <w:rFonts w:ascii="Arial Narrow" w:hAnsi="Arial Narrow"/>
                <w:bCs/>
                <w:sz w:val="20"/>
              </w:rPr>
            </w:pPr>
            <w:r w:rsidRPr="000E64BC">
              <w:rPr>
                <w:rFonts w:ascii="Arial Narrow" w:hAnsi="Arial Narrow"/>
                <w:bCs/>
                <w:i/>
                <w:iCs/>
                <w:sz w:val="20"/>
              </w:rPr>
              <w:t>-$36,064</w:t>
            </w:r>
          </w:p>
        </w:tc>
        <w:tc>
          <w:tcPr>
            <w:tcW w:w="0" w:type="auto"/>
            <w:tcBorders>
              <w:top w:val="single" w:sz="4" w:space="0" w:color="auto"/>
              <w:left w:val="single" w:sz="4" w:space="0" w:color="auto"/>
              <w:bottom w:val="single" w:sz="4" w:space="0" w:color="auto"/>
              <w:right w:val="single" w:sz="4" w:space="0" w:color="auto"/>
            </w:tcBorders>
            <w:hideMark/>
          </w:tcPr>
          <w:p w14:paraId="2359B549" w14:textId="77777777" w:rsidR="00E06A2F" w:rsidRPr="002E6009" w:rsidRDefault="00E06A2F" w:rsidP="00E06A2F">
            <w:pPr>
              <w:jc w:val="right"/>
              <w:rPr>
                <w:rFonts w:ascii="Arial Narrow" w:hAnsi="Arial Narrow"/>
                <w:bCs/>
                <w:sz w:val="20"/>
              </w:rPr>
            </w:pPr>
            <w:r w:rsidRPr="002E6009">
              <w:rPr>
                <w:rFonts w:ascii="Arial Narrow" w:hAnsi="Arial Narrow"/>
                <w:bCs/>
                <w:sz w:val="20"/>
              </w:rPr>
              <w:t>-$25,477</w:t>
            </w:r>
          </w:p>
          <w:p w14:paraId="438C6632" w14:textId="77777777" w:rsidR="00E06A2F" w:rsidRPr="002E6009" w:rsidRDefault="00E06A2F" w:rsidP="00E06A2F">
            <w:pPr>
              <w:jc w:val="right"/>
              <w:rPr>
                <w:rFonts w:ascii="Arial Narrow" w:hAnsi="Arial Narrow"/>
                <w:bCs/>
                <w:sz w:val="20"/>
              </w:rPr>
            </w:pPr>
            <w:r w:rsidRPr="000E64BC">
              <w:rPr>
                <w:rFonts w:ascii="Arial Narrow" w:hAnsi="Arial Narrow"/>
                <w:bCs/>
                <w:i/>
                <w:iCs/>
                <w:sz w:val="20"/>
              </w:rPr>
              <w:t>-$73,308</w:t>
            </w:r>
          </w:p>
        </w:tc>
        <w:tc>
          <w:tcPr>
            <w:tcW w:w="1172" w:type="dxa"/>
            <w:tcBorders>
              <w:top w:val="single" w:sz="4" w:space="0" w:color="auto"/>
              <w:left w:val="single" w:sz="4" w:space="0" w:color="auto"/>
              <w:bottom w:val="single" w:sz="4" w:space="0" w:color="auto"/>
              <w:right w:val="single" w:sz="4" w:space="0" w:color="auto"/>
            </w:tcBorders>
            <w:hideMark/>
          </w:tcPr>
          <w:p w14:paraId="7C395A3C" w14:textId="77777777" w:rsidR="00E06A2F" w:rsidRPr="002E6009" w:rsidRDefault="00E06A2F" w:rsidP="00E06A2F">
            <w:pPr>
              <w:jc w:val="right"/>
              <w:rPr>
                <w:rFonts w:ascii="Arial Narrow" w:hAnsi="Arial Narrow"/>
                <w:bCs/>
                <w:sz w:val="20"/>
              </w:rPr>
            </w:pPr>
            <w:r w:rsidRPr="002E6009">
              <w:rPr>
                <w:rFonts w:ascii="Arial Narrow" w:hAnsi="Arial Narrow"/>
                <w:bCs/>
                <w:sz w:val="20"/>
              </w:rPr>
              <w:t>-$38,830</w:t>
            </w:r>
          </w:p>
          <w:p w14:paraId="3F47BA57" w14:textId="77777777" w:rsidR="00E06A2F" w:rsidRPr="002E6009" w:rsidRDefault="00E06A2F" w:rsidP="00E06A2F">
            <w:pPr>
              <w:jc w:val="right"/>
              <w:rPr>
                <w:rFonts w:ascii="Arial Narrow" w:hAnsi="Arial Narrow"/>
                <w:bCs/>
                <w:sz w:val="20"/>
              </w:rPr>
            </w:pPr>
            <w:r w:rsidRPr="000E64BC">
              <w:rPr>
                <w:rFonts w:ascii="Arial Narrow" w:hAnsi="Arial Narrow"/>
                <w:bCs/>
                <w:i/>
                <w:iCs/>
                <w:sz w:val="20"/>
              </w:rPr>
              <w:t>-111,728</w:t>
            </w:r>
          </w:p>
        </w:tc>
        <w:tc>
          <w:tcPr>
            <w:tcW w:w="1560" w:type="dxa"/>
            <w:tcBorders>
              <w:top w:val="single" w:sz="4" w:space="0" w:color="auto"/>
              <w:left w:val="single" w:sz="4" w:space="0" w:color="auto"/>
              <w:bottom w:val="single" w:sz="4" w:space="0" w:color="auto"/>
              <w:right w:val="single" w:sz="4" w:space="0" w:color="auto"/>
            </w:tcBorders>
            <w:hideMark/>
          </w:tcPr>
          <w:p w14:paraId="3DC46FE6" w14:textId="77777777" w:rsidR="00E06A2F" w:rsidRPr="002E6009" w:rsidRDefault="00E06A2F" w:rsidP="00E06A2F">
            <w:pPr>
              <w:jc w:val="right"/>
              <w:rPr>
                <w:rFonts w:ascii="Arial Narrow" w:hAnsi="Arial Narrow"/>
                <w:bCs/>
                <w:sz w:val="20"/>
              </w:rPr>
            </w:pPr>
            <w:r w:rsidRPr="002E6009">
              <w:rPr>
                <w:rFonts w:ascii="Arial Narrow" w:hAnsi="Arial Narrow"/>
                <w:bCs/>
                <w:sz w:val="20"/>
              </w:rPr>
              <w:t>-$52,582</w:t>
            </w:r>
          </w:p>
          <w:p w14:paraId="3405B1A8" w14:textId="77777777" w:rsidR="00E06A2F" w:rsidRPr="002E6009" w:rsidRDefault="00E06A2F" w:rsidP="00E06A2F">
            <w:pPr>
              <w:jc w:val="right"/>
              <w:rPr>
                <w:rFonts w:ascii="Arial Narrow" w:hAnsi="Arial Narrow"/>
                <w:bCs/>
                <w:sz w:val="20"/>
              </w:rPr>
            </w:pPr>
            <w:r w:rsidRPr="002E6009">
              <w:rPr>
                <w:rFonts w:ascii="Arial Narrow" w:hAnsi="Arial Narrow"/>
                <w:bCs/>
                <w:i/>
                <w:iCs/>
                <w:sz w:val="20"/>
              </w:rPr>
              <w:t>-</w:t>
            </w:r>
            <w:r w:rsidRPr="000E64BC">
              <w:rPr>
                <w:rFonts w:ascii="Arial Narrow" w:hAnsi="Arial Narrow"/>
                <w:bCs/>
                <w:i/>
                <w:iCs/>
                <w:sz w:val="20"/>
              </w:rPr>
              <w:t>151,300</w:t>
            </w:r>
          </w:p>
        </w:tc>
        <w:tc>
          <w:tcPr>
            <w:tcW w:w="1253" w:type="dxa"/>
            <w:tcBorders>
              <w:top w:val="single" w:sz="4" w:space="0" w:color="auto"/>
              <w:left w:val="single" w:sz="4" w:space="0" w:color="auto"/>
              <w:bottom w:val="single" w:sz="4" w:space="0" w:color="auto"/>
              <w:right w:val="single" w:sz="4" w:space="0" w:color="auto"/>
            </w:tcBorders>
            <w:hideMark/>
          </w:tcPr>
          <w:p w14:paraId="597D5179" w14:textId="77777777" w:rsidR="00E06A2F" w:rsidRPr="002E6009" w:rsidRDefault="00E06A2F" w:rsidP="00E06A2F">
            <w:pPr>
              <w:jc w:val="right"/>
              <w:rPr>
                <w:rFonts w:ascii="Arial Narrow" w:hAnsi="Arial Narrow"/>
                <w:bCs/>
                <w:sz w:val="20"/>
              </w:rPr>
            </w:pPr>
            <w:r w:rsidRPr="002E6009">
              <w:rPr>
                <w:rFonts w:ascii="Arial Narrow" w:hAnsi="Arial Narrow"/>
                <w:bCs/>
                <w:sz w:val="20"/>
              </w:rPr>
              <w:t>-$66,755</w:t>
            </w:r>
          </w:p>
          <w:p w14:paraId="37AB67D3" w14:textId="77777777" w:rsidR="00E06A2F" w:rsidRPr="002E6009" w:rsidRDefault="00E06A2F" w:rsidP="00E06A2F">
            <w:pPr>
              <w:jc w:val="right"/>
              <w:rPr>
                <w:rFonts w:ascii="Arial Narrow" w:hAnsi="Arial Narrow"/>
                <w:bCs/>
                <w:sz w:val="20"/>
              </w:rPr>
            </w:pPr>
            <w:r w:rsidRPr="000E64BC">
              <w:rPr>
                <w:rFonts w:ascii="Arial Narrow" w:hAnsi="Arial Narrow"/>
                <w:bCs/>
                <w:i/>
                <w:iCs/>
                <w:sz w:val="20"/>
              </w:rPr>
              <w:t>-192,079</w:t>
            </w:r>
          </w:p>
        </w:tc>
      </w:tr>
      <w:tr w:rsidR="00E06A2F" w:rsidRPr="001F45A8" w14:paraId="77782159" w14:textId="77777777" w:rsidTr="00E06A2F">
        <w:trPr>
          <w:cantSplit/>
          <w:trHeight w:val="315"/>
        </w:trPr>
        <w:tc>
          <w:tcPr>
            <w:tcW w:w="2943" w:type="dxa"/>
            <w:tcBorders>
              <w:top w:val="single" w:sz="4" w:space="0" w:color="auto"/>
              <w:left w:val="single" w:sz="4" w:space="0" w:color="auto"/>
              <w:bottom w:val="single" w:sz="4" w:space="0" w:color="auto"/>
              <w:right w:val="single" w:sz="4" w:space="0" w:color="auto"/>
            </w:tcBorders>
            <w:hideMark/>
          </w:tcPr>
          <w:p w14:paraId="2A691078" w14:textId="77777777" w:rsidR="00E06A2F" w:rsidRPr="001F45A8" w:rsidRDefault="00E06A2F" w:rsidP="00E06A2F">
            <w:pPr>
              <w:rPr>
                <w:rFonts w:ascii="Arial Narrow" w:hAnsi="Arial Narrow"/>
                <w:b/>
                <w:sz w:val="20"/>
              </w:rPr>
            </w:pPr>
            <w:r w:rsidRPr="001F45A8">
              <w:rPr>
                <w:rFonts w:ascii="Arial Narrow" w:hAnsi="Arial Narrow"/>
                <w:b/>
                <w:sz w:val="20"/>
              </w:rPr>
              <w:t>Total hospital costs</w:t>
            </w:r>
          </w:p>
        </w:tc>
        <w:tc>
          <w:tcPr>
            <w:tcW w:w="1193" w:type="dxa"/>
            <w:tcBorders>
              <w:top w:val="single" w:sz="4" w:space="0" w:color="auto"/>
              <w:left w:val="single" w:sz="4" w:space="0" w:color="auto"/>
              <w:bottom w:val="single" w:sz="4" w:space="0" w:color="auto"/>
              <w:right w:val="single" w:sz="4" w:space="0" w:color="auto"/>
            </w:tcBorders>
            <w:hideMark/>
          </w:tcPr>
          <w:p w14:paraId="1BA994F3" w14:textId="77777777" w:rsidR="00E06A2F" w:rsidRPr="000E64BC" w:rsidRDefault="00E06A2F" w:rsidP="00E06A2F">
            <w:pPr>
              <w:jc w:val="right"/>
              <w:rPr>
                <w:rFonts w:ascii="Arial Narrow" w:hAnsi="Arial Narrow"/>
                <w:bCs/>
                <w:i/>
                <w:iCs/>
                <w:sz w:val="20"/>
              </w:rPr>
            </w:pPr>
            <w:r w:rsidRPr="002E6009">
              <w:rPr>
                <w:rFonts w:ascii="Arial Narrow" w:hAnsi="Arial Narrow"/>
                <w:bCs/>
                <w:sz w:val="20"/>
              </w:rPr>
              <w:t>-$284,043</w:t>
            </w:r>
            <w:r w:rsidRPr="000E64BC">
              <w:rPr>
                <w:rFonts w:ascii="Arial Narrow" w:hAnsi="Arial Narrow"/>
                <w:bCs/>
                <w:i/>
                <w:iCs/>
                <w:sz w:val="20"/>
              </w:rPr>
              <w:br/>
              <w:t>-$39,601</w:t>
            </w:r>
          </w:p>
        </w:tc>
        <w:tc>
          <w:tcPr>
            <w:tcW w:w="0" w:type="auto"/>
            <w:tcBorders>
              <w:top w:val="single" w:sz="4" w:space="0" w:color="auto"/>
              <w:left w:val="single" w:sz="4" w:space="0" w:color="auto"/>
              <w:bottom w:val="single" w:sz="4" w:space="0" w:color="auto"/>
              <w:right w:val="single" w:sz="4" w:space="0" w:color="auto"/>
            </w:tcBorders>
            <w:hideMark/>
          </w:tcPr>
          <w:p w14:paraId="53C40172" w14:textId="77777777" w:rsidR="00E06A2F" w:rsidRPr="000E64BC" w:rsidRDefault="00E06A2F" w:rsidP="00E06A2F">
            <w:pPr>
              <w:jc w:val="right"/>
              <w:rPr>
                <w:rFonts w:ascii="Arial Narrow" w:hAnsi="Arial Narrow"/>
                <w:bCs/>
                <w:i/>
                <w:iCs/>
                <w:sz w:val="20"/>
              </w:rPr>
            </w:pPr>
            <w:r w:rsidRPr="002E6009">
              <w:rPr>
                <w:rFonts w:ascii="Arial Narrow" w:hAnsi="Arial Narrow"/>
                <w:bCs/>
                <w:sz w:val="20"/>
              </w:rPr>
              <w:t>-$577,387</w:t>
            </w:r>
            <w:r w:rsidRPr="000E64BC">
              <w:rPr>
                <w:rFonts w:ascii="Arial Narrow" w:hAnsi="Arial Narrow"/>
                <w:bCs/>
                <w:i/>
                <w:iCs/>
                <w:sz w:val="20"/>
              </w:rPr>
              <w:br/>
              <w:t>-$80,500</w:t>
            </w:r>
          </w:p>
        </w:tc>
        <w:tc>
          <w:tcPr>
            <w:tcW w:w="1172" w:type="dxa"/>
            <w:tcBorders>
              <w:top w:val="single" w:sz="4" w:space="0" w:color="auto"/>
              <w:left w:val="single" w:sz="4" w:space="0" w:color="auto"/>
              <w:bottom w:val="single" w:sz="4" w:space="0" w:color="auto"/>
              <w:right w:val="single" w:sz="4" w:space="0" w:color="auto"/>
            </w:tcBorders>
            <w:hideMark/>
          </w:tcPr>
          <w:p w14:paraId="21786415" w14:textId="77777777" w:rsidR="00E06A2F" w:rsidRPr="002E6009" w:rsidRDefault="00E06A2F" w:rsidP="00E06A2F">
            <w:pPr>
              <w:jc w:val="right"/>
              <w:rPr>
                <w:rFonts w:ascii="Arial Narrow" w:hAnsi="Arial Narrow"/>
                <w:bCs/>
                <w:i/>
                <w:iCs/>
                <w:sz w:val="20"/>
              </w:rPr>
            </w:pPr>
            <w:r w:rsidRPr="002E6009">
              <w:rPr>
                <w:rFonts w:ascii="Arial Narrow" w:hAnsi="Arial Narrow"/>
                <w:bCs/>
                <w:sz w:val="20"/>
              </w:rPr>
              <w:t>-$879,984</w:t>
            </w:r>
            <w:r w:rsidRPr="002E6009">
              <w:rPr>
                <w:rFonts w:ascii="Arial Narrow" w:hAnsi="Arial Narrow"/>
                <w:bCs/>
                <w:i/>
                <w:iCs/>
                <w:sz w:val="20"/>
              </w:rPr>
              <w:br/>
            </w:r>
            <w:r w:rsidRPr="000E64BC">
              <w:rPr>
                <w:rFonts w:ascii="Arial Narrow" w:hAnsi="Arial Narrow"/>
                <w:bCs/>
                <w:i/>
                <w:iCs/>
                <w:sz w:val="20"/>
              </w:rPr>
              <w:t>-$122,688</w:t>
            </w:r>
          </w:p>
        </w:tc>
        <w:tc>
          <w:tcPr>
            <w:tcW w:w="1560" w:type="dxa"/>
            <w:tcBorders>
              <w:top w:val="single" w:sz="4" w:space="0" w:color="auto"/>
              <w:left w:val="single" w:sz="4" w:space="0" w:color="auto"/>
              <w:bottom w:val="single" w:sz="4" w:space="0" w:color="auto"/>
              <w:right w:val="single" w:sz="4" w:space="0" w:color="auto"/>
            </w:tcBorders>
            <w:hideMark/>
          </w:tcPr>
          <w:p w14:paraId="22A44229" w14:textId="77777777" w:rsidR="00E06A2F" w:rsidRPr="002E6009" w:rsidRDefault="00E06A2F" w:rsidP="00E06A2F">
            <w:pPr>
              <w:jc w:val="right"/>
              <w:rPr>
                <w:rFonts w:ascii="Arial Narrow" w:hAnsi="Arial Narrow"/>
                <w:bCs/>
                <w:i/>
                <w:iCs/>
                <w:sz w:val="20"/>
              </w:rPr>
            </w:pPr>
            <w:r w:rsidRPr="002E6009">
              <w:rPr>
                <w:rFonts w:ascii="Arial Narrow" w:hAnsi="Arial Narrow"/>
                <w:bCs/>
                <w:sz w:val="20"/>
              </w:rPr>
              <w:t>-$1,191,657</w:t>
            </w:r>
            <w:r w:rsidRPr="002E6009">
              <w:rPr>
                <w:rFonts w:ascii="Arial Narrow" w:hAnsi="Arial Narrow"/>
                <w:bCs/>
                <w:i/>
                <w:iCs/>
                <w:sz w:val="20"/>
              </w:rPr>
              <w:br/>
            </w:r>
            <w:r w:rsidRPr="000E64BC">
              <w:rPr>
                <w:rFonts w:ascii="Arial Narrow" w:hAnsi="Arial Narrow"/>
                <w:bCs/>
                <w:i/>
                <w:iCs/>
                <w:sz w:val="20"/>
              </w:rPr>
              <w:t>-$166,141</w:t>
            </w:r>
          </w:p>
        </w:tc>
        <w:tc>
          <w:tcPr>
            <w:tcW w:w="1253" w:type="dxa"/>
            <w:tcBorders>
              <w:top w:val="single" w:sz="4" w:space="0" w:color="auto"/>
              <w:left w:val="single" w:sz="4" w:space="0" w:color="auto"/>
              <w:bottom w:val="single" w:sz="4" w:space="0" w:color="auto"/>
              <w:right w:val="single" w:sz="4" w:space="0" w:color="auto"/>
            </w:tcBorders>
            <w:hideMark/>
          </w:tcPr>
          <w:p w14:paraId="128AF225" w14:textId="77777777" w:rsidR="00E06A2F" w:rsidRPr="002E6009" w:rsidRDefault="00E06A2F" w:rsidP="00E06A2F">
            <w:pPr>
              <w:jc w:val="right"/>
              <w:rPr>
                <w:rFonts w:ascii="Arial Narrow" w:hAnsi="Arial Narrow"/>
                <w:bCs/>
                <w:sz w:val="20"/>
              </w:rPr>
            </w:pPr>
            <w:r w:rsidRPr="002E6009">
              <w:rPr>
                <w:rFonts w:ascii="Arial Narrow" w:hAnsi="Arial Narrow"/>
                <w:bCs/>
                <w:sz w:val="20"/>
              </w:rPr>
              <w:t>-$1,512,844</w:t>
            </w:r>
            <w:r w:rsidRPr="002E6009">
              <w:rPr>
                <w:rFonts w:ascii="Arial Narrow" w:hAnsi="Arial Narrow"/>
                <w:bCs/>
                <w:sz w:val="20"/>
              </w:rPr>
              <w:br/>
            </w:r>
            <w:r w:rsidRPr="000E64BC">
              <w:rPr>
                <w:rFonts w:ascii="Arial Narrow" w:hAnsi="Arial Narrow"/>
                <w:bCs/>
                <w:i/>
                <w:iCs/>
                <w:sz w:val="20"/>
              </w:rPr>
              <w:t>-$210,922</w:t>
            </w:r>
          </w:p>
        </w:tc>
      </w:tr>
      <w:tr w:rsidR="00E06A2F" w:rsidRPr="001F45A8" w14:paraId="4A1B5754" w14:textId="77777777" w:rsidTr="00E06A2F">
        <w:trPr>
          <w:trHeight w:val="315"/>
        </w:trPr>
        <w:tc>
          <w:tcPr>
            <w:tcW w:w="2943" w:type="dxa"/>
            <w:tcBorders>
              <w:top w:val="single" w:sz="4" w:space="0" w:color="auto"/>
              <w:left w:val="single" w:sz="4" w:space="0" w:color="auto"/>
              <w:bottom w:val="single" w:sz="4" w:space="0" w:color="auto"/>
              <w:right w:val="single" w:sz="4" w:space="0" w:color="auto"/>
            </w:tcBorders>
            <w:hideMark/>
          </w:tcPr>
          <w:p w14:paraId="56A43E1B" w14:textId="77777777" w:rsidR="00E06A2F" w:rsidRPr="001F45A8" w:rsidRDefault="00E06A2F" w:rsidP="00E06A2F">
            <w:pPr>
              <w:rPr>
                <w:rFonts w:ascii="Arial Narrow" w:hAnsi="Arial Narrow"/>
                <w:b/>
                <w:sz w:val="20"/>
              </w:rPr>
            </w:pPr>
            <w:r w:rsidRPr="001F45A8">
              <w:rPr>
                <w:rFonts w:ascii="Arial Narrow" w:hAnsi="Arial Narrow"/>
                <w:b/>
                <w:sz w:val="20"/>
              </w:rPr>
              <w:t>Total costs to PHI</w:t>
            </w:r>
          </w:p>
        </w:tc>
        <w:tc>
          <w:tcPr>
            <w:tcW w:w="1193" w:type="dxa"/>
            <w:tcBorders>
              <w:top w:val="single" w:sz="4" w:space="0" w:color="auto"/>
              <w:left w:val="single" w:sz="4" w:space="0" w:color="auto"/>
              <w:bottom w:val="single" w:sz="4" w:space="0" w:color="auto"/>
              <w:right w:val="single" w:sz="4" w:space="0" w:color="auto"/>
            </w:tcBorders>
            <w:hideMark/>
          </w:tcPr>
          <w:p w14:paraId="75EF6580" w14:textId="69D257FE" w:rsidR="00E06A2F" w:rsidRPr="002E6009" w:rsidRDefault="00E06A2F" w:rsidP="00E06A2F">
            <w:pPr>
              <w:jc w:val="right"/>
              <w:rPr>
                <w:rFonts w:ascii="Arial Narrow" w:hAnsi="Arial Narrow"/>
                <w:bCs/>
                <w:sz w:val="20"/>
              </w:rPr>
            </w:pPr>
            <w:r w:rsidRPr="002E6009">
              <w:rPr>
                <w:rFonts w:ascii="Arial Narrow" w:hAnsi="Arial Narrow"/>
                <w:bCs/>
                <w:sz w:val="20"/>
              </w:rPr>
              <w:t>$</w:t>
            </w:r>
            <w:r w:rsidR="004F6878" w:rsidRPr="004F6878">
              <w:rPr>
                <w:rFonts w:ascii="Arial Narrow" w:hAnsi="Arial Narrow"/>
                <w:b/>
                <w:bCs/>
                <w:sz w:val="20"/>
              </w:rPr>
              <w:t>redacted</w:t>
            </w:r>
          </w:p>
          <w:p w14:paraId="7C15DB94" w14:textId="4526E4A8" w:rsidR="00E06A2F" w:rsidRPr="000E64BC" w:rsidRDefault="00E06A2F" w:rsidP="00E06A2F">
            <w:pPr>
              <w:jc w:val="right"/>
              <w:rPr>
                <w:rFonts w:ascii="Arial Narrow" w:hAnsi="Arial Narrow"/>
                <w:bCs/>
                <w:i/>
                <w:iCs/>
                <w:sz w:val="20"/>
              </w:rPr>
            </w:pPr>
            <w:r w:rsidRPr="004F6878">
              <w:rPr>
                <w:rFonts w:ascii="Arial Narrow" w:hAnsi="Arial Narrow"/>
                <w:bCs/>
                <w:i/>
                <w:iCs/>
                <w:sz w:val="20"/>
              </w:rPr>
              <w:t>$</w:t>
            </w:r>
            <w:r w:rsidR="004F6878" w:rsidRPr="004F6878">
              <w:rPr>
                <w:rFonts w:ascii="Arial Narrow" w:hAnsi="Arial Narrow"/>
                <w:b/>
                <w:bCs/>
                <w:i/>
                <w:sz w:val="20"/>
              </w:rPr>
              <w:t>redacted</w:t>
            </w:r>
          </w:p>
        </w:tc>
        <w:tc>
          <w:tcPr>
            <w:tcW w:w="0" w:type="auto"/>
            <w:tcBorders>
              <w:top w:val="single" w:sz="4" w:space="0" w:color="auto"/>
              <w:left w:val="single" w:sz="4" w:space="0" w:color="auto"/>
              <w:bottom w:val="single" w:sz="4" w:space="0" w:color="auto"/>
              <w:right w:val="single" w:sz="4" w:space="0" w:color="auto"/>
            </w:tcBorders>
            <w:hideMark/>
          </w:tcPr>
          <w:p w14:paraId="6D95B52C" w14:textId="27B9C2AE" w:rsidR="00E06A2F" w:rsidRPr="002E6009" w:rsidRDefault="00E06A2F" w:rsidP="00E06A2F">
            <w:pPr>
              <w:jc w:val="right"/>
              <w:rPr>
                <w:rFonts w:ascii="Arial Narrow" w:hAnsi="Arial Narrow"/>
                <w:bCs/>
                <w:sz w:val="20"/>
              </w:rPr>
            </w:pPr>
            <w:r w:rsidRPr="002E6009">
              <w:rPr>
                <w:rFonts w:ascii="Arial Narrow" w:hAnsi="Arial Narrow"/>
                <w:bCs/>
                <w:sz w:val="20"/>
              </w:rPr>
              <w:t>$</w:t>
            </w:r>
            <w:r w:rsidR="004F6878" w:rsidRPr="004F6878">
              <w:rPr>
                <w:rFonts w:ascii="Arial Narrow" w:hAnsi="Arial Narrow"/>
                <w:b/>
                <w:bCs/>
                <w:sz w:val="20"/>
              </w:rPr>
              <w:t>redacted</w:t>
            </w:r>
          </w:p>
          <w:p w14:paraId="2354554B" w14:textId="1EDB5F6C" w:rsidR="00E06A2F" w:rsidRPr="000E64BC" w:rsidRDefault="00E06A2F" w:rsidP="00E06A2F">
            <w:pPr>
              <w:jc w:val="right"/>
              <w:rPr>
                <w:rFonts w:ascii="Arial Narrow" w:hAnsi="Arial Narrow"/>
                <w:bCs/>
                <w:i/>
                <w:iCs/>
                <w:sz w:val="20"/>
              </w:rPr>
            </w:pPr>
            <w:r w:rsidRPr="000E64BC">
              <w:rPr>
                <w:rFonts w:ascii="Arial Narrow" w:hAnsi="Arial Narrow"/>
                <w:bCs/>
                <w:i/>
                <w:iCs/>
                <w:sz w:val="20"/>
              </w:rPr>
              <w:t>$</w:t>
            </w:r>
            <w:r w:rsidR="004F6878" w:rsidRPr="004F6878">
              <w:rPr>
                <w:rFonts w:ascii="Arial Narrow" w:hAnsi="Arial Narrow"/>
                <w:b/>
                <w:bCs/>
                <w:i/>
                <w:sz w:val="20"/>
              </w:rPr>
              <w:t>redacted</w:t>
            </w:r>
          </w:p>
        </w:tc>
        <w:tc>
          <w:tcPr>
            <w:tcW w:w="1172" w:type="dxa"/>
            <w:tcBorders>
              <w:top w:val="single" w:sz="4" w:space="0" w:color="auto"/>
              <w:left w:val="single" w:sz="4" w:space="0" w:color="auto"/>
              <w:bottom w:val="single" w:sz="4" w:space="0" w:color="auto"/>
              <w:right w:val="single" w:sz="4" w:space="0" w:color="auto"/>
            </w:tcBorders>
            <w:hideMark/>
          </w:tcPr>
          <w:p w14:paraId="7558DEE8" w14:textId="7B052B62" w:rsidR="00E06A2F" w:rsidRPr="002E6009" w:rsidRDefault="00E06A2F" w:rsidP="00E06A2F">
            <w:pPr>
              <w:jc w:val="right"/>
              <w:rPr>
                <w:rFonts w:ascii="Arial Narrow" w:hAnsi="Arial Narrow"/>
                <w:bCs/>
                <w:sz w:val="20"/>
              </w:rPr>
            </w:pPr>
            <w:r w:rsidRPr="002E6009">
              <w:rPr>
                <w:rFonts w:ascii="Arial Narrow" w:hAnsi="Arial Narrow"/>
                <w:bCs/>
                <w:sz w:val="20"/>
              </w:rPr>
              <w:t>$</w:t>
            </w:r>
            <w:r w:rsidR="004F6878" w:rsidRPr="004F6878">
              <w:rPr>
                <w:rFonts w:ascii="Arial Narrow" w:hAnsi="Arial Narrow"/>
                <w:b/>
                <w:bCs/>
                <w:sz w:val="20"/>
              </w:rPr>
              <w:t>redacted</w:t>
            </w:r>
          </w:p>
          <w:p w14:paraId="6D6C611D" w14:textId="006B1344" w:rsidR="00E06A2F" w:rsidRPr="000E64BC" w:rsidRDefault="00E06A2F" w:rsidP="00E06A2F">
            <w:pPr>
              <w:jc w:val="right"/>
              <w:rPr>
                <w:rFonts w:ascii="Arial Narrow" w:hAnsi="Arial Narrow"/>
                <w:bCs/>
                <w:i/>
                <w:iCs/>
                <w:sz w:val="20"/>
              </w:rPr>
            </w:pPr>
            <w:r w:rsidRPr="000E64BC">
              <w:rPr>
                <w:rFonts w:ascii="Arial Narrow" w:hAnsi="Arial Narrow"/>
                <w:bCs/>
                <w:i/>
                <w:iCs/>
                <w:sz w:val="20"/>
              </w:rPr>
              <w:t>$</w:t>
            </w:r>
            <w:r w:rsidR="004F6878" w:rsidRPr="004F6878">
              <w:rPr>
                <w:rFonts w:ascii="Arial Narrow" w:hAnsi="Arial Narrow"/>
                <w:b/>
                <w:bCs/>
                <w:i/>
                <w:sz w:val="20"/>
              </w:rPr>
              <w:t>redacted</w:t>
            </w:r>
          </w:p>
        </w:tc>
        <w:tc>
          <w:tcPr>
            <w:tcW w:w="1560" w:type="dxa"/>
            <w:tcBorders>
              <w:top w:val="single" w:sz="4" w:space="0" w:color="auto"/>
              <w:left w:val="single" w:sz="4" w:space="0" w:color="auto"/>
              <w:bottom w:val="single" w:sz="4" w:space="0" w:color="auto"/>
              <w:right w:val="single" w:sz="4" w:space="0" w:color="auto"/>
            </w:tcBorders>
            <w:hideMark/>
          </w:tcPr>
          <w:p w14:paraId="71D69908" w14:textId="4F50DE68" w:rsidR="00E06A2F" w:rsidRPr="002E6009" w:rsidRDefault="00E06A2F" w:rsidP="00E06A2F">
            <w:pPr>
              <w:jc w:val="right"/>
              <w:rPr>
                <w:rFonts w:ascii="Arial Narrow" w:hAnsi="Arial Narrow"/>
                <w:bCs/>
                <w:sz w:val="20"/>
              </w:rPr>
            </w:pPr>
            <w:r w:rsidRPr="002E6009">
              <w:rPr>
                <w:rFonts w:ascii="Arial Narrow" w:hAnsi="Arial Narrow"/>
                <w:bCs/>
                <w:sz w:val="20"/>
              </w:rPr>
              <w:t>$</w:t>
            </w:r>
            <w:r w:rsidR="004F6878" w:rsidRPr="004F6878">
              <w:rPr>
                <w:rFonts w:ascii="Arial Narrow" w:hAnsi="Arial Narrow"/>
                <w:b/>
                <w:bCs/>
                <w:sz w:val="20"/>
              </w:rPr>
              <w:t>redacted</w:t>
            </w:r>
          </w:p>
          <w:p w14:paraId="50B9BFB7" w14:textId="23BE75F4" w:rsidR="00E06A2F" w:rsidRPr="000E64BC" w:rsidRDefault="00E06A2F" w:rsidP="00E06A2F">
            <w:pPr>
              <w:jc w:val="right"/>
              <w:rPr>
                <w:rFonts w:ascii="Arial Narrow" w:hAnsi="Arial Narrow"/>
                <w:bCs/>
                <w:i/>
                <w:iCs/>
                <w:sz w:val="20"/>
              </w:rPr>
            </w:pPr>
            <w:r w:rsidRPr="000E64BC">
              <w:rPr>
                <w:rFonts w:ascii="Arial Narrow" w:hAnsi="Arial Narrow"/>
                <w:bCs/>
                <w:i/>
                <w:iCs/>
                <w:sz w:val="20"/>
              </w:rPr>
              <w:t>$</w:t>
            </w:r>
            <w:r w:rsidR="004F6878" w:rsidRPr="004F6878">
              <w:rPr>
                <w:rFonts w:ascii="Arial Narrow" w:hAnsi="Arial Narrow"/>
                <w:b/>
                <w:bCs/>
                <w:i/>
                <w:sz w:val="20"/>
              </w:rPr>
              <w:t>redacted</w:t>
            </w:r>
          </w:p>
        </w:tc>
        <w:tc>
          <w:tcPr>
            <w:tcW w:w="1253" w:type="dxa"/>
            <w:tcBorders>
              <w:top w:val="single" w:sz="4" w:space="0" w:color="auto"/>
              <w:left w:val="single" w:sz="4" w:space="0" w:color="auto"/>
              <w:bottom w:val="single" w:sz="4" w:space="0" w:color="auto"/>
              <w:right w:val="single" w:sz="4" w:space="0" w:color="auto"/>
            </w:tcBorders>
            <w:hideMark/>
          </w:tcPr>
          <w:p w14:paraId="00FCBA68" w14:textId="2986EDAD" w:rsidR="00E06A2F" w:rsidRPr="002E6009" w:rsidRDefault="00E06A2F" w:rsidP="00E06A2F">
            <w:pPr>
              <w:jc w:val="right"/>
              <w:rPr>
                <w:rFonts w:ascii="Arial Narrow" w:hAnsi="Arial Narrow"/>
                <w:bCs/>
                <w:sz w:val="20"/>
              </w:rPr>
            </w:pPr>
            <w:r w:rsidRPr="002E6009">
              <w:rPr>
                <w:rFonts w:ascii="Arial Narrow" w:hAnsi="Arial Narrow"/>
                <w:bCs/>
                <w:sz w:val="20"/>
              </w:rPr>
              <w:t>$</w:t>
            </w:r>
            <w:r w:rsidR="004F6878" w:rsidRPr="004F6878">
              <w:rPr>
                <w:rFonts w:ascii="Arial Narrow" w:hAnsi="Arial Narrow"/>
                <w:b/>
                <w:bCs/>
                <w:sz w:val="20"/>
              </w:rPr>
              <w:t>redacted</w:t>
            </w:r>
          </w:p>
          <w:p w14:paraId="7A87E2F9" w14:textId="1BBEA288" w:rsidR="00E06A2F" w:rsidRPr="000E64BC" w:rsidRDefault="00E06A2F" w:rsidP="00E06A2F">
            <w:pPr>
              <w:jc w:val="right"/>
              <w:rPr>
                <w:rFonts w:ascii="Arial Narrow" w:hAnsi="Arial Narrow"/>
                <w:bCs/>
                <w:i/>
                <w:iCs/>
                <w:sz w:val="20"/>
              </w:rPr>
            </w:pPr>
            <w:r w:rsidRPr="000E64BC">
              <w:rPr>
                <w:rFonts w:ascii="Arial Narrow" w:hAnsi="Arial Narrow"/>
                <w:bCs/>
                <w:i/>
                <w:iCs/>
                <w:sz w:val="20"/>
              </w:rPr>
              <w:t>$</w:t>
            </w:r>
            <w:r w:rsidR="004F6878" w:rsidRPr="004F6878">
              <w:rPr>
                <w:rFonts w:ascii="Arial Narrow" w:hAnsi="Arial Narrow"/>
                <w:b/>
                <w:bCs/>
                <w:i/>
                <w:sz w:val="20"/>
              </w:rPr>
              <w:t>redacted</w:t>
            </w:r>
          </w:p>
        </w:tc>
      </w:tr>
      <w:tr w:rsidR="00E06A2F" w:rsidRPr="001F45A8" w14:paraId="56186C3E" w14:textId="77777777" w:rsidTr="00E06A2F">
        <w:trPr>
          <w:trHeight w:val="315"/>
        </w:trPr>
        <w:tc>
          <w:tcPr>
            <w:tcW w:w="2943" w:type="dxa"/>
            <w:tcBorders>
              <w:top w:val="single" w:sz="4" w:space="0" w:color="auto"/>
              <w:left w:val="single" w:sz="4" w:space="0" w:color="auto"/>
              <w:bottom w:val="single" w:sz="4" w:space="0" w:color="auto"/>
              <w:right w:val="single" w:sz="4" w:space="0" w:color="auto"/>
            </w:tcBorders>
            <w:hideMark/>
          </w:tcPr>
          <w:p w14:paraId="15F2140D" w14:textId="77777777" w:rsidR="00E06A2F" w:rsidRPr="001F45A8" w:rsidRDefault="00E06A2F" w:rsidP="00E06A2F">
            <w:pPr>
              <w:rPr>
                <w:rFonts w:ascii="Arial Narrow" w:hAnsi="Arial Narrow"/>
                <w:b/>
                <w:sz w:val="20"/>
              </w:rPr>
            </w:pPr>
            <w:r w:rsidRPr="001F45A8">
              <w:rPr>
                <w:rFonts w:ascii="Arial Narrow" w:hAnsi="Arial Narrow"/>
                <w:b/>
                <w:sz w:val="20"/>
              </w:rPr>
              <w:t>Total overall cost</w:t>
            </w:r>
          </w:p>
        </w:tc>
        <w:tc>
          <w:tcPr>
            <w:tcW w:w="1193" w:type="dxa"/>
            <w:tcBorders>
              <w:top w:val="single" w:sz="4" w:space="0" w:color="auto"/>
              <w:left w:val="single" w:sz="4" w:space="0" w:color="auto"/>
              <w:bottom w:val="single" w:sz="4" w:space="0" w:color="auto"/>
              <w:right w:val="single" w:sz="4" w:space="0" w:color="auto"/>
            </w:tcBorders>
            <w:vAlign w:val="bottom"/>
            <w:hideMark/>
          </w:tcPr>
          <w:p w14:paraId="02F7E4BC" w14:textId="7E00CD2C" w:rsidR="00E06A2F" w:rsidRPr="002E6009" w:rsidRDefault="00E06A2F" w:rsidP="00E06A2F">
            <w:pPr>
              <w:jc w:val="right"/>
              <w:rPr>
                <w:rFonts w:ascii="Arial Narrow" w:hAnsi="Arial Narrow"/>
                <w:bCs/>
                <w:i/>
                <w:iCs/>
                <w:sz w:val="20"/>
              </w:rPr>
            </w:pPr>
            <w:r w:rsidRPr="002E6009">
              <w:rPr>
                <w:rFonts w:ascii="Arial Narrow" w:hAnsi="Arial Narrow"/>
                <w:bCs/>
                <w:sz w:val="20"/>
              </w:rPr>
              <w:t>$</w:t>
            </w:r>
            <w:r w:rsidR="004F6878" w:rsidRPr="004F6878">
              <w:rPr>
                <w:rFonts w:ascii="Arial Narrow" w:hAnsi="Arial Narrow"/>
                <w:b/>
                <w:bCs/>
                <w:sz w:val="20"/>
              </w:rPr>
              <w:t>redacted</w:t>
            </w:r>
            <w:r w:rsidRPr="002E6009">
              <w:rPr>
                <w:rFonts w:ascii="Arial Narrow" w:hAnsi="Arial Narrow"/>
                <w:bCs/>
                <w:i/>
                <w:iCs/>
                <w:sz w:val="20"/>
              </w:rPr>
              <w:br/>
              <w:t>$</w:t>
            </w:r>
            <w:r w:rsidR="004F6878" w:rsidRPr="004F6878">
              <w:rPr>
                <w:rFonts w:ascii="Arial Narrow" w:hAnsi="Arial Narrow"/>
                <w:b/>
                <w:bCs/>
                <w:i/>
                <w:sz w:val="20"/>
              </w:rPr>
              <w:t>redacted</w:t>
            </w:r>
          </w:p>
        </w:tc>
        <w:tc>
          <w:tcPr>
            <w:tcW w:w="0" w:type="auto"/>
            <w:tcBorders>
              <w:top w:val="single" w:sz="4" w:space="0" w:color="auto"/>
              <w:left w:val="single" w:sz="4" w:space="0" w:color="auto"/>
              <w:bottom w:val="single" w:sz="4" w:space="0" w:color="auto"/>
              <w:right w:val="single" w:sz="4" w:space="0" w:color="auto"/>
            </w:tcBorders>
            <w:vAlign w:val="bottom"/>
            <w:hideMark/>
          </w:tcPr>
          <w:p w14:paraId="7B0EA1A3" w14:textId="3A18D8CE" w:rsidR="00E06A2F" w:rsidRPr="002E6009" w:rsidRDefault="00E06A2F" w:rsidP="00E06A2F">
            <w:pPr>
              <w:jc w:val="right"/>
              <w:rPr>
                <w:rFonts w:ascii="Arial Narrow" w:hAnsi="Arial Narrow"/>
                <w:bCs/>
                <w:i/>
                <w:iCs/>
                <w:sz w:val="20"/>
              </w:rPr>
            </w:pPr>
            <w:r w:rsidRPr="002E6009">
              <w:rPr>
                <w:rFonts w:ascii="Arial Narrow" w:hAnsi="Arial Narrow"/>
                <w:bCs/>
                <w:sz w:val="20"/>
              </w:rPr>
              <w:t>$</w:t>
            </w:r>
            <w:r w:rsidR="004F6878" w:rsidRPr="004F6878">
              <w:rPr>
                <w:rFonts w:ascii="Arial Narrow" w:hAnsi="Arial Narrow"/>
                <w:b/>
                <w:bCs/>
                <w:sz w:val="20"/>
              </w:rPr>
              <w:t>redacted</w:t>
            </w:r>
            <w:r w:rsidRPr="002E6009">
              <w:rPr>
                <w:rFonts w:ascii="Arial Narrow" w:hAnsi="Arial Narrow"/>
                <w:bCs/>
                <w:i/>
                <w:iCs/>
                <w:sz w:val="20"/>
              </w:rPr>
              <w:br/>
            </w:r>
            <w:r w:rsidRPr="000E64BC">
              <w:rPr>
                <w:rFonts w:ascii="Arial Narrow" w:hAnsi="Arial Narrow"/>
                <w:bCs/>
                <w:i/>
                <w:iCs/>
                <w:sz w:val="20"/>
              </w:rPr>
              <w:t>$</w:t>
            </w:r>
            <w:r w:rsidR="004F6878" w:rsidRPr="004F6878">
              <w:rPr>
                <w:rFonts w:ascii="Arial Narrow" w:hAnsi="Arial Narrow"/>
                <w:b/>
                <w:bCs/>
                <w:i/>
                <w:sz w:val="20"/>
              </w:rPr>
              <w:t>redacted</w:t>
            </w:r>
          </w:p>
        </w:tc>
        <w:tc>
          <w:tcPr>
            <w:tcW w:w="1172" w:type="dxa"/>
            <w:tcBorders>
              <w:top w:val="single" w:sz="4" w:space="0" w:color="auto"/>
              <w:left w:val="single" w:sz="4" w:space="0" w:color="auto"/>
              <w:bottom w:val="single" w:sz="4" w:space="0" w:color="auto"/>
              <w:right w:val="single" w:sz="4" w:space="0" w:color="auto"/>
            </w:tcBorders>
            <w:vAlign w:val="bottom"/>
            <w:hideMark/>
          </w:tcPr>
          <w:p w14:paraId="7B5BE3E6" w14:textId="2B06D04D" w:rsidR="00E06A2F" w:rsidRPr="002E6009" w:rsidRDefault="00E06A2F" w:rsidP="00E06A2F">
            <w:pPr>
              <w:jc w:val="right"/>
              <w:rPr>
                <w:rFonts w:ascii="Arial Narrow" w:hAnsi="Arial Narrow"/>
                <w:bCs/>
                <w:i/>
                <w:iCs/>
                <w:sz w:val="20"/>
              </w:rPr>
            </w:pPr>
            <w:r w:rsidRPr="002E6009">
              <w:rPr>
                <w:rFonts w:ascii="Arial Narrow" w:hAnsi="Arial Narrow"/>
                <w:bCs/>
                <w:sz w:val="20"/>
              </w:rPr>
              <w:t>$</w:t>
            </w:r>
            <w:r w:rsidR="004F6878" w:rsidRPr="004F6878">
              <w:rPr>
                <w:rFonts w:ascii="Arial Narrow" w:hAnsi="Arial Narrow"/>
                <w:b/>
                <w:bCs/>
                <w:sz w:val="20"/>
              </w:rPr>
              <w:t>redacted</w:t>
            </w:r>
            <w:r w:rsidRPr="002E6009">
              <w:rPr>
                <w:rFonts w:ascii="Arial Narrow" w:hAnsi="Arial Narrow"/>
                <w:bCs/>
                <w:i/>
                <w:iCs/>
                <w:sz w:val="20"/>
              </w:rPr>
              <w:br/>
            </w:r>
            <w:r w:rsidRPr="000E64BC">
              <w:rPr>
                <w:rFonts w:ascii="Arial Narrow" w:hAnsi="Arial Narrow"/>
                <w:bCs/>
                <w:i/>
                <w:iCs/>
                <w:sz w:val="20"/>
              </w:rPr>
              <w:t>$</w:t>
            </w:r>
            <w:r w:rsidR="004F6878" w:rsidRPr="004F6878">
              <w:rPr>
                <w:rFonts w:ascii="Arial Narrow" w:hAnsi="Arial Narrow"/>
                <w:b/>
                <w:bCs/>
                <w:i/>
                <w:sz w:val="20"/>
              </w:rPr>
              <w:t>redacted</w:t>
            </w:r>
          </w:p>
        </w:tc>
        <w:tc>
          <w:tcPr>
            <w:tcW w:w="1560" w:type="dxa"/>
            <w:tcBorders>
              <w:top w:val="single" w:sz="4" w:space="0" w:color="auto"/>
              <w:left w:val="single" w:sz="4" w:space="0" w:color="auto"/>
              <w:bottom w:val="single" w:sz="4" w:space="0" w:color="auto"/>
              <w:right w:val="single" w:sz="4" w:space="0" w:color="auto"/>
            </w:tcBorders>
            <w:vAlign w:val="bottom"/>
            <w:hideMark/>
          </w:tcPr>
          <w:p w14:paraId="0F42DEE0" w14:textId="0EAD1556" w:rsidR="00E06A2F" w:rsidRPr="002E6009" w:rsidRDefault="00E06A2F" w:rsidP="00E06A2F">
            <w:pPr>
              <w:jc w:val="right"/>
              <w:rPr>
                <w:rFonts w:ascii="Arial Narrow" w:hAnsi="Arial Narrow"/>
                <w:bCs/>
                <w:i/>
                <w:iCs/>
                <w:sz w:val="20"/>
              </w:rPr>
            </w:pPr>
            <w:r w:rsidRPr="002E6009">
              <w:rPr>
                <w:rFonts w:ascii="Arial Narrow" w:hAnsi="Arial Narrow"/>
                <w:bCs/>
                <w:sz w:val="20"/>
              </w:rPr>
              <w:t>$</w:t>
            </w:r>
            <w:r w:rsidR="004F6878" w:rsidRPr="004F6878">
              <w:rPr>
                <w:rFonts w:ascii="Arial Narrow" w:hAnsi="Arial Narrow"/>
                <w:b/>
                <w:bCs/>
                <w:sz w:val="20"/>
              </w:rPr>
              <w:t>redacted</w:t>
            </w:r>
            <w:r w:rsidRPr="002E6009">
              <w:rPr>
                <w:rFonts w:ascii="Arial Narrow" w:hAnsi="Arial Narrow"/>
                <w:bCs/>
                <w:i/>
                <w:iCs/>
                <w:sz w:val="20"/>
              </w:rPr>
              <w:br/>
            </w:r>
            <w:r w:rsidRPr="000E64BC">
              <w:rPr>
                <w:rFonts w:ascii="Arial Narrow" w:hAnsi="Arial Narrow"/>
                <w:bCs/>
                <w:i/>
                <w:iCs/>
                <w:sz w:val="20"/>
              </w:rPr>
              <w:t>$</w:t>
            </w:r>
            <w:r w:rsidR="004F6878" w:rsidRPr="004F6878">
              <w:rPr>
                <w:rFonts w:ascii="Arial Narrow" w:hAnsi="Arial Narrow"/>
                <w:b/>
                <w:bCs/>
                <w:i/>
                <w:sz w:val="20"/>
              </w:rPr>
              <w:t>redacted</w:t>
            </w:r>
          </w:p>
        </w:tc>
        <w:tc>
          <w:tcPr>
            <w:tcW w:w="1253" w:type="dxa"/>
            <w:tcBorders>
              <w:top w:val="single" w:sz="4" w:space="0" w:color="auto"/>
              <w:left w:val="single" w:sz="4" w:space="0" w:color="auto"/>
              <w:bottom w:val="single" w:sz="4" w:space="0" w:color="auto"/>
              <w:right w:val="single" w:sz="4" w:space="0" w:color="auto"/>
            </w:tcBorders>
            <w:vAlign w:val="bottom"/>
            <w:hideMark/>
          </w:tcPr>
          <w:p w14:paraId="136CF5A5" w14:textId="397BEC73" w:rsidR="00E06A2F" w:rsidRPr="002E6009" w:rsidRDefault="00E06A2F" w:rsidP="00E06A2F">
            <w:pPr>
              <w:jc w:val="right"/>
              <w:rPr>
                <w:rFonts w:ascii="Arial Narrow" w:hAnsi="Arial Narrow"/>
                <w:bCs/>
                <w:sz w:val="20"/>
              </w:rPr>
            </w:pPr>
            <w:r w:rsidRPr="002E6009">
              <w:rPr>
                <w:rFonts w:ascii="Arial Narrow" w:hAnsi="Arial Narrow"/>
                <w:bCs/>
                <w:sz w:val="20"/>
              </w:rPr>
              <w:t>$</w:t>
            </w:r>
            <w:r w:rsidR="004F6878" w:rsidRPr="004F6878">
              <w:rPr>
                <w:rFonts w:ascii="Arial Narrow" w:hAnsi="Arial Narrow"/>
                <w:b/>
                <w:bCs/>
                <w:sz w:val="20"/>
              </w:rPr>
              <w:t>redacted</w:t>
            </w:r>
            <w:r w:rsidRPr="002E6009">
              <w:rPr>
                <w:rFonts w:ascii="Arial Narrow" w:hAnsi="Arial Narrow"/>
                <w:bCs/>
                <w:sz w:val="20"/>
              </w:rPr>
              <w:br/>
            </w:r>
            <w:r w:rsidRPr="000E64BC">
              <w:rPr>
                <w:rFonts w:ascii="Arial Narrow" w:hAnsi="Arial Narrow"/>
                <w:bCs/>
                <w:i/>
                <w:iCs/>
                <w:sz w:val="20"/>
              </w:rPr>
              <w:t>$</w:t>
            </w:r>
            <w:r w:rsidR="004F6878" w:rsidRPr="004F6878">
              <w:rPr>
                <w:rFonts w:ascii="Arial Narrow" w:hAnsi="Arial Narrow"/>
                <w:b/>
                <w:bCs/>
                <w:i/>
                <w:sz w:val="20"/>
              </w:rPr>
              <w:t>redacted</w:t>
            </w:r>
          </w:p>
        </w:tc>
      </w:tr>
    </w:tbl>
    <w:p w14:paraId="01FD744C" w14:textId="77777777" w:rsidR="00E06A2F" w:rsidRPr="00501BDF" w:rsidRDefault="00E06A2F" w:rsidP="00E06A2F">
      <w:pPr>
        <w:pStyle w:val="Tablenotes1"/>
        <w:rPr>
          <w:i/>
        </w:rPr>
      </w:pPr>
      <w:r w:rsidRPr="00E06A2F">
        <w:rPr>
          <w:i/>
        </w:rPr>
        <w:t>MBS=Medicare Benefits Schedule; Negative costs = savings. Negative services = reduced utilizatio</w:t>
      </w:r>
      <w:r w:rsidR="00501BDF">
        <w:rPr>
          <w:i/>
        </w:rPr>
        <w:t>n</w:t>
      </w:r>
      <w:proofErr w:type="gramStart"/>
      <w:r w:rsidR="00501BDF">
        <w:rPr>
          <w:i/>
        </w:rPr>
        <w:t>;</w:t>
      </w:r>
      <w:proofErr w:type="gramEnd"/>
      <w:r w:rsidR="00501BDF">
        <w:rPr>
          <w:i/>
        </w:rPr>
        <w:t xml:space="preserve"> PHI=private health insurance</w:t>
      </w:r>
      <w:r w:rsidRPr="001F45A8">
        <w:br/>
        <w:t xml:space="preserve">The ADAR applied the cost of revision surgeries to ‘Total hospital costs’ using a public AR-DRG-I16Z. The recalculated values apply a private payer AR-DRG- I16Z (as a cost to PHI) and MBS items 17610, 23045 and 48960 as costs to MBS.  </w:t>
      </w:r>
      <w:r w:rsidRPr="001F45A8">
        <w:br/>
        <w:t>Number of services of REGENETEN reflect the expected uptake of REGENETEN and the ‘Estimated change in services’ reflects changes in revision surgeries, based on the revision surgery rate specified in Table 78 pp155-156 in the ADAR</w:t>
      </w:r>
    </w:p>
    <w:p w14:paraId="73633F0E" w14:textId="77777777" w:rsidR="00645E8A" w:rsidRDefault="00E06A2F" w:rsidP="00645E8A">
      <w:pPr>
        <w:pStyle w:val="Tablenotes1"/>
      </w:pPr>
      <w:r>
        <w:t xml:space="preserve">Source: </w:t>
      </w:r>
      <w:r w:rsidR="00645E8A">
        <w:t xml:space="preserve">Table 15, </w:t>
      </w:r>
      <w:proofErr w:type="spellStart"/>
      <w:r w:rsidR="00645E8A">
        <w:t>pxv</w:t>
      </w:r>
      <w:proofErr w:type="spellEnd"/>
      <w:r w:rsidR="00645E8A">
        <w:t xml:space="preserve"> of the Commentary</w:t>
      </w:r>
    </w:p>
    <w:p w14:paraId="0F25BD2E" w14:textId="21EA3548" w:rsidR="004D7CD2" w:rsidRPr="004D7CD2" w:rsidRDefault="00E858B9" w:rsidP="004D7CD2">
      <w:pPr>
        <w:rPr>
          <w:rFonts w:ascii="Arial Narrow" w:hAnsi="Arial Narrow"/>
          <w:b/>
          <w:sz w:val="20"/>
        </w:rPr>
      </w:pPr>
      <w:r>
        <w:t>As per ESC advice, t</w:t>
      </w:r>
      <w:r w:rsidR="00E06A2F">
        <w:t xml:space="preserve">he </w:t>
      </w:r>
      <w:r>
        <w:t xml:space="preserve">ADARs </w:t>
      </w:r>
      <w:r w:rsidR="00E06A2F">
        <w:t>financ</w:t>
      </w:r>
      <w:r w:rsidR="002808C4">
        <w:t xml:space="preserve">ial estimates </w:t>
      </w:r>
      <w:r w:rsidR="002808C4" w:rsidRPr="006B7E20">
        <w:rPr>
          <w:szCs w:val="24"/>
        </w:rPr>
        <w:t xml:space="preserve">informing </w:t>
      </w:r>
      <w:r w:rsidR="002808C4" w:rsidRPr="006B7E20">
        <w:rPr>
          <w:szCs w:val="24"/>
        </w:rPr>
        <w:fldChar w:fldCharType="begin"/>
      </w:r>
      <w:r w:rsidR="002808C4" w:rsidRPr="006B7E20">
        <w:rPr>
          <w:szCs w:val="24"/>
        </w:rPr>
        <w:instrText xml:space="preserve"> REF _Ref404372077 \h </w:instrText>
      </w:r>
      <w:r w:rsidR="002808C4" w:rsidRPr="006B7E20">
        <w:rPr>
          <w:szCs w:val="24"/>
        </w:rPr>
      </w:r>
      <w:r w:rsidR="006B7E20" w:rsidRPr="006B7E20">
        <w:rPr>
          <w:szCs w:val="24"/>
        </w:rPr>
        <w:instrText xml:space="preserve"> \* MERGEFORMAT </w:instrText>
      </w:r>
      <w:r w:rsidR="002808C4" w:rsidRPr="006B7E20">
        <w:rPr>
          <w:szCs w:val="24"/>
        </w:rPr>
        <w:fldChar w:fldCharType="separate"/>
      </w:r>
      <w:r w:rsidR="00455942" w:rsidRPr="00455942">
        <w:rPr>
          <w:szCs w:val="24"/>
        </w:rPr>
        <w:t xml:space="preserve">Table </w:t>
      </w:r>
      <w:r w:rsidR="00455942" w:rsidRPr="00455942">
        <w:rPr>
          <w:noProof/>
          <w:szCs w:val="24"/>
        </w:rPr>
        <w:t>13</w:t>
      </w:r>
      <w:r w:rsidR="002808C4" w:rsidRPr="006B7E20">
        <w:rPr>
          <w:szCs w:val="24"/>
        </w:rPr>
        <w:fldChar w:fldCharType="end"/>
      </w:r>
      <w:r w:rsidR="002808C4" w:rsidRPr="006B7E20">
        <w:rPr>
          <w:szCs w:val="24"/>
        </w:rPr>
        <w:t xml:space="preserve"> </w:t>
      </w:r>
      <w:proofErr w:type="gramStart"/>
      <w:r w:rsidR="00E06A2F" w:rsidRPr="006B7E20">
        <w:rPr>
          <w:szCs w:val="24"/>
        </w:rPr>
        <w:t xml:space="preserve">have </w:t>
      </w:r>
      <w:r w:rsidRPr="006B7E20">
        <w:rPr>
          <w:szCs w:val="24"/>
        </w:rPr>
        <w:t xml:space="preserve">also </w:t>
      </w:r>
      <w:r w:rsidR="00E06A2F" w:rsidRPr="006B7E20">
        <w:rPr>
          <w:szCs w:val="24"/>
        </w:rPr>
        <w:t xml:space="preserve">been </w:t>
      </w:r>
      <w:r w:rsidRPr="006B7E20">
        <w:rPr>
          <w:szCs w:val="24"/>
        </w:rPr>
        <w:t>presented</w:t>
      </w:r>
      <w:proofErr w:type="gramEnd"/>
      <w:r w:rsidRPr="006B7E20">
        <w:rPr>
          <w:szCs w:val="24"/>
        </w:rPr>
        <w:t xml:space="preserve"> </w:t>
      </w:r>
      <w:r w:rsidR="00E06A2F" w:rsidRPr="006B7E20">
        <w:rPr>
          <w:szCs w:val="24"/>
        </w:rPr>
        <w:t>separately for each subpo</w:t>
      </w:r>
      <w:r w:rsidR="004D7CD2">
        <w:rPr>
          <w:szCs w:val="24"/>
        </w:rPr>
        <w:t>pulation below (subpopulation 1: Table 14;</w:t>
      </w:r>
      <w:r w:rsidR="002808C4" w:rsidRPr="006B7E20">
        <w:rPr>
          <w:szCs w:val="24"/>
        </w:rPr>
        <w:t xml:space="preserve"> subpopulation</w:t>
      </w:r>
      <w:r w:rsidR="004D7CD2">
        <w:rPr>
          <w:szCs w:val="24"/>
        </w:rPr>
        <w:t> </w:t>
      </w:r>
      <w:r w:rsidR="002808C4" w:rsidRPr="006B7E20">
        <w:rPr>
          <w:szCs w:val="24"/>
        </w:rPr>
        <w:t xml:space="preserve">2; </w:t>
      </w:r>
      <w:bookmarkStart w:id="37" w:name="_Ref49847539"/>
      <w:r w:rsidR="004D7CD2">
        <w:rPr>
          <w:szCs w:val="24"/>
        </w:rPr>
        <w:t>Table 15).</w:t>
      </w:r>
    </w:p>
    <w:p w14:paraId="68532092" w14:textId="205CDED7" w:rsidR="002808C4" w:rsidRPr="006B7E20" w:rsidRDefault="002808C4">
      <w:pPr>
        <w:rPr>
          <w:szCs w:val="24"/>
        </w:rPr>
      </w:pPr>
      <w:r w:rsidRPr="006B7E20">
        <w:rPr>
          <w:szCs w:val="24"/>
        </w:rPr>
        <w:br w:type="page"/>
      </w:r>
    </w:p>
    <w:p w14:paraId="0AA7A614" w14:textId="60E87308" w:rsidR="00E06A2F" w:rsidRPr="00D32FC9" w:rsidRDefault="002808C4" w:rsidP="00D32FC9">
      <w:pPr>
        <w:rPr>
          <w:rFonts w:ascii="Arial Narrow" w:hAnsi="Arial Narrow"/>
          <w:b/>
          <w:sz w:val="20"/>
        </w:rPr>
      </w:pPr>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14</w:t>
      </w:r>
      <w:r w:rsidR="00F62D1A" w:rsidRPr="00D32FC9">
        <w:rPr>
          <w:rFonts w:ascii="Arial Narrow" w:hAnsi="Arial Narrow"/>
          <w:b/>
          <w:sz w:val="20"/>
        </w:rPr>
        <w:fldChar w:fldCharType="end"/>
      </w:r>
      <w:bookmarkEnd w:id="37"/>
      <w:r w:rsidR="00E06A2F" w:rsidRPr="00D32FC9">
        <w:rPr>
          <w:rFonts w:ascii="Arial Narrow" w:hAnsi="Arial Narrow"/>
          <w:b/>
          <w:sz w:val="20"/>
        </w:rPr>
        <w:t xml:space="preserve"> </w:t>
      </w:r>
      <w:r w:rsidR="00E06A2F" w:rsidRPr="00D32FC9">
        <w:rPr>
          <w:rFonts w:ascii="Arial Narrow" w:hAnsi="Arial Narrow"/>
          <w:b/>
          <w:sz w:val="20"/>
        </w:rPr>
        <w:tab/>
        <w:t>Total costs to the MBS associated with REGENETEN from ADAR- subpopulation 1 (PTRCT; 71%)</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2958"/>
        <w:gridCol w:w="1199"/>
        <w:gridCol w:w="996"/>
        <w:gridCol w:w="1178"/>
        <w:gridCol w:w="1568"/>
        <w:gridCol w:w="1259"/>
      </w:tblGrid>
      <w:tr w:rsidR="00E06A2F" w:rsidRPr="001F45A8" w14:paraId="05856A1F" w14:textId="77777777" w:rsidTr="00E06A2F">
        <w:trPr>
          <w:trHeight w:val="300"/>
          <w:tblHeader/>
        </w:trPr>
        <w:tc>
          <w:tcPr>
            <w:tcW w:w="2943" w:type="dxa"/>
            <w:tcBorders>
              <w:top w:val="single" w:sz="4" w:space="0" w:color="auto"/>
              <w:left w:val="single" w:sz="4" w:space="0" w:color="auto"/>
              <w:bottom w:val="single" w:sz="4" w:space="0" w:color="auto"/>
              <w:right w:val="single" w:sz="4" w:space="0" w:color="auto"/>
            </w:tcBorders>
            <w:vAlign w:val="center"/>
            <w:hideMark/>
          </w:tcPr>
          <w:p w14:paraId="5C9AF8A6" w14:textId="77777777" w:rsidR="00E06A2F" w:rsidRPr="001F45A8" w:rsidRDefault="00E06A2F" w:rsidP="00C95A27">
            <w:pPr>
              <w:pStyle w:val="TableHeading"/>
              <w:spacing w:before="0" w:after="0"/>
            </w:pPr>
            <w:r w:rsidRPr="001F45A8">
              <w:t>-</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041D8AA" w14:textId="77777777" w:rsidR="00E06A2F" w:rsidRPr="001F45A8" w:rsidRDefault="00E06A2F" w:rsidP="00C95A27">
            <w:pPr>
              <w:pStyle w:val="TableHeading"/>
              <w:spacing w:before="0" w:after="0"/>
              <w:jc w:val="center"/>
            </w:pPr>
            <w:r w:rsidRPr="001F45A8">
              <w:t>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1BBDD" w14:textId="77777777" w:rsidR="00E06A2F" w:rsidRPr="001F45A8" w:rsidRDefault="00E06A2F" w:rsidP="00C95A27">
            <w:pPr>
              <w:pStyle w:val="TableHeading"/>
              <w:spacing w:before="0" w:after="0"/>
              <w:jc w:val="center"/>
            </w:pPr>
            <w:r w:rsidRPr="001F45A8">
              <w:t>2021</w:t>
            </w:r>
          </w:p>
        </w:tc>
        <w:tc>
          <w:tcPr>
            <w:tcW w:w="1172" w:type="dxa"/>
            <w:tcBorders>
              <w:top w:val="single" w:sz="4" w:space="0" w:color="auto"/>
              <w:left w:val="single" w:sz="4" w:space="0" w:color="auto"/>
              <w:bottom w:val="single" w:sz="4" w:space="0" w:color="auto"/>
              <w:right w:val="single" w:sz="4" w:space="0" w:color="auto"/>
            </w:tcBorders>
            <w:vAlign w:val="center"/>
            <w:hideMark/>
          </w:tcPr>
          <w:p w14:paraId="5E30D969" w14:textId="77777777" w:rsidR="00E06A2F" w:rsidRPr="001F45A8" w:rsidRDefault="00E06A2F" w:rsidP="00C95A27">
            <w:pPr>
              <w:pStyle w:val="TableHeading"/>
              <w:spacing w:before="0" w:after="0"/>
              <w:jc w:val="center"/>
            </w:pPr>
            <w:r w:rsidRPr="001F45A8">
              <w:t>2022</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117FF7" w14:textId="77777777" w:rsidR="00E06A2F" w:rsidRPr="001F45A8" w:rsidRDefault="00E06A2F" w:rsidP="00C95A27">
            <w:pPr>
              <w:pStyle w:val="TableHeading"/>
              <w:spacing w:before="0" w:after="0"/>
              <w:jc w:val="center"/>
            </w:pPr>
            <w:r w:rsidRPr="001F45A8">
              <w:t>2023</w:t>
            </w:r>
          </w:p>
        </w:tc>
        <w:tc>
          <w:tcPr>
            <w:tcW w:w="1253" w:type="dxa"/>
            <w:tcBorders>
              <w:top w:val="single" w:sz="4" w:space="0" w:color="auto"/>
              <w:left w:val="single" w:sz="4" w:space="0" w:color="auto"/>
              <w:bottom w:val="single" w:sz="4" w:space="0" w:color="auto"/>
              <w:right w:val="single" w:sz="4" w:space="0" w:color="auto"/>
            </w:tcBorders>
            <w:vAlign w:val="center"/>
            <w:hideMark/>
          </w:tcPr>
          <w:p w14:paraId="2166F302" w14:textId="77777777" w:rsidR="00E06A2F" w:rsidRPr="001F45A8" w:rsidRDefault="00E06A2F" w:rsidP="00C95A27">
            <w:pPr>
              <w:pStyle w:val="TableHeading"/>
              <w:spacing w:before="0" w:after="0"/>
              <w:jc w:val="center"/>
            </w:pPr>
            <w:r w:rsidRPr="001F45A8">
              <w:t>2024</w:t>
            </w:r>
          </w:p>
        </w:tc>
      </w:tr>
      <w:tr w:rsidR="00E06A2F" w:rsidRPr="001F45A8" w14:paraId="05F9773F" w14:textId="77777777" w:rsidTr="00E06A2F">
        <w:trPr>
          <w:cantSplit/>
          <w:trHeight w:val="300"/>
        </w:trPr>
        <w:tc>
          <w:tcPr>
            <w:tcW w:w="2943" w:type="dxa"/>
            <w:tcBorders>
              <w:top w:val="single" w:sz="4" w:space="0" w:color="auto"/>
              <w:left w:val="single" w:sz="4" w:space="0" w:color="auto"/>
              <w:bottom w:val="single" w:sz="4" w:space="0" w:color="auto"/>
              <w:right w:val="nil"/>
            </w:tcBorders>
            <w:hideMark/>
          </w:tcPr>
          <w:p w14:paraId="6A44EB4B" w14:textId="77777777" w:rsidR="00E06A2F" w:rsidRPr="001F45A8" w:rsidRDefault="00E06A2F" w:rsidP="00C95A27">
            <w:pPr>
              <w:rPr>
                <w:rFonts w:ascii="Arial Narrow" w:hAnsi="Arial Narrow"/>
                <w:b/>
                <w:sz w:val="20"/>
              </w:rPr>
            </w:pPr>
            <w:r w:rsidRPr="001F45A8">
              <w:rPr>
                <w:rFonts w:ascii="Arial Narrow" w:hAnsi="Arial Narrow"/>
                <w:b/>
                <w:sz w:val="20"/>
              </w:rPr>
              <w:t>REGENETEN</w:t>
            </w:r>
          </w:p>
        </w:tc>
        <w:tc>
          <w:tcPr>
            <w:tcW w:w="1193" w:type="dxa"/>
            <w:tcBorders>
              <w:top w:val="single" w:sz="4" w:space="0" w:color="auto"/>
              <w:left w:val="nil"/>
              <w:bottom w:val="single" w:sz="4" w:space="0" w:color="auto"/>
              <w:right w:val="nil"/>
            </w:tcBorders>
            <w:hideMark/>
          </w:tcPr>
          <w:p w14:paraId="710399C0"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c>
          <w:tcPr>
            <w:tcW w:w="0" w:type="auto"/>
            <w:tcBorders>
              <w:top w:val="single" w:sz="4" w:space="0" w:color="auto"/>
              <w:left w:val="nil"/>
              <w:bottom w:val="single" w:sz="4" w:space="0" w:color="auto"/>
              <w:right w:val="nil"/>
            </w:tcBorders>
            <w:hideMark/>
          </w:tcPr>
          <w:p w14:paraId="322E3E1B"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c>
          <w:tcPr>
            <w:tcW w:w="1172" w:type="dxa"/>
            <w:tcBorders>
              <w:top w:val="single" w:sz="4" w:space="0" w:color="auto"/>
              <w:left w:val="nil"/>
              <w:bottom w:val="single" w:sz="4" w:space="0" w:color="auto"/>
              <w:right w:val="nil"/>
            </w:tcBorders>
            <w:hideMark/>
          </w:tcPr>
          <w:p w14:paraId="33116641"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c>
          <w:tcPr>
            <w:tcW w:w="1560" w:type="dxa"/>
            <w:tcBorders>
              <w:top w:val="single" w:sz="4" w:space="0" w:color="auto"/>
              <w:left w:val="nil"/>
              <w:bottom w:val="single" w:sz="4" w:space="0" w:color="auto"/>
              <w:right w:val="nil"/>
            </w:tcBorders>
            <w:hideMark/>
          </w:tcPr>
          <w:p w14:paraId="3D8C9A4A"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c>
          <w:tcPr>
            <w:tcW w:w="1253" w:type="dxa"/>
            <w:tcBorders>
              <w:top w:val="single" w:sz="4" w:space="0" w:color="auto"/>
              <w:left w:val="nil"/>
              <w:bottom w:val="single" w:sz="4" w:space="0" w:color="auto"/>
              <w:right w:val="single" w:sz="4" w:space="0" w:color="auto"/>
            </w:tcBorders>
            <w:hideMark/>
          </w:tcPr>
          <w:p w14:paraId="5607D815"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r>
      <w:tr w:rsidR="004F6878" w:rsidRPr="001F45A8" w14:paraId="6615FBA1" w14:textId="77777777" w:rsidTr="004F6878">
        <w:trPr>
          <w:cantSplit/>
          <w:trHeight w:val="300"/>
        </w:trPr>
        <w:tc>
          <w:tcPr>
            <w:tcW w:w="2943" w:type="dxa"/>
            <w:tcBorders>
              <w:top w:val="single" w:sz="4" w:space="0" w:color="auto"/>
              <w:left w:val="single" w:sz="4" w:space="0" w:color="auto"/>
              <w:bottom w:val="single" w:sz="4" w:space="0" w:color="auto"/>
              <w:right w:val="single" w:sz="4" w:space="0" w:color="auto"/>
            </w:tcBorders>
            <w:hideMark/>
          </w:tcPr>
          <w:p w14:paraId="4E6068A7" w14:textId="77777777" w:rsidR="004F6878" w:rsidRPr="001F45A8" w:rsidRDefault="004F6878" w:rsidP="00C95A27">
            <w:pPr>
              <w:rPr>
                <w:rFonts w:ascii="Arial Narrow" w:hAnsi="Arial Narrow"/>
                <w:sz w:val="20"/>
              </w:rPr>
            </w:pPr>
            <w:r w:rsidRPr="001F45A8">
              <w:rPr>
                <w:rFonts w:ascii="Arial Narrow" w:hAnsi="Arial Narrow"/>
                <w:sz w:val="20"/>
              </w:rPr>
              <w:t>Number of services</w:t>
            </w:r>
          </w:p>
        </w:tc>
        <w:tc>
          <w:tcPr>
            <w:tcW w:w="1193" w:type="dxa"/>
            <w:tcBorders>
              <w:top w:val="single" w:sz="4" w:space="0" w:color="auto"/>
              <w:left w:val="single" w:sz="4" w:space="0" w:color="auto"/>
              <w:bottom w:val="single" w:sz="4" w:space="0" w:color="auto"/>
              <w:right w:val="single" w:sz="4" w:space="0" w:color="auto"/>
            </w:tcBorders>
            <w:hideMark/>
          </w:tcPr>
          <w:p w14:paraId="639BB46B" w14:textId="0AA77A29" w:rsidR="004F6878" w:rsidRPr="00FF3B1A" w:rsidRDefault="004F6878" w:rsidP="00C95A27">
            <w:pPr>
              <w:pStyle w:val="Tabletext"/>
              <w:spacing w:before="0" w:after="0"/>
              <w:jc w:val="center"/>
            </w:pPr>
            <w:r w:rsidRPr="003F735A">
              <w:rPr>
                <w:b/>
              </w:rPr>
              <w:t>redacted</w:t>
            </w:r>
          </w:p>
        </w:tc>
        <w:tc>
          <w:tcPr>
            <w:tcW w:w="0" w:type="auto"/>
            <w:tcBorders>
              <w:top w:val="single" w:sz="4" w:space="0" w:color="auto"/>
              <w:left w:val="single" w:sz="4" w:space="0" w:color="auto"/>
              <w:bottom w:val="single" w:sz="4" w:space="0" w:color="auto"/>
              <w:right w:val="single" w:sz="4" w:space="0" w:color="auto"/>
            </w:tcBorders>
            <w:hideMark/>
          </w:tcPr>
          <w:p w14:paraId="67656055" w14:textId="064CFD73" w:rsidR="004F6878" w:rsidRPr="00FF3B1A" w:rsidRDefault="004F6878" w:rsidP="00C95A27">
            <w:pPr>
              <w:pStyle w:val="Tabletext"/>
              <w:spacing w:before="0" w:after="0"/>
              <w:jc w:val="center"/>
            </w:pPr>
            <w:r w:rsidRPr="003F735A">
              <w:rPr>
                <w:b/>
              </w:rPr>
              <w:t>redacted</w:t>
            </w:r>
          </w:p>
        </w:tc>
        <w:tc>
          <w:tcPr>
            <w:tcW w:w="1172" w:type="dxa"/>
            <w:tcBorders>
              <w:top w:val="single" w:sz="4" w:space="0" w:color="auto"/>
              <w:left w:val="single" w:sz="4" w:space="0" w:color="auto"/>
              <w:bottom w:val="single" w:sz="4" w:space="0" w:color="auto"/>
              <w:right w:val="single" w:sz="4" w:space="0" w:color="auto"/>
            </w:tcBorders>
            <w:hideMark/>
          </w:tcPr>
          <w:p w14:paraId="372D998F" w14:textId="7BC30163" w:rsidR="004F6878" w:rsidRPr="00FF3B1A" w:rsidRDefault="004F6878" w:rsidP="00C95A27">
            <w:pPr>
              <w:pStyle w:val="Tabletext"/>
              <w:spacing w:before="0" w:after="0"/>
              <w:jc w:val="center"/>
            </w:pPr>
            <w:r w:rsidRPr="003F735A">
              <w:rPr>
                <w:b/>
              </w:rPr>
              <w:t>redacted</w:t>
            </w:r>
          </w:p>
        </w:tc>
        <w:tc>
          <w:tcPr>
            <w:tcW w:w="1560" w:type="dxa"/>
            <w:tcBorders>
              <w:top w:val="single" w:sz="4" w:space="0" w:color="auto"/>
              <w:left w:val="single" w:sz="4" w:space="0" w:color="auto"/>
              <w:bottom w:val="single" w:sz="4" w:space="0" w:color="auto"/>
              <w:right w:val="single" w:sz="4" w:space="0" w:color="auto"/>
            </w:tcBorders>
            <w:hideMark/>
          </w:tcPr>
          <w:p w14:paraId="6B68E660" w14:textId="2FFF9ABD" w:rsidR="004F6878" w:rsidRPr="00FF3B1A" w:rsidRDefault="004F6878" w:rsidP="00C95A27">
            <w:pPr>
              <w:pStyle w:val="Tabletext"/>
              <w:spacing w:before="0" w:after="0"/>
              <w:jc w:val="center"/>
            </w:pPr>
            <w:r w:rsidRPr="003F735A">
              <w:rPr>
                <w:b/>
              </w:rPr>
              <w:t>redacted</w:t>
            </w:r>
          </w:p>
        </w:tc>
        <w:tc>
          <w:tcPr>
            <w:tcW w:w="1253" w:type="dxa"/>
            <w:tcBorders>
              <w:top w:val="single" w:sz="4" w:space="0" w:color="auto"/>
              <w:left w:val="single" w:sz="4" w:space="0" w:color="auto"/>
              <w:bottom w:val="single" w:sz="4" w:space="0" w:color="auto"/>
              <w:right w:val="single" w:sz="4" w:space="0" w:color="auto"/>
            </w:tcBorders>
            <w:hideMark/>
          </w:tcPr>
          <w:p w14:paraId="325AF281" w14:textId="7116C74E" w:rsidR="004F6878" w:rsidRPr="00FF3B1A" w:rsidRDefault="004F6878" w:rsidP="00C95A27">
            <w:pPr>
              <w:pStyle w:val="Tabletext"/>
              <w:spacing w:before="0" w:after="0"/>
              <w:jc w:val="center"/>
            </w:pPr>
            <w:r w:rsidRPr="003F735A">
              <w:rPr>
                <w:b/>
              </w:rPr>
              <w:t>redacted</w:t>
            </w:r>
          </w:p>
        </w:tc>
      </w:tr>
      <w:tr w:rsidR="00E06A2F" w:rsidRPr="001F45A8" w14:paraId="7C3E815F" w14:textId="77777777" w:rsidTr="00E06A2F">
        <w:trPr>
          <w:cantSplit/>
          <w:trHeight w:val="315"/>
        </w:trPr>
        <w:tc>
          <w:tcPr>
            <w:tcW w:w="2943" w:type="dxa"/>
            <w:tcBorders>
              <w:top w:val="single" w:sz="4" w:space="0" w:color="auto"/>
              <w:left w:val="single" w:sz="4" w:space="0" w:color="auto"/>
              <w:bottom w:val="single" w:sz="4" w:space="0" w:color="auto"/>
              <w:right w:val="single" w:sz="4" w:space="0" w:color="auto"/>
            </w:tcBorders>
            <w:hideMark/>
          </w:tcPr>
          <w:p w14:paraId="7463353D" w14:textId="77777777" w:rsidR="00E06A2F" w:rsidRPr="001F45A8" w:rsidRDefault="00E06A2F" w:rsidP="00C95A27">
            <w:pPr>
              <w:rPr>
                <w:rFonts w:ascii="Arial Narrow" w:hAnsi="Arial Narrow"/>
                <w:sz w:val="20"/>
              </w:rPr>
            </w:pPr>
            <w:r w:rsidRPr="001F45A8">
              <w:rPr>
                <w:rFonts w:ascii="Arial Narrow" w:hAnsi="Arial Narrow"/>
                <w:sz w:val="20"/>
              </w:rPr>
              <w:t>Sub-total direct cost to MBS</w:t>
            </w:r>
          </w:p>
        </w:tc>
        <w:tc>
          <w:tcPr>
            <w:tcW w:w="1193" w:type="dxa"/>
            <w:tcBorders>
              <w:top w:val="single" w:sz="4" w:space="0" w:color="auto"/>
              <w:left w:val="single" w:sz="4" w:space="0" w:color="auto"/>
              <w:bottom w:val="single" w:sz="4" w:space="0" w:color="auto"/>
              <w:right w:val="single" w:sz="4" w:space="0" w:color="auto"/>
            </w:tcBorders>
            <w:hideMark/>
          </w:tcPr>
          <w:p w14:paraId="1CFE58A1"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c>
          <w:tcPr>
            <w:tcW w:w="0" w:type="auto"/>
            <w:tcBorders>
              <w:top w:val="single" w:sz="4" w:space="0" w:color="auto"/>
              <w:left w:val="single" w:sz="4" w:space="0" w:color="auto"/>
              <w:bottom w:val="single" w:sz="4" w:space="0" w:color="auto"/>
              <w:right w:val="single" w:sz="4" w:space="0" w:color="auto"/>
            </w:tcBorders>
            <w:hideMark/>
          </w:tcPr>
          <w:p w14:paraId="649AC884"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c>
          <w:tcPr>
            <w:tcW w:w="1172" w:type="dxa"/>
            <w:tcBorders>
              <w:top w:val="single" w:sz="4" w:space="0" w:color="auto"/>
              <w:left w:val="single" w:sz="4" w:space="0" w:color="auto"/>
              <w:bottom w:val="single" w:sz="4" w:space="0" w:color="auto"/>
              <w:right w:val="single" w:sz="4" w:space="0" w:color="auto"/>
            </w:tcBorders>
            <w:hideMark/>
          </w:tcPr>
          <w:p w14:paraId="210B5A5A"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c>
          <w:tcPr>
            <w:tcW w:w="1560" w:type="dxa"/>
            <w:tcBorders>
              <w:top w:val="single" w:sz="4" w:space="0" w:color="auto"/>
              <w:left w:val="single" w:sz="4" w:space="0" w:color="auto"/>
              <w:bottom w:val="single" w:sz="4" w:space="0" w:color="auto"/>
              <w:right w:val="single" w:sz="4" w:space="0" w:color="auto"/>
            </w:tcBorders>
            <w:hideMark/>
          </w:tcPr>
          <w:p w14:paraId="4B9605D6"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c>
          <w:tcPr>
            <w:tcW w:w="1253" w:type="dxa"/>
            <w:tcBorders>
              <w:top w:val="single" w:sz="4" w:space="0" w:color="auto"/>
              <w:left w:val="single" w:sz="4" w:space="0" w:color="auto"/>
              <w:bottom w:val="single" w:sz="4" w:space="0" w:color="auto"/>
              <w:right w:val="single" w:sz="4" w:space="0" w:color="auto"/>
            </w:tcBorders>
            <w:hideMark/>
          </w:tcPr>
          <w:p w14:paraId="556AC619"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r>
      <w:tr w:rsidR="00E06A2F" w:rsidRPr="001F45A8" w14:paraId="72421C42" w14:textId="77777777" w:rsidTr="00E06A2F">
        <w:trPr>
          <w:cantSplit/>
          <w:trHeight w:val="95"/>
        </w:trPr>
        <w:tc>
          <w:tcPr>
            <w:tcW w:w="9158" w:type="dxa"/>
            <w:gridSpan w:val="6"/>
            <w:tcBorders>
              <w:top w:val="single" w:sz="4" w:space="0" w:color="auto"/>
              <w:left w:val="single" w:sz="4" w:space="0" w:color="auto"/>
              <w:bottom w:val="single" w:sz="4" w:space="0" w:color="auto"/>
              <w:right w:val="single" w:sz="4" w:space="0" w:color="auto"/>
            </w:tcBorders>
            <w:vAlign w:val="center"/>
            <w:hideMark/>
          </w:tcPr>
          <w:p w14:paraId="04F626FB" w14:textId="77777777" w:rsidR="00E06A2F" w:rsidRPr="001F45A8" w:rsidRDefault="00E06A2F" w:rsidP="00C95A27">
            <w:pPr>
              <w:rPr>
                <w:rFonts w:ascii="Arial Narrow" w:hAnsi="Arial Narrow"/>
                <w:b/>
                <w:sz w:val="20"/>
              </w:rPr>
            </w:pPr>
            <w:r w:rsidRPr="001F45A8">
              <w:rPr>
                <w:rFonts w:ascii="Arial Narrow" w:hAnsi="Arial Narrow"/>
                <w:b/>
                <w:sz w:val="20"/>
              </w:rPr>
              <w:t>Revision surgeries and anaesthesia costs for initial surgery</w:t>
            </w:r>
          </w:p>
        </w:tc>
      </w:tr>
      <w:tr w:rsidR="00E06A2F" w:rsidRPr="001F45A8" w14:paraId="3D83D406" w14:textId="77777777" w:rsidTr="00E06A2F">
        <w:trPr>
          <w:cantSplit/>
          <w:trHeight w:val="300"/>
        </w:trPr>
        <w:tc>
          <w:tcPr>
            <w:tcW w:w="2943" w:type="dxa"/>
            <w:tcBorders>
              <w:top w:val="single" w:sz="4" w:space="0" w:color="auto"/>
              <w:left w:val="single" w:sz="4" w:space="0" w:color="auto"/>
              <w:bottom w:val="single" w:sz="4" w:space="0" w:color="auto"/>
              <w:right w:val="single" w:sz="4" w:space="0" w:color="auto"/>
            </w:tcBorders>
            <w:hideMark/>
          </w:tcPr>
          <w:p w14:paraId="6D430F34" w14:textId="77777777" w:rsidR="00E06A2F" w:rsidRPr="001F45A8" w:rsidRDefault="00E06A2F" w:rsidP="00C95A27">
            <w:pPr>
              <w:rPr>
                <w:rFonts w:ascii="Arial Narrow" w:hAnsi="Arial Narrow"/>
                <w:sz w:val="20"/>
              </w:rPr>
            </w:pPr>
            <w:r w:rsidRPr="001F45A8">
              <w:rPr>
                <w:rFonts w:ascii="Arial Narrow" w:hAnsi="Arial Narrow"/>
                <w:sz w:val="20"/>
              </w:rPr>
              <w:t xml:space="preserve">Estimated change in services </w:t>
            </w:r>
          </w:p>
        </w:tc>
        <w:tc>
          <w:tcPr>
            <w:tcW w:w="1193" w:type="dxa"/>
            <w:tcBorders>
              <w:top w:val="single" w:sz="4" w:space="0" w:color="auto"/>
              <w:left w:val="single" w:sz="4" w:space="0" w:color="auto"/>
              <w:bottom w:val="single" w:sz="4" w:space="0" w:color="auto"/>
              <w:right w:val="single" w:sz="4" w:space="0" w:color="auto"/>
            </w:tcBorders>
            <w:hideMark/>
          </w:tcPr>
          <w:p w14:paraId="40AB2837" w14:textId="77777777" w:rsidR="00E06A2F" w:rsidRPr="001F45A8" w:rsidRDefault="00E06A2F" w:rsidP="00C95A27">
            <w:pPr>
              <w:pStyle w:val="Tabletext"/>
              <w:spacing w:before="0" w:after="0"/>
              <w:jc w:val="center"/>
            </w:pPr>
            <w:r>
              <w:t>-17</w:t>
            </w:r>
          </w:p>
        </w:tc>
        <w:tc>
          <w:tcPr>
            <w:tcW w:w="0" w:type="auto"/>
            <w:tcBorders>
              <w:top w:val="single" w:sz="4" w:space="0" w:color="auto"/>
              <w:left w:val="single" w:sz="4" w:space="0" w:color="auto"/>
              <w:bottom w:val="single" w:sz="4" w:space="0" w:color="auto"/>
              <w:right w:val="single" w:sz="4" w:space="0" w:color="auto"/>
            </w:tcBorders>
            <w:hideMark/>
          </w:tcPr>
          <w:p w14:paraId="0132963C" w14:textId="77777777" w:rsidR="00E06A2F" w:rsidRPr="001F45A8" w:rsidRDefault="00E06A2F" w:rsidP="00C95A27">
            <w:pPr>
              <w:pStyle w:val="Tabletext"/>
              <w:spacing w:before="0" w:after="0"/>
              <w:jc w:val="center"/>
            </w:pPr>
            <w:r>
              <w:t>-35</w:t>
            </w:r>
          </w:p>
        </w:tc>
        <w:tc>
          <w:tcPr>
            <w:tcW w:w="1172" w:type="dxa"/>
            <w:tcBorders>
              <w:top w:val="single" w:sz="4" w:space="0" w:color="auto"/>
              <w:left w:val="single" w:sz="4" w:space="0" w:color="auto"/>
              <w:bottom w:val="single" w:sz="4" w:space="0" w:color="auto"/>
              <w:right w:val="single" w:sz="4" w:space="0" w:color="auto"/>
            </w:tcBorders>
            <w:hideMark/>
          </w:tcPr>
          <w:p w14:paraId="0CBA1D85" w14:textId="77777777" w:rsidR="00E06A2F" w:rsidRPr="001F45A8" w:rsidRDefault="00E06A2F" w:rsidP="00C95A27">
            <w:pPr>
              <w:pStyle w:val="Tabletext"/>
              <w:spacing w:before="0" w:after="0"/>
              <w:jc w:val="center"/>
            </w:pPr>
            <w:r>
              <w:t>-53</w:t>
            </w:r>
          </w:p>
        </w:tc>
        <w:tc>
          <w:tcPr>
            <w:tcW w:w="1560" w:type="dxa"/>
            <w:tcBorders>
              <w:top w:val="single" w:sz="4" w:space="0" w:color="auto"/>
              <w:left w:val="single" w:sz="4" w:space="0" w:color="auto"/>
              <w:bottom w:val="single" w:sz="4" w:space="0" w:color="auto"/>
              <w:right w:val="single" w:sz="4" w:space="0" w:color="auto"/>
            </w:tcBorders>
            <w:hideMark/>
          </w:tcPr>
          <w:p w14:paraId="5B0B20C0" w14:textId="77777777" w:rsidR="00E06A2F" w:rsidRPr="001F45A8" w:rsidRDefault="00E06A2F" w:rsidP="00C95A27">
            <w:pPr>
              <w:pStyle w:val="Tabletext"/>
              <w:spacing w:before="0" w:after="0"/>
              <w:jc w:val="center"/>
            </w:pPr>
            <w:r>
              <w:t>-71</w:t>
            </w:r>
          </w:p>
        </w:tc>
        <w:tc>
          <w:tcPr>
            <w:tcW w:w="1253" w:type="dxa"/>
            <w:tcBorders>
              <w:top w:val="single" w:sz="4" w:space="0" w:color="auto"/>
              <w:left w:val="single" w:sz="4" w:space="0" w:color="auto"/>
              <w:bottom w:val="single" w:sz="4" w:space="0" w:color="auto"/>
              <w:right w:val="single" w:sz="4" w:space="0" w:color="auto"/>
            </w:tcBorders>
            <w:hideMark/>
          </w:tcPr>
          <w:p w14:paraId="54F45C40" w14:textId="77777777" w:rsidR="00E06A2F" w:rsidRPr="001F45A8" w:rsidRDefault="00E06A2F" w:rsidP="00C95A27">
            <w:pPr>
              <w:pStyle w:val="Tabletext"/>
              <w:spacing w:before="0" w:after="0"/>
              <w:jc w:val="center"/>
            </w:pPr>
            <w:r>
              <w:t>-91</w:t>
            </w:r>
          </w:p>
        </w:tc>
      </w:tr>
      <w:tr w:rsidR="00E06A2F" w:rsidRPr="001F45A8" w14:paraId="5712AD99" w14:textId="77777777" w:rsidTr="00E06A2F">
        <w:trPr>
          <w:cantSplit/>
          <w:trHeight w:val="375"/>
        </w:trPr>
        <w:tc>
          <w:tcPr>
            <w:tcW w:w="2943" w:type="dxa"/>
            <w:tcBorders>
              <w:top w:val="single" w:sz="4" w:space="0" w:color="auto"/>
              <w:left w:val="single" w:sz="4" w:space="0" w:color="auto"/>
              <w:bottom w:val="nil"/>
              <w:right w:val="single" w:sz="4" w:space="0" w:color="auto"/>
            </w:tcBorders>
            <w:hideMark/>
          </w:tcPr>
          <w:p w14:paraId="0569BCAE" w14:textId="77777777" w:rsidR="00E06A2F" w:rsidRPr="001F45A8" w:rsidRDefault="00E06A2F" w:rsidP="00C95A27">
            <w:pPr>
              <w:rPr>
                <w:rFonts w:ascii="Arial Narrow" w:hAnsi="Arial Narrow"/>
                <w:sz w:val="20"/>
              </w:rPr>
            </w:pPr>
            <w:r>
              <w:rPr>
                <w:rFonts w:ascii="Arial Narrow" w:hAnsi="Arial Narrow"/>
                <w:sz w:val="20"/>
              </w:rPr>
              <w:t>Sub-total cost to MBS</w:t>
            </w:r>
          </w:p>
        </w:tc>
        <w:tc>
          <w:tcPr>
            <w:tcW w:w="1193" w:type="dxa"/>
            <w:tcBorders>
              <w:top w:val="single" w:sz="4" w:space="0" w:color="auto"/>
              <w:left w:val="single" w:sz="4" w:space="0" w:color="auto"/>
              <w:bottom w:val="nil"/>
              <w:right w:val="single" w:sz="4" w:space="0" w:color="auto"/>
            </w:tcBorders>
            <w:hideMark/>
          </w:tcPr>
          <w:p w14:paraId="4478122A" w14:textId="77777777" w:rsidR="00E06A2F" w:rsidRPr="00FF3B1A" w:rsidRDefault="00E06A2F" w:rsidP="00C95A27">
            <w:pPr>
              <w:pStyle w:val="Tabletext"/>
              <w:spacing w:before="0" w:after="0"/>
              <w:jc w:val="center"/>
            </w:pPr>
            <w:r w:rsidRPr="00FF3B1A">
              <w:t>-$11,420</w:t>
            </w:r>
          </w:p>
        </w:tc>
        <w:tc>
          <w:tcPr>
            <w:tcW w:w="0" w:type="auto"/>
            <w:tcBorders>
              <w:top w:val="single" w:sz="4" w:space="0" w:color="auto"/>
              <w:left w:val="single" w:sz="4" w:space="0" w:color="auto"/>
              <w:bottom w:val="nil"/>
              <w:right w:val="single" w:sz="4" w:space="0" w:color="auto"/>
            </w:tcBorders>
            <w:hideMark/>
          </w:tcPr>
          <w:p w14:paraId="4D5D9C84" w14:textId="77777777" w:rsidR="00E06A2F" w:rsidRPr="00FF3B1A" w:rsidRDefault="00E06A2F" w:rsidP="00C95A27">
            <w:pPr>
              <w:pStyle w:val="Tabletext"/>
              <w:spacing w:before="0" w:after="0"/>
              <w:jc w:val="center"/>
            </w:pPr>
            <w:r w:rsidRPr="00FF3B1A">
              <w:t>-$23,214</w:t>
            </w:r>
          </w:p>
        </w:tc>
        <w:tc>
          <w:tcPr>
            <w:tcW w:w="1172" w:type="dxa"/>
            <w:tcBorders>
              <w:top w:val="single" w:sz="4" w:space="0" w:color="auto"/>
              <w:left w:val="single" w:sz="4" w:space="0" w:color="auto"/>
              <w:bottom w:val="nil"/>
              <w:right w:val="single" w:sz="4" w:space="0" w:color="auto"/>
            </w:tcBorders>
            <w:hideMark/>
          </w:tcPr>
          <w:p w14:paraId="1B4A43D4" w14:textId="77777777" w:rsidR="00E06A2F" w:rsidRPr="00FF3B1A" w:rsidRDefault="00E06A2F" w:rsidP="00C95A27">
            <w:pPr>
              <w:pStyle w:val="Tabletext"/>
              <w:spacing w:before="0" w:after="0"/>
              <w:jc w:val="center"/>
            </w:pPr>
            <w:r w:rsidRPr="00FF3B1A">
              <w:t>-$35,380</w:t>
            </w:r>
          </w:p>
        </w:tc>
        <w:tc>
          <w:tcPr>
            <w:tcW w:w="1560" w:type="dxa"/>
            <w:tcBorders>
              <w:top w:val="single" w:sz="4" w:space="0" w:color="auto"/>
              <w:left w:val="single" w:sz="4" w:space="0" w:color="auto"/>
              <w:bottom w:val="nil"/>
              <w:right w:val="single" w:sz="4" w:space="0" w:color="auto"/>
            </w:tcBorders>
            <w:hideMark/>
          </w:tcPr>
          <w:p w14:paraId="0B18E79F" w14:textId="77777777" w:rsidR="00E06A2F" w:rsidRPr="00FF3B1A" w:rsidRDefault="00E06A2F" w:rsidP="00C95A27">
            <w:pPr>
              <w:pStyle w:val="Tabletext"/>
              <w:spacing w:before="0" w:after="0"/>
              <w:jc w:val="center"/>
            </w:pPr>
            <w:r w:rsidRPr="00FF3B1A">
              <w:t>-$47,910</w:t>
            </w:r>
          </w:p>
        </w:tc>
        <w:tc>
          <w:tcPr>
            <w:tcW w:w="1253" w:type="dxa"/>
            <w:tcBorders>
              <w:top w:val="single" w:sz="4" w:space="0" w:color="auto"/>
              <w:left w:val="single" w:sz="4" w:space="0" w:color="auto"/>
              <w:bottom w:val="nil"/>
              <w:right w:val="single" w:sz="4" w:space="0" w:color="auto"/>
            </w:tcBorders>
            <w:hideMark/>
          </w:tcPr>
          <w:p w14:paraId="557A7CCD" w14:textId="77777777" w:rsidR="00E06A2F" w:rsidRPr="00FF3B1A" w:rsidRDefault="00E06A2F" w:rsidP="00C95A27">
            <w:pPr>
              <w:pStyle w:val="Tabletext"/>
              <w:spacing w:before="0" w:after="0"/>
              <w:jc w:val="center"/>
            </w:pPr>
            <w:r w:rsidRPr="00FF3B1A">
              <w:t>-$60,824</w:t>
            </w:r>
          </w:p>
        </w:tc>
      </w:tr>
      <w:tr w:rsidR="00E06A2F" w:rsidRPr="001F45A8" w14:paraId="621993FF" w14:textId="77777777" w:rsidTr="00E06A2F">
        <w:trPr>
          <w:cantSplit/>
          <w:trHeight w:val="315"/>
        </w:trPr>
        <w:tc>
          <w:tcPr>
            <w:tcW w:w="2943" w:type="dxa"/>
            <w:tcBorders>
              <w:top w:val="nil"/>
              <w:left w:val="single" w:sz="4" w:space="0" w:color="auto"/>
              <w:bottom w:val="single" w:sz="4" w:space="0" w:color="auto"/>
              <w:right w:val="single" w:sz="4" w:space="0" w:color="auto"/>
            </w:tcBorders>
          </w:tcPr>
          <w:p w14:paraId="029A9A5B" w14:textId="77777777" w:rsidR="00E06A2F" w:rsidRPr="001F45A8" w:rsidRDefault="00E06A2F" w:rsidP="00C95A27">
            <w:pPr>
              <w:rPr>
                <w:rFonts w:ascii="Arial Narrow" w:hAnsi="Arial Narrow"/>
                <w:sz w:val="20"/>
              </w:rPr>
            </w:pPr>
          </w:p>
        </w:tc>
        <w:tc>
          <w:tcPr>
            <w:tcW w:w="1193" w:type="dxa"/>
            <w:tcBorders>
              <w:top w:val="nil"/>
              <w:left w:val="single" w:sz="4" w:space="0" w:color="auto"/>
              <w:bottom w:val="single" w:sz="4" w:space="0" w:color="auto"/>
              <w:right w:val="single" w:sz="4" w:space="0" w:color="auto"/>
            </w:tcBorders>
            <w:vAlign w:val="bottom"/>
          </w:tcPr>
          <w:p w14:paraId="00204B63" w14:textId="77777777" w:rsidR="00E06A2F" w:rsidRPr="00FF3B1A" w:rsidRDefault="00E06A2F" w:rsidP="00C95A27">
            <w:pPr>
              <w:pStyle w:val="Tabletext"/>
              <w:spacing w:before="0" w:after="0"/>
              <w:jc w:val="center"/>
              <w:rPr>
                <w:i/>
              </w:rPr>
            </w:pPr>
            <w:r w:rsidRPr="00FF3B1A">
              <w:rPr>
                <w:i/>
              </w:rPr>
              <w:t>-$25,241</w:t>
            </w:r>
          </w:p>
        </w:tc>
        <w:tc>
          <w:tcPr>
            <w:tcW w:w="0" w:type="auto"/>
            <w:tcBorders>
              <w:top w:val="nil"/>
              <w:left w:val="single" w:sz="4" w:space="0" w:color="auto"/>
              <w:bottom w:val="single" w:sz="4" w:space="0" w:color="auto"/>
              <w:right w:val="single" w:sz="4" w:space="0" w:color="auto"/>
            </w:tcBorders>
            <w:vAlign w:val="bottom"/>
          </w:tcPr>
          <w:p w14:paraId="71F8BC87" w14:textId="77777777" w:rsidR="00E06A2F" w:rsidRPr="00FF3B1A" w:rsidRDefault="00E06A2F" w:rsidP="00C95A27">
            <w:pPr>
              <w:pStyle w:val="Tabletext"/>
              <w:spacing w:before="0" w:after="0"/>
              <w:jc w:val="center"/>
              <w:rPr>
                <w:i/>
              </w:rPr>
            </w:pPr>
            <w:r w:rsidRPr="00FF3B1A">
              <w:rPr>
                <w:i/>
              </w:rPr>
              <w:t>-$51,309</w:t>
            </w:r>
          </w:p>
        </w:tc>
        <w:tc>
          <w:tcPr>
            <w:tcW w:w="1172" w:type="dxa"/>
            <w:tcBorders>
              <w:top w:val="nil"/>
              <w:left w:val="single" w:sz="4" w:space="0" w:color="auto"/>
              <w:bottom w:val="single" w:sz="4" w:space="0" w:color="auto"/>
              <w:right w:val="single" w:sz="4" w:space="0" w:color="auto"/>
            </w:tcBorders>
            <w:vAlign w:val="bottom"/>
          </w:tcPr>
          <w:p w14:paraId="6E657448" w14:textId="77777777" w:rsidR="00E06A2F" w:rsidRPr="00FF3B1A" w:rsidRDefault="00E06A2F" w:rsidP="00C95A27">
            <w:pPr>
              <w:pStyle w:val="Tabletext"/>
              <w:spacing w:before="0" w:after="0"/>
              <w:jc w:val="center"/>
              <w:rPr>
                <w:i/>
              </w:rPr>
            </w:pPr>
            <w:r w:rsidRPr="00FF3B1A">
              <w:rPr>
                <w:i/>
              </w:rPr>
              <w:t>-$78,199</w:t>
            </w:r>
          </w:p>
        </w:tc>
        <w:tc>
          <w:tcPr>
            <w:tcW w:w="1560" w:type="dxa"/>
            <w:tcBorders>
              <w:top w:val="nil"/>
              <w:left w:val="single" w:sz="4" w:space="0" w:color="auto"/>
              <w:bottom w:val="single" w:sz="4" w:space="0" w:color="auto"/>
              <w:right w:val="single" w:sz="4" w:space="0" w:color="auto"/>
            </w:tcBorders>
            <w:vAlign w:val="bottom"/>
          </w:tcPr>
          <w:p w14:paraId="452AD7BB" w14:textId="77777777" w:rsidR="00E06A2F" w:rsidRPr="00FF3B1A" w:rsidRDefault="00E06A2F" w:rsidP="00C95A27">
            <w:pPr>
              <w:pStyle w:val="Tabletext"/>
              <w:spacing w:before="0" w:after="0"/>
              <w:jc w:val="center"/>
              <w:rPr>
                <w:i/>
              </w:rPr>
            </w:pPr>
            <w:r w:rsidRPr="00FF3B1A">
              <w:rPr>
                <w:i/>
              </w:rPr>
              <w:t>-$105,896</w:t>
            </w:r>
          </w:p>
        </w:tc>
        <w:tc>
          <w:tcPr>
            <w:tcW w:w="1253" w:type="dxa"/>
            <w:tcBorders>
              <w:top w:val="nil"/>
              <w:left w:val="single" w:sz="4" w:space="0" w:color="auto"/>
              <w:bottom w:val="single" w:sz="4" w:space="0" w:color="auto"/>
              <w:right w:val="single" w:sz="4" w:space="0" w:color="auto"/>
            </w:tcBorders>
            <w:vAlign w:val="bottom"/>
          </w:tcPr>
          <w:p w14:paraId="17A2F83A" w14:textId="77777777" w:rsidR="00E06A2F" w:rsidRPr="00FF3B1A" w:rsidRDefault="00E06A2F" w:rsidP="00C95A27">
            <w:pPr>
              <w:pStyle w:val="Tabletext"/>
              <w:spacing w:before="0" w:after="0"/>
              <w:jc w:val="center"/>
              <w:rPr>
                <w:i/>
              </w:rPr>
            </w:pPr>
            <w:r w:rsidRPr="00FF3B1A">
              <w:rPr>
                <w:i/>
              </w:rPr>
              <w:t>-$134,438</w:t>
            </w:r>
          </w:p>
        </w:tc>
      </w:tr>
      <w:tr w:rsidR="00E06A2F" w:rsidRPr="001F45A8" w14:paraId="3BA105D2" w14:textId="77777777" w:rsidTr="00E06A2F">
        <w:trPr>
          <w:cantSplit/>
          <w:trHeight w:val="315"/>
        </w:trPr>
        <w:tc>
          <w:tcPr>
            <w:tcW w:w="2943" w:type="dxa"/>
            <w:tcBorders>
              <w:top w:val="single" w:sz="4" w:space="0" w:color="auto"/>
              <w:left w:val="single" w:sz="4" w:space="0" w:color="auto"/>
              <w:bottom w:val="single" w:sz="4" w:space="0" w:color="auto"/>
              <w:right w:val="single" w:sz="4" w:space="0" w:color="auto"/>
            </w:tcBorders>
            <w:hideMark/>
          </w:tcPr>
          <w:p w14:paraId="0A4F900E" w14:textId="77777777" w:rsidR="00E06A2F" w:rsidRPr="001F45A8" w:rsidRDefault="00E06A2F" w:rsidP="00C95A27">
            <w:pPr>
              <w:rPr>
                <w:rFonts w:ascii="Arial Narrow" w:hAnsi="Arial Narrow"/>
                <w:b/>
                <w:sz w:val="20"/>
              </w:rPr>
            </w:pPr>
            <w:r w:rsidRPr="001F45A8">
              <w:rPr>
                <w:rFonts w:ascii="Arial Narrow" w:hAnsi="Arial Narrow"/>
                <w:b/>
                <w:sz w:val="20"/>
              </w:rPr>
              <w:t>Estimated change in services</w:t>
            </w:r>
          </w:p>
        </w:tc>
        <w:tc>
          <w:tcPr>
            <w:tcW w:w="1193" w:type="dxa"/>
            <w:tcBorders>
              <w:top w:val="single" w:sz="4" w:space="0" w:color="auto"/>
              <w:left w:val="single" w:sz="4" w:space="0" w:color="auto"/>
              <w:bottom w:val="single" w:sz="4" w:space="0" w:color="auto"/>
              <w:right w:val="single" w:sz="4" w:space="0" w:color="auto"/>
            </w:tcBorders>
            <w:hideMark/>
          </w:tcPr>
          <w:p w14:paraId="29562A93" w14:textId="77777777" w:rsidR="00E06A2F" w:rsidRPr="000E64BC" w:rsidRDefault="00E06A2F" w:rsidP="00C95A27">
            <w:pPr>
              <w:pStyle w:val="Tabletext"/>
              <w:spacing w:before="0" w:after="0"/>
              <w:jc w:val="center"/>
              <w:rPr>
                <w:bCs/>
              </w:rPr>
            </w:pPr>
            <w:r>
              <w:t>-17</w:t>
            </w:r>
          </w:p>
        </w:tc>
        <w:tc>
          <w:tcPr>
            <w:tcW w:w="0" w:type="auto"/>
            <w:tcBorders>
              <w:top w:val="single" w:sz="4" w:space="0" w:color="auto"/>
              <w:left w:val="single" w:sz="4" w:space="0" w:color="auto"/>
              <w:bottom w:val="single" w:sz="4" w:space="0" w:color="auto"/>
              <w:right w:val="single" w:sz="4" w:space="0" w:color="auto"/>
            </w:tcBorders>
            <w:hideMark/>
          </w:tcPr>
          <w:p w14:paraId="69AC19CC" w14:textId="77777777" w:rsidR="00E06A2F" w:rsidRPr="000E64BC" w:rsidRDefault="00E06A2F" w:rsidP="00C95A27">
            <w:pPr>
              <w:pStyle w:val="Tabletext"/>
              <w:spacing w:before="0" w:after="0"/>
              <w:jc w:val="center"/>
              <w:rPr>
                <w:bCs/>
              </w:rPr>
            </w:pPr>
            <w:r>
              <w:t>-35</w:t>
            </w:r>
          </w:p>
        </w:tc>
        <w:tc>
          <w:tcPr>
            <w:tcW w:w="1172" w:type="dxa"/>
            <w:tcBorders>
              <w:top w:val="single" w:sz="4" w:space="0" w:color="auto"/>
              <w:left w:val="single" w:sz="4" w:space="0" w:color="auto"/>
              <w:bottom w:val="single" w:sz="4" w:space="0" w:color="auto"/>
              <w:right w:val="single" w:sz="4" w:space="0" w:color="auto"/>
            </w:tcBorders>
            <w:hideMark/>
          </w:tcPr>
          <w:p w14:paraId="0A66A37E" w14:textId="77777777" w:rsidR="00E06A2F" w:rsidRPr="000E64BC" w:rsidRDefault="00E06A2F" w:rsidP="00C95A27">
            <w:pPr>
              <w:pStyle w:val="Tabletext"/>
              <w:spacing w:before="0" w:after="0"/>
              <w:jc w:val="center"/>
              <w:rPr>
                <w:bCs/>
              </w:rPr>
            </w:pPr>
            <w:r>
              <w:t>-53</w:t>
            </w:r>
          </w:p>
        </w:tc>
        <w:tc>
          <w:tcPr>
            <w:tcW w:w="1560" w:type="dxa"/>
            <w:tcBorders>
              <w:top w:val="single" w:sz="4" w:space="0" w:color="auto"/>
              <w:left w:val="single" w:sz="4" w:space="0" w:color="auto"/>
              <w:bottom w:val="single" w:sz="4" w:space="0" w:color="auto"/>
              <w:right w:val="single" w:sz="4" w:space="0" w:color="auto"/>
            </w:tcBorders>
            <w:hideMark/>
          </w:tcPr>
          <w:p w14:paraId="1E9AE055" w14:textId="77777777" w:rsidR="00E06A2F" w:rsidRPr="000B69A6" w:rsidRDefault="00E06A2F" w:rsidP="00C95A27">
            <w:pPr>
              <w:pStyle w:val="Tabletext"/>
              <w:spacing w:before="0" w:after="0"/>
              <w:jc w:val="center"/>
              <w:rPr>
                <w:bCs/>
              </w:rPr>
            </w:pPr>
            <w:r>
              <w:t>-71</w:t>
            </w:r>
          </w:p>
        </w:tc>
        <w:tc>
          <w:tcPr>
            <w:tcW w:w="1253" w:type="dxa"/>
            <w:tcBorders>
              <w:top w:val="single" w:sz="4" w:space="0" w:color="auto"/>
              <w:left w:val="single" w:sz="4" w:space="0" w:color="auto"/>
              <w:bottom w:val="single" w:sz="4" w:space="0" w:color="auto"/>
              <w:right w:val="single" w:sz="4" w:space="0" w:color="auto"/>
            </w:tcBorders>
            <w:hideMark/>
          </w:tcPr>
          <w:p w14:paraId="369CE243" w14:textId="77777777" w:rsidR="00E06A2F" w:rsidRPr="000B69A6" w:rsidRDefault="00E06A2F" w:rsidP="00C95A27">
            <w:pPr>
              <w:pStyle w:val="Tabletext"/>
              <w:spacing w:before="0" w:after="0"/>
              <w:jc w:val="center"/>
              <w:rPr>
                <w:bCs/>
              </w:rPr>
            </w:pPr>
            <w:r>
              <w:t>-91</w:t>
            </w:r>
          </w:p>
        </w:tc>
      </w:tr>
      <w:tr w:rsidR="00E06A2F" w:rsidRPr="001F45A8" w14:paraId="506CBFBE" w14:textId="77777777" w:rsidTr="00E06A2F">
        <w:trPr>
          <w:cantSplit/>
          <w:trHeight w:val="255"/>
        </w:trPr>
        <w:tc>
          <w:tcPr>
            <w:tcW w:w="2943" w:type="dxa"/>
            <w:tcBorders>
              <w:top w:val="single" w:sz="4" w:space="0" w:color="auto"/>
              <w:left w:val="single" w:sz="4" w:space="0" w:color="auto"/>
              <w:bottom w:val="nil"/>
              <w:right w:val="single" w:sz="4" w:space="0" w:color="auto"/>
            </w:tcBorders>
            <w:hideMark/>
          </w:tcPr>
          <w:p w14:paraId="2B692F31" w14:textId="77777777" w:rsidR="00E06A2F" w:rsidRPr="001F45A8" w:rsidRDefault="00E06A2F" w:rsidP="00C95A27">
            <w:pPr>
              <w:rPr>
                <w:rFonts w:ascii="Arial Narrow" w:hAnsi="Arial Narrow"/>
                <w:b/>
                <w:sz w:val="20"/>
              </w:rPr>
            </w:pPr>
            <w:r w:rsidRPr="001F45A8">
              <w:rPr>
                <w:rFonts w:ascii="Arial Narrow" w:hAnsi="Arial Narrow"/>
                <w:b/>
                <w:sz w:val="20"/>
              </w:rPr>
              <w:t>Total costs to MBS</w:t>
            </w:r>
          </w:p>
        </w:tc>
        <w:tc>
          <w:tcPr>
            <w:tcW w:w="1193" w:type="dxa"/>
            <w:tcBorders>
              <w:top w:val="single" w:sz="4" w:space="0" w:color="auto"/>
              <w:left w:val="single" w:sz="4" w:space="0" w:color="auto"/>
              <w:bottom w:val="nil"/>
              <w:right w:val="single" w:sz="4" w:space="0" w:color="auto"/>
            </w:tcBorders>
            <w:hideMark/>
          </w:tcPr>
          <w:p w14:paraId="7D4445D6" w14:textId="77777777" w:rsidR="00E06A2F" w:rsidRPr="002E6009" w:rsidRDefault="00E06A2F" w:rsidP="00C95A27">
            <w:pPr>
              <w:pStyle w:val="Tabletext"/>
              <w:spacing w:before="0" w:after="0"/>
              <w:jc w:val="center"/>
              <w:rPr>
                <w:bCs/>
              </w:rPr>
            </w:pPr>
            <w:r w:rsidRPr="0002637B">
              <w:t>-$11,420</w:t>
            </w:r>
          </w:p>
        </w:tc>
        <w:tc>
          <w:tcPr>
            <w:tcW w:w="0" w:type="auto"/>
            <w:tcBorders>
              <w:top w:val="single" w:sz="4" w:space="0" w:color="auto"/>
              <w:left w:val="single" w:sz="4" w:space="0" w:color="auto"/>
              <w:bottom w:val="nil"/>
              <w:right w:val="single" w:sz="4" w:space="0" w:color="auto"/>
            </w:tcBorders>
            <w:hideMark/>
          </w:tcPr>
          <w:p w14:paraId="3F38172E" w14:textId="77777777" w:rsidR="00E06A2F" w:rsidRPr="002E6009" w:rsidRDefault="00E06A2F" w:rsidP="00C95A27">
            <w:pPr>
              <w:pStyle w:val="Tabletext"/>
              <w:spacing w:before="0" w:after="0"/>
              <w:jc w:val="center"/>
              <w:rPr>
                <w:bCs/>
              </w:rPr>
            </w:pPr>
            <w:r w:rsidRPr="0002637B">
              <w:t>-$23,214</w:t>
            </w:r>
          </w:p>
        </w:tc>
        <w:tc>
          <w:tcPr>
            <w:tcW w:w="1172" w:type="dxa"/>
            <w:tcBorders>
              <w:top w:val="single" w:sz="4" w:space="0" w:color="auto"/>
              <w:left w:val="single" w:sz="4" w:space="0" w:color="auto"/>
              <w:bottom w:val="nil"/>
              <w:right w:val="single" w:sz="4" w:space="0" w:color="auto"/>
            </w:tcBorders>
            <w:hideMark/>
          </w:tcPr>
          <w:p w14:paraId="65DE240A" w14:textId="77777777" w:rsidR="00E06A2F" w:rsidRPr="002E6009" w:rsidRDefault="00E06A2F" w:rsidP="00C95A27">
            <w:pPr>
              <w:pStyle w:val="Tabletext"/>
              <w:spacing w:before="0" w:after="0"/>
              <w:jc w:val="center"/>
              <w:rPr>
                <w:bCs/>
              </w:rPr>
            </w:pPr>
            <w:r w:rsidRPr="0002637B">
              <w:t>-$35,380</w:t>
            </w:r>
          </w:p>
        </w:tc>
        <w:tc>
          <w:tcPr>
            <w:tcW w:w="1560" w:type="dxa"/>
            <w:tcBorders>
              <w:top w:val="single" w:sz="4" w:space="0" w:color="auto"/>
              <w:left w:val="single" w:sz="4" w:space="0" w:color="auto"/>
              <w:bottom w:val="nil"/>
              <w:right w:val="single" w:sz="4" w:space="0" w:color="auto"/>
            </w:tcBorders>
            <w:hideMark/>
          </w:tcPr>
          <w:p w14:paraId="161975CB" w14:textId="77777777" w:rsidR="00E06A2F" w:rsidRPr="002E6009" w:rsidRDefault="00E06A2F" w:rsidP="00C95A27">
            <w:pPr>
              <w:pStyle w:val="Tabletext"/>
              <w:spacing w:before="0" w:after="0"/>
              <w:jc w:val="center"/>
              <w:rPr>
                <w:bCs/>
              </w:rPr>
            </w:pPr>
            <w:r w:rsidRPr="0002637B">
              <w:t>-$47,910</w:t>
            </w:r>
          </w:p>
        </w:tc>
        <w:tc>
          <w:tcPr>
            <w:tcW w:w="1253" w:type="dxa"/>
            <w:tcBorders>
              <w:top w:val="single" w:sz="4" w:space="0" w:color="auto"/>
              <w:left w:val="single" w:sz="4" w:space="0" w:color="auto"/>
              <w:bottom w:val="nil"/>
              <w:right w:val="single" w:sz="4" w:space="0" w:color="auto"/>
            </w:tcBorders>
            <w:hideMark/>
          </w:tcPr>
          <w:p w14:paraId="69C89E45" w14:textId="77777777" w:rsidR="00E06A2F" w:rsidRPr="002E6009" w:rsidRDefault="00E06A2F" w:rsidP="00C95A27">
            <w:pPr>
              <w:pStyle w:val="Tabletext"/>
              <w:spacing w:before="0" w:after="0"/>
              <w:jc w:val="center"/>
              <w:rPr>
                <w:bCs/>
              </w:rPr>
            </w:pPr>
            <w:r w:rsidRPr="0002637B">
              <w:t>-$60,824</w:t>
            </w:r>
          </w:p>
        </w:tc>
      </w:tr>
      <w:tr w:rsidR="00E06A2F" w:rsidRPr="001F45A8" w14:paraId="6B0AF844" w14:textId="77777777" w:rsidTr="00E06A2F">
        <w:trPr>
          <w:cantSplit/>
          <w:trHeight w:val="204"/>
        </w:trPr>
        <w:tc>
          <w:tcPr>
            <w:tcW w:w="2943" w:type="dxa"/>
            <w:tcBorders>
              <w:top w:val="nil"/>
              <w:left w:val="single" w:sz="4" w:space="0" w:color="auto"/>
              <w:bottom w:val="single" w:sz="4" w:space="0" w:color="auto"/>
              <w:right w:val="single" w:sz="4" w:space="0" w:color="auto"/>
            </w:tcBorders>
          </w:tcPr>
          <w:p w14:paraId="7704AD78" w14:textId="77777777" w:rsidR="00E06A2F" w:rsidRPr="001F45A8" w:rsidRDefault="00E06A2F" w:rsidP="00C95A27">
            <w:pPr>
              <w:rPr>
                <w:rFonts w:ascii="Arial Narrow" w:hAnsi="Arial Narrow"/>
                <w:b/>
                <w:sz w:val="20"/>
              </w:rPr>
            </w:pPr>
          </w:p>
        </w:tc>
        <w:tc>
          <w:tcPr>
            <w:tcW w:w="1193" w:type="dxa"/>
            <w:tcBorders>
              <w:top w:val="nil"/>
              <w:left w:val="single" w:sz="4" w:space="0" w:color="auto"/>
              <w:bottom w:val="single" w:sz="4" w:space="0" w:color="auto"/>
              <w:right w:val="single" w:sz="4" w:space="0" w:color="auto"/>
            </w:tcBorders>
            <w:vAlign w:val="bottom"/>
          </w:tcPr>
          <w:p w14:paraId="097FBF72" w14:textId="77777777" w:rsidR="00E06A2F" w:rsidRPr="0002637B" w:rsidRDefault="00E06A2F" w:rsidP="00C95A27">
            <w:pPr>
              <w:pStyle w:val="Tabletext"/>
              <w:spacing w:before="0" w:after="0"/>
              <w:jc w:val="center"/>
            </w:pPr>
            <w:r w:rsidRPr="00D51E93">
              <w:rPr>
                <w:i/>
              </w:rPr>
              <w:t>-$25,241</w:t>
            </w:r>
          </w:p>
        </w:tc>
        <w:tc>
          <w:tcPr>
            <w:tcW w:w="0" w:type="auto"/>
            <w:tcBorders>
              <w:top w:val="nil"/>
              <w:left w:val="single" w:sz="4" w:space="0" w:color="auto"/>
              <w:bottom w:val="single" w:sz="4" w:space="0" w:color="auto"/>
              <w:right w:val="single" w:sz="4" w:space="0" w:color="auto"/>
            </w:tcBorders>
            <w:vAlign w:val="bottom"/>
          </w:tcPr>
          <w:p w14:paraId="04E02CCB" w14:textId="77777777" w:rsidR="00E06A2F" w:rsidRPr="0002637B" w:rsidRDefault="00E06A2F" w:rsidP="00C95A27">
            <w:pPr>
              <w:pStyle w:val="Tabletext"/>
              <w:spacing w:before="0" w:after="0"/>
              <w:jc w:val="center"/>
            </w:pPr>
            <w:r w:rsidRPr="00D51E93">
              <w:rPr>
                <w:i/>
              </w:rPr>
              <w:t>-$51,309</w:t>
            </w:r>
          </w:p>
        </w:tc>
        <w:tc>
          <w:tcPr>
            <w:tcW w:w="1172" w:type="dxa"/>
            <w:tcBorders>
              <w:top w:val="nil"/>
              <w:left w:val="single" w:sz="4" w:space="0" w:color="auto"/>
              <w:bottom w:val="single" w:sz="4" w:space="0" w:color="auto"/>
              <w:right w:val="single" w:sz="4" w:space="0" w:color="auto"/>
            </w:tcBorders>
            <w:vAlign w:val="bottom"/>
          </w:tcPr>
          <w:p w14:paraId="272319F3" w14:textId="77777777" w:rsidR="00E06A2F" w:rsidRPr="0002637B" w:rsidRDefault="00E06A2F" w:rsidP="00C95A27">
            <w:pPr>
              <w:pStyle w:val="Tabletext"/>
              <w:spacing w:before="0" w:after="0"/>
              <w:jc w:val="center"/>
            </w:pPr>
            <w:r w:rsidRPr="00D51E93">
              <w:rPr>
                <w:i/>
              </w:rPr>
              <w:t>-$78,199</w:t>
            </w:r>
          </w:p>
        </w:tc>
        <w:tc>
          <w:tcPr>
            <w:tcW w:w="1560" w:type="dxa"/>
            <w:tcBorders>
              <w:top w:val="nil"/>
              <w:left w:val="single" w:sz="4" w:space="0" w:color="auto"/>
              <w:bottom w:val="single" w:sz="4" w:space="0" w:color="auto"/>
              <w:right w:val="single" w:sz="4" w:space="0" w:color="auto"/>
            </w:tcBorders>
            <w:vAlign w:val="bottom"/>
          </w:tcPr>
          <w:p w14:paraId="08A74D95" w14:textId="77777777" w:rsidR="00E06A2F" w:rsidRPr="0002637B" w:rsidRDefault="00E06A2F" w:rsidP="00C95A27">
            <w:pPr>
              <w:pStyle w:val="Tabletext"/>
              <w:spacing w:before="0" w:after="0"/>
              <w:jc w:val="center"/>
            </w:pPr>
            <w:r w:rsidRPr="00D51E93">
              <w:rPr>
                <w:i/>
              </w:rPr>
              <w:t>-$105,896</w:t>
            </w:r>
          </w:p>
        </w:tc>
        <w:tc>
          <w:tcPr>
            <w:tcW w:w="1253" w:type="dxa"/>
            <w:tcBorders>
              <w:top w:val="nil"/>
              <w:left w:val="single" w:sz="4" w:space="0" w:color="auto"/>
              <w:bottom w:val="single" w:sz="4" w:space="0" w:color="auto"/>
              <w:right w:val="single" w:sz="4" w:space="0" w:color="auto"/>
            </w:tcBorders>
            <w:vAlign w:val="bottom"/>
          </w:tcPr>
          <w:p w14:paraId="1557F97D" w14:textId="77777777" w:rsidR="00E06A2F" w:rsidRPr="0002637B" w:rsidRDefault="00E06A2F" w:rsidP="00C95A27">
            <w:pPr>
              <w:pStyle w:val="Tabletext"/>
              <w:spacing w:before="0" w:after="0"/>
              <w:jc w:val="center"/>
            </w:pPr>
            <w:r w:rsidRPr="00D51E93">
              <w:rPr>
                <w:i/>
              </w:rPr>
              <w:t>-$134,438</w:t>
            </w:r>
          </w:p>
        </w:tc>
      </w:tr>
      <w:tr w:rsidR="00E06A2F" w:rsidRPr="001F45A8" w14:paraId="1C1C43EE" w14:textId="77777777" w:rsidTr="00E06A2F">
        <w:trPr>
          <w:cantSplit/>
          <w:trHeight w:val="270"/>
        </w:trPr>
        <w:tc>
          <w:tcPr>
            <w:tcW w:w="2943" w:type="dxa"/>
            <w:tcBorders>
              <w:top w:val="single" w:sz="4" w:space="0" w:color="auto"/>
              <w:left w:val="single" w:sz="4" w:space="0" w:color="auto"/>
              <w:bottom w:val="nil"/>
              <w:right w:val="single" w:sz="4" w:space="0" w:color="auto"/>
            </w:tcBorders>
            <w:hideMark/>
          </w:tcPr>
          <w:p w14:paraId="1EE329F6" w14:textId="77777777" w:rsidR="00E06A2F" w:rsidRPr="001F45A8" w:rsidRDefault="00E06A2F" w:rsidP="00C95A27">
            <w:pPr>
              <w:rPr>
                <w:rFonts w:ascii="Arial Narrow" w:hAnsi="Arial Narrow"/>
                <w:b/>
                <w:sz w:val="20"/>
              </w:rPr>
            </w:pPr>
            <w:r w:rsidRPr="001F45A8">
              <w:rPr>
                <w:rFonts w:ascii="Arial Narrow" w:hAnsi="Arial Narrow"/>
                <w:b/>
                <w:sz w:val="20"/>
              </w:rPr>
              <w:t>Total hospital costs</w:t>
            </w:r>
          </w:p>
        </w:tc>
        <w:tc>
          <w:tcPr>
            <w:tcW w:w="1193" w:type="dxa"/>
            <w:tcBorders>
              <w:top w:val="single" w:sz="4" w:space="0" w:color="auto"/>
              <w:left w:val="single" w:sz="4" w:space="0" w:color="auto"/>
              <w:bottom w:val="nil"/>
              <w:right w:val="single" w:sz="4" w:space="0" w:color="auto"/>
            </w:tcBorders>
            <w:hideMark/>
          </w:tcPr>
          <w:p w14:paraId="0BCD9385" w14:textId="77777777" w:rsidR="00E06A2F" w:rsidRPr="000E64BC" w:rsidRDefault="00E06A2F" w:rsidP="00C95A27">
            <w:pPr>
              <w:pStyle w:val="Tabletext"/>
              <w:spacing w:before="0" w:after="0"/>
              <w:jc w:val="center"/>
              <w:rPr>
                <w:bCs/>
                <w:i/>
                <w:iCs/>
              </w:rPr>
            </w:pPr>
            <w:r>
              <w:t>-$209,585</w:t>
            </w:r>
          </w:p>
        </w:tc>
        <w:tc>
          <w:tcPr>
            <w:tcW w:w="0" w:type="auto"/>
            <w:tcBorders>
              <w:top w:val="single" w:sz="4" w:space="0" w:color="auto"/>
              <w:left w:val="single" w:sz="4" w:space="0" w:color="auto"/>
              <w:bottom w:val="nil"/>
              <w:right w:val="single" w:sz="4" w:space="0" w:color="auto"/>
            </w:tcBorders>
            <w:hideMark/>
          </w:tcPr>
          <w:p w14:paraId="68A0FDED" w14:textId="77777777" w:rsidR="00E06A2F" w:rsidRPr="000E64BC" w:rsidRDefault="00E06A2F" w:rsidP="00C95A27">
            <w:pPr>
              <w:pStyle w:val="Tabletext"/>
              <w:spacing w:before="0" w:after="0"/>
              <w:jc w:val="center"/>
              <w:rPr>
                <w:bCs/>
                <w:i/>
                <w:iCs/>
              </w:rPr>
            </w:pPr>
            <w:r>
              <w:t>-$426,034</w:t>
            </w:r>
          </w:p>
        </w:tc>
        <w:tc>
          <w:tcPr>
            <w:tcW w:w="1172" w:type="dxa"/>
            <w:tcBorders>
              <w:top w:val="single" w:sz="4" w:space="0" w:color="auto"/>
              <w:left w:val="single" w:sz="4" w:space="0" w:color="auto"/>
              <w:bottom w:val="nil"/>
              <w:right w:val="single" w:sz="4" w:space="0" w:color="auto"/>
            </w:tcBorders>
            <w:hideMark/>
          </w:tcPr>
          <w:p w14:paraId="033A582D" w14:textId="77777777" w:rsidR="00E06A2F" w:rsidRPr="002E6009" w:rsidRDefault="00E06A2F" w:rsidP="00C95A27">
            <w:pPr>
              <w:pStyle w:val="Tabletext"/>
              <w:spacing w:before="0" w:after="0"/>
              <w:jc w:val="center"/>
              <w:rPr>
                <w:bCs/>
                <w:i/>
                <w:iCs/>
              </w:rPr>
            </w:pPr>
            <w:r>
              <w:t>-$649,310</w:t>
            </w:r>
          </w:p>
        </w:tc>
        <w:tc>
          <w:tcPr>
            <w:tcW w:w="1560" w:type="dxa"/>
            <w:tcBorders>
              <w:top w:val="single" w:sz="4" w:space="0" w:color="auto"/>
              <w:left w:val="single" w:sz="4" w:space="0" w:color="auto"/>
              <w:bottom w:val="nil"/>
              <w:right w:val="single" w:sz="4" w:space="0" w:color="auto"/>
            </w:tcBorders>
            <w:hideMark/>
          </w:tcPr>
          <w:p w14:paraId="7055591D" w14:textId="77777777" w:rsidR="00E06A2F" w:rsidRPr="002E6009" w:rsidRDefault="00E06A2F" w:rsidP="00C95A27">
            <w:pPr>
              <w:pStyle w:val="Tabletext"/>
              <w:spacing w:before="0" w:after="0"/>
              <w:jc w:val="center"/>
              <w:rPr>
                <w:bCs/>
                <w:i/>
                <w:iCs/>
              </w:rPr>
            </w:pPr>
            <w:r>
              <w:t>-$879,283</w:t>
            </w:r>
          </w:p>
        </w:tc>
        <w:tc>
          <w:tcPr>
            <w:tcW w:w="1253" w:type="dxa"/>
            <w:tcBorders>
              <w:top w:val="single" w:sz="4" w:space="0" w:color="auto"/>
              <w:left w:val="single" w:sz="4" w:space="0" w:color="auto"/>
              <w:bottom w:val="nil"/>
              <w:right w:val="single" w:sz="4" w:space="0" w:color="auto"/>
            </w:tcBorders>
            <w:hideMark/>
          </w:tcPr>
          <w:p w14:paraId="1548922B" w14:textId="77777777" w:rsidR="00E06A2F" w:rsidRPr="002E6009" w:rsidRDefault="00E06A2F" w:rsidP="00C95A27">
            <w:pPr>
              <w:pStyle w:val="Tabletext"/>
              <w:spacing w:before="0" w:after="0"/>
              <w:jc w:val="center"/>
              <w:rPr>
                <w:bCs/>
              </w:rPr>
            </w:pPr>
            <w:r>
              <w:t>-$1,116,275</w:t>
            </w:r>
          </w:p>
        </w:tc>
      </w:tr>
      <w:tr w:rsidR="00E06A2F" w:rsidRPr="001F45A8" w14:paraId="5994F3F8" w14:textId="77777777" w:rsidTr="00E06A2F">
        <w:trPr>
          <w:cantSplit/>
          <w:trHeight w:val="189"/>
        </w:trPr>
        <w:tc>
          <w:tcPr>
            <w:tcW w:w="2943" w:type="dxa"/>
            <w:tcBorders>
              <w:top w:val="nil"/>
              <w:left w:val="single" w:sz="4" w:space="0" w:color="auto"/>
              <w:bottom w:val="single" w:sz="4" w:space="0" w:color="auto"/>
              <w:right w:val="single" w:sz="4" w:space="0" w:color="auto"/>
            </w:tcBorders>
          </w:tcPr>
          <w:p w14:paraId="0366BFCE" w14:textId="77777777" w:rsidR="00E06A2F" w:rsidRPr="001F45A8" w:rsidRDefault="00E06A2F" w:rsidP="00C95A27">
            <w:pPr>
              <w:rPr>
                <w:rFonts w:ascii="Arial Narrow" w:hAnsi="Arial Narrow"/>
                <w:b/>
                <w:sz w:val="20"/>
              </w:rPr>
            </w:pPr>
          </w:p>
        </w:tc>
        <w:tc>
          <w:tcPr>
            <w:tcW w:w="1193" w:type="dxa"/>
            <w:tcBorders>
              <w:top w:val="nil"/>
              <w:left w:val="single" w:sz="4" w:space="0" w:color="auto"/>
              <w:bottom w:val="single" w:sz="4" w:space="0" w:color="auto"/>
              <w:right w:val="single" w:sz="4" w:space="0" w:color="auto"/>
            </w:tcBorders>
            <w:vAlign w:val="bottom"/>
          </w:tcPr>
          <w:p w14:paraId="17D8FA1C" w14:textId="77777777" w:rsidR="00E06A2F" w:rsidRPr="00FF3B1A" w:rsidRDefault="00E06A2F" w:rsidP="00C95A27">
            <w:pPr>
              <w:pStyle w:val="Tabletext"/>
              <w:spacing w:before="0" w:after="0"/>
              <w:jc w:val="center"/>
              <w:rPr>
                <w:i/>
              </w:rPr>
            </w:pPr>
            <w:r w:rsidRPr="00FF3B1A">
              <w:rPr>
                <w:i/>
              </w:rPr>
              <w:t>-$66,002</w:t>
            </w:r>
          </w:p>
        </w:tc>
        <w:tc>
          <w:tcPr>
            <w:tcW w:w="0" w:type="auto"/>
            <w:tcBorders>
              <w:top w:val="nil"/>
              <w:left w:val="single" w:sz="4" w:space="0" w:color="auto"/>
              <w:bottom w:val="single" w:sz="4" w:space="0" w:color="auto"/>
              <w:right w:val="single" w:sz="4" w:space="0" w:color="auto"/>
            </w:tcBorders>
            <w:vAlign w:val="bottom"/>
          </w:tcPr>
          <w:p w14:paraId="79FFC774" w14:textId="77777777" w:rsidR="00E06A2F" w:rsidRPr="00FF3B1A" w:rsidRDefault="00E06A2F" w:rsidP="00C95A27">
            <w:pPr>
              <w:pStyle w:val="Tabletext"/>
              <w:spacing w:before="0" w:after="0"/>
              <w:jc w:val="center"/>
              <w:rPr>
                <w:i/>
              </w:rPr>
            </w:pPr>
            <w:r w:rsidRPr="00FF3B1A">
              <w:rPr>
                <w:i/>
              </w:rPr>
              <w:t>-$134,166</w:t>
            </w:r>
          </w:p>
        </w:tc>
        <w:tc>
          <w:tcPr>
            <w:tcW w:w="1172" w:type="dxa"/>
            <w:tcBorders>
              <w:top w:val="nil"/>
              <w:left w:val="single" w:sz="4" w:space="0" w:color="auto"/>
              <w:bottom w:val="single" w:sz="4" w:space="0" w:color="auto"/>
              <w:right w:val="single" w:sz="4" w:space="0" w:color="auto"/>
            </w:tcBorders>
            <w:vAlign w:val="bottom"/>
          </w:tcPr>
          <w:p w14:paraId="6493B1B0" w14:textId="77777777" w:rsidR="00E06A2F" w:rsidRPr="00FF3B1A" w:rsidRDefault="00E06A2F" w:rsidP="00C95A27">
            <w:pPr>
              <w:pStyle w:val="Tabletext"/>
              <w:spacing w:before="0" w:after="0"/>
              <w:jc w:val="center"/>
              <w:rPr>
                <w:i/>
              </w:rPr>
            </w:pPr>
            <w:r w:rsidRPr="00FF3B1A">
              <w:rPr>
                <w:i/>
              </w:rPr>
              <w:t>-$204,480</w:t>
            </w:r>
          </w:p>
        </w:tc>
        <w:tc>
          <w:tcPr>
            <w:tcW w:w="1560" w:type="dxa"/>
            <w:tcBorders>
              <w:top w:val="nil"/>
              <w:left w:val="single" w:sz="4" w:space="0" w:color="auto"/>
              <w:bottom w:val="single" w:sz="4" w:space="0" w:color="auto"/>
              <w:right w:val="single" w:sz="4" w:space="0" w:color="auto"/>
            </w:tcBorders>
            <w:vAlign w:val="bottom"/>
          </w:tcPr>
          <w:p w14:paraId="11149338" w14:textId="77777777" w:rsidR="00E06A2F" w:rsidRPr="00FF3B1A" w:rsidRDefault="00E06A2F" w:rsidP="00C95A27">
            <w:pPr>
              <w:pStyle w:val="Tabletext"/>
              <w:spacing w:before="0" w:after="0"/>
              <w:jc w:val="center"/>
              <w:rPr>
                <w:i/>
              </w:rPr>
            </w:pPr>
            <w:r w:rsidRPr="00FF3B1A">
              <w:rPr>
                <w:i/>
              </w:rPr>
              <w:t>-$276,902</w:t>
            </w:r>
          </w:p>
        </w:tc>
        <w:tc>
          <w:tcPr>
            <w:tcW w:w="1253" w:type="dxa"/>
            <w:tcBorders>
              <w:top w:val="nil"/>
              <w:left w:val="single" w:sz="4" w:space="0" w:color="auto"/>
              <w:bottom w:val="single" w:sz="4" w:space="0" w:color="auto"/>
              <w:right w:val="single" w:sz="4" w:space="0" w:color="auto"/>
            </w:tcBorders>
            <w:vAlign w:val="bottom"/>
          </w:tcPr>
          <w:p w14:paraId="5D607C7F" w14:textId="77777777" w:rsidR="00E06A2F" w:rsidRPr="00FF3B1A" w:rsidRDefault="00E06A2F" w:rsidP="00C95A27">
            <w:pPr>
              <w:pStyle w:val="Tabletext"/>
              <w:spacing w:before="0" w:after="0"/>
              <w:jc w:val="center"/>
              <w:rPr>
                <w:i/>
              </w:rPr>
            </w:pPr>
            <w:r w:rsidRPr="00FF3B1A">
              <w:rPr>
                <w:i/>
              </w:rPr>
              <w:t>-$351,536</w:t>
            </w:r>
          </w:p>
        </w:tc>
      </w:tr>
      <w:tr w:rsidR="00E06A2F" w:rsidRPr="001F45A8" w14:paraId="2483A281" w14:textId="77777777" w:rsidTr="00E06A2F">
        <w:trPr>
          <w:trHeight w:val="270"/>
        </w:trPr>
        <w:tc>
          <w:tcPr>
            <w:tcW w:w="2943" w:type="dxa"/>
            <w:tcBorders>
              <w:top w:val="single" w:sz="4" w:space="0" w:color="auto"/>
              <w:left w:val="single" w:sz="4" w:space="0" w:color="auto"/>
              <w:bottom w:val="nil"/>
              <w:right w:val="single" w:sz="4" w:space="0" w:color="auto"/>
            </w:tcBorders>
            <w:hideMark/>
          </w:tcPr>
          <w:p w14:paraId="42605725" w14:textId="77777777" w:rsidR="00E06A2F" w:rsidRPr="001F45A8" w:rsidRDefault="00E06A2F" w:rsidP="00C95A27">
            <w:pPr>
              <w:rPr>
                <w:rFonts w:ascii="Arial Narrow" w:hAnsi="Arial Narrow"/>
                <w:b/>
                <w:sz w:val="20"/>
              </w:rPr>
            </w:pPr>
            <w:r w:rsidRPr="001F45A8">
              <w:rPr>
                <w:rFonts w:ascii="Arial Narrow" w:hAnsi="Arial Narrow"/>
                <w:b/>
                <w:sz w:val="20"/>
              </w:rPr>
              <w:t>Total costs to PHI</w:t>
            </w:r>
          </w:p>
        </w:tc>
        <w:tc>
          <w:tcPr>
            <w:tcW w:w="1193" w:type="dxa"/>
            <w:tcBorders>
              <w:top w:val="single" w:sz="4" w:space="0" w:color="auto"/>
              <w:left w:val="single" w:sz="4" w:space="0" w:color="auto"/>
              <w:bottom w:val="nil"/>
              <w:right w:val="single" w:sz="4" w:space="0" w:color="auto"/>
            </w:tcBorders>
            <w:hideMark/>
          </w:tcPr>
          <w:p w14:paraId="04FC0F6B" w14:textId="0DE01A95" w:rsidR="00E06A2F" w:rsidRPr="000E64BC" w:rsidRDefault="00E06A2F" w:rsidP="00C95A27">
            <w:pPr>
              <w:pStyle w:val="Tabletext"/>
              <w:spacing w:before="0" w:after="0"/>
              <w:jc w:val="center"/>
              <w:rPr>
                <w:bCs/>
                <w:i/>
                <w:iCs/>
              </w:rPr>
            </w:pPr>
            <w:r>
              <w:t>$</w:t>
            </w:r>
            <w:r w:rsidR="004F6878" w:rsidRPr="004F6878">
              <w:rPr>
                <w:b/>
              </w:rPr>
              <w:t>redacted</w:t>
            </w:r>
          </w:p>
        </w:tc>
        <w:tc>
          <w:tcPr>
            <w:tcW w:w="0" w:type="auto"/>
            <w:tcBorders>
              <w:top w:val="single" w:sz="4" w:space="0" w:color="auto"/>
              <w:left w:val="single" w:sz="4" w:space="0" w:color="auto"/>
              <w:bottom w:val="nil"/>
              <w:right w:val="single" w:sz="4" w:space="0" w:color="auto"/>
            </w:tcBorders>
            <w:hideMark/>
          </w:tcPr>
          <w:p w14:paraId="54E841B4" w14:textId="2863FBF1" w:rsidR="00E06A2F" w:rsidRPr="000E64BC" w:rsidRDefault="00E06A2F" w:rsidP="00C95A27">
            <w:pPr>
              <w:pStyle w:val="Tabletext"/>
              <w:spacing w:before="0" w:after="0"/>
              <w:jc w:val="center"/>
              <w:rPr>
                <w:bCs/>
                <w:i/>
                <w:iCs/>
              </w:rPr>
            </w:pPr>
            <w:r>
              <w:t>$</w:t>
            </w:r>
            <w:r w:rsidR="004F6878" w:rsidRPr="004F6878">
              <w:rPr>
                <w:b/>
              </w:rPr>
              <w:t>redacted</w:t>
            </w:r>
          </w:p>
        </w:tc>
        <w:tc>
          <w:tcPr>
            <w:tcW w:w="1172" w:type="dxa"/>
            <w:tcBorders>
              <w:top w:val="single" w:sz="4" w:space="0" w:color="auto"/>
              <w:left w:val="single" w:sz="4" w:space="0" w:color="auto"/>
              <w:bottom w:val="nil"/>
              <w:right w:val="single" w:sz="4" w:space="0" w:color="auto"/>
            </w:tcBorders>
            <w:hideMark/>
          </w:tcPr>
          <w:p w14:paraId="6D2D7B51" w14:textId="58FD0AA2" w:rsidR="00E06A2F" w:rsidRPr="000E64BC" w:rsidRDefault="00E06A2F" w:rsidP="00C95A27">
            <w:pPr>
              <w:pStyle w:val="Tabletext"/>
              <w:spacing w:before="0" w:after="0"/>
              <w:jc w:val="center"/>
              <w:rPr>
                <w:bCs/>
                <w:i/>
                <w:iCs/>
              </w:rPr>
            </w:pPr>
            <w:r>
              <w:t>$</w:t>
            </w:r>
            <w:r w:rsidR="004F6878" w:rsidRPr="004F6878">
              <w:rPr>
                <w:b/>
              </w:rPr>
              <w:t>redacted</w:t>
            </w:r>
          </w:p>
        </w:tc>
        <w:tc>
          <w:tcPr>
            <w:tcW w:w="1560" w:type="dxa"/>
            <w:tcBorders>
              <w:top w:val="single" w:sz="4" w:space="0" w:color="auto"/>
              <w:left w:val="single" w:sz="4" w:space="0" w:color="auto"/>
              <w:bottom w:val="nil"/>
              <w:right w:val="single" w:sz="4" w:space="0" w:color="auto"/>
            </w:tcBorders>
            <w:hideMark/>
          </w:tcPr>
          <w:p w14:paraId="04E0C5F8" w14:textId="39704DA1" w:rsidR="00E06A2F" w:rsidRPr="000E64BC" w:rsidRDefault="00E06A2F" w:rsidP="00C95A27">
            <w:pPr>
              <w:pStyle w:val="Tabletext"/>
              <w:spacing w:before="0" w:after="0"/>
              <w:jc w:val="center"/>
              <w:rPr>
                <w:bCs/>
                <w:i/>
                <w:iCs/>
              </w:rPr>
            </w:pPr>
            <w:r>
              <w:t>$</w:t>
            </w:r>
            <w:r w:rsidR="004F6878" w:rsidRPr="004F6878">
              <w:rPr>
                <w:b/>
              </w:rPr>
              <w:t>redacted</w:t>
            </w:r>
          </w:p>
        </w:tc>
        <w:tc>
          <w:tcPr>
            <w:tcW w:w="1253" w:type="dxa"/>
            <w:tcBorders>
              <w:top w:val="single" w:sz="4" w:space="0" w:color="auto"/>
              <w:left w:val="single" w:sz="4" w:space="0" w:color="auto"/>
              <w:bottom w:val="nil"/>
              <w:right w:val="single" w:sz="4" w:space="0" w:color="auto"/>
            </w:tcBorders>
            <w:hideMark/>
          </w:tcPr>
          <w:p w14:paraId="3E17722B" w14:textId="602A7B81" w:rsidR="00E06A2F" w:rsidRPr="000E64BC" w:rsidRDefault="00E06A2F" w:rsidP="00C95A27">
            <w:pPr>
              <w:pStyle w:val="Tabletext"/>
              <w:spacing w:before="0" w:after="0"/>
              <w:jc w:val="center"/>
              <w:rPr>
                <w:bCs/>
                <w:i/>
                <w:iCs/>
              </w:rPr>
            </w:pPr>
            <w:r>
              <w:t>$</w:t>
            </w:r>
            <w:r w:rsidR="004F6878" w:rsidRPr="004F6878">
              <w:rPr>
                <w:b/>
              </w:rPr>
              <w:t>redacted</w:t>
            </w:r>
          </w:p>
        </w:tc>
      </w:tr>
      <w:tr w:rsidR="00E06A2F" w:rsidRPr="001F45A8" w14:paraId="738BE4BE" w14:textId="77777777" w:rsidTr="00E06A2F">
        <w:trPr>
          <w:trHeight w:val="189"/>
        </w:trPr>
        <w:tc>
          <w:tcPr>
            <w:tcW w:w="2943" w:type="dxa"/>
            <w:tcBorders>
              <w:top w:val="nil"/>
              <w:left w:val="single" w:sz="4" w:space="0" w:color="auto"/>
              <w:bottom w:val="single" w:sz="4" w:space="0" w:color="auto"/>
              <w:right w:val="single" w:sz="4" w:space="0" w:color="auto"/>
            </w:tcBorders>
          </w:tcPr>
          <w:p w14:paraId="68FE0242" w14:textId="77777777" w:rsidR="00E06A2F" w:rsidRPr="001F45A8" w:rsidRDefault="00E06A2F" w:rsidP="00C95A27">
            <w:pPr>
              <w:rPr>
                <w:rFonts w:ascii="Arial Narrow" w:hAnsi="Arial Narrow"/>
                <w:b/>
                <w:sz w:val="20"/>
              </w:rPr>
            </w:pPr>
          </w:p>
        </w:tc>
        <w:tc>
          <w:tcPr>
            <w:tcW w:w="1193" w:type="dxa"/>
            <w:tcBorders>
              <w:top w:val="nil"/>
              <w:left w:val="single" w:sz="4" w:space="0" w:color="auto"/>
              <w:bottom w:val="single" w:sz="4" w:space="0" w:color="auto"/>
              <w:right w:val="single" w:sz="4" w:space="0" w:color="auto"/>
            </w:tcBorders>
            <w:vAlign w:val="bottom"/>
          </w:tcPr>
          <w:p w14:paraId="73A97E2F" w14:textId="484E9D5C" w:rsidR="00E06A2F" w:rsidRPr="00FF3B1A" w:rsidRDefault="00E06A2F" w:rsidP="00C95A27">
            <w:pPr>
              <w:pStyle w:val="Tabletext"/>
              <w:spacing w:before="0" w:after="0"/>
              <w:jc w:val="center"/>
              <w:rPr>
                <w:i/>
              </w:rPr>
            </w:pPr>
            <w:r w:rsidRPr="00FF3B1A">
              <w:rPr>
                <w:i/>
              </w:rPr>
              <w:t>$</w:t>
            </w:r>
            <w:r w:rsidR="004F6878" w:rsidRPr="004F6878">
              <w:rPr>
                <w:b/>
                <w:i/>
              </w:rPr>
              <w:t>redacted</w:t>
            </w:r>
          </w:p>
        </w:tc>
        <w:tc>
          <w:tcPr>
            <w:tcW w:w="0" w:type="auto"/>
            <w:tcBorders>
              <w:top w:val="nil"/>
              <w:left w:val="single" w:sz="4" w:space="0" w:color="auto"/>
              <w:bottom w:val="single" w:sz="4" w:space="0" w:color="auto"/>
              <w:right w:val="single" w:sz="4" w:space="0" w:color="auto"/>
            </w:tcBorders>
            <w:vAlign w:val="bottom"/>
          </w:tcPr>
          <w:p w14:paraId="485AB39B" w14:textId="6FD6DBB1" w:rsidR="00E06A2F" w:rsidRPr="00FF3B1A" w:rsidRDefault="00E06A2F" w:rsidP="00C95A27">
            <w:pPr>
              <w:pStyle w:val="Tabletext"/>
              <w:spacing w:before="0" w:after="0"/>
              <w:jc w:val="center"/>
              <w:rPr>
                <w:i/>
              </w:rPr>
            </w:pPr>
            <w:r w:rsidRPr="00FF3B1A">
              <w:rPr>
                <w:i/>
              </w:rPr>
              <w:t>$</w:t>
            </w:r>
            <w:r w:rsidR="004F6878" w:rsidRPr="004F6878">
              <w:rPr>
                <w:b/>
                <w:i/>
              </w:rPr>
              <w:t>redacted</w:t>
            </w:r>
          </w:p>
        </w:tc>
        <w:tc>
          <w:tcPr>
            <w:tcW w:w="1172" w:type="dxa"/>
            <w:tcBorders>
              <w:top w:val="nil"/>
              <w:left w:val="single" w:sz="4" w:space="0" w:color="auto"/>
              <w:bottom w:val="single" w:sz="4" w:space="0" w:color="auto"/>
              <w:right w:val="single" w:sz="4" w:space="0" w:color="auto"/>
            </w:tcBorders>
            <w:vAlign w:val="bottom"/>
          </w:tcPr>
          <w:p w14:paraId="5AA915C0" w14:textId="384A0915" w:rsidR="00E06A2F" w:rsidRPr="00FF3B1A" w:rsidRDefault="00E06A2F" w:rsidP="00C95A27">
            <w:pPr>
              <w:pStyle w:val="Tabletext"/>
              <w:spacing w:before="0" w:after="0"/>
              <w:jc w:val="center"/>
              <w:rPr>
                <w:i/>
              </w:rPr>
            </w:pPr>
            <w:r w:rsidRPr="00FF3B1A">
              <w:rPr>
                <w:i/>
              </w:rPr>
              <w:t>$</w:t>
            </w:r>
            <w:r w:rsidR="004F6878" w:rsidRPr="004F6878">
              <w:rPr>
                <w:b/>
                <w:i/>
              </w:rPr>
              <w:t>redacted</w:t>
            </w:r>
          </w:p>
        </w:tc>
        <w:tc>
          <w:tcPr>
            <w:tcW w:w="1560" w:type="dxa"/>
            <w:tcBorders>
              <w:top w:val="nil"/>
              <w:left w:val="single" w:sz="4" w:space="0" w:color="auto"/>
              <w:bottom w:val="single" w:sz="4" w:space="0" w:color="auto"/>
              <w:right w:val="single" w:sz="4" w:space="0" w:color="auto"/>
            </w:tcBorders>
            <w:vAlign w:val="bottom"/>
          </w:tcPr>
          <w:p w14:paraId="23B45BCA" w14:textId="3A49840D" w:rsidR="00E06A2F" w:rsidRPr="00FF3B1A" w:rsidRDefault="00E06A2F" w:rsidP="00C95A27">
            <w:pPr>
              <w:pStyle w:val="Tabletext"/>
              <w:spacing w:before="0" w:after="0"/>
              <w:jc w:val="center"/>
              <w:rPr>
                <w:i/>
              </w:rPr>
            </w:pPr>
            <w:r w:rsidRPr="00FF3B1A">
              <w:rPr>
                <w:i/>
              </w:rPr>
              <w:t>$</w:t>
            </w:r>
            <w:r w:rsidR="004F6878" w:rsidRPr="004F6878">
              <w:rPr>
                <w:b/>
                <w:i/>
              </w:rPr>
              <w:t>redacted</w:t>
            </w:r>
          </w:p>
        </w:tc>
        <w:tc>
          <w:tcPr>
            <w:tcW w:w="1253" w:type="dxa"/>
            <w:tcBorders>
              <w:top w:val="nil"/>
              <w:left w:val="single" w:sz="4" w:space="0" w:color="auto"/>
              <w:bottom w:val="single" w:sz="4" w:space="0" w:color="auto"/>
              <w:right w:val="single" w:sz="4" w:space="0" w:color="auto"/>
            </w:tcBorders>
            <w:vAlign w:val="bottom"/>
          </w:tcPr>
          <w:p w14:paraId="59322395" w14:textId="3E1ABDEA" w:rsidR="00E06A2F" w:rsidRPr="00FF3B1A" w:rsidRDefault="00E06A2F" w:rsidP="00C95A27">
            <w:pPr>
              <w:pStyle w:val="Tabletext"/>
              <w:spacing w:before="0" w:after="0"/>
              <w:jc w:val="center"/>
              <w:rPr>
                <w:i/>
              </w:rPr>
            </w:pPr>
            <w:r w:rsidRPr="00FF3B1A">
              <w:rPr>
                <w:i/>
              </w:rPr>
              <w:t>$4</w:t>
            </w:r>
            <w:r w:rsidR="004F6878" w:rsidRPr="004F6878">
              <w:rPr>
                <w:b/>
                <w:i/>
              </w:rPr>
              <w:t>redacted</w:t>
            </w:r>
          </w:p>
        </w:tc>
      </w:tr>
      <w:tr w:rsidR="00E06A2F" w:rsidRPr="001F45A8" w14:paraId="1B49B9E4" w14:textId="77777777" w:rsidTr="00E06A2F">
        <w:trPr>
          <w:trHeight w:val="255"/>
        </w:trPr>
        <w:tc>
          <w:tcPr>
            <w:tcW w:w="2943" w:type="dxa"/>
            <w:tcBorders>
              <w:top w:val="single" w:sz="4" w:space="0" w:color="auto"/>
              <w:left w:val="single" w:sz="4" w:space="0" w:color="auto"/>
              <w:bottom w:val="nil"/>
              <w:right w:val="single" w:sz="4" w:space="0" w:color="auto"/>
            </w:tcBorders>
            <w:hideMark/>
          </w:tcPr>
          <w:p w14:paraId="58D33027" w14:textId="77777777" w:rsidR="00E06A2F" w:rsidRPr="001F45A8" w:rsidRDefault="00E06A2F" w:rsidP="00C95A27">
            <w:pPr>
              <w:rPr>
                <w:rFonts w:ascii="Arial Narrow" w:hAnsi="Arial Narrow"/>
                <w:b/>
                <w:sz w:val="20"/>
              </w:rPr>
            </w:pPr>
            <w:r w:rsidRPr="001F45A8">
              <w:rPr>
                <w:rFonts w:ascii="Arial Narrow" w:hAnsi="Arial Narrow"/>
                <w:b/>
                <w:sz w:val="20"/>
              </w:rPr>
              <w:t>Total overall cost</w:t>
            </w:r>
          </w:p>
        </w:tc>
        <w:tc>
          <w:tcPr>
            <w:tcW w:w="1193" w:type="dxa"/>
            <w:tcBorders>
              <w:top w:val="single" w:sz="4" w:space="0" w:color="auto"/>
              <w:left w:val="single" w:sz="4" w:space="0" w:color="auto"/>
              <w:bottom w:val="nil"/>
              <w:right w:val="single" w:sz="4" w:space="0" w:color="auto"/>
            </w:tcBorders>
            <w:hideMark/>
          </w:tcPr>
          <w:p w14:paraId="38EB2DFF" w14:textId="41033787" w:rsidR="00E06A2F" w:rsidRPr="002E6009" w:rsidRDefault="00E06A2F" w:rsidP="00C95A27">
            <w:pPr>
              <w:pStyle w:val="Tabletext"/>
              <w:spacing w:before="0" w:after="0"/>
              <w:jc w:val="center"/>
              <w:rPr>
                <w:bCs/>
                <w:i/>
                <w:iCs/>
              </w:rPr>
            </w:pPr>
            <w:r>
              <w:t>$</w:t>
            </w:r>
            <w:r w:rsidR="004F6878" w:rsidRPr="004F6878">
              <w:rPr>
                <w:b/>
              </w:rPr>
              <w:t>redacted</w:t>
            </w:r>
          </w:p>
        </w:tc>
        <w:tc>
          <w:tcPr>
            <w:tcW w:w="0" w:type="auto"/>
            <w:tcBorders>
              <w:top w:val="single" w:sz="4" w:space="0" w:color="auto"/>
              <w:left w:val="single" w:sz="4" w:space="0" w:color="auto"/>
              <w:bottom w:val="nil"/>
              <w:right w:val="single" w:sz="4" w:space="0" w:color="auto"/>
            </w:tcBorders>
            <w:hideMark/>
          </w:tcPr>
          <w:p w14:paraId="315063B5" w14:textId="49ED80C7" w:rsidR="00E06A2F" w:rsidRPr="002E6009" w:rsidRDefault="00E06A2F" w:rsidP="00C95A27">
            <w:pPr>
              <w:pStyle w:val="Tabletext"/>
              <w:spacing w:before="0" w:after="0"/>
              <w:jc w:val="center"/>
              <w:rPr>
                <w:bCs/>
                <w:i/>
                <w:iCs/>
              </w:rPr>
            </w:pPr>
            <w:r>
              <w:t>$</w:t>
            </w:r>
            <w:r w:rsidR="004F6878" w:rsidRPr="004F6878">
              <w:rPr>
                <w:b/>
              </w:rPr>
              <w:t>redacted</w:t>
            </w:r>
          </w:p>
        </w:tc>
        <w:tc>
          <w:tcPr>
            <w:tcW w:w="1172" w:type="dxa"/>
            <w:tcBorders>
              <w:top w:val="single" w:sz="4" w:space="0" w:color="auto"/>
              <w:left w:val="single" w:sz="4" w:space="0" w:color="auto"/>
              <w:bottom w:val="nil"/>
              <w:right w:val="single" w:sz="4" w:space="0" w:color="auto"/>
            </w:tcBorders>
            <w:hideMark/>
          </w:tcPr>
          <w:p w14:paraId="740DE8F3" w14:textId="3BD075FA" w:rsidR="00E06A2F" w:rsidRPr="002E6009" w:rsidRDefault="00E06A2F" w:rsidP="00C95A27">
            <w:pPr>
              <w:pStyle w:val="Tabletext"/>
              <w:spacing w:before="0" w:after="0"/>
              <w:jc w:val="center"/>
              <w:rPr>
                <w:bCs/>
                <w:i/>
                <w:iCs/>
              </w:rPr>
            </w:pPr>
            <w:r>
              <w:t>$</w:t>
            </w:r>
            <w:r w:rsidR="004F6878" w:rsidRPr="004F6878">
              <w:rPr>
                <w:b/>
              </w:rPr>
              <w:t>redacted</w:t>
            </w:r>
          </w:p>
        </w:tc>
        <w:tc>
          <w:tcPr>
            <w:tcW w:w="1560" w:type="dxa"/>
            <w:tcBorders>
              <w:top w:val="single" w:sz="4" w:space="0" w:color="auto"/>
              <w:left w:val="single" w:sz="4" w:space="0" w:color="auto"/>
              <w:bottom w:val="nil"/>
              <w:right w:val="single" w:sz="4" w:space="0" w:color="auto"/>
            </w:tcBorders>
            <w:hideMark/>
          </w:tcPr>
          <w:p w14:paraId="54AE9615" w14:textId="05F72A48" w:rsidR="00E06A2F" w:rsidRPr="002E6009" w:rsidRDefault="00E06A2F" w:rsidP="00C95A27">
            <w:pPr>
              <w:pStyle w:val="Tabletext"/>
              <w:spacing w:before="0" w:after="0"/>
              <w:jc w:val="center"/>
              <w:rPr>
                <w:bCs/>
                <w:i/>
                <w:iCs/>
              </w:rPr>
            </w:pPr>
            <w:r>
              <w:t>$</w:t>
            </w:r>
            <w:r w:rsidR="004F6878" w:rsidRPr="004F6878">
              <w:rPr>
                <w:b/>
              </w:rPr>
              <w:t>redacted</w:t>
            </w:r>
          </w:p>
        </w:tc>
        <w:tc>
          <w:tcPr>
            <w:tcW w:w="1253" w:type="dxa"/>
            <w:tcBorders>
              <w:top w:val="single" w:sz="4" w:space="0" w:color="auto"/>
              <w:left w:val="single" w:sz="4" w:space="0" w:color="auto"/>
              <w:bottom w:val="nil"/>
              <w:right w:val="single" w:sz="4" w:space="0" w:color="auto"/>
            </w:tcBorders>
            <w:hideMark/>
          </w:tcPr>
          <w:p w14:paraId="48C07B5F" w14:textId="60525C0D" w:rsidR="00E06A2F" w:rsidRPr="002E6009" w:rsidRDefault="00E06A2F" w:rsidP="00C95A27">
            <w:pPr>
              <w:pStyle w:val="Tabletext"/>
              <w:spacing w:before="0" w:after="0"/>
              <w:jc w:val="center"/>
              <w:rPr>
                <w:bCs/>
              </w:rPr>
            </w:pPr>
            <w:r>
              <w:t>$</w:t>
            </w:r>
            <w:r w:rsidR="004F6878" w:rsidRPr="004F6878">
              <w:rPr>
                <w:b/>
              </w:rPr>
              <w:t>redacted</w:t>
            </w:r>
          </w:p>
        </w:tc>
      </w:tr>
      <w:tr w:rsidR="00E06A2F" w:rsidRPr="001F45A8" w14:paraId="1585CA8F" w14:textId="77777777" w:rsidTr="00E06A2F">
        <w:trPr>
          <w:trHeight w:val="204"/>
        </w:trPr>
        <w:tc>
          <w:tcPr>
            <w:tcW w:w="2943" w:type="dxa"/>
            <w:tcBorders>
              <w:top w:val="nil"/>
              <w:left w:val="single" w:sz="4" w:space="0" w:color="auto"/>
              <w:bottom w:val="single" w:sz="4" w:space="0" w:color="auto"/>
              <w:right w:val="single" w:sz="4" w:space="0" w:color="auto"/>
            </w:tcBorders>
          </w:tcPr>
          <w:p w14:paraId="766D1327" w14:textId="77777777" w:rsidR="00E06A2F" w:rsidRPr="001F45A8" w:rsidRDefault="00E06A2F" w:rsidP="00C95A27">
            <w:pPr>
              <w:rPr>
                <w:rFonts w:ascii="Arial Narrow" w:hAnsi="Arial Narrow"/>
                <w:b/>
                <w:sz w:val="20"/>
              </w:rPr>
            </w:pPr>
          </w:p>
        </w:tc>
        <w:tc>
          <w:tcPr>
            <w:tcW w:w="1193" w:type="dxa"/>
            <w:tcBorders>
              <w:top w:val="nil"/>
              <w:left w:val="single" w:sz="4" w:space="0" w:color="auto"/>
              <w:bottom w:val="single" w:sz="4" w:space="0" w:color="auto"/>
              <w:right w:val="single" w:sz="4" w:space="0" w:color="auto"/>
            </w:tcBorders>
            <w:vAlign w:val="bottom"/>
          </w:tcPr>
          <w:p w14:paraId="5184A944" w14:textId="11145869" w:rsidR="00E06A2F" w:rsidRPr="00FF3B1A" w:rsidRDefault="00E06A2F" w:rsidP="00C95A27">
            <w:pPr>
              <w:pStyle w:val="Tabletext"/>
              <w:spacing w:before="0" w:after="0"/>
              <w:jc w:val="center"/>
              <w:rPr>
                <w:i/>
              </w:rPr>
            </w:pPr>
            <w:r w:rsidRPr="00FF3B1A">
              <w:rPr>
                <w:i/>
              </w:rPr>
              <w:t>$</w:t>
            </w:r>
            <w:r w:rsidR="004F6878" w:rsidRPr="004F6878">
              <w:rPr>
                <w:b/>
                <w:i/>
              </w:rPr>
              <w:t>redacted</w:t>
            </w:r>
          </w:p>
        </w:tc>
        <w:tc>
          <w:tcPr>
            <w:tcW w:w="0" w:type="auto"/>
            <w:tcBorders>
              <w:top w:val="nil"/>
              <w:left w:val="single" w:sz="4" w:space="0" w:color="auto"/>
              <w:bottom w:val="single" w:sz="4" w:space="0" w:color="auto"/>
              <w:right w:val="single" w:sz="4" w:space="0" w:color="auto"/>
            </w:tcBorders>
            <w:vAlign w:val="bottom"/>
          </w:tcPr>
          <w:p w14:paraId="695E7755" w14:textId="74C57200" w:rsidR="00E06A2F" w:rsidRPr="00FF3B1A" w:rsidRDefault="00E06A2F" w:rsidP="00C95A27">
            <w:pPr>
              <w:pStyle w:val="Tabletext"/>
              <w:spacing w:before="0" w:after="0"/>
              <w:jc w:val="center"/>
              <w:rPr>
                <w:i/>
              </w:rPr>
            </w:pPr>
            <w:r w:rsidRPr="00FF3B1A">
              <w:rPr>
                <w:i/>
              </w:rPr>
              <w:t>$</w:t>
            </w:r>
            <w:r w:rsidR="004F6878" w:rsidRPr="004F6878">
              <w:rPr>
                <w:b/>
                <w:i/>
              </w:rPr>
              <w:t>redacted</w:t>
            </w:r>
          </w:p>
        </w:tc>
        <w:tc>
          <w:tcPr>
            <w:tcW w:w="1172" w:type="dxa"/>
            <w:tcBorders>
              <w:top w:val="nil"/>
              <w:left w:val="single" w:sz="4" w:space="0" w:color="auto"/>
              <w:bottom w:val="single" w:sz="4" w:space="0" w:color="auto"/>
              <w:right w:val="single" w:sz="4" w:space="0" w:color="auto"/>
            </w:tcBorders>
            <w:vAlign w:val="bottom"/>
          </w:tcPr>
          <w:p w14:paraId="6814EBB7" w14:textId="22C4070A" w:rsidR="00E06A2F" w:rsidRPr="00FF3B1A" w:rsidRDefault="00E06A2F" w:rsidP="00C95A27">
            <w:pPr>
              <w:pStyle w:val="Tabletext"/>
              <w:spacing w:before="0" w:after="0"/>
              <w:jc w:val="center"/>
              <w:rPr>
                <w:i/>
              </w:rPr>
            </w:pPr>
            <w:r w:rsidRPr="00FF3B1A">
              <w:rPr>
                <w:i/>
              </w:rPr>
              <w:t>$</w:t>
            </w:r>
            <w:r w:rsidR="004F6878" w:rsidRPr="004F6878">
              <w:rPr>
                <w:b/>
                <w:i/>
              </w:rPr>
              <w:t>redacted</w:t>
            </w:r>
          </w:p>
        </w:tc>
        <w:tc>
          <w:tcPr>
            <w:tcW w:w="1560" w:type="dxa"/>
            <w:tcBorders>
              <w:top w:val="nil"/>
              <w:left w:val="single" w:sz="4" w:space="0" w:color="auto"/>
              <w:bottom w:val="single" w:sz="4" w:space="0" w:color="auto"/>
              <w:right w:val="single" w:sz="4" w:space="0" w:color="auto"/>
            </w:tcBorders>
            <w:vAlign w:val="bottom"/>
          </w:tcPr>
          <w:p w14:paraId="05A3C4A5" w14:textId="005F0207" w:rsidR="00E06A2F" w:rsidRPr="00FF3B1A" w:rsidRDefault="00E06A2F" w:rsidP="00C95A27">
            <w:pPr>
              <w:pStyle w:val="Tabletext"/>
              <w:spacing w:before="0" w:after="0"/>
              <w:jc w:val="center"/>
              <w:rPr>
                <w:i/>
              </w:rPr>
            </w:pPr>
            <w:r w:rsidRPr="00FF3B1A">
              <w:rPr>
                <w:i/>
              </w:rPr>
              <w:t>$</w:t>
            </w:r>
            <w:r w:rsidR="004F6878" w:rsidRPr="004F6878">
              <w:rPr>
                <w:b/>
                <w:i/>
              </w:rPr>
              <w:t>redacted</w:t>
            </w:r>
          </w:p>
        </w:tc>
        <w:tc>
          <w:tcPr>
            <w:tcW w:w="1253" w:type="dxa"/>
            <w:tcBorders>
              <w:top w:val="nil"/>
              <w:left w:val="single" w:sz="4" w:space="0" w:color="auto"/>
              <w:bottom w:val="single" w:sz="4" w:space="0" w:color="auto"/>
              <w:right w:val="single" w:sz="4" w:space="0" w:color="auto"/>
            </w:tcBorders>
            <w:vAlign w:val="bottom"/>
          </w:tcPr>
          <w:p w14:paraId="76BB9666" w14:textId="33247BDC" w:rsidR="00E06A2F" w:rsidRPr="00FF3B1A" w:rsidRDefault="00E06A2F" w:rsidP="00C95A27">
            <w:pPr>
              <w:pStyle w:val="Tabletext"/>
              <w:spacing w:before="0" w:after="0"/>
              <w:jc w:val="center"/>
              <w:rPr>
                <w:i/>
              </w:rPr>
            </w:pPr>
            <w:r w:rsidRPr="00FF3B1A">
              <w:rPr>
                <w:i/>
              </w:rPr>
              <w:t>$</w:t>
            </w:r>
            <w:r w:rsidR="004F6878" w:rsidRPr="004F6878">
              <w:rPr>
                <w:b/>
                <w:i/>
              </w:rPr>
              <w:t>redacted</w:t>
            </w:r>
          </w:p>
        </w:tc>
      </w:tr>
    </w:tbl>
    <w:p w14:paraId="48B87B08" w14:textId="77777777" w:rsidR="00E06A2F" w:rsidRPr="00E06A2F" w:rsidRDefault="00E06A2F" w:rsidP="00E06A2F">
      <w:pPr>
        <w:pStyle w:val="Tablenotes1"/>
        <w:rPr>
          <w:i/>
        </w:rPr>
      </w:pPr>
      <w:r w:rsidRPr="00E06A2F">
        <w:rPr>
          <w:i/>
        </w:rPr>
        <w:t>MBS=Medicare Benefits Schedule; Negative costs = savings. Negative services = reduced utilization; PHI=private health insurance</w:t>
      </w:r>
    </w:p>
    <w:p w14:paraId="6854CCC0" w14:textId="77777777" w:rsidR="00E06A2F" w:rsidRDefault="00E06A2F" w:rsidP="00E06A2F">
      <w:pPr>
        <w:pStyle w:val="Tablenotes1"/>
      </w:pPr>
      <w:r w:rsidRPr="001F45A8">
        <w:t xml:space="preserve">Values in </w:t>
      </w:r>
      <w:r w:rsidRPr="002E6009">
        <w:rPr>
          <w:i/>
        </w:rPr>
        <w:t>italics</w:t>
      </w:r>
      <w:r w:rsidRPr="001F45A8">
        <w:t xml:space="preserve"> are the recalculated values based on the changes shown in </w:t>
      </w:r>
      <w:r>
        <w:t>Table 10</w:t>
      </w:r>
      <w:r w:rsidRPr="001F45A8">
        <w:br/>
        <w:t xml:space="preserve">The ADAR applied the cost of revision surgeries to ‘Total hospital costs’ using a public AR-DRG-I16Z. The recalculated values apply a private payer AR-DRG- I16Z (as a cost to PHI) and MBS items 17610, 23045 and 48960 as costs to MBS.  </w:t>
      </w:r>
      <w:r w:rsidRPr="001F45A8">
        <w:br/>
        <w:t>Number of services of REGENETEN reflect the expected uptake of REGENETEN and the ‘Estimated change in services’ reflects changes in revision surgeries, based on the revision surgery rate specified in Table 78 pp155-156 in the ADAR</w:t>
      </w:r>
    </w:p>
    <w:p w14:paraId="130F2D5E" w14:textId="6671E10F" w:rsidR="00C95A27" w:rsidRPr="00C95A27" w:rsidRDefault="00E06A2F" w:rsidP="00C95A27">
      <w:pPr>
        <w:pStyle w:val="Tablenotes1"/>
        <w:spacing w:after="120"/>
        <w:rPr>
          <w:i/>
        </w:rPr>
      </w:pPr>
      <w:r w:rsidRPr="00FF3B1A">
        <w:rPr>
          <w:i/>
        </w:rPr>
        <w:t xml:space="preserve">Source: Compiled </w:t>
      </w:r>
      <w:r>
        <w:rPr>
          <w:i/>
        </w:rPr>
        <w:t>post</w:t>
      </w:r>
      <w:r w:rsidRPr="00FF3B1A">
        <w:rPr>
          <w:i/>
        </w:rPr>
        <w:t xml:space="preserve"> ESC by Department from Commentary Recalculated spreadsheet</w:t>
      </w:r>
      <w:bookmarkStart w:id="38" w:name="_Ref49847570"/>
    </w:p>
    <w:p w14:paraId="65E8DE04" w14:textId="0A435440" w:rsidR="00E06A2F" w:rsidRPr="00D32FC9" w:rsidRDefault="002808C4" w:rsidP="00D32FC9">
      <w:pPr>
        <w:rPr>
          <w:rFonts w:ascii="Arial Narrow" w:hAnsi="Arial Narrow"/>
          <w:b/>
          <w:sz w:val="20"/>
        </w:rPr>
      </w:pPr>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15</w:t>
      </w:r>
      <w:r w:rsidR="00F62D1A" w:rsidRPr="00D32FC9">
        <w:rPr>
          <w:rFonts w:ascii="Arial Narrow" w:hAnsi="Arial Narrow"/>
          <w:b/>
          <w:sz w:val="20"/>
        </w:rPr>
        <w:fldChar w:fldCharType="end"/>
      </w:r>
      <w:bookmarkEnd w:id="38"/>
      <w:r w:rsidR="00E06A2F" w:rsidRPr="00D32FC9">
        <w:rPr>
          <w:rFonts w:ascii="Arial Narrow" w:hAnsi="Arial Narrow"/>
          <w:b/>
          <w:sz w:val="20"/>
        </w:rPr>
        <w:t xml:space="preserve"> </w:t>
      </w:r>
      <w:r w:rsidR="00E06A2F" w:rsidRPr="00D32FC9">
        <w:rPr>
          <w:rFonts w:ascii="Arial Narrow" w:hAnsi="Arial Narrow"/>
          <w:b/>
          <w:sz w:val="20"/>
        </w:rPr>
        <w:tab/>
        <w:t>Total costs to the MBS associated with REGENETEN from ADAR- subpopulation 2 (FTRCT; 29%)</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1331"/>
        <w:gridCol w:w="1701"/>
        <w:gridCol w:w="992"/>
        <w:gridCol w:w="1848"/>
        <w:gridCol w:w="1848"/>
        <w:gridCol w:w="1848"/>
      </w:tblGrid>
      <w:tr w:rsidR="00E06A2F" w:rsidRPr="001F45A8" w14:paraId="2252B8DC" w14:textId="77777777" w:rsidTr="00455942">
        <w:trPr>
          <w:trHeight w:val="300"/>
          <w:tblHeader/>
        </w:trPr>
        <w:tc>
          <w:tcPr>
            <w:tcW w:w="1331" w:type="dxa"/>
            <w:tcBorders>
              <w:top w:val="single" w:sz="4" w:space="0" w:color="auto"/>
              <w:left w:val="single" w:sz="4" w:space="0" w:color="auto"/>
              <w:bottom w:val="single" w:sz="4" w:space="0" w:color="auto"/>
              <w:right w:val="single" w:sz="4" w:space="0" w:color="auto"/>
            </w:tcBorders>
            <w:vAlign w:val="center"/>
            <w:hideMark/>
          </w:tcPr>
          <w:p w14:paraId="319A3C5C" w14:textId="77777777" w:rsidR="00E06A2F" w:rsidRPr="001F45A8" w:rsidRDefault="00E06A2F" w:rsidP="00C95A27">
            <w:pPr>
              <w:pStyle w:val="TableHeading"/>
              <w:spacing w:before="0" w:after="0"/>
            </w:pPr>
            <w:r w:rsidRPr="001F45A8">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0A6766" w14:textId="77777777" w:rsidR="00E06A2F" w:rsidRPr="001F45A8" w:rsidRDefault="00E06A2F" w:rsidP="00C95A27">
            <w:pPr>
              <w:pStyle w:val="TableHeading"/>
              <w:spacing w:before="0" w:after="0"/>
              <w:jc w:val="center"/>
            </w:pPr>
            <w:r w:rsidRPr="001F45A8">
              <w:t>2020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2D5C96" w14:textId="77777777" w:rsidR="00E06A2F" w:rsidRPr="001F45A8" w:rsidRDefault="00E06A2F" w:rsidP="00C95A27">
            <w:pPr>
              <w:pStyle w:val="TableHeading"/>
              <w:spacing w:before="0" w:after="0"/>
              <w:jc w:val="center"/>
            </w:pPr>
            <w:r w:rsidRPr="001F45A8">
              <w:t>2021</w:t>
            </w:r>
          </w:p>
        </w:tc>
        <w:tc>
          <w:tcPr>
            <w:tcW w:w="1848" w:type="dxa"/>
            <w:tcBorders>
              <w:top w:val="single" w:sz="4" w:space="0" w:color="auto"/>
              <w:left w:val="single" w:sz="4" w:space="0" w:color="auto"/>
              <w:bottom w:val="single" w:sz="4" w:space="0" w:color="auto"/>
              <w:right w:val="single" w:sz="4" w:space="0" w:color="auto"/>
            </w:tcBorders>
            <w:vAlign w:val="center"/>
            <w:hideMark/>
          </w:tcPr>
          <w:p w14:paraId="1645F0F6" w14:textId="77777777" w:rsidR="00E06A2F" w:rsidRPr="001F45A8" w:rsidRDefault="00E06A2F" w:rsidP="00C95A27">
            <w:pPr>
              <w:pStyle w:val="TableHeading"/>
              <w:spacing w:before="0" w:after="0"/>
              <w:jc w:val="center"/>
            </w:pPr>
            <w:r w:rsidRPr="001F45A8">
              <w:t>2022</w:t>
            </w:r>
          </w:p>
        </w:tc>
        <w:tc>
          <w:tcPr>
            <w:tcW w:w="1848" w:type="dxa"/>
            <w:tcBorders>
              <w:top w:val="single" w:sz="4" w:space="0" w:color="auto"/>
              <w:left w:val="single" w:sz="4" w:space="0" w:color="auto"/>
              <w:bottom w:val="single" w:sz="4" w:space="0" w:color="auto"/>
              <w:right w:val="single" w:sz="4" w:space="0" w:color="auto"/>
            </w:tcBorders>
            <w:vAlign w:val="center"/>
            <w:hideMark/>
          </w:tcPr>
          <w:p w14:paraId="1439DA9F" w14:textId="77777777" w:rsidR="00E06A2F" w:rsidRPr="001F45A8" w:rsidRDefault="00E06A2F" w:rsidP="00C95A27">
            <w:pPr>
              <w:pStyle w:val="TableHeading"/>
              <w:spacing w:before="0" w:after="0"/>
              <w:jc w:val="center"/>
            </w:pPr>
            <w:r w:rsidRPr="001F45A8">
              <w:t>2023</w:t>
            </w:r>
          </w:p>
        </w:tc>
        <w:tc>
          <w:tcPr>
            <w:tcW w:w="1848" w:type="dxa"/>
            <w:tcBorders>
              <w:top w:val="single" w:sz="4" w:space="0" w:color="auto"/>
              <w:left w:val="single" w:sz="4" w:space="0" w:color="auto"/>
              <w:bottom w:val="single" w:sz="4" w:space="0" w:color="auto"/>
              <w:right w:val="single" w:sz="4" w:space="0" w:color="auto"/>
            </w:tcBorders>
            <w:vAlign w:val="center"/>
            <w:hideMark/>
          </w:tcPr>
          <w:p w14:paraId="0A84C3A8" w14:textId="77777777" w:rsidR="00E06A2F" w:rsidRPr="001F45A8" w:rsidRDefault="00E06A2F" w:rsidP="00C95A27">
            <w:pPr>
              <w:pStyle w:val="TableHeading"/>
              <w:spacing w:before="0" w:after="0"/>
              <w:jc w:val="center"/>
            </w:pPr>
            <w:r w:rsidRPr="001F45A8">
              <w:t>2024</w:t>
            </w:r>
          </w:p>
        </w:tc>
      </w:tr>
      <w:tr w:rsidR="00E06A2F" w:rsidRPr="001F45A8" w14:paraId="0B7481B0" w14:textId="77777777" w:rsidTr="00455942">
        <w:trPr>
          <w:cantSplit/>
          <w:trHeight w:val="300"/>
        </w:trPr>
        <w:tc>
          <w:tcPr>
            <w:tcW w:w="1331" w:type="dxa"/>
            <w:tcBorders>
              <w:top w:val="single" w:sz="4" w:space="0" w:color="auto"/>
              <w:left w:val="single" w:sz="4" w:space="0" w:color="auto"/>
              <w:bottom w:val="single" w:sz="4" w:space="0" w:color="auto"/>
              <w:right w:val="nil"/>
            </w:tcBorders>
            <w:hideMark/>
          </w:tcPr>
          <w:p w14:paraId="5A8A8592" w14:textId="77777777" w:rsidR="00E06A2F" w:rsidRPr="001F45A8" w:rsidRDefault="00E06A2F" w:rsidP="00C95A27">
            <w:pPr>
              <w:rPr>
                <w:rFonts w:ascii="Arial Narrow" w:hAnsi="Arial Narrow"/>
                <w:b/>
                <w:sz w:val="20"/>
              </w:rPr>
            </w:pPr>
            <w:r w:rsidRPr="001F45A8">
              <w:rPr>
                <w:rFonts w:ascii="Arial Narrow" w:hAnsi="Arial Narrow"/>
                <w:b/>
                <w:sz w:val="20"/>
              </w:rPr>
              <w:t>REGENETEN</w:t>
            </w:r>
          </w:p>
        </w:tc>
        <w:tc>
          <w:tcPr>
            <w:tcW w:w="1701" w:type="dxa"/>
            <w:tcBorders>
              <w:top w:val="single" w:sz="4" w:space="0" w:color="auto"/>
              <w:left w:val="nil"/>
              <w:bottom w:val="single" w:sz="4" w:space="0" w:color="auto"/>
              <w:right w:val="nil"/>
            </w:tcBorders>
            <w:hideMark/>
          </w:tcPr>
          <w:p w14:paraId="0F330DFB"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c>
          <w:tcPr>
            <w:tcW w:w="0" w:type="auto"/>
            <w:tcBorders>
              <w:top w:val="single" w:sz="4" w:space="0" w:color="auto"/>
              <w:left w:val="nil"/>
              <w:bottom w:val="single" w:sz="4" w:space="0" w:color="auto"/>
              <w:right w:val="nil"/>
            </w:tcBorders>
            <w:hideMark/>
          </w:tcPr>
          <w:p w14:paraId="34AC04CA"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c>
          <w:tcPr>
            <w:tcW w:w="1848" w:type="dxa"/>
            <w:tcBorders>
              <w:top w:val="single" w:sz="4" w:space="0" w:color="auto"/>
              <w:left w:val="nil"/>
              <w:bottom w:val="single" w:sz="4" w:space="0" w:color="auto"/>
              <w:right w:val="nil"/>
            </w:tcBorders>
            <w:hideMark/>
          </w:tcPr>
          <w:p w14:paraId="46409279"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c>
          <w:tcPr>
            <w:tcW w:w="1848" w:type="dxa"/>
            <w:tcBorders>
              <w:top w:val="single" w:sz="4" w:space="0" w:color="auto"/>
              <w:left w:val="nil"/>
              <w:bottom w:val="single" w:sz="4" w:space="0" w:color="auto"/>
              <w:right w:val="nil"/>
            </w:tcBorders>
            <w:hideMark/>
          </w:tcPr>
          <w:p w14:paraId="364004AC"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c>
          <w:tcPr>
            <w:tcW w:w="1848" w:type="dxa"/>
            <w:tcBorders>
              <w:top w:val="single" w:sz="4" w:space="0" w:color="auto"/>
              <w:left w:val="nil"/>
              <w:bottom w:val="single" w:sz="4" w:space="0" w:color="auto"/>
              <w:right w:val="single" w:sz="4" w:space="0" w:color="auto"/>
            </w:tcBorders>
            <w:hideMark/>
          </w:tcPr>
          <w:p w14:paraId="510016B8" w14:textId="77777777" w:rsidR="00E06A2F" w:rsidRPr="001F45A8" w:rsidRDefault="00E06A2F" w:rsidP="00C95A27">
            <w:pPr>
              <w:jc w:val="center"/>
              <w:rPr>
                <w:rFonts w:ascii="Arial Narrow" w:hAnsi="Arial Narrow"/>
                <w:b/>
                <w:sz w:val="20"/>
              </w:rPr>
            </w:pPr>
            <w:r w:rsidRPr="001F45A8">
              <w:rPr>
                <w:rFonts w:ascii="Arial Narrow" w:hAnsi="Arial Narrow"/>
                <w:b/>
                <w:sz w:val="20"/>
              </w:rPr>
              <w:t>-</w:t>
            </w:r>
          </w:p>
        </w:tc>
      </w:tr>
      <w:tr w:rsidR="004F6878" w:rsidRPr="001F45A8" w14:paraId="19B54E28" w14:textId="77777777" w:rsidTr="00455942">
        <w:trPr>
          <w:cantSplit/>
          <w:trHeight w:val="300"/>
        </w:trPr>
        <w:tc>
          <w:tcPr>
            <w:tcW w:w="1331" w:type="dxa"/>
            <w:tcBorders>
              <w:top w:val="single" w:sz="4" w:space="0" w:color="auto"/>
              <w:left w:val="single" w:sz="4" w:space="0" w:color="auto"/>
              <w:bottom w:val="single" w:sz="4" w:space="0" w:color="auto"/>
              <w:right w:val="single" w:sz="4" w:space="0" w:color="auto"/>
            </w:tcBorders>
            <w:hideMark/>
          </w:tcPr>
          <w:p w14:paraId="0FA0058C" w14:textId="77777777" w:rsidR="004F6878" w:rsidRPr="001F45A8" w:rsidRDefault="004F6878" w:rsidP="00C95A27">
            <w:pPr>
              <w:rPr>
                <w:rFonts w:ascii="Arial Narrow" w:hAnsi="Arial Narrow"/>
                <w:sz w:val="20"/>
              </w:rPr>
            </w:pPr>
            <w:r w:rsidRPr="001F45A8">
              <w:rPr>
                <w:rFonts w:ascii="Arial Narrow" w:hAnsi="Arial Narrow"/>
                <w:sz w:val="20"/>
              </w:rPr>
              <w:t>Number of services</w:t>
            </w:r>
          </w:p>
        </w:tc>
        <w:tc>
          <w:tcPr>
            <w:tcW w:w="1701" w:type="dxa"/>
            <w:tcBorders>
              <w:top w:val="single" w:sz="4" w:space="0" w:color="auto"/>
              <w:left w:val="single" w:sz="4" w:space="0" w:color="auto"/>
              <w:bottom w:val="single" w:sz="4" w:space="0" w:color="auto"/>
              <w:right w:val="single" w:sz="4" w:space="0" w:color="auto"/>
            </w:tcBorders>
            <w:hideMark/>
          </w:tcPr>
          <w:p w14:paraId="09017FB7" w14:textId="0EBD3F5A" w:rsidR="004F6878" w:rsidRPr="00B2592C" w:rsidRDefault="004F6878" w:rsidP="00C95A27">
            <w:pPr>
              <w:pStyle w:val="Tabletext"/>
              <w:spacing w:before="0" w:after="0"/>
              <w:jc w:val="center"/>
            </w:pPr>
            <w:r w:rsidRPr="000540F8">
              <w:rPr>
                <w:b/>
              </w:rPr>
              <w:t>redacted</w:t>
            </w:r>
          </w:p>
        </w:tc>
        <w:tc>
          <w:tcPr>
            <w:tcW w:w="0" w:type="auto"/>
            <w:tcBorders>
              <w:top w:val="single" w:sz="4" w:space="0" w:color="auto"/>
              <w:left w:val="single" w:sz="4" w:space="0" w:color="auto"/>
              <w:bottom w:val="single" w:sz="4" w:space="0" w:color="auto"/>
              <w:right w:val="single" w:sz="4" w:space="0" w:color="auto"/>
            </w:tcBorders>
            <w:hideMark/>
          </w:tcPr>
          <w:p w14:paraId="198D3745" w14:textId="5AC9F62C" w:rsidR="004F6878" w:rsidRPr="00B2592C" w:rsidRDefault="004F6878" w:rsidP="00C95A27">
            <w:pPr>
              <w:pStyle w:val="Tabletext"/>
              <w:spacing w:before="0" w:after="0"/>
              <w:jc w:val="center"/>
            </w:pPr>
            <w:r w:rsidRPr="000540F8">
              <w:rPr>
                <w:b/>
              </w:rPr>
              <w:t>redacted</w:t>
            </w:r>
          </w:p>
        </w:tc>
        <w:tc>
          <w:tcPr>
            <w:tcW w:w="1848" w:type="dxa"/>
            <w:tcBorders>
              <w:top w:val="single" w:sz="4" w:space="0" w:color="auto"/>
              <w:left w:val="single" w:sz="4" w:space="0" w:color="auto"/>
              <w:bottom w:val="single" w:sz="4" w:space="0" w:color="auto"/>
              <w:right w:val="single" w:sz="4" w:space="0" w:color="auto"/>
            </w:tcBorders>
            <w:hideMark/>
          </w:tcPr>
          <w:p w14:paraId="598E16D9" w14:textId="26E1F6AD" w:rsidR="004F6878" w:rsidRPr="00B2592C" w:rsidRDefault="004F6878" w:rsidP="00C95A27">
            <w:pPr>
              <w:pStyle w:val="Tabletext"/>
              <w:spacing w:before="0" w:after="0"/>
              <w:jc w:val="center"/>
            </w:pPr>
            <w:r w:rsidRPr="000540F8">
              <w:rPr>
                <w:b/>
              </w:rPr>
              <w:t>redacted</w:t>
            </w:r>
          </w:p>
        </w:tc>
        <w:tc>
          <w:tcPr>
            <w:tcW w:w="1848" w:type="dxa"/>
            <w:tcBorders>
              <w:top w:val="single" w:sz="4" w:space="0" w:color="auto"/>
              <w:left w:val="single" w:sz="4" w:space="0" w:color="auto"/>
              <w:bottom w:val="single" w:sz="4" w:space="0" w:color="auto"/>
              <w:right w:val="single" w:sz="4" w:space="0" w:color="auto"/>
            </w:tcBorders>
            <w:hideMark/>
          </w:tcPr>
          <w:p w14:paraId="3B0F794B" w14:textId="19D0F0D4" w:rsidR="004F6878" w:rsidRPr="00B2592C" w:rsidRDefault="004F6878" w:rsidP="00C95A27">
            <w:pPr>
              <w:pStyle w:val="Tabletext"/>
              <w:spacing w:before="0" w:after="0"/>
              <w:jc w:val="center"/>
            </w:pPr>
            <w:r w:rsidRPr="000540F8">
              <w:rPr>
                <w:b/>
              </w:rPr>
              <w:t>redacted</w:t>
            </w:r>
          </w:p>
        </w:tc>
        <w:tc>
          <w:tcPr>
            <w:tcW w:w="1848" w:type="dxa"/>
            <w:tcBorders>
              <w:top w:val="single" w:sz="4" w:space="0" w:color="auto"/>
              <w:left w:val="single" w:sz="4" w:space="0" w:color="auto"/>
              <w:bottom w:val="single" w:sz="4" w:space="0" w:color="auto"/>
              <w:right w:val="single" w:sz="4" w:space="0" w:color="auto"/>
            </w:tcBorders>
            <w:hideMark/>
          </w:tcPr>
          <w:p w14:paraId="5BAD12C1" w14:textId="44F325B8" w:rsidR="004F6878" w:rsidRPr="00B2592C" w:rsidRDefault="004F6878" w:rsidP="00C95A27">
            <w:pPr>
              <w:pStyle w:val="Tabletext"/>
              <w:spacing w:before="0" w:after="0"/>
              <w:jc w:val="center"/>
            </w:pPr>
            <w:r w:rsidRPr="000540F8">
              <w:rPr>
                <w:b/>
              </w:rPr>
              <w:t>redacted</w:t>
            </w:r>
          </w:p>
        </w:tc>
      </w:tr>
      <w:tr w:rsidR="00E06A2F" w:rsidRPr="001F45A8" w14:paraId="6E03D244" w14:textId="77777777" w:rsidTr="00455942">
        <w:trPr>
          <w:cantSplit/>
          <w:trHeight w:val="315"/>
        </w:trPr>
        <w:tc>
          <w:tcPr>
            <w:tcW w:w="1331" w:type="dxa"/>
            <w:tcBorders>
              <w:top w:val="single" w:sz="4" w:space="0" w:color="auto"/>
              <w:left w:val="single" w:sz="4" w:space="0" w:color="auto"/>
              <w:bottom w:val="single" w:sz="4" w:space="0" w:color="auto"/>
              <w:right w:val="single" w:sz="4" w:space="0" w:color="auto"/>
            </w:tcBorders>
            <w:hideMark/>
          </w:tcPr>
          <w:p w14:paraId="5B84186A" w14:textId="77777777" w:rsidR="00E06A2F" w:rsidRPr="001F45A8" w:rsidRDefault="00E06A2F" w:rsidP="00C95A27">
            <w:pPr>
              <w:rPr>
                <w:rFonts w:ascii="Arial Narrow" w:hAnsi="Arial Narrow"/>
                <w:sz w:val="20"/>
              </w:rPr>
            </w:pPr>
            <w:r w:rsidRPr="001F45A8">
              <w:rPr>
                <w:rFonts w:ascii="Arial Narrow" w:hAnsi="Arial Narrow"/>
                <w:sz w:val="20"/>
              </w:rPr>
              <w:t>Sub-total direct cost to MBS</w:t>
            </w:r>
          </w:p>
        </w:tc>
        <w:tc>
          <w:tcPr>
            <w:tcW w:w="1701" w:type="dxa"/>
            <w:tcBorders>
              <w:top w:val="single" w:sz="4" w:space="0" w:color="auto"/>
              <w:left w:val="single" w:sz="4" w:space="0" w:color="auto"/>
              <w:bottom w:val="single" w:sz="4" w:space="0" w:color="auto"/>
              <w:right w:val="single" w:sz="4" w:space="0" w:color="auto"/>
            </w:tcBorders>
            <w:hideMark/>
          </w:tcPr>
          <w:p w14:paraId="75A98A13"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c>
          <w:tcPr>
            <w:tcW w:w="0" w:type="auto"/>
            <w:tcBorders>
              <w:top w:val="single" w:sz="4" w:space="0" w:color="auto"/>
              <w:left w:val="single" w:sz="4" w:space="0" w:color="auto"/>
              <w:bottom w:val="single" w:sz="4" w:space="0" w:color="auto"/>
              <w:right w:val="single" w:sz="4" w:space="0" w:color="auto"/>
            </w:tcBorders>
            <w:hideMark/>
          </w:tcPr>
          <w:p w14:paraId="0422E681"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c>
          <w:tcPr>
            <w:tcW w:w="1848" w:type="dxa"/>
            <w:tcBorders>
              <w:top w:val="single" w:sz="4" w:space="0" w:color="auto"/>
              <w:left w:val="single" w:sz="4" w:space="0" w:color="auto"/>
              <w:bottom w:val="single" w:sz="4" w:space="0" w:color="auto"/>
              <w:right w:val="single" w:sz="4" w:space="0" w:color="auto"/>
            </w:tcBorders>
            <w:hideMark/>
          </w:tcPr>
          <w:p w14:paraId="49F1900B"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c>
          <w:tcPr>
            <w:tcW w:w="1848" w:type="dxa"/>
            <w:tcBorders>
              <w:top w:val="single" w:sz="4" w:space="0" w:color="auto"/>
              <w:left w:val="single" w:sz="4" w:space="0" w:color="auto"/>
              <w:bottom w:val="single" w:sz="4" w:space="0" w:color="auto"/>
              <w:right w:val="single" w:sz="4" w:space="0" w:color="auto"/>
            </w:tcBorders>
            <w:hideMark/>
          </w:tcPr>
          <w:p w14:paraId="532FE424"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c>
          <w:tcPr>
            <w:tcW w:w="1848" w:type="dxa"/>
            <w:tcBorders>
              <w:top w:val="single" w:sz="4" w:space="0" w:color="auto"/>
              <w:left w:val="single" w:sz="4" w:space="0" w:color="auto"/>
              <w:bottom w:val="single" w:sz="4" w:space="0" w:color="auto"/>
              <w:right w:val="single" w:sz="4" w:space="0" w:color="auto"/>
            </w:tcBorders>
            <w:hideMark/>
          </w:tcPr>
          <w:p w14:paraId="6F50135D" w14:textId="77777777" w:rsidR="00E06A2F" w:rsidRPr="001F45A8" w:rsidRDefault="00E06A2F" w:rsidP="00C95A27">
            <w:pPr>
              <w:jc w:val="center"/>
              <w:rPr>
                <w:rFonts w:ascii="Arial Narrow" w:hAnsi="Arial Narrow"/>
                <w:sz w:val="20"/>
              </w:rPr>
            </w:pPr>
            <w:r w:rsidRPr="001F45A8">
              <w:rPr>
                <w:rFonts w:ascii="Arial Narrow" w:hAnsi="Arial Narrow"/>
                <w:sz w:val="20"/>
              </w:rPr>
              <w:t>$0</w:t>
            </w:r>
          </w:p>
        </w:tc>
      </w:tr>
      <w:tr w:rsidR="00E06A2F" w:rsidRPr="001F45A8" w14:paraId="4100137B" w14:textId="77777777" w:rsidTr="004F6878">
        <w:trPr>
          <w:cantSplit/>
          <w:trHeight w:val="95"/>
        </w:trPr>
        <w:tc>
          <w:tcPr>
            <w:tcW w:w="9568" w:type="dxa"/>
            <w:gridSpan w:val="6"/>
            <w:tcBorders>
              <w:top w:val="single" w:sz="4" w:space="0" w:color="auto"/>
              <w:left w:val="single" w:sz="4" w:space="0" w:color="auto"/>
              <w:bottom w:val="single" w:sz="4" w:space="0" w:color="auto"/>
              <w:right w:val="single" w:sz="4" w:space="0" w:color="auto"/>
            </w:tcBorders>
            <w:vAlign w:val="center"/>
            <w:hideMark/>
          </w:tcPr>
          <w:p w14:paraId="23A661BB" w14:textId="77777777" w:rsidR="00E06A2F" w:rsidRPr="001F45A8" w:rsidRDefault="00E06A2F" w:rsidP="00C95A27">
            <w:pPr>
              <w:rPr>
                <w:rFonts w:ascii="Arial Narrow" w:hAnsi="Arial Narrow"/>
                <w:b/>
                <w:sz w:val="20"/>
              </w:rPr>
            </w:pPr>
            <w:r w:rsidRPr="001F45A8">
              <w:rPr>
                <w:rFonts w:ascii="Arial Narrow" w:hAnsi="Arial Narrow"/>
                <w:b/>
                <w:sz w:val="20"/>
              </w:rPr>
              <w:t>Revision surgeries and anaesthesia costs for initial surgery</w:t>
            </w:r>
          </w:p>
        </w:tc>
      </w:tr>
      <w:tr w:rsidR="00E06A2F" w:rsidRPr="001F45A8" w14:paraId="753BE12E" w14:textId="77777777" w:rsidTr="00455942">
        <w:trPr>
          <w:cantSplit/>
          <w:trHeight w:val="300"/>
        </w:trPr>
        <w:tc>
          <w:tcPr>
            <w:tcW w:w="1331" w:type="dxa"/>
            <w:tcBorders>
              <w:top w:val="single" w:sz="4" w:space="0" w:color="auto"/>
              <w:left w:val="single" w:sz="4" w:space="0" w:color="auto"/>
              <w:bottom w:val="single" w:sz="4" w:space="0" w:color="auto"/>
              <w:right w:val="single" w:sz="4" w:space="0" w:color="auto"/>
            </w:tcBorders>
            <w:hideMark/>
          </w:tcPr>
          <w:p w14:paraId="3AF839A3" w14:textId="77777777" w:rsidR="00E06A2F" w:rsidRPr="001F45A8" w:rsidRDefault="00E06A2F" w:rsidP="00C95A27">
            <w:pPr>
              <w:rPr>
                <w:rFonts w:ascii="Arial Narrow" w:hAnsi="Arial Narrow"/>
                <w:sz w:val="20"/>
              </w:rPr>
            </w:pPr>
            <w:r w:rsidRPr="001F45A8">
              <w:rPr>
                <w:rFonts w:ascii="Arial Narrow" w:hAnsi="Arial Narrow"/>
                <w:sz w:val="20"/>
              </w:rPr>
              <w:t xml:space="preserve">Estimated change in services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C807E4" w14:textId="77777777" w:rsidR="00E06A2F" w:rsidRPr="00B2592C" w:rsidRDefault="00E06A2F" w:rsidP="00C95A27">
            <w:pPr>
              <w:pStyle w:val="Tabletext"/>
              <w:spacing w:before="0" w:after="0"/>
              <w:jc w:val="center"/>
            </w:pPr>
            <w:r w:rsidRPr="00FF3B1A">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17E3A254" w14:textId="77777777" w:rsidR="00E06A2F" w:rsidRPr="00B2592C" w:rsidRDefault="00E06A2F" w:rsidP="00C95A27">
            <w:pPr>
              <w:pStyle w:val="Tabletext"/>
              <w:spacing w:before="0" w:after="0"/>
              <w:jc w:val="center"/>
            </w:pPr>
            <w:r w:rsidRPr="00FF3B1A">
              <w:t>-24</w:t>
            </w:r>
          </w:p>
        </w:tc>
        <w:tc>
          <w:tcPr>
            <w:tcW w:w="1848" w:type="dxa"/>
            <w:tcBorders>
              <w:top w:val="single" w:sz="4" w:space="0" w:color="auto"/>
              <w:left w:val="single" w:sz="4" w:space="0" w:color="auto"/>
              <w:bottom w:val="single" w:sz="4" w:space="0" w:color="auto"/>
              <w:right w:val="single" w:sz="4" w:space="0" w:color="auto"/>
            </w:tcBorders>
            <w:vAlign w:val="bottom"/>
            <w:hideMark/>
          </w:tcPr>
          <w:p w14:paraId="12D72498" w14:textId="77777777" w:rsidR="00E06A2F" w:rsidRPr="00B2592C" w:rsidRDefault="00E06A2F" w:rsidP="00C95A27">
            <w:pPr>
              <w:pStyle w:val="Tabletext"/>
              <w:spacing w:before="0" w:after="0"/>
              <w:jc w:val="center"/>
            </w:pPr>
            <w:r w:rsidRPr="00FF3B1A">
              <w:t>-37</w:t>
            </w:r>
          </w:p>
        </w:tc>
        <w:tc>
          <w:tcPr>
            <w:tcW w:w="1848" w:type="dxa"/>
            <w:tcBorders>
              <w:top w:val="single" w:sz="4" w:space="0" w:color="auto"/>
              <w:left w:val="single" w:sz="4" w:space="0" w:color="auto"/>
              <w:bottom w:val="single" w:sz="4" w:space="0" w:color="auto"/>
              <w:right w:val="single" w:sz="4" w:space="0" w:color="auto"/>
            </w:tcBorders>
            <w:vAlign w:val="bottom"/>
            <w:hideMark/>
          </w:tcPr>
          <w:p w14:paraId="62A397E9" w14:textId="77777777" w:rsidR="00E06A2F" w:rsidRPr="00B2592C" w:rsidRDefault="00E06A2F" w:rsidP="00C95A27">
            <w:pPr>
              <w:pStyle w:val="Tabletext"/>
              <w:spacing w:before="0" w:after="0"/>
              <w:jc w:val="center"/>
            </w:pPr>
            <w:r w:rsidRPr="00FF3B1A">
              <w:t>-50</w:t>
            </w:r>
          </w:p>
        </w:tc>
        <w:tc>
          <w:tcPr>
            <w:tcW w:w="1848" w:type="dxa"/>
            <w:tcBorders>
              <w:top w:val="single" w:sz="4" w:space="0" w:color="auto"/>
              <w:left w:val="single" w:sz="4" w:space="0" w:color="auto"/>
              <w:bottom w:val="single" w:sz="4" w:space="0" w:color="auto"/>
              <w:right w:val="single" w:sz="4" w:space="0" w:color="auto"/>
            </w:tcBorders>
            <w:vAlign w:val="bottom"/>
            <w:hideMark/>
          </w:tcPr>
          <w:p w14:paraId="3907A46E" w14:textId="77777777" w:rsidR="00E06A2F" w:rsidRPr="00B2592C" w:rsidRDefault="00E06A2F" w:rsidP="00C95A27">
            <w:pPr>
              <w:pStyle w:val="Tabletext"/>
              <w:spacing w:before="0" w:after="0"/>
              <w:jc w:val="center"/>
            </w:pPr>
            <w:r w:rsidRPr="00FF3B1A">
              <w:t>-64</w:t>
            </w:r>
          </w:p>
        </w:tc>
      </w:tr>
      <w:tr w:rsidR="00E06A2F" w:rsidRPr="001F45A8" w14:paraId="40DC32F9" w14:textId="77777777" w:rsidTr="00455942">
        <w:trPr>
          <w:cantSplit/>
          <w:trHeight w:val="315"/>
        </w:trPr>
        <w:tc>
          <w:tcPr>
            <w:tcW w:w="1331" w:type="dxa"/>
            <w:tcBorders>
              <w:top w:val="single" w:sz="4" w:space="0" w:color="auto"/>
              <w:left w:val="single" w:sz="4" w:space="0" w:color="auto"/>
              <w:bottom w:val="nil"/>
              <w:right w:val="single" w:sz="4" w:space="0" w:color="auto"/>
            </w:tcBorders>
            <w:hideMark/>
          </w:tcPr>
          <w:p w14:paraId="153A9E05" w14:textId="77777777" w:rsidR="00E06A2F" w:rsidRPr="001F45A8" w:rsidRDefault="00E06A2F" w:rsidP="00C95A27">
            <w:pPr>
              <w:rPr>
                <w:rFonts w:ascii="Arial Narrow" w:hAnsi="Arial Narrow"/>
                <w:sz w:val="20"/>
              </w:rPr>
            </w:pPr>
            <w:r>
              <w:rPr>
                <w:rFonts w:ascii="Arial Narrow" w:hAnsi="Arial Narrow"/>
                <w:sz w:val="20"/>
              </w:rPr>
              <w:t>Sub-total cost to MBS</w:t>
            </w:r>
          </w:p>
        </w:tc>
        <w:tc>
          <w:tcPr>
            <w:tcW w:w="1701" w:type="dxa"/>
            <w:tcBorders>
              <w:top w:val="single" w:sz="4" w:space="0" w:color="auto"/>
              <w:left w:val="single" w:sz="4" w:space="0" w:color="auto"/>
              <w:bottom w:val="nil"/>
              <w:right w:val="single" w:sz="4" w:space="0" w:color="auto"/>
            </w:tcBorders>
            <w:hideMark/>
          </w:tcPr>
          <w:p w14:paraId="1C36B79D" w14:textId="77777777" w:rsidR="00E06A2F" w:rsidRDefault="00E06A2F" w:rsidP="00C95A27">
            <w:pPr>
              <w:pStyle w:val="Tabletext"/>
              <w:spacing w:before="0" w:after="0"/>
              <w:jc w:val="center"/>
            </w:pPr>
            <w:r w:rsidRPr="00FF3B1A">
              <w:t>-$1,114</w:t>
            </w:r>
          </w:p>
          <w:p w14:paraId="04CCE67C" w14:textId="3234DFDE" w:rsidR="00455942" w:rsidRPr="00B2592C" w:rsidRDefault="00455942" w:rsidP="00C95A27">
            <w:pPr>
              <w:pStyle w:val="Tabletext"/>
              <w:spacing w:before="0" w:after="0"/>
              <w:jc w:val="center"/>
            </w:pPr>
            <w:r w:rsidRPr="00FF3B1A">
              <w:rPr>
                <w:i/>
              </w:rPr>
              <w:t>-$10,822</w:t>
            </w:r>
          </w:p>
        </w:tc>
        <w:tc>
          <w:tcPr>
            <w:tcW w:w="0" w:type="auto"/>
            <w:tcBorders>
              <w:top w:val="single" w:sz="4" w:space="0" w:color="auto"/>
              <w:left w:val="single" w:sz="4" w:space="0" w:color="auto"/>
              <w:bottom w:val="nil"/>
              <w:right w:val="single" w:sz="4" w:space="0" w:color="auto"/>
            </w:tcBorders>
            <w:hideMark/>
          </w:tcPr>
          <w:p w14:paraId="4AE8A697" w14:textId="77777777" w:rsidR="00E06A2F" w:rsidRDefault="00E06A2F" w:rsidP="00C95A27">
            <w:pPr>
              <w:pStyle w:val="Tabletext"/>
              <w:spacing w:before="0" w:after="0"/>
              <w:jc w:val="center"/>
            </w:pPr>
            <w:r w:rsidRPr="00FF3B1A">
              <w:t>-$2,264</w:t>
            </w:r>
          </w:p>
          <w:p w14:paraId="43B2CD28" w14:textId="406306EF" w:rsidR="00455942" w:rsidRPr="00B2592C" w:rsidRDefault="00455942" w:rsidP="00C95A27">
            <w:pPr>
              <w:pStyle w:val="Tabletext"/>
              <w:spacing w:before="0" w:after="0"/>
              <w:jc w:val="center"/>
            </w:pPr>
            <w:r w:rsidRPr="00FF3B1A">
              <w:rPr>
                <w:i/>
              </w:rPr>
              <w:t>-$21,999</w:t>
            </w:r>
          </w:p>
        </w:tc>
        <w:tc>
          <w:tcPr>
            <w:tcW w:w="1848" w:type="dxa"/>
            <w:tcBorders>
              <w:top w:val="single" w:sz="4" w:space="0" w:color="auto"/>
              <w:left w:val="single" w:sz="4" w:space="0" w:color="auto"/>
              <w:bottom w:val="nil"/>
              <w:right w:val="single" w:sz="4" w:space="0" w:color="auto"/>
            </w:tcBorders>
            <w:hideMark/>
          </w:tcPr>
          <w:p w14:paraId="3DD3A0AE" w14:textId="77777777" w:rsidR="00E06A2F" w:rsidRDefault="00E06A2F" w:rsidP="00C95A27">
            <w:pPr>
              <w:pStyle w:val="Tabletext"/>
              <w:spacing w:before="0" w:after="0"/>
              <w:jc w:val="center"/>
            </w:pPr>
            <w:r w:rsidRPr="00FF3B1A">
              <w:t>-$3,450</w:t>
            </w:r>
          </w:p>
          <w:p w14:paraId="3D755485" w14:textId="4BB2568E" w:rsidR="00455942" w:rsidRPr="00B2592C" w:rsidRDefault="00455942" w:rsidP="00C95A27">
            <w:pPr>
              <w:pStyle w:val="Tabletext"/>
              <w:spacing w:before="0" w:after="0"/>
              <w:jc w:val="center"/>
            </w:pPr>
            <w:r w:rsidRPr="00FF3B1A">
              <w:rPr>
                <w:i/>
              </w:rPr>
              <w:t>-$33,528</w:t>
            </w:r>
          </w:p>
        </w:tc>
        <w:tc>
          <w:tcPr>
            <w:tcW w:w="1848" w:type="dxa"/>
            <w:tcBorders>
              <w:top w:val="single" w:sz="4" w:space="0" w:color="auto"/>
              <w:left w:val="single" w:sz="4" w:space="0" w:color="auto"/>
              <w:bottom w:val="nil"/>
              <w:right w:val="single" w:sz="4" w:space="0" w:color="auto"/>
            </w:tcBorders>
            <w:hideMark/>
          </w:tcPr>
          <w:p w14:paraId="3A3B7B96" w14:textId="77777777" w:rsidR="00E06A2F" w:rsidRDefault="00E06A2F" w:rsidP="00C95A27">
            <w:pPr>
              <w:pStyle w:val="Tabletext"/>
              <w:spacing w:before="0" w:after="0"/>
              <w:jc w:val="center"/>
            </w:pPr>
            <w:r w:rsidRPr="00FF3B1A">
              <w:t>-$4,672</w:t>
            </w:r>
          </w:p>
          <w:p w14:paraId="593835C0" w14:textId="0D9C8746" w:rsidR="00455942" w:rsidRPr="00B2592C" w:rsidRDefault="00455942" w:rsidP="00C95A27">
            <w:pPr>
              <w:pStyle w:val="Tabletext"/>
              <w:spacing w:before="0" w:after="0"/>
              <w:jc w:val="center"/>
            </w:pPr>
            <w:r w:rsidRPr="00FF3B1A">
              <w:rPr>
                <w:i/>
              </w:rPr>
              <w:t>-$45,404</w:t>
            </w:r>
          </w:p>
        </w:tc>
        <w:tc>
          <w:tcPr>
            <w:tcW w:w="1848" w:type="dxa"/>
            <w:tcBorders>
              <w:top w:val="single" w:sz="4" w:space="0" w:color="auto"/>
              <w:left w:val="single" w:sz="4" w:space="0" w:color="auto"/>
              <w:bottom w:val="nil"/>
              <w:right w:val="single" w:sz="4" w:space="0" w:color="auto"/>
            </w:tcBorders>
            <w:hideMark/>
          </w:tcPr>
          <w:p w14:paraId="1C3F57F1" w14:textId="77777777" w:rsidR="00E06A2F" w:rsidRDefault="00E06A2F" w:rsidP="00C95A27">
            <w:pPr>
              <w:pStyle w:val="Tabletext"/>
              <w:spacing w:before="0" w:after="0"/>
              <w:jc w:val="center"/>
            </w:pPr>
            <w:r w:rsidRPr="00FF3B1A">
              <w:t>-$5,931</w:t>
            </w:r>
          </w:p>
          <w:p w14:paraId="5C72F2DF" w14:textId="63082EC7" w:rsidR="00455942" w:rsidRPr="00B2592C" w:rsidRDefault="00455942" w:rsidP="00C95A27">
            <w:pPr>
              <w:pStyle w:val="Tabletext"/>
              <w:spacing w:before="0" w:after="0"/>
              <w:jc w:val="center"/>
            </w:pPr>
            <w:r w:rsidRPr="00FF3B1A">
              <w:rPr>
                <w:i/>
              </w:rPr>
              <w:t>-$57,641</w:t>
            </w:r>
          </w:p>
        </w:tc>
      </w:tr>
      <w:tr w:rsidR="00E06A2F" w:rsidRPr="001F45A8" w14:paraId="717170B7" w14:textId="77777777" w:rsidTr="00455942">
        <w:trPr>
          <w:cantSplit/>
          <w:trHeight w:val="315"/>
        </w:trPr>
        <w:tc>
          <w:tcPr>
            <w:tcW w:w="1331" w:type="dxa"/>
            <w:tcBorders>
              <w:top w:val="single" w:sz="4" w:space="0" w:color="auto"/>
              <w:left w:val="single" w:sz="4" w:space="0" w:color="auto"/>
              <w:bottom w:val="single" w:sz="4" w:space="0" w:color="auto"/>
              <w:right w:val="single" w:sz="4" w:space="0" w:color="auto"/>
            </w:tcBorders>
            <w:hideMark/>
          </w:tcPr>
          <w:p w14:paraId="6BCB8A67" w14:textId="77777777" w:rsidR="00E06A2F" w:rsidRPr="001F45A8" w:rsidRDefault="00E06A2F" w:rsidP="00C95A27">
            <w:pPr>
              <w:rPr>
                <w:rFonts w:ascii="Arial Narrow" w:hAnsi="Arial Narrow"/>
                <w:b/>
                <w:sz w:val="20"/>
              </w:rPr>
            </w:pPr>
            <w:r w:rsidRPr="001F45A8">
              <w:rPr>
                <w:rFonts w:ascii="Arial Narrow" w:hAnsi="Arial Narrow"/>
                <w:b/>
                <w:sz w:val="20"/>
              </w:rPr>
              <w:t>Estimated change in services</w:t>
            </w:r>
          </w:p>
        </w:tc>
        <w:tc>
          <w:tcPr>
            <w:tcW w:w="1701" w:type="dxa"/>
            <w:tcBorders>
              <w:top w:val="single" w:sz="4" w:space="0" w:color="auto"/>
              <w:left w:val="single" w:sz="4" w:space="0" w:color="auto"/>
              <w:bottom w:val="single" w:sz="4" w:space="0" w:color="auto"/>
              <w:right w:val="single" w:sz="4" w:space="0" w:color="auto"/>
            </w:tcBorders>
            <w:hideMark/>
          </w:tcPr>
          <w:p w14:paraId="7A899344" w14:textId="77777777" w:rsidR="00E06A2F" w:rsidRPr="00FF3B1A" w:rsidRDefault="00E06A2F" w:rsidP="00C95A27">
            <w:pPr>
              <w:pStyle w:val="Tabletext"/>
              <w:spacing w:before="0" w:after="0"/>
              <w:jc w:val="center"/>
            </w:pPr>
            <w:r w:rsidRPr="00B2592C">
              <w:t>-17</w:t>
            </w:r>
          </w:p>
        </w:tc>
        <w:tc>
          <w:tcPr>
            <w:tcW w:w="0" w:type="auto"/>
            <w:tcBorders>
              <w:top w:val="single" w:sz="4" w:space="0" w:color="auto"/>
              <w:left w:val="single" w:sz="4" w:space="0" w:color="auto"/>
              <w:bottom w:val="single" w:sz="4" w:space="0" w:color="auto"/>
              <w:right w:val="single" w:sz="4" w:space="0" w:color="auto"/>
            </w:tcBorders>
            <w:hideMark/>
          </w:tcPr>
          <w:p w14:paraId="0AE38FAB" w14:textId="77777777" w:rsidR="00E06A2F" w:rsidRPr="00FF3B1A" w:rsidRDefault="00E06A2F" w:rsidP="00C95A27">
            <w:pPr>
              <w:pStyle w:val="Tabletext"/>
              <w:spacing w:before="0" w:after="0"/>
              <w:jc w:val="center"/>
            </w:pPr>
            <w:r w:rsidRPr="00B2592C">
              <w:t>-35</w:t>
            </w:r>
          </w:p>
        </w:tc>
        <w:tc>
          <w:tcPr>
            <w:tcW w:w="1848" w:type="dxa"/>
            <w:tcBorders>
              <w:top w:val="single" w:sz="4" w:space="0" w:color="auto"/>
              <w:left w:val="single" w:sz="4" w:space="0" w:color="auto"/>
              <w:bottom w:val="single" w:sz="4" w:space="0" w:color="auto"/>
              <w:right w:val="single" w:sz="4" w:space="0" w:color="auto"/>
            </w:tcBorders>
            <w:hideMark/>
          </w:tcPr>
          <w:p w14:paraId="570B3F41" w14:textId="77777777" w:rsidR="00E06A2F" w:rsidRPr="00FF3B1A" w:rsidRDefault="00E06A2F" w:rsidP="00C95A27">
            <w:pPr>
              <w:pStyle w:val="Tabletext"/>
              <w:spacing w:before="0" w:after="0"/>
              <w:jc w:val="center"/>
            </w:pPr>
            <w:r w:rsidRPr="00B2592C">
              <w:t>-53</w:t>
            </w:r>
          </w:p>
        </w:tc>
        <w:tc>
          <w:tcPr>
            <w:tcW w:w="1848" w:type="dxa"/>
            <w:tcBorders>
              <w:top w:val="single" w:sz="4" w:space="0" w:color="auto"/>
              <w:left w:val="single" w:sz="4" w:space="0" w:color="auto"/>
              <w:bottom w:val="single" w:sz="4" w:space="0" w:color="auto"/>
              <w:right w:val="single" w:sz="4" w:space="0" w:color="auto"/>
            </w:tcBorders>
            <w:hideMark/>
          </w:tcPr>
          <w:p w14:paraId="658679ED" w14:textId="77777777" w:rsidR="00E06A2F" w:rsidRPr="00FF3B1A" w:rsidRDefault="00E06A2F" w:rsidP="00C95A27">
            <w:pPr>
              <w:pStyle w:val="Tabletext"/>
              <w:spacing w:before="0" w:after="0"/>
              <w:jc w:val="center"/>
            </w:pPr>
            <w:r w:rsidRPr="00B2592C">
              <w:t>-71</w:t>
            </w:r>
          </w:p>
        </w:tc>
        <w:tc>
          <w:tcPr>
            <w:tcW w:w="1848" w:type="dxa"/>
            <w:tcBorders>
              <w:top w:val="single" w:sz="4" w:space="0" w:color="auto"/>
              <w:left w:val="single" w:sz="4" w:space="0" w:color="auto"/>
              <w:bottom w:val="single" w:sz="4" w:space="0" w:color="auto"/>
              <w:right w:val="single" w:sz="4" w:space="0" w:color="auto"/>
            </w:tcBorders>
            <w:hideMark/>
          </w:tcPr>
          <w:p w14:paraId="730066B7" w14:textId="77777777" w:rsidR="00E06A2F" w:rsidRPr="00FF3B1A" w:rsidRDefault="00E06A2F" w:rsidP="00C95A27">
            <w:pPr>
              <w:pStyle w:val="Tabletext"/>
              <w:spacing w:before="0" w:after="0"/>
              <w:jc w:val="center"/>
            </w:pPr>
            <w:r w:rsidRPr="00B2592C">
              <w:t>-91</w:t>
            </w:r>
          </w:p>
        </w:tc>
      </w:tr>
      <w:tr w:rsidR="00E06A2F" w:rsidRPr="001F45A8" w14:paraId="4B062B47" w14:textId="77777777" w:rsidTr="00455942">
        <w:trPr>
          <w:cantSplit/>
          <w:trHeight w:val="219"/>
        </w:trPr>
        <w:tc>
          <w:tcPr>
            <w:tcW w:w="1331" w:type="dxa"/>
            <w:tcBorders>
              <w:top w:val="single" w:sz="4" w:space="0" w:color="auto"/>
              <w:left w:val="single" w:sz="4" w:space="0" w:color="auto"/>
              <w:bottom w:val="nil"/>
              <w:right w:val="single" w:sz="4" w:space="0" w:color="auto"/>
            </w:tcBorders>
            <w:hideMark/>
          </w:tcPr>
          <w:p w14:paraId="27FE0E99" w14:textId="77777777" w:rsidR="00E06A2F" w:rsidRPr="001F45A8" w:rsidRDefault="00E06A2F" w:rsidP="00C95A27">
            <w:pPr>
              <w:rPr>
                <w:rFonts w:ascii="Arial Narrow" w:hAnsi="Arial Narrow"/>
                <w:b/>
                <w:sz w:val="20"/>
              </w:rPr>
            </w:pPr>
            <w:r w:rsidRPr="001F45A8">
              <w:rPr>
                <w:rFonts w:ascii="Arial Narrow" w:hAnsi="Arial Narrow"/>
                <w:b/>
                <w:sz w:val="20"/>
              </w:rPr>
              <w:t>Total costs to MBS</w:t>
            </w:r>
          </w:p>
        </w:tc>
        <w:tc>
          <w:tcPr>
            <w:tcW w:w="1701" w:type="dxa"/>
            <w:tcBorders>
              <w:top w:val="single" w:sz="4" w:space="0" w:color="auto"/>
              <w:left w:val="single" w:sz="4" w:space="0" w:color="auto"/>
              <w:bottom w:val="nil"/>
              <w:right w:val="single" w:sz="4" w:space="0" w:color="auto"/>
            </w:tcBorders>
            <w:hideMark/>
          </w:tcPr>
          <w:p w14:paraId="1F0E67BC" w14:textId="77777777" w:rsidR="00E06A2F" w:rsidRDefault="00E06A2F" w:rsidP="00C95A27">
            <w:pPr>
              <w:pStyle w:val="Tabletext"/>
              <w:spacing w:before="0" w:after="0"/>
              <w:jc w:val="center"/>
            </w:pPr>
            <w:r w:rsidRPr="00FF3B1A">
              <w:t>-$1,114</w:t>
            </w:r>
          </w:p>
          <w:p w14:paraId="5882CFA2" w14:textId="02BFA6B1" w:rsidR="00455942" w:rsidRPr="00FF3B1A" w:rsidRDefault="00455942" w:rsidP="00C95A27">
            <w:pPr>
              <w:pStyle w:val="Tabletext"/>
              <w:spacing w:before="0" w:after="0"/>
              <w:jc w:val="center"/>
            </w:pPr>
            <w:r w:rsidRPr="00D51E93">
              <w:rPr>
                <w:i/>
              </w:rPr>
              <w:t>-$10,822</w:t>
            </w:r>
          </w:p>
        </w:tc>
        <w:tc>
          <w:tcPr>
            <w:tcW w:w="0" w:type="auto"/>
            <w:tcBorders>
              <w:top w:val="single" w:sz="4" w:space="0" w:color="auto"/>
              <w:left w:val="single" w:sz="4" w:space="0" w:color="auto"/>
              <w:bottom w:val="nil"/>
              <w:right w:val="single" w:sz="4" w:space="0" w:color="auto"/>
            </w:tcBorders>
            <w:hideMark/>
          </w:tcPr>
          <w:p w14:paraId="348ACC1F" w14:textId="77777777" w:rsidR="00E06A2F" w:rsidRDefault="00E06A2F" w:rsidP="00C95A27">
            <w:pPr>
              <w:pStyle w:val="Tabletext"/>
              <w:spacing w:before="0" w:after="0"/>
              <w:jc w:val="center"/>
            </w:pPr>
            <w:r w:rsidRPr="00FF3B1A">
              <w:t>-$2,264</w:t>
            </w:r>
          </w:p>
          <w:p w14:paraId="2D6461B4" w14:textId="2B958118" w:rsidR="00455942" w:rsidRPr="00FF3B1A" w:rsidRDefault="00455942" w:rsidP="00C95A27">
            <w:pPr>
              <w:pStyle w:val="Tabletext"/>
              <w:spacing w:before="0" w:after="0"/>
              <w:jc w:val="center"/>
            </w:pPr>
            <w:r w:rsidRPr="00D51E93">
              <w:rPr>
                <w:i/>
              </w:rPr>
              <w:t>-$21,999</w:t>
            </w:r>
          </w:p>
        </w:tc>
        <w:tc>
          <w:tcPr>
            <w:tcW w:w="1848" w:type="dxa"/>
            <w:tcBorders>
              <w:top w:val="single" w:sz="4" w:space="0" w:color="auto"/>
              <w:left w:val="single" w:sz="4" w:space="0" w:color="auto"/>
              <w:bottom w:val="nil"/>
              <w:right w:val="single" w:sz="4" w:space="0" w:color="auto"/>
            </w:tcBorders>
            <w:hideMark/>
          </w:tcPr>
          <w:p w14:paraId="40926A37" w14:textId="77777777" w:rsidR="00E06A2F" w:rsidRDefault="00E06A2F" w:rsidP="00C95A27">
            <w:pPr>
              <w:pStyle w:val="Tabletext"/>
              <w:spacing w:before="0" w:after="0"/>
              <w:jc w:val="center"/>
            </w:pPr>
            <w:r w:rsidRPr="00FF3B1A">
              <w:t>-$3,450</w:t>
            </w:r>
          </w:p>
          <w:p w14:paraId="7F0506C9" w14:textId="781E18AF" w:rsidR="00455942" w:rsidRPr="00FF3B1A" w:rsidRDefault="00455942" w:rsidP="00C95A27">
            <w:pPr>
              <w:pStyle w:val="Tabletext"/>
              <w:spacing w:before="0" w:after="0"/>
              <w:jc w:val="center"/>
            </w:pPr>
            <w:r w:rsidRPr="00D51E93">
              <w:rPr>
                <w:i/>
              </w:rPr>
              <w:t>-$33,528</w:t>
            </w:r>
          </w:p>
        </w:tc>
        <w:tc>
          <w:tcPr>
            <w:tcW w:w="1848" w:type="dxa"/>
            <w:tcBorders>
              <w:top w:val="single" w:sz="4" w:space="0" w:color="auto"/>
              <w:left w:val="single" w:sz="4" w:space="0" w:color="auto"/>
              <w:bottom w:val="nil"/>
              <w:right w:val="single" w:sz="4" w:space="0" w:color="auto"/>
            </w:tcBorders>
            <w:hideMark/>
          </w:tcPr>
          <w:p w14:paraId="30D4F82F" w14:textId="77777777" w:rsidR="00E06A2F" w:rsidRDefault="00E06A2F" w:rsidP="00C95A27">
            <w:pPr>
              <w:pStyle w:val="Tabletext"/>
              <w:spacing w:before="0" w:after="0"/>
              <w:jc w:val="center"/>
            </w:pPr>
            <w:r w:rsidRPr="00FF3B1A">
              <w:t>-$4,672</w:t>
            </w:r>
          </w:p>
          <w:p w14:paraId="7EE24966" w14:textId="770A0650" w:rsidR="00455942" w:rsidRPr="00FF3B1A" w:rsidRDefault="00455942" w:rsidP="00C95A27">
            <w:pPr>
              <w:pStyle w:val="Tabletext"/>
              <w:spacing w:before="0" w:after="0"/>
              <w:jc w:val="center"/>
            </w:pPr>
            <w:r w:rsidRPr="00D51E93">
              <w:rPr>
                <w:i/>
              </w:rPr>
              <w:t>-$45,404</w:t>
            </w:r>
          </w:p>
        </w:tc>
        <w:tc>
          <w:tcPr>
            <w:tcW w:w="1848" w:type="dxa"/>
            <w:tcBorders>
              <w:top w:val="single" w:sz="4" w:space="0" w:color="auto"/>
              <w:left w:val="single" w:sz="4" w:space="0" w:color="auto"/>
              <w:bottom w:val="nil"/>
              <w:right w:val="single" w:sz="4" w:space="0" w:color="auto"/>
            </w:tcBorders>
            <w:hideMark/>
          </w:tcPr>
          <w:p w14:paraId="66709058" w14:textId="77777777" w:rsidR="00E06A2F" w:rsidRDefault="00E06A2F" w:rsidP="00C95A27">
            <w:pPr>
              <w:pStyle w:val="Tabletext"/>
              <w:spacing w:before="0" w:after="0"/>
              <w:jc w:val="center"/>
            </w:pPr>
            <w:r w:rsidRPr="00FF3B1A">
              <w:t>-$5,931</w:t>
            </w:r>
          </w:p>
          <w:p w14:paraId="4A26BBF9" w14:textId="45434D45" w:rsidR="00455942" w:rsidRPr="00FF3B1A" w:rsidRDefault="00455942" w:rsidP="00C95A27">
            <w:pPr>
              <w:pStyle w:val="Tabletext"/>
              <w:spacing w:before="0" w:after="0"/>
              <w:jc w:val="center"/>
            </w:pPr>
            <w:r w:rsidRPr="00D51E93">
              <w:rPr>
                <w:i/>
              </w:rPr>
              <w:t>-$57,641</w:t>
            </w:r>
          </w:p>
        </w:tc>
      </w:tr>
      <w:tr w:rsidR="00E06A2F" w:rsidRPr="001F45A8" w14:paraId="7B87A51C" w14:textId="77777777" w:rsidTr="00455942">
        <w:trPr>
          <w:cantSplit/>
          <w:trHeight w:val="270"/>
        </w:trPr>
        <w:tc>
          <w:tcPr>
            <w:tcW w:w="1331" w:type="dxa"/>
            <w:tcBorders>
              <w:top w:val="single" w:sz="4" w:space="0" w:color="auto"/>
              <w:left w:val="single" w:sz="4" w:space="0" w:color="auto"/>
              <w:bottom w:val="nil"/>
              <w:right w:val="single" w:sz="4" w:space="0" w:color="auto"/>
            </w:tcBorders>
            <w:hideMark/>
          </w:tcPr>
          <w:p w14:paraId="7549107A" w14:textId="77777777" w:rsidR="00E06A2F" w:rsidRPr="001F45A8" w:rsidRDefault="00E06A2F" w:rsidP="00C95A27">
            <w:pPr>
              <w:rPr>
                <w:rFonts w:ascii="Arial Narrow" w:hAnsi="Arial Narrow"/>
                <w:b/>
                <w:sz w:val="20"/>
              </w:rPr>
            </w:pPr>
            <w:r w:rsidRPr="001F45A8">
              <w:rPr>
                <w:rFonts w:ascii="Arial Narrow" w:hAnsi="Arial Narrow"/>
                <w:b/>
                <w:sz w:val="20"/>
              </w:rPr>
              <w:t>Total hospital costs</w:t>
            </w:r>
          </w:p>
        </w:tc>
        <w:tc>
          <w:tcPr>
            <w:tcW w:w="1701" w:type="dxa"/>
            <w:tcBorders>
              <w:top w:val="single" w:sz="4" w:space="0" w:color="auto"/>
              <w:left w:val="single" w:sz="4" w:space="0" w:color="auto"/>
              <w:bottom w:val="nil"/>
              <w:right w:val="single" w:sz="4" w:space="0" w:color="auto"/>
            </w:tcBorders>
            <w:hideMark/>
          </w:tcPr>
          <w:p w14:paraId="4C20D601" w14:textId="77777777" w:rsidR="00E06A2F" w:rsidRDefault="00E06A2F" w:rsidP="00C95A27">
            <w:pPr>
              <w:pStyle w:val="Tabletext"/>
              <w:spacing w:before="0" w:after="0"/>
              <w:jc w:val="center"/>
            </w:pPr>
            <w:r w:rsidRPr="00FF3B1A">
              <w:t>-$74,457</w:t>
            </w:r>
          </w:p>
          <w:p w14:paraId="0F0A214B" w14:textId="0FEA79EC" w:rsidR="00455942" w:rsidRPr="00FF3B1A" w:rsidRDefault="00455942" w:rsidP="00C95A27">
            <w:pPr>
              <w:pStyle w:val="Tabletext"/>
              <w:spacing w:before="0" w:after="0"/>
              <w:jc w:val="center"/>
            </w:pPr>
            <w:r w:rsidRPr="00FF3B1A">
              <w:rPr>
                <w:i/>
              </w:rPr>
              <w:t>$26,401</w:t>
            </w:r>
          </w:p>
        </w:tc>
        <w:tc>
          <w:tcPr>
            <w:tcW w:w="0" w:type="auto"/>
            <w:tcBorders>
              <w:top w:val="single" w:sz="4" w:space="0" w:color="auto"/>
              <w:left w:val="single" w:sz="4" w:space="0" w:color="auto"/>
              <w:bottom w:val="nil"/>
              <w:right w:val="single" w:sz="4" w:space="0" w:color="auto"/>
            </w:tcBorders>
            <w:hideMark/>
          </w:tcPr>
          <w:p w14:paraId="2DA761EE" w14:textId="77777777" w:rsidR="00E06A2F" w:rsidRDefault="00E06A2F" w:rsidP="00C95A27">
            <w:pPr>
              <w:pStyle w:val="Tabletext"/>
              <w:spacing w:before="0" w:after="0"/>
              <w:jc w:val="center"/>
            </w:pPr>
            <w:r w:rsidRPr="00FF3B1A">
              <w:t>-$151,353</w:t>
            </w:r>
          </w:p>
          <w:p w14:paraId="12ABEF39" w14:textId="65198493" w:rsidR="00455942" w:rsidRPr="00FF3B1A" w:rsidRDefault="00455942" w:rsidP="00C95A27">
            <w:pPr>
              <w:pStyle w:val="Tabletext"/>
              <w:spacing w:before="0" w:after="0"/>
              <w:jc w:val="center"/>
            </w:pPr>
            <w:r w:rsidRPr="00FF3B1A">
              <w:rPr>
                <w:i/>
              </w:rPr>
              <w:t>$53,666</w:t>
            </w:r>
          </w:p>
        </w:tc>
        <w:tc>
          <w:tcPr>
            <w:tcW w:w="1848" w:type="dxa"/>
            <w:tcBorders>
              <w:top w:val="single" w:sz="4" w:space="0" w:color="auto"/>
              <w:left w:val="single" w:sz="4" w:space="0" w:color="auto"/>
              <w:bottom w:val="nil"/>
              <w:right w:val="single" w:sz="4" w:space="0" w:color="auto"/>
            </w:tcBorders>
            <w:hideMark/>
          </w:tcPr>
          <w:p w14:paraId="1FC0681D" w14:textId="77777777" w:rsidR="00E06A2F" w:rsidRDefault="00E06A2F" w:rsidP="00C95A27">
            <w:pPr>
              <w:pStyle w:val="Tabletext"/>
              <w:spacing w:before="0" w:after="0"/>
              <w:jc w:val="center"/>
            </w:pPr>
            <w:r w:rsidRPr="00FF3B1A">
              <w:t>-$230,674</w:t>
            </w:r>
          </w:p>
          <w:p w14:paraId="6905214A" w14:textId="705AE3F8" w:rsidR="00455942" w:rsidRPr="00FF3B1A" w:rsidRDefault="00455942" w:rsidP="00C95A27">
            <w:pPr>
              <w:pStyle w:val="Tabletext"/>
              <w:spacing w:before="0" w:after="0"/>
              <w:jc w:val="center"/>
            </w:pPr>
            <w:r w:rsidRPr="00FF3B1A">
              <w:rPr>
                <w:i/>
              </w:rPr>
              <w:t>$81,792</w:t>
            </w:r>
          </w:p>
        </w:tc>
        <w:tc>
          <w:tcPr>
            <w:tcW w:w="1848" w:type="dxa"/>
            <w:tcBorders>
              <w:top w:val="single" w:sz="4" w:space="0" w:color="auto"/>
              <w:left w:val="single" w:sz="4" w:space="0" w:color="auto"/>
              <w:bottom w:val="nil"/>
              <w:right w:val="single" w:sz="4" w:space="0" w:color="auto"/>
            </w:tcBorders>
            <w:hideMark/>
          </w:tcPr>
          <w:p w14:paraId="19A5999C" w14:textId="77777777" w:rsidR="00E06A2F" w:rsidRDefault="00E06A2F" w:rsidP="00C95A27">
            <w:pPr>
              <w:pStyle w:val="Tabletext"/>
              <w:spacing w:before="0" w:after="0"/>
              <w:jc w:val="center"/>
            </w:pPr>
            <w:r w:rsidRPr="00FF3B1A">
              <w:t>-$312,375</w:t>
            </w:r>
          </w:p>
          <w:p w14:paraId="04DB0DF2" w14:textId="55F02535" w:rsidR="00455942" w:rsidRPr="00FF3B1A" w:rsidRDefault="00455942" w:rsidP="00C95A27">
            <w:pPr>
              <w:pStyle w:val="Tabletext"/>
              <w:spacing w:before="0" w:after="0"/>
              <w:jc w:val="center"/>
            </w:pPr>
            <w:r w:rsidRPr="00FF3B1A">
              <w:rPr>
                <w:i/>
              </w:rPr>
              <w:t>$110,761</w:t>
            </w:r>
          </w:p>
        </w:tc>
        <w:tc>
          <w:tcPr>
            <w:tcW w:w="1848" w:type="dxa"/>
            <w:tcBorders>
              <w:top w:val="single" w:sz="4" w:space="0" w:color="auto"/>
              <w:left w:val="single" w:sz="4" w:space="0" w:color="auto"/>
              <w:bottom w:val="nil"/>
              <w:right w:val="single" w:sz="4" w:space="0" w:color="auto"/>
            </w:tcBorders>
            <w:hideMark/>
          </w:tcPr>
          <w:p w14:paraId="7CE23F5D" w14:textId="77777777" w:rsidR="00E06A2F" w:rsidRDefault="00E06A2F" w:rsidP="00C95A27">
            <w:pPr>
              <w:pStyle w:val="Tabletext"/>
              <w:spacing w:before="0" w:after="0"/>
              <w:jc w:val="center"/>
            </w:pPr>
            <w:r w:rsidRPr="00FF3B1A">
              <w:t>-$396,569</w:t>
            </w:r>
          </w:p>
          <w:p w14:paraId="62B2AC44" w14:textId="3E24712D" w:rsidR="00455942" w:rsidRPr="00FF3B1A" w:rsidRDefault="00455942" w:rsidP="00C95A27">
            <w:pPr>
              <w:pStyle w:val="Tabletext"/>
              <w:spacing w:before="0" w:after="0"/>
              <w:jc w:val="center"/>
            </w:pPr>
            <w:r w:rsidRPr="00FF3B1A">
              <w:rPr>
                <w:i/>
              </w:rPr>
              <w:t>$140,614</w:t>
            </w:r>
          </w:p>
        </w:tc>
      </w:tr>
      <w:tr w:rsidR="00E06A2F" w:rsidRPr="001F45A8" w14:paraId="0B10CCF7" w14:textId="77777777" w:rsidTr="00455942">
        <w:trPr>
          <w:trHeight w:val="300"/>
        </w:trPr>
        <w:tc>
          <w:tcPr>
            <w:tcW w:w="1331" w:type="dxa"/>
            <w:tcBorders>
              <w:top w:val="single" w:sz="4" w:space="0" w:color="auto"/>
              <w:left w:val="single" w:sz="4" w:space="0" w:color="auto"/>
              <w:bottom w:val="single" w:sz="4" w:space="0" w:color="auto"/>
              <w:right w:val="single" w:sz="4" w:space="0" w:color="auto"/>
            </w:tcBorders>
            <w:hideMark/>
          </w:tcPr>
          <w:p w14:paraId="5D5667AA" w14:textId="77777777" w:rsidR="00E06A2F" w:rsidRPr="001F45A8" w:rsidRDefault="00E06A2F" w:rsidP="00C95A27">
            <w:pPr>
              <w:rPr>
                <w:rFonts w:ascii="Arial Narrow" w:hAnsi="Arial Narrow"/>
                <w:b/>
                <w:sz w:val="20"/>
              </w:rPr>
            </w:pPr>
            <w:r w:rsidRPr="001F45A8">
              <w:rPr>
                <w:rFonts w:ascii="Arial Narrow" w:hAnsi="Arial Narrow"/>
                <w:b/>
                <w:sz w:val="20"/>
              </w:rPr>
              <w:t>Total costs to PHI</w:t>
            </w:r>
          </w:p>
        </w:tc>
        <w:tc>
          <w:tcPr>
            <w:tcW w:w="1701" w:type="dxa"/>
            <w:tcBorders>
              <w:top w:val="single" w:sz="4" w:space="0" w:color="auto"/>
              <w:left w:val="single" w:sz="4" w:space="0" w:color="auto"/>
              <w:bottom w:val="single" w:sz="4" w:space="0" w:color="auto"/>
              <w:right w:val="single" w:sz="4" w:space="0" w:color="auto"/>
            </w:tcBorders>
            <w:hideMark/>
          </w:tcPr>
          <w:p w14:paraId="5F3496C1" w14:textId="77777777" w:rsidR="00E06A2F" w:rsidRDefault="00E06A2F" w:rsidP="00C95A27">
            <w:pPr>
              <w:pStyle w:val="Tabletext"/>
              <w:spacing w:before="0" w:after="0"/>
              <w:jc w:val="center"/>
              <w:rPr>
                <w:b/>
              </w:rPr>
            </w:pPr>
            <w:r w:rsidRPr="00FF3B1A">
              <w:t>$</w:t>
            </w:r>
            <w:r w:rsidR="004F6878" w:rsidRPr="003F735A">
              <w:rPr>
                <w:b/>
              </w:rPr>
              <w:t>redacted</w:t>
            </w:r>
          </w:p>
          <w:p w14:paraId="56D3CA5C" w14:textId="0DB88E69" w:rsidR="00455942" w:rsidRPr="00FF3B1A" w:rsidRDefault="00455942" w:rsidP="00C95A27">
            <w:pPr>
              <w:pStyle w:val="Tabletext"/>
              <w:spacing w:before="0" w:after="0"/>
              <w:jc w:val="center"/>
            </w:pPr>
            <w:r w:rsidRPr="00FF3B1A">
              <w:rPr>
                <w:i/>
              </w:rPr>
              <w:t>$</w:t>
            </w:r>
            <w:r w:rsidRPr="004F6878">
              <w:rPr>
                <w:b/>
                <w:i/>
              </w:rPr>
              <w:t>redacted</w:t>
            </w:r>
          </w:p>
        </w:tc>
        <w:tc>
          <w:tcPr>
            <w:tcW w:w="0" w:type="auto"/>
            <w:tcBorders>
              <w:top w:val="single" w:sz="4" w:space="0" w:color="auto"/>
              <w:left w:val="single" w:sz="4" w:space="0" w:color="auto"/>
              <w:bottom w:val="single" w:sz="4" w:space="0" w:color="auto"/>
              <w:right w:val="single" w:sz="4" w:space="0" w:color="auto"/>
            </w:tcBorders>
            <w:hideMark/>
          </w:tcPr>
          <w:p w14:paraId="235ED69B" w14:textId="77777777" w:rsidR="00E06A2F" w:rsidRDefault="00E06A2F" w:rsidP="00C95A27">
            <w:pPr>
              <w:pStyle w:val="Tabletext"/>
              <w:spacing w:before="0" w:after="0"/>
              <w:jc w:val="center"/>
              <w:rPr>
                <w:b/>
              </w:rPr>
            </w:pPr>
            <w:r w:rsidRPr="00FF3B1A">
              <w:t>$</w:t>
            </w:r>
            <w:r w:rsidR="004F6878" w:rsidRPr="003F735A">
              <w:rPr>
                <w:b/>
              </w:rPr>
              <w:t>redacted</w:t>
            </w:r>
          </w:p>
          <w:p w14:paraId="160710F4" w14:textId="3A812212" w:rsidR="00455942" w:rsidRPr="00FF3B1A" w:rsidRDefault="00455942" w:rsidP="00C95A27">
            <w:pPr>
              <w:pStyle w:val="Tabletext"/>
              <w:spacing w:before="0" w:after="0"/>
              <w:jc w:val="center"/>
            </w:pPr>
            <w:r w:rsidRPr="00FF3B1A">
              <w:rPr>
                <w:i/>
              </w:rPr>
              <w:t>$</w:t>
            </w:r>
            <w:r w:rsidRPr="004F6878">
              <w:rPr>
                <w:b/>
                <w:i/>
              </w:rPr>
              <w:t>redacted</w:t>
            </w:r>
          </w:p>
        </w:tc>
        <w:tc>
          <w:tcPr>
            <w:tcW w:w="1848" w:type="dxa"/>
            <w:tcBorders>
              <w:top w:val="single" w:sz="4" w:space="0" w:color="auto"/>
              <w:left w:val="single" w:sz="4" w:space="0" w:color="auto"/>
              <w:bottom w:val="single" w:sz="4" w:space="0" w:color="auto"/>
              <w:right w:val="single" w:sz="4" w:space="0" w:color="auto"/>
            </w:tcBorders>
            <w:hideMark/>
          </w:tcPr>
          <w:p w14:paraId="28220859" w14:textId="77777777" w:rsidR="00E06A2F" w:rsidRDefault="00E06A2F" w:rsidP="00C95A27">
            <w:pPr>
              <w:pStyle w:val="Tabletext"/>
              <w:spacing w:before="0" w:after="0"/>
              <w:jc w:val="center"/>
              <w:rPr>
                <w:b/>
              </w:rPr>
            </w:pPr>
            <w:r w:rsidRPr="00FF3B1A">
              <w:t>$</w:t>
            </w:r>
            <w:r w:rsidR="004F6878" w:rsidRPr="003F735A">
              <w:rPr>
                <w:b/>
              </w:rPr>
              <w:t>redacted</w:t>
            </w:r>
          </w:p>
          <w:p w14:paraId="282218D7" w14:textId="219908B2" w:rsidR="00455942" w:rsidRPr="00FF3B1A" w:rsidRDefault="00455942" w:rsidP="00C95A27">
            <w:pPr>
              <w:pStyle w:val="Tabletext"/>
              <w:spacing w:before="0" w:after="0"/>
              <w:jc w:val="center"/>
            </w:pPr>
            <w:r w:rsidRPr="00FF3B1A">
              <w:rPr>
                <w:i/>
              </w:rPr>
              <w:t>$</w:t>
            </w:r>
            <w:r w:rsidRPr="004F6878">
              <w:rPr>
                <w:b/>
                <w:i/>
              </w:rPr>
              <w:t>redacted</w:t>
            </w:r>
          </w:p>
        </w:tc>
        <w:tc>
          <w:tcPr>
            <w:tcW w:w="1848" w:type="dxa"/>
            <w:tcBorders>
              <w:top w:val="single" w:sz="4" w:space="0" w:color="auto"/>
              <w:left w:val="single" w:sz="4" w:space="0" w:color="auto"/>
              <w:bottom w:val="single" w:sz="4" w:space="0" w:color="auto"/>
              <w:right w:val="single" w:sz="4" w:space="0" w:color="auto"/>
            </w:tcBorders>
            <w:hideMark/>
          </w:tcPr>
          <w:p w14:paraId="0A124DF3" w14:textId="77777777" w:rsidR="00E06A2F" w:rsidRDefault="00E06A2F" w:rsidP="00C95A27">
            <w:pPr>
              <w:pStyle w:val="Tabletext"/>
              <w:spacing w:before="0" w:after="0"/>
              <w:jc w:val="center"/>
              <w:rPr>
                <w:b/>
              </w:rPr>
            </w:pPr>
            <w:r w:rsidRPr="00FF3B1A">
              <w:t>$</w:t>
            </w:r>
            <w:r w:rsidR="004F6878" w:rsidRPr="003F735A">
              <w:rPr>
                <w:b/>
              </w:rPr>
              <w:t>redacted</w:t>
            </w:r>
          </w:p>
          <w:p w14:paraId="3F1FAC6C" w14:textId="614442D7" w:rsidR="00455942" w:rsidRPr="00FF3B1A" w:rsidRDefault="00455942" w:rsidP="00C95A27">
            <w:pPr>
              <w:pStyle w:val="Tabletext"/>
              <w:spacing w:before="0" w:after="0"/>
              <w:jc w:val="center"/>
            </w:pPr>
            <w:r w:rsidRPr="00FF3B1A">
              <w:rPr>
                <w:i/>
              </w:rPr>
              <w:t>$</w:t>
            </w:r>
            <w:r w:rsidRPr="004F6878">
              <w:rPr>
                <w:b/>
                <w:i/>
              </w:rPr>
              <w:t>redacted</w:t>
            </w:r>
          </w:p>
        </w:tc>
        <w:tc>
          <w:tcPr>
            <w:tcW w:w="1848" w:type="dxa"/>
            <w:tcBorders>
              <w:top w:val="single" w:sz="4" w:space="0" w:color="auto"/>
              <w:left w:val="single" w:sz="4" w:space="0" w:color="auto"/>
              <w:bottom w:val="single" w:sz="4" w:space="0" w:color="auto"/>
              <w:right w:val="single" w:sz="4" w:space="0" w:color="auto"/>
            </w:tcBorders>
            <w:hideMark/>
          </w:tcPr>
          <w:p w14:paraId="473C94B0" w14:textId="77777777" w:rsidR="00E06A2F" w:rsidRDefault="00E06A2F" w:rsidP="00C95A27">
            <w:pPr>
              <w:pStyle w:val="Tabletext"/>
              <w:spacing w:before="0" w:after="0"/>
              <w:jc w:val="center"/>
              <w:rPr>
                <w:b/>
              </w:rPr>
            </w:pPr>
            <w:r w:rsidRPr="00FF3B1A">
              <w:t>$</w:t>
            </w:r>
            <w:r w:rsidR="004F6878" w:rsidRPr="003F735A">
              <w:rPr>
                <w:b/>
              </w:rPr>
              <w:t>redacted</w:t>
            </w:r>
          </w:p>
          <w:p w14:paraId="3D268D8A" w14:textId="3BC511B9" w:rsidR="00455942" w:rsidRPr="00FF3B1A" w:rsidRDefault="00455942" w:rsidP="00C95A27">
            <w:pPr>
              <w:pStyle w:val="Tabletext"/>
              <w:spacing w:before="0" w:after="0"/>
              <w:jc w:val="center"/>
            </w:pPr>
            <w:r w:rsidRPr="00FF3B1A">
              <w:rPr>
                <w:i/>
              </w:rPr>
              <w:t>$</w:t>
            </w:r>
            <w:r w:rsidRPr="004F6878">
              <w:rPr>
                <w:b/>
                <w:i/>
              </w:rPr>
              <w:t>redacted</w:t>
            </w:r>
          </w:p>
        </w:tc>
      </w:tr>
      <w:tr w:rsidR="00E06A2F" w:rsidRPr="001F45A8" w14:paraId="64FD66E7" w14:textId="77777777" w:rsidTr="00455942">
        <w:trPr>
          <w:trHeight w:val="240"/>
        </w:trPr>
        <w:tc>
          <w:tcPr>
            <w:tcW w:w="1331" w:type="dxa"/>
            <w:tcBorders>
              <w:top w:val="single" w:sz="4" w:space="0" w:color="auto"/>
              <w:left w:val="single" w:sz="4" w:space="0" w:color="auto"/>
              <w:bottom w:val="single" w:sz="4" w:space="0" w:color="auto"/>
              <w:right w:val="single" w:sz="4" w:space="0" w:color="auto"/>
            </w:tcBorders>
            <w:hideMark/>
          </w:tcPr>
          <w:p w14:paraId="6F9992EA" w14:textId="77777777" w:rsidR="00E06A2F" w:rsidRPr="001F45A8" w:rsidRDefault="00E06A2F" w:rsidP="00C95A27">
            <w:pPr>
              <w:rPr>
                <w:rFonts w:ascii="Arial Narrow" w:hAnsi="Arial Narrow"/>
                <w:b/>
                <w:sz w:val="20"/>
              </w:rPr>
            </w:pPr>
            <w:r w:rsidRPr="001F45A8">
              <w:rPr>
                <w:rFonts w:ascii="Arial Narrow" w:hAnsi="Arial Narrow"/>
                <w:b/>
                <w:sz w:val="20"/>
              </w:rPr>
              <w:t>Total overall cost</w:t>
            </w:r>
          </w:p>
        </w:tc>
        <w:tc>
          <w:tcPr>
            <w:tcW w:w="1701" w:type="dxa"/>
            <w:tcBorders>
              <w:top w:val="single" w:sz="4" w:space="0" w:color="auto"/>
              <w:left w:val="single" w:sz="4" w:space="0" w:color="auto"/>
              <w:bottom w:val="single" w:sz="4" w:space="0" w:color="auto"/>
              <w:right w:val="single" w:sz="4" w:space="0" w:color="auto"/>
            </w:tcBorders>
            <w:hideMark/>
          </w:tcPr>
          <w:p w14:paraId="56FF77FE" w14:textId="77777777" w:rsidR="00E06A2F" w:rsidRDefault="00E06A2F" w:rsidP="00C95A27">
            <w:pPr>
              <w:pStyle w:val="Tabletext"/>
              <w:spacing w:before="0" w:after="0"/>
              <w:jc w:val="center"/>
              <w:rPr>
                <w:b/>
              </w:rPr>
            </w:pPr>
            <w:r w:rsidRPr="00FF3B1A">
              <w:t>$</w:t>
            </w:r>
            <w:r w:rsidR="004F6878" w:rsidRPr="003F735A">
              <w:rPr>
                <w:b/>
              </w:rPr>
              <w:t>redacted</w:t>
            </w:r>
          </w:p>
          <w:p w14:paraId="71A619A2" w14:textId="6BCE41C1" w:rsidR="00455942" w:rsidRPr="00FF3B1A" w:rsidRDefault="00455942" w:rsidP="00C95A27">
            <w:pPr>
              <w:pStyle w:val="Tabletext"/>
              <w:spacing w:before="0" w:after="0"/>
              <w:jc w:val="center"/>
            </w:pPr>
            <w:r w:rsidRPr="00FF3B1A">
              <w:rPr>
                <w:i/>
              </w:rPr>
              <w:t>$</w:t>
            </w:r>
            <w:r w:rsidRPr="004F6878">
              <w:rPr>
                <w:b/>
                <w:i/>
              </w:rPr>
              <w:t>redacted</w:t>
            </w:r>
          </w:p>
        </w:tc>
        <w:tc>
          <w:tcPr>
            <w:tcW w:w="0" w:type="auto"/>
            <w:tcBorders>
              <w:top w:val="single" w:sz="4" w:space="0" w:color="auto"/>
              <w:left w:val="single" w:sz="4" w:space="0" w:color="auto"/>
              <w:bottom w:val="single" w:sz="4" w:space="0" w:color="auto"/>
              <w:right w:val="single" w:sz="4" w:space="0" w:color="auto"/>
            </w:tcBorders>
            <w:hideMark/>
          </w:tcPr>
          <w:p w14:paraId="23F20A75" w14:textId="77777777" w:rsidR="00E06A2F" w:rsidRDefault="00E06A2F" w:rsidP="00C95A27">
            <w:pPr>
              <w:pStyle w:val="Tabletext"/>
              <w:spacing w:before="0" w:after="0"/>
              <w:jc w:val="center"/>
              <w:rPr>
                <w:b/>
              </w:rPr>
            </w:pPr>
            <w:r w:rsidRPr="00FF3B1A">
              <w:t>$</w:t>
            </w:r>
            <w:r w:rsidR="004F6878" w:rsidRPr="003F735A">
              <w:rPr>
                <w:b/>
              </w:rPr>
              <w:t>redacted</w:t>
            </w:r>
          </w:p>
          <w:p w14:paraId="0C325B29" w14:textId="4E5E33DB" w:rsidR="00455942" w:rsidRPr="00FF3B1A" w:rsidRDefault="00455942" w:rsidP="00C95A27">
            <w:pPr>
              <w:pStyle w:val="Tabletext"/>
              <w:spacing w:before="0" w:after="0"/>
              <w:jc w:val="center"/>
            </w:pPr>
            <w:r w:rsidRPr="00FF3B1A">
              <w:rPr>
                <w:i/>
              </w:rPr>
              <w:t>$</w:t>
            </w:r>
            <w:r w:rsidRPr="004F6878">
              <w:rPr>
                <w:b/>
                <w:i/>
              </w:rPr>
              <w:t>redacted</w:t>
            </w:r>
          </w:p>
        </w:tc>
        <w:tc>
          <w:tcPr>
            <w:tcW w:w="1848" w:type="dxa"/>
            <w:tcBorders>
              <w:top w:val="single" w:sz="4" w:space="0" w:color="auto"/>
              <w:left w:val="single" w:sz="4" w:space="0" w:color="auto"/>
              <w:bottom w:val="single" w:sz="4" w:space="0" w:color="auto"/>
              <w:right w:val="single" w:sz="4" w:space="0" w:color="auto"/>
            </w:tcBorders>
            <w:hideMark/>
          </w:tcPr>
          <w:p w14:paraId="02D6C085" w14:textId="77777777" w:rsidR="00E06A2F" w:rsidRDefault="00E06A2F" w:rsidP="00C95A27">
            <w:pPr>
              <w:pStyle w:val="Tabletext"/>
              <w:spacing w:before="0" w:after="0"/>
              <w:jc w:val="center"/>
              <w:rPr>
                <w:b/>
              </w:rPr>
            </w:pPr>
            <w:r w:rsidRPr="00FF3B1A">
              <w:t>$</w:t>
            </w:r>
            <w:r w:rsidR="004F6878" w:rsidRPr="003F735A">
              <w:rPr>
                <w:b/>
              </w:rPr>
              <w:t>redacted</w:t>
            </w:r>
          </w:p>
          <w:p w14:paraId="02DFD864" w14:textId="2027B9DC" w:rsidR="00455942" w:rsidRPr="00FF3B1A" w:rsidRDefault="00455942" w:rsidP="00C95A27">
            <w:pPr>
              <w:pStyle w:val="Tabletext"/>
              <w:spacing w:before="0" w:after="0"/>
              <w:jc w:val="center"/>
            </w:pPr>
            <w:r w:rsidRPr="00FF3B1A">
              <w:rPr>
                <w:i/>
              </w:rPr>
              <w:t>$</w:t>
            </w:r>
            <w:r w:rsidRPr="004F6878">
              <w:rPr>
                <w:b/>
                <w:i/>
              </w:rPr>
              <w:t>redacted</w:t>
            </w:r>
          </w:p>
        </w:tc>
        <w:tc>
          <w:tcPr>
            <w:tcW w:w="1848" w:type="dxa"/>
            <w:tcBorders>
              <w:top w:val="single" w:sz="4" w:space="0" w:color="auto"/>
              <w:left w:val="single" w:sz="4" w:space="0" w:color="auto"/>
              <w:bottom w:val="single" w:sz="4" w:space="0" w:color="auto"/>
              <w:right w:val="single" w:sz="4" w:space="0" w:color="auto"/>
            </w:tcBorders>
            <w:hideMark/>
          </w:tcPr>
          <w:p w14:paraId="223ECCD6" w14:textId="77777777" w:rsidR="00E06A2F" w:rsidRDefault="00E06A2F" w:rsidP="00C95A27">
            <w:pPr>
              <w:pStyle w:val="Tabletext"/>
              <w:spacing w:before="0" w:after="0"/>
              <w:jc w:val="center"/>
              <w:rPr>
                <w:b/>
              </w:rPr>
            </w:pPr>
            <w:r w:rsidRPr="00FF3B1A">
              <w:t>$</w:t>
            </w:r>
            <w:r w:rsidR="004F6878" w:rsidRPr="003F735A">
              <w:rPr>
                <w:b/>
              </w:rPr>
              <w:t>redacted</w:t>
            </w:r>
          </w:p>
          <w:p w14:paraId="607D130C" w14:textId="74328621" w:rsidR="00455942" w:rsidRPr="00FF3B1A" w:rsidRDefault="00455942" w:rsidP="00C95A27">
            <w:pPr>
              <w:pStyle w:val="Tabletext"/>
              <w:spacing w:before="0" w:after="0"/>
              <w:jc w:val="center"/>
            </w:pPr>
            <w:r w:rsidRPr="00FF3B1A">
              <w:rPr>
                <w:i/>
              </w:rPr>
              <w:t>$</w:t>
            </w:r>
            <w:r w:rsidRPr="004F6878">
              <w:rPr>
                <w:b/>
                <w:i/>
              </w:rPr>
              <w:t>redacted</w:t>
            </w:r>
          </w:p>
        </w:tc>
        <w:tc>
          <w:tcPr>
            <w:tcW w:w="1848" w:type="dxa"/>
            <w:tcBorders>
              <w:top w:val="single" w:sz="4" w:space="0" w:color="auto"/>
              <w:left w:val="single" w:sz="4" w:space="0" w:color="auto"/>
              <w:bottom w:val="single" w:sz="4" w:space="0" w:color="auto"/>
              <w:right w:val="single" w:sz="4" w:space="0" w:color="auto"/>
            </w:tcBorders>
            <w:hideMark/>
          </w:tcPr>
          <w:p w14:paraId="5341995A" w14:textId="77777777" w:rsidR="00E06A2F" w:rsidRDefault="00E06A2F" w:rsidP="00C95A27">
            <w:pPr>
              <w:pStyle w:val="Tabletext"/>
              <w:spacing w:before="0" w:after="0"/>
              <w:jc w:val="center"/>
              <w:rPr>
                <w:b/>
              </w:rPr>
            </w:pPr>
            <w:r w:rsidRPr="00FF3B1A">
              <w:t>$</w:t>
            </w:r>
            <w:r w:rsidR="004F6878" w:rsidRPr="003F735A">
              <w:rPr>
                <w:b/>
              </w:rPr>
              <w:t>redacted</w:t>
            </w:r>
          </w:p>
          <w:p w14:paraId="39509F56" w14:textId="0BB2498D" w:rsidR="00455942" w:rsidRPr="00FF3B1A" w:rsidRDefault="00455942" w:rsidP="00C95A27">
            <w:pPr>
              <w:pStyle w:val="Tabletext"/>
              <w:spacing w:before="0" w:after="0"/>
              <w:jc w:val="center"/>
            </w:pPr>
            <w:r w:rsidRPr="00FF3B1A">
              <w:rPr>
                <w:i/>
              </w:rPr>
              <w:t>$</w:t>
            </w:r>
            <w:r w:rsidRPr="004F6878">
              <w:rPr>
                <w:b/>
                <w:i/>
              </w:rPr>
              <w:t>redacted</w:t>
            </w:r>
          </w:p>
        </w:tc>
      </w:tr>
    </w:tbl>
    <w:p w14:paraId="6DE96D8F" w14:textId="77777777" w:rsidR="00E06A2F" w:rsidRPr="00E06A2F" w:rsidRDefault="00E06A2F" w:rsidP="00E06A2F">
      <w:pPr>
        <w:pStyle w:val="Tablenotes1"/>
        <w:rPr>
          <w:i/>
        </w:rPr>
      </w:pPr>
      <w:r w:rsidRPr="00E06A2F">
        <w:rPr>
          <w:i/>
        </w:rPr>
        <w:t>MBS=Medicare Benefits Schedule; Negative costs = savings. Negative services = reduced utilization; PHI=private health insurance</w:t>
      </w:r>
    </w:p>
    <w:p w14:paraId="2F1CF731" w14:textId="77777777" w:rsidR="00E06A2F" w:rsidRPr="009606C7" w:rsidRDefault="00E06A2F" w:rsidP="00E06A2F">
      <w:pPr>
        <w:pStyle w:val="Tablenotes1"/>
        <w:rPr>
          <w:sz w:val="17"/>
          <w:szCs w:val="17"/>
        </w:rPr>
      </w:pPr>
      <w:r w:rsidRPr="009606C7">
        <w:rPr>
          <w:sz w:val="17"/>
          <w:szCs w:val="17"/>
        </w:rPr>
        <w:t xml:space="preserve">Values in </w:t>
      </w:r>
      <w:r w:rsidRPr="009606C7">
        <w:rPr>
          <w:i/>
          <w:sz w:val="17"/>
          <w:szCs w:val="17"/>
        </w:rPr>
        <w:t>italics</w:t>
      </w:r>
      <w:r w:rsidRPr="009606C7">
        <w:rPr>
          <w:sz w:val="17"/>
          <w:szCs w:val="17"/>
        </w:rPr>
        <w:t xml:space="preserve"> are the recalculated values based on the changes shown in Table 10</w:t>
      </w:r>
      <w:r w:rsidRPr="009606C7">
        <w:rPr>
          <w:sz w:val="17"/>
          <w:szCs w:val="17"/>
        </w:rPr>
        <w:br/>
        <w:t xml:space="preserve">The ADAR applied the cost of revision surgeries to ‘Total hospital costs’ using a public AR-DRG-I16Z. The recalculated values apply a private payer AR-DRG- I16Z (as a cost to PHI) and MBS items 17610, 23045 and 48960 as costs to MBS.  </w:t>
      </w:r>
      <w:r w:rsidRPr="009606C7">
        <w:rPr>
          <w:sz w:val="17"/>
          <w:szCs w:val="17"/>
        </w:rPr>
        <w:br/>
        <w:t>Number of services of REGENETEN reflect the expected uptake of REGENETEN and the ‘Estimated change in services’ reflects changes in revision surgeries, based on the revision surgery rate specified in Table 78 pp155-156 in the ADAR</w:t>
      </w:r>
    </w:p>
    <w:p w14:paraId="0543F08A" w14:textId="77777777" w:rsidR="00E06A2F" w:rsidRPr="009606C7" w:rsidRDefault="00E06A2F" w:rsidP="00E06A2F">
      <w:pPr>
        <w:pStyle w:val="Tablenotes1"/>
        <w:rPr>
          <w:sz w:val="17"/>
          <w:szCs w:val="17"/>
        </w:rPr>
      </w:pPr>
      <w:r w:rsidRPr="009606C7">
        <w:rPr>
          <w:sz w:val="17"/>
          <w:szCs w:val="17"/>
        </w:rPr>
        <w:t xml:space="preserve">Source: </w:t>
      </w:r>
      <w:r w:rsidRPr="009606C7">
        <w:rPr>
          <w:i/>
          <w:sz w:val="17"/>
          <w:szCs w:val="17"/>
        </w:rPr>
        <w:t>Compiled post ESC by Department from Commentary Recalculated spreadsheet</w:t>
      </w:r>
    </w:p>
    <w:p w14:paraId="1A6F9A87" w14:textId="77777777" w:rsidR="00E06A2F" w:rsidRPr="005D71BD" w:rsidRDefault="00E06A2F" w:rsidP="00E06A2F">
      <w:pPr>
        <w:pStyle w:val="Heading2"/>
      </w:pPr>
      <w:r>
        <w:t>Evaluator’s respecified financial model</w:t>
      </w:r>
    </w:p>
    <w:p w14:paraId="5B5931E4" w14:textId="555075BD" w:rsidR="00C95A27" w:rsidRPr="00C95A27" w:rsidRDefault="00E06A2F">
      <w:pPr>
        <w:rPr>
          <w:szCs w:val="24"/>
        </w:rPr>
      </w:pPr>
      <w:r>
        <w:t xml:space="preserve">The financial implications of the </w:t>
      </w:r>
      <w:proofErr w:type="gramStart"/>
      <w:r>
        <w:t>Commentary’s</w:t>
      </w:r>
      <w:proofErr w:type="gramEnd"/>
      <w:r w:rsidRPr="00E55043">
        <w:t xml:space="preserve"> re-specified base</w:t>
      </w:r>
      <w:r>
        <w:t xml:space="preserve"> case economic model i</w:t>
      </w:r>
      <w:r w:rsidR="002808C4">
        <w:t xml:space="preserve">s summarised </w:t>
      </w:r>
      <w:r w:rsidR="00F169F1">
        <w:rPr>
          <w:szCs w:val="24"/>
        </w:rPr>
        <w:t>in Table 16.</w:t>
      </w:r>
      <w:r w:rsidRPr="00D74DAA">
        <w:rPr>
          <w:szCs w:val="24"/>
        </w:rPr>
        <w:t xml:space="preserve"> The Commentary stated that the re-specified base case costs are 11% higher than the ADARs base case costs shown in italics in </w:t>
      </w:r>
      <w:r w:rsidR="002808C4" w:rsidRPr="00D74DAA">
        <w:rPr>
          <w:szCs w:val="24"/>
        </w:rPr>
        <w:fldChar w:fldCharType="begin"/>
      </w:r>
      <w:r w:rsidR="002808C4" w:rsidRPr="00D74DAA">
        <w:rPr>
          <w:szCs w:val="24"/>
        </w:rPr>
        <w:instrText xml:space="preserve"> REF _Ref404372077 \h </w:instrText>
      </w:r>
      <w:r w:rsidR="002808C4" w:rsidRPr="00D74DAA">
        <w:rPr>
          <w:szCs w:val="24"/>
        </w:rPr>
      </w:r>
      <w:r w:rsidR="00D74DAA" w:rsidRPr="00D74DAA">
        <w:rPr>
          <w:szCs w:val="24"/>
        </w:rPr>
        <w:instrText xml:space="preserve"> \* MERGEFORMAT </w:instrText>
      </w:r>
      <w:r w:rsidR="002808C4" w:rsidRPr="00D74DAA">
        <w:rPr>
          <w:szCs w:val="24"/>
        </w:rPr>
        <w:fldChar w:fldCharType="separate"/>
      </w:r>
      <w:r w:rsidR="00455942" w:rsidRPr="00455942">
        <w:rPr>
          <w:szCs w:val="24"/>
        </w:rPr>
        <w:t xml:space="preserve">Table </w:t>
      </w:r>
      <w:r w:rsidR="00455942" w:rsidRPr="00455942">
        <w:rPr>
          <w:noProof/>
          <w:szCs w:val="24"/>
        </w:rPr>
        <w:t>13</w:t>
      </w:r>
      <w:r w:rsidR="002808C4" w:rsidRPr="00D74DAA">
        <w:rPr>
          <w:szCs w:val="24"/>
        </w:rPr>
        <w:fldChar w:fldCharType="end"/>
      </w:r>
      <w:r w:rsidRPr="00D74DAA">
        <w:rPr>
          <w:szCs w:val="24"/>
        </w:rPr>
        <w:t>.</w:t>
      </w:r>
      <w:r w:rsidR="00E858B9" w:rsidRPr="00D74DAA">
        <w:rPr>
          <w:szCs w:val="24"/>
        </w:rPr>
        <w:t xml:space="preserve"> As per ESC advice, the financial estimates </w:t>
      </w:r>
      <w:proofErr w:type="gramStart"/>
      <w:r w:rsidR="00E858B9" w:rsidRPr="00D74DAA">
        <w:rPr>
          <w:szCs w:val="24"/>
        </w:rPr>
        <w:t>were also presented</w:t>
      </w:r>
      <w:proofErr w:type="gramEnd"/>
      <w:r w:rsidR="00E858B9" w:rsidRPr="00D74DAA">
        <w:rPr>
          <w:szCs w:val="24"/>
        </w:rPr>
        <w:t xml:space="preserve"> fo</w:t>
      </w:r>
      <w:bookmarkStart w:id="39" w:name="_Ref36501528"/>
      <w:bookmarkStart w:id="40" w:name="_Toc36643075"/>
      <w:r w:rsidR="00F169F1">
        <w:rPr>
          <w:szCs w:val="24"/>
        </w:rPr>
        <w:t>r each subpopulation in Table 16.</w:t>
      </w:r>
    </w:p>
    <w:p w14:paraId="602A3BC6" w14:textId="46267291" w:rsidR="00E06A2F" w:rsidRPr="00D32FC9" w:rsidRDefault="002808C4" w:rsidP="00D32FC9">
      <w:pPr>
        <w:spacing w:before="240"/>
        <w:rPr>
          <w:rFonts w:ascii="Arial Narrow" w:hAnsi="Arial Narrow"/>
          <w:b/>
          <w:sz w:val="20"/>
        </w:rPr>
      </w:pPr>
      <w:r w:rsidRPr="00D32FC9">
        <w:rPr>
          <w:rFonts w:ascii="Arial Narrow" w:hAnsi="Arial Narrow"/>
          <w:b/>
          <w:sz w:val="20"/>
        </w:rPr>
        <w:lastRenderedPageBreak/>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16</w:t>
      </w:r>
      <w:r w:rsidR="00F62D1A" w:rsidRPr="00D32FC9">
        <w:rPr>
          <w:rFonts w:ascii="Arial Narrow" w:hAnsi="Arial Narrow"/>
          <w:b/>
          <w:sz w:val="20"/>
        </w:rPr>
        <w:fldChar w:fldCharType="end"/>
      </w:r>
      <w:bookmarkEnd w:id="39"/>
      <w:r w:rsidR="00E06A2F" w:rsidRPr="00D32FC9">
        <w:rPr>
          <w:rFonts w:ascii="Arial Narrow" w:hAnsi="Arial Narrow"/>
          <w:b/>
          <w:sz w:val="20"/>
        </w:rPr>
        <w:tab/>
        <w:t>Total costs to the MBS associated with REGENETEN - Re-specified base case</w:t>
      </w:r>
      <w:bookmarkEnd w:id="40"/>
      <w:r w:rsidR="00E06A2F" w:rsidRPr="00D32FC9">
        <w:rPr>
          <w:rFonts w:ascii="Arial Narrow" w:hAnsi="Arial Narrow"/>
          <w:b/>
          <w:sz w:val="20"/>
        </w:rPr>
        <w:t>- all populations (prevalence: 71/29% PTRCT/FTRCT)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9 Total costs to the MBS associated with XXX"/>
        <w:tblDescription w:val="This table provides a summary of the financial impact of the proposed new medical service over the next five years."/>
      </w:tblPr>
      <w:tblGrid>
        <w:gridCol w:w="3831"/>
        <w:gridCol w:w="1037"/>
        <w:gridCol w:w="1037"/>
        <w:gridCol w:w="1037"/>
        <w:gridCol w:w="1037"/>
        <w:gridCol w:w="1037"/>
      </w:tblGrid>
      <w:tr w:rsidR="00E06A2F" w:rsidRPr="001F45A8" w14:paraId="6C53F5C4" w14:textId="77777777" w:rsidTr="00E06A2F">
        <w:trPr>
          <w:trHeight w:val="300"/>
          <w:tblHeader/>
        </w:trPr>
        <w:tc>
          <w:tcPr>
            <w:tcW w:w="3831" w:type="dxa"/>
            <w:tcBorders>
              <w:top w:val="single" w:sz="4" w:space="0" w:color="auto"/>
              <w:left w:val="single" w:sz="4" w:space="0" w:color="auto"/>
              <w:bottom w:val="single" w:sz="4" w:space="0" w:color="auto"/>
              <w:right w:val="single" w:sz="4" w:space="0" w:color="auto"/>
            </w:tcBorders>
            <w:vAlign w:val="center"/>
            <w:hideMark/>
          </w:tcPr>
          <w:p w14:paraId="4F440FF8" w14:textId="77777777" w:rsidR="00E06A2F" w:rsidRPr="001F45A8" w:rsidRDefault="00E06A2F" w:rsidP="00E06A2F">
            <w:pPr>
              <w:pStyle w:val="TableHeading"/>
            </w:pPr>
            <w:r w:rsidRPr="001F45A8">
              <w:t>-</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1256C4C" w14:textId="77777777" w:rsidR="00E06A2F" w:rsidRPr="001F45A8" w:rsidRDefault="00E06A2F" w:rsidP="00E06A2F">
            <w:pPr>
              <w:pStyle w:val="TableHeading"/>
              <w:jc w:val="center"/>
            </w:pPr>
            <w:r w:rsidRPr="001F45A8">
              <w:t>2020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3B852DD" w14:textId="77777777" w:rsidR="00E06A2F" w:rsidRPr="001F45A8" w:rsidRDefault="00E06A2F" w:rsidP="00E06A2F">
            <w:pPr>
              <w:pStyle w:val="TableHeading"/>
              <w:jc w:val="center"/>
            </w:pPr>
            <w:r w:rsidRPr="001F45A8">
              <w:t>2021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14FA50E" w14:textId="77777777" w:rsidR="00E06A2F" w:rsidRPr="001F45A8" w:rsidRDefault="00E06A2F" w:rsidP="00E06A2F">
            <w:pPr>
              <w:pStyle w:val="TableHeading"/>
              <w:jc w:val="center"/>
            </w:pPr>
            <w:r w:rsidRPr="001F45A8">
              <w:t>2022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77BD4FB" w14:textId="77777777" w:rsidR="00E06A2F" w:rsidRPr="001F45A8" w:rsidRDefault="00E06A2F" w:rsidP="00E06A2F">
            <w:pPr>
              <w:pStyle w:val="TableHeading"/>
              <w:jc w:val="center"/>
            </w:pPr>
            <w:r w:rsidRPr="001F45A8">
              <w:t>2023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4A65692" w14:textId="77777777" w:rsidR="00E06A2F" w:rsidRPr="001F45A8" w:rsidRDefault="00E06A2F" w:rsidP="00E06A2F">
            <w:pPr>
              <w:pStyle w:val="TableHeading"/>
              <w:jc w:val="center"/>
            </w:pPr>
            <w:r w:rsidRPr="001F45A8">
              <w:t>2024</w:t>
            </w:r>
          </w:p>
        </w:tc>
      </w:tr>
      <w:tr w:rsidR="00E06A2F" w:rsidRPr="001F45A8" w14:paraId="2850BA49" w14:textId="77777777" w:rsidTr="00E06A2F">
        <w:trPr>
          <w:trHeight w:val="300"/>
        </w:trPr>
        <w:tc>
          <w:tcPr>
            <w:tcW w:w="3831" w:type="dxa"/>
            <w:tcBorders>
              <w:top w:val="single" w:sz="4" w:space="0" w:color="auto"/>
              <w:left w:val="single" w:sz="4" w:space="0" w:color="auto"/>
              <w:bottom w:val="single" w:sz="4" w:space="0" w:color="auto"/>
              <w:right w:val="nil"/>
            </w:tcBorders>
            <w:hideMark/>
          </w:tcPr>
          <w:p w14:paraId="6C0856C6" w14:textId="77777777" w:rsidR="00E06A2F" w:rsidRPr="001F45A8" w:rsidRDefault="00E06A2F" w:rsidP="00E06A2F">
            <w:pPr>
              <w:rPr>
                <w:rFonts w:ascii="Arial Narrow" w:hAnsi="Arial Narrow"/>
                <w:b/>
                <w:sz w:val="20"/>
              </w:rPr>
            </w:pPr>
            <w:r w:rsidRPr="001F45A8">
              <w:rPr>
                <w:rFonts w:ascii="Arial Narrow" w:hAnsi="Arial Narrow"/>
                <w:b/>
                <w:sz w:val="20"/>
              </w:rPr>
              <w:t>REGENETEN</w:t>
            </w:r>
          </w:p>
        </w:tc>
        <w:tc>
          <w:tcPr>
            <w:tcW w:w="1037" w:type="dxa"/>
            <w:tcBorders>
              <w:top w:val="single" w:sz="4" w:space="0" w:color="auto"/>
              <w:left w:val="nil"/>
              <w:bottom w:val="single" w:sz="4" w:space="0" w:color="auto"/>
              <w:right w:val="nil"/>
            </w:tcBorders>
            <w:vAlign w:val="center"/>
            <w:hideMark/>
          </w:tcPr>
          <w:p w14:paraId="16F5E830"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c>
          <w:tcPr>
            <w:tcW w:w="1037" w:type="dxa"/>
            <w:tcBorders>
              <w:top w:val="single" w:sz="4" w:space="0" w:color="auto"/>
              <w:left w:val="nil"/>
              <w:bottom w:val="single" w:sz="4" w:space="0" w:color="auto"/>
              <w:right w:val="nil"/>
            </w:tcBorders>
            <w:vAlign w:val="center"/>
            <w:hideMark/>
          </w:tcPr>
          <w:p w14:paraId="72D92F75"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c>
          <w:tcPr>
            <w:tcW w:w="1037" w:type="dxa"/>
            <w:tcBorders>
              <w:top w:val="single" w:sz="4" w:space="0" w:color="auto"/>
              <w:left w:val="nil"/>
              <w:bottom w:val="single" w:sz="4" w:space="0" w:color="auto"/>
              <w:right w:val="nil"/>
            </w:tcBorders>
            <w:vAlign w:val="center"/>
            <w:hideMark/>
          </w:tcPr>
          <w:p w14:paraId="10FE9A49"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c>
          <w:tcPr>
            <w:tcW w:w="1037" w:type="dxa"/>
            <w:tcBorders>
              <w:top w:val="single" w:sz="4" w:space="0" w:color="auto"/>
              <w:left w:val="nil"/>
              <w:bottom w:val="single" w:sz="4" w:space="0" w:color="auto"/>
              <w:right w:val="nil"/>
            </w:tcBorders>
            <w:vAlign w:val="center"/>
            <w:hideMark/>
          </w:tcPr>
          <w:p w14:paraId="1271A2E3"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c>
          <w:tcPr>
            <w:tcW w:w="1037" w:type="dxa"/>
            <w:tcBorders>
              <w:top w:val="single" w:sz="4" w:space="0" w:color="auto"/>
              <w:left w:val="nil"/>
              <w:bottom w:val="single" w:sz="4" w:space="0" w:color="auto"/>
              <w:right w:val="single" w:sz="4" w:space="0" w:color="auto"/>
            </w:tcBorders>
            <w:vAlign w:val="center"/>
            <w:hideMark/>
          </w:tcPr>
          <w:p w14:paraId="2C829311" w14:textId="77777777" w:rsidR="00E06A2F" w:rsidRPr="001F45A8" w:rsidRDefault="00E06A2F" w:rsidP="00E06A2F">
            <w:pPr>
              <w:jc w:val="center"/>
              <w:rPr>
                <w:rFonts w:ascii="Arial Narrow" w:hAnsi="Arial Narrow"/>
                <w:b/>
                <w:sz w:val="20"/>
              </w:rPr>
            </w:pPr>
            <w:r w:rsidRPr="001F45A8">
              <w:rPr>
                <w:rFonts w:ascii="Arial Narrow" w:hAnsi="Arial Narrow"/>
                <w:b/>
                <w:sz w:val="20"/>
              </w:rPr>
              <w:t>-</w:t>
            </w:r>
          </w:p>
        </w:tc>
      </w:tr>
      <w:tr w:rsidR="004F6878" w:rsidRPr="001F45A8" w14:paraId="771EFC5C" w14:textId="77777777" w:rsidTr="004F6878">
        <w:trPr>
          <w:trHeight w:val="300"/>
        </w:trPr>
        <w:tc>
          <w:tcPr>
            <w:tcW w:w="3831" w:type="dxa"/>
            <w:tcBorders>
              <w:top w:val="single" w:sz="4" w:space="0" w:color="auto"/>
              <w:left w:val="single" w:sz="4" w:space="0" w:color="auto"/>
              <w:bottom w:val="single" w:sz="4" w:space="0" w:color="auto"/>
              <w:right w:val="single" w:sz="4" w:space="0" w:color="auto"/>
            </w:tcBorders>
            <w:hideMark/>
          </w:tcPr>
          <w:p w14:paraId="3C074475" w14:textId="77777777" w:rsidR="004F6878" w:rsidRPr="001F45A8" w:rsidRDefault="004F6878" w:rsidP="004F6878">
            <w:pPr>
              <w:rPr>
                <w:rFonts w:ascii="Arial Narrow" w:hAnsi="Arial Narrow"/>
                <w:sz w:val="20"/>
              </w:rPr>
            </w:pPr>
            <w:r w:rsidRPr="001F45A8">
              <w:rPr>
                <w:rFonts w:ascii="Arial Narrow" w:hAnsi="Arial Narrow"/>
                <w:sz w:val="20"/>
              </w:rPr>
              <w:t>Number of services</w:t>
            </w:r>
            <w:r>
              <w:rPr>
                <w:rFonts w:ascii="Arial Narrow" w:hAnsi="Arial Narrow"/>
                <w:sz w:val="20"/>
              </w:rPr>
              <w:t>- total</w:t>
            </w:r>
          </w:p>
        </w:tc>
        <w:tc>
          <w:tcPr>
            <w:tcW w:w="1037" w:type="dxa"/>
            <w:tcBorders>
              <w:top w:val="single" w:sz="4" w:space="0" w:color="auto"/>
              <w:left w:val="single" w:sz="4" w:space="0" w:color="auto"/>
              <w:bottom w:val="single" w:sz="4" w:space="0" w:color="auto"/>
              <w:right w:val="single" w:sz="4" w:space="0" w:color="auto"/>
            </w:tcBorders>
            <w:hideMark/>
          </w:tcPr>
          <w:p w14:paraId="7DDA1058" w14:textId="79D231DD" w:rsidR="004F6878" w:rsidRPr="001F45A8" w:rsidRDefault="004F6878" w:rsidP="004F6878">
            <w:pPr>
              <w:jc w:val="center"/>
              <w:rPr>
                <w:rFonts w:ascii="Arial Narrow" w:hAnsi="Arial Narrow"/>
                <w:sz w:val="20"/>
              </w:rPr>
            </w:pPr>
            <w:r w:rsidRPr="00B27A06">
              <w:rPr>
                <w:rFonts w:ascii="Arial Narrow" w:hAnsi="Arial Narrow"/>
                <w:b/>
                <w:sz w:val="20"/>
              </w:rPr>
              <w:t>redacted</w:t>
            </w:r>
          </w:p>
        </w:tc>
        <w:tc>
          <w:tcPr>
            <w:tcW w:w="1037" w:type="dxa"/>
            <w:tcBorders>
              <w:top w:val="single" w:sz="4" w:space="0" w:color="auto"/>
              <w:left w:val="single" w:sz="4" w:space="0" w:color="auto"/>
              <w:bottom w:val="single" w:sz="4" w:space="0" w:color="auto"/>
              <w:right w:val="single" w:sz="4" w:space="0" w:color="auto"/>
            </w:tcBorders>
            <w:hideMark/>
          </w:tcPr>
          <w:p w14:paraId="31B209FD" w14:textId="0B1643CE" w:rsidR="004F6878" w:rsidRPr="001F45A8" w:rsidRDefault="004F6878" w:rsidP="004F6878">
            <w:pPr>
              <w:jc w:val="center"/>
              <w:rPr>
                <w:rFonts w:ascii="Arial Narrow" w:hAnsi="Arial Narrow"/>
                <w:sz w:val="20"/>
              </w:rPr>
            </w:pPr>
            <w:r w:rsidRPr="00B27A06">
              <w:rPr>
                <w:rFonts w:ascii="Arial Narrow" w:hAnsi="Arial Narrow"/>
                <w:b/>
                <w:sz w:val="20"/>
              </w:rPr>
              <w:t>redacted</w:t>
            </w:r>
          </w:p>
        </w:tc>
        <w:tc>
          <w:tcPr>
            <w:tcW w:w="1037" w:type="dxa"/>
            <w:tcBorders>
              <w:top w:val="single" w:sz="4" w:space="0" w:color="auto"/>
              <w:left w:val="single" w:sz="4" w:space="0" w:color="auto"/>
              <w:bottom w:val="single" w:sz="4" w:space="0" w:color="auto"/>
              <w:right w:val="single" w:sz="4" w:space="0" w:color="auto"/>
            </w:tcBorders>
            <w:hideMark/>
          </w:tcPr>
          <w:p w14:paraId="1635F8DE" w14:textId="1B06B780" w:rsidR="004F6878" w:rsidRPr="001F45A8" w:rsidRDefault="004F6878" w:rsidP="004F6878">
            <w:pPr>
              <w:jc w:val="center"/>
              <w:rPr>
                <w:rFonts w:ascii="Arial Narrow" w:hAnsi="Arial Narrow"/>
                <w:sz w:val="20"/>
              </w:rPr>
            </w:pPr>
            <w:r w:rsidRPr="00B27A06">
              <w:rPr>
                <w:rFonts w:ascii="Arial Narrow" w:hAnsi="Arial Narrow"/>
                <w:b/>
                <w:sz w:val="20"/>
              </w:rPr>
              <w:t>redacted</w:t>
            </w:r>
          </w:p>
        </w:tc>
        <w:tc>
          <w:tcPr>
            <w:tcW w:w="1037" w:type="dxa"/>
            <w:tcBorders>
              <w:top w:val="single" w:sz="4" w:space="0" w:color="auto"/>
              <w:left w:val="single" w:sz="4" w:space="0" w:color="auto"/>
              <w:bottom w:val="single" w:sz="4" w:space="0" w:color="auto"/>
              <w:right w:val="single" w:sz="4" w:space="0" w:color="auto"/>
            </w:tcBorders>
            <w:hideMark/>
          </w:tcPr>
          <w:p w14:paraId="2F991AD7" w14:textId="0795415B" w:rsidR="004F6878" w:rsidRPr="001F45A8" w:rsidRDefault="004F6878" w:rsidP="004F6878">
            <w:pPr>
              <w:jc w:val="center"/>
              <w:rPr>
                <w:rFonts w:ascii="Arial Narrow" w:hAnsi="Arial Narrow"/>
                <w:sz w:val="20"/>
              </w:rPr>
            </w:pPr>
            <w:r w:rsidRPr="00B27A06">
              <w:rPr>
                <w:rFonts w:ascii="Arial Narrow" w:hAnsi="Arial Narrow"/>
                <w:b/>
                <w:sz w:val="20"/>
              </w:rPr>
              <w:t>redacted</w:t>
            </w:r>
          </w:p>
        </w:tc>
        <w:tc>
          <w:tcPr>
            <w:tcW w:w="1037" w:type="dxa"/>
            <w:tcBorders>
              <w:top w:val="single" w:sz="4" w:space="0" w:color="auto"/>
              <w:left w:val="single" w:sz="4" w:space="0" w:color="auto"/>
              <w:bottom w:val="single" w:sz="4" w:space="0" w:color="auto"/>
              <w:right w:val="single" w:sz="4" w:space="0" w:color="auto"/>
            </w:tcBorders>
            <w:hideMark/>
          </w:tcPr>
          <w:p w14:paraId="1FA77ACE" w14:textId="68050C01" w:rsidR="004F6878" w:rsidRPr="001F45A8" w:rsidRDefault="004F6878" w:rsidP="004F6878">
            <w:pPr>
              <w:jc w:val="center"/>
              <w:rPr>
                <w:rFonts w:ascii="Arial Narrow" w:hAnsi="Arial Narrow"/>
                <w:sz w:val="20"/>
              </w:rPr>
            </w:pPr>
            <w:r w:rsidRPr="00B27A06">
              <w:rPr>
                <w:rFonts w:ascii="Arial Narrow" w:hAnsi="Arial Narrow"/>
                <w:b/>
                <w:sz w:val="20"/>
              </w:rPr>
              <w:t>redacted</w:t>
            </w:r>
          </w:p>
        </w:tc>
      </w:tr>
      <w:tr w:rsidR="00E85AB0" w:rsidRPr="001F45A8" w14:paraId="0D9C8690" w14:textId="77777777" w:rsidTr="00E85AB0">
        <w:trPr>
          <w:trHeight w:val="300"/>
        </w:trPr>
        <w:tc>
          <w:tcPr>
            <w:tcW w:w="3831" w:type="dxa"/>
            <w:tcBorders>
              <w:top w:val="single" w:sz="4" w:space="0" w:color="auto"/>
              <w:left w:val="single" w:sz="4" w:space="0" w:color="auto"/>
              <w:bottom w:val="single" w:sz="4" w:space="0" w:color="auto"/>
              <w:right w:val="single" w:sz="4" w:space="0" w:color="auto"/>
            </w:tcBorders>
          </w:tcPr>
          <w:p w14:paraId="7AC45938" w14:textId="77777777" w:rsidR="00E85AB0" w:rsidRPr="00FF3B1A" w:rsidRDefault="00E85AB0" w:rsidP="00E85AB0">
            <w:pPr>
              <w:ind w:left="227"/>
              <w:rPr>
                <w:rFonts w:ascii="Arial Narrow" w:hAnsi="Arial Narrow"/>
                <w:i/>
                <w:sz w:val="20"/>
              </w:rPr>
            </w:pPr>
            <w:r w:rsidRPr="00FF3B1A">
              <w:rPr>
                <w:rFonts w:ascii="Arial Narrow" w:hAnsi="Arial Narrow"/>
                <w:i/>
                <w:sz w:val="20"/>
              </w:rPr>
              <w:t>PTRCT</w:t>
            </w:r>
          </w:p>
        </w:tc>
        <w:tc>
          <w:tcPr>
            <w:tcW w:w="1037" w:type="dxa"/>
            <w:tcBorders>
              <w:top w:val="single" w:sz="4" w:space="0" w:color="auto"/>
              <w:left w:val="single" w:sz="4" w:space="0" w:color="auto"/>
              <w:bottom w:val="single" w:sz="4" w:space="0" w:color="auto"/>
              <w:right w:val="single" w:sz="4" w:space="0" w:color="auto"/>
            </w:tcBorders>
          </w:tcPr>
          <w:p w14:paraId="599FA6AA" w14:textId="46587B60" w:rsidR="00E85AB0" w:rsidRPr="00E85AB0" w:rsidRDefault="00E85AB0" w:rsidP="00E85AB0">
            <w:pPr>
              <w:jc w:val="center"/>
              <w:rPr>
                <w:rFonts w:ascii="Arial Narrow" w:hAnsi="Arial Narrow"/>
                <w:i/>
                <w:sz w:val="20"/>
              </w:rPr>
            </w:pPr>
            <w:r w:rsidRPr="00E85AB0">
              <w:rPr>
                <w:rFonts w:ascii="Arial Narrow" w:hAnsi="Arial Narrow"/>
                <w:b/>
                <w:i/>
                <w:sz w:val="20"/>
              </w:rPr>
              <w:t>redacted</w:t>
            </w:r>
          </w:p>
        </w:tc>
        <w:tc>
          <w:tcPr>
            <w:tcW w:w="1037" w:type="dxa"/>
            <w:tcBorders>
              <w:top w:val="single" w:sz="4" w:space="0" w:color="auto"/>
              <w:left w:val="single" w:sz="4" w:space="0" w:color="auto"/>
              <w:bottom w:val="single" w:sz="4" w:space="0" w:color="auto"/>
              <w:right w:val="single" w:sz="4" w:space="0" w:color="auto"/>
            </w:tcBorders>
          </w:tcPr>
          <w:p w14:paraId="5CC9A232" w14:textId="60BD3538" w:rsidR="00E85AB0" w:rsidRPr="00E85AB0" w:rsidRDefault="00E85AB0" w:rsidP="00E85AB0">
            <w:pPr>
              <w:jc w:val="center"/>
              <w:rPr>
                <w:rFonts w:ascii="Arial Narrow" w:hAnsi="Arial Narrow"/>
                <w:i/>
                <w:sz w:val="20"/>
              </w:rPr>
            </w:pPr>
            <w:r w:rsidRPr="00E85AB0">
              <w:rPr>
                <w:rFonts w:ascii="Arial Narrow" w:hAnsi="Arial Narrow"/>
                <w:b/>
                <w:i/>
                <w:sz w:val="20"/>
              </w:rPr>
              <w:t>redacted</w:t>
            </w:r>
          </w:p>
        </w:tc>
        <w:tc>
          <w:tcPr>
            <w:tcW w:w="1037" w:type="dxa"/>
            <w:tcBorders>
              <w:top w:val="single" w:sz="4" w:space="0" w:color="auto"/>
              <w:left w:val="single" w:sz="4" w:space="0" w:color="auto"/>
              <w:bottom w:val="single" w:sz="4" w:space="0" w:color="auto"/>
              <w:right w:val="single" w:sz="4" w:space="0" w:color="auto"/>
            </w:tcBorders>
          </w:tcPr>
          <w:p w14:paraId="3E603B38" w14:textId="0C9C387E" w:rsidR="00E85AB0" w:rsidRPr="00E85AB0" w:rsidRDefault="00E85AB0" w:rsidP="00E85AB0">
            <w:pPr>
              <w:jc w:val="center"/>
              <w:rPr>
                <w:rFonts w:ascii="Arial Narrow" w:hAnsi="Arial Narrow"/>
                <w:i/>
                <w:sz w:val="20"/>
              </w:rPr>
            </w:pPr>
            <w:r w:rsidRPr="00E85AB0">
              <w:rPr>
                <w:rFonts w:ascii="Arial Narrow" w:hAnsi="Arial Narrow"/>
                <w:b/>
                <w:i/>
                <w:sz w:val="20"/>
              </w:rPr>
              <w:t>redacted</w:t>
            </w:r>
          </w:p>
        </w:tc>
        <w:tc>
          <w:tcPr>
            <w:tcW w:w="1037" w:type="dxa"/>
            <w:tcBorders>
              <w:top w:val="single" w:sz="4" w:space="0" w:color="auto"/>
              <w:left w:val="single" w:sz="4" w:space="0" w:color="auto"/>
              <w:bottom w:val="single" w:sz="4" w:space="0" w:color="auto"/>
              <w:right w:val="single" w:sz="4" w:space="0" w:color="auto"/>
            </w:tcBorders>
          </w:tcPr>
          <w:p w14:paraId="0CCCB222" w14:textId="4066826F" w:rsidR="00E85AB0" w:rsidRPr="00E85AB0" w:rsidRDefault="00E85AB0" w:rsidP="00E85AB0">
            <w:pPr>
              <w:jc w:val="center"/>
              <w:rPr>
                <w:rFonts w:ascii="Arial Narrow" w:hAnsi="Arial Narrow"/>
                <w:i/>
                <w:sz w:val="20"/>
              </w:rPr>
            </w:pPr>
            <w:r w:rsidRPr="00E85AB0">
              <w:rPr>
                <w:rFonts w:ascii="Arial Narrow" w:hAnsi="Arial Narrow"/>
                <w:b/>
                <w:i/>
                <w:sz w:val="20"/>
              </w:rPr>
              <w:t>redacted</w:t>
            </w:r>
          </w:p>
        </w:tc>
        <w:tc>
          <w:tcPr>
            <w:tcW w:w="1037" w:type="dxa"/>
            <w:tcBorders>
              <w:top w:val="single" w:sz="4" w:space="0" w:color="auto"/>
              <w:left w:val="single" w:sz="4" w:space="0" w:color="auto"/>
              <w:bottom w:val="single" w:sz="4" w:space="0" w:color="auto"/>
              <w:right w:val="single" w:sz="4" w:space="0" w:color="auto"/>
            </w:tcBorders>
          </w:tcPr>
          <w:p w14:paraId="23DA6D36" w14:textId="68E7631B" w:rsidR="00E85AB0" w:rsidRPr="00E85AB0" w:rsidRDefault="00E85AB0" w:rsidP="00E85AB0">
            <w:pPr>
              <w:jc w:val="center"/>
              <w:rPr>
                <w:rFonts w:ascii="Arial Narrow" w:hAnsi="Arial Narrow"/>
                <w:i/>
                <w:sz w:val="20"/>
              </w:rPr>
            </w:pPr>
            <w:r w:rsidRPr="00E85AB0">
              <w:rPr>
                <w:rFonts w:ascii="Arial Narrow" w:hAnsi="Arial Narrow"/>
                <w:b/>
                <w:i/>
                <w:sz w:val="20"/>
              </w:rPr>
              <w:t>redacted</w:t>
            </w:r>
          </w:p>
        </w:tc>
      </w:tr>
      <w:tr w:rsidR="00E85AB0" w:rsidRPr="001F45A8" w14:paraId="7ED28400" w14:textId="77777777" w:rsidTr="00E85AB0">
        <w:trPr>
          <w:trHeight w:val="300"/>
        </w:trPr>
        <w:tc>
          <w:tcPr>
            <w:tcW w:w="3831" w:type="dxa"/>
            <w:tcBorders>
              <w:top w:val="single" w:sz="4" w:space="0" w:color="auto"/>
              <w:left w:val="single" w:sz="4" w:space="0" w:color="auto"/>
              <w:bottom w:val="single" w:sz="4" w:space="0" w:color="auto"/>
              <w:right w:val="single" w:sz="4" w:space="0" w:color="auto"/>
            </w:tcBorders>
          </w:tcPr>
          <w:p w14:paraId="48E302E7" w14:textId="77777777" w:rsidR="00E85AB0" w:rsidRPr="00FF3B1A" w:rsidRDefault="00E85AB0" w:rsidP="00E85AB0">
            <w:pPr>
              <w:ind w:left="227"/>
              <w:rPr>
                <w:rFonts w:ascii="Arial Narrow" w:hAnsi="Arial Narrow"/>
                <w:i/>
                <w:sz w:val="20"/>
              </w:rPr>
            </w:pPr>
            <w:r w:rsidRPr="00FF3B1A">
              <w:rPr>
                <w:rFonts w:ascii="Arial Narrow" w:hAnsi="Arial Narrow"/>
                <w:i/>
                <w:sz w:val="20"/>
              </w:rPr>
              <w:t>FTRCT</w:t>
            </w:r>
          </w:p>
        </w:tc>
        <w:tc>
          <w:tcPr>
            <w:tcW w:w="1037" w:type="dxa"/>
            <w:tcBorders>
              <w:top w:val="single" w:sz="4" w:space="0" w:color="auto"/>
              <w:left w:val="single" w:sz="4" w:space="0" w:color="auto"/>
              <w:bottom w:val="single" w:sz="4" w:space="0" w:color="auto"/>
              <w:right w:val="single" w:sz="4" w:space="0" w:color="auto"/>
            </w:tcBorders>
          </w:tcPr>
          <w:p w14:paraId="47F3216C" w14:textId="78A8C886" w:rsidR="00E85AB0" w:rsidRPr="00FF3B1A" w:rsidRDefault="00E85AB0" w:rsidP="00E85AB0">
            <w:pPr>
              <w:jc w:val="center"/>
              <w:rPr>
                <w:rFonts w:ascii="Arial Narrow" w:hAnsi="Arial Narrow"/>
                <w:i/>
                <w:sz w:val="20"/>
              </w:rPr>
            </w:pPr>
            <w:r w:rsidRPr="003429DC">
              <w:rPr>
                <w:rFonts w:ascii="Arial Narrow" w:hAnsi="Arial Narrow"/>
                <w:b/>
                <w:i/>
                <w:sz w:val="20"/>
              </w:rPr>
              <w:t>redacted</w:t>
            </w:r>
          </w:p>
        </w:tc>
        <w:tc>
          <w:tcPr>
            <w:tcW w:w="1037" w:type="dxa"/>
            <w:tcBorders>
              <w:top w:val="single" w:sz="4" w:space="0" w:color="auto"/>
              <w:left w:val="single" w:sz="4" w:space="0" w:color="auto"/>
              <w:bottom w:val="single" w:sz="4" w:space="0" w:color="auto"/>
              <w:right w:val="single" w:sz="4" w:space="0" w:color="auto"/>
            </w:tcBorders>
          </w:tcPr>
          <w:p w14:paraId="55560D57" w14:textId="47410940" w:rsidR="00E85AB0" w:rsidRPr="00FF3B1A" w:rsidRDefault="00E85AB0" w:rsidP="00E85AB0">
            <w:pPr>
              <w:jc w:val="center"/>
              <w:rPr>
                <w:rFonts w:ascii="Arial Narrow" w:hAnsi="Arial Narrow"/>
                <w:i/>
                <w:sz w:val="20"/>
              </w:rPr>
            </w:pPr>
            <w:r w:rsidRPr="003429DC">
              <w:rPr>
                <w:rFonts w:ascii="Arial Narrow" w:hAnsi="Arial Narrow"/>
                <w:b/>
                <w:i/>
                <w:sz w:val="20"/>
              </w:rPr>
              <w:t>redacted</w:t>
            </w:r>
          </w:p>
        </w:tc>
        <w:tc>
          <w:tcPr>
            <w:tcW w:w="1037" w:type="dxa"/>
            <w:tcBorders>
              <w:top w:val="single" w:sz="4" w:space="0" w:color="auto"/>
              <w:left w:val="single" w:sz="4" w:space="0" w:color="auto"/>
              <w:bottom w:val="single" w:sz="4" w:space="0" w:color="auto"/>
              <w:right w:val="single" w:sz="4" w:space="0" w:color="auto"/>
            </w:tcBorders>
          </w:tcPr>
          <w:p w14:paraId="614AAC07" w14:textId="55CFB2EE" w:rsidR="00E85AB0" w:rsidRPr="00FF3B1A" w:rsidRDefault="00E85AB0" w:rsidP="00E85AB0">
            <w:pPr>
              <w:jc w:val="center"/>
              <w:rPr>
                <w:rFonts w:ascii="Arial Narrow" w:hAnsi="Arial Narrow"/>
                <w:i/>
                <w:sz w:val="20"/>
              </w:rPr>
            </w:pPr>
            <w:r w:rsidRPr="003429DC">
              <w:rPr>
                <w:rFonts w:ascii="Arial Narrow" w:hAnsi="Arial Narrow"/>
                <w:b/>
                <w:i/>
                <w:sz w:val="20"/>
              </w:rPr>
              <w:t>redacted</w:t>
            </w:r>
          </w:p>
        </w:tc>
        <w:tc>
          <w:tcPr>
            <w:tcW w:w="1037" w:type="dxa"/>
            <w:tcBorders>
              <w:top w:val="single" w:sz="4" w:space="0" w:color="auto"/>
              <w:left w:val="single" w:sz="4" w:space="0" w:color="auto"/>
              <w:bottom w:val="single" w:sz="4" w:space="0" w:color="auto"/>
              <w:right w:val="single" w:sz="4" w:space="0" w:color="auto"/>
            </w:tcBorders>
          </w:tcPr>
          <w:p w14:paraId="08B67831" w14:textId="009422C6" w:rsidR="00E85AB0" w:rsidRPr="00FF3B1A" w:rsidRDefault="00E85AB0" w:rsidP="00E85AB0">
            <w:pPr>
              <w:jc w:val="center"/>
              <w:rPr>
                <w:rFonts w:ascii="Arial Narrow" w:hAnsi="Arial Narrow"/>
                <w:i/>
                <w:sz w:val="20"/>
              </w:rPr>
            </w:pPr>
            <w:r w:rsidRPr="003429DC">
              <w:rPr>
                <w:rFonts w:ascii="Arial Narrow" w:hAnsi="Arial Narrow"/>
                <w:b/>
                <w:i/>
                <w:sz w:val="20"/>
              </w:rPr>
              <w:t>redacted</w:t>
            </w:r>
          </w:p>
        </w:tc>
        <w:tc>
          <w:tcPr>
            <w:tcW w:w="1037" w:type="dxa"/>
            <w:tcBorders>
              <w:top w:val="single" w:sz="4" w:space="0" w:color="auto"/>
              <w:left w:val="single" w:sz="4" w:space="0" w:color="auto"/>
              <w:bottom w:val="single" w:sz="4" w:space="0" w:color="auto"/>
              <w:right w:val="single" w:sz="4" w:space="0" w:color="auto"/>
            </w:tcBorders>
          </w:tcPr>
          <w:p w14:paraId="5B2D95A3" w14:textId="70B9BF40" w:rsidR="00E85AB0" w:rsidRPr="00FF3B1A" w:rsidRDefault="00E85AB0" w:rsidP="00E85AB0">
            <w:pPr>
              <w:jc w:val="center"/>
              <w:rPr>
                <w:rFonts w:ascii="Arial Narrow" w:hAnsi="Arial Narrow"/>
                <w:i/>
                <w:sz w:val="20"/>
              </w:rPr>
            </w:pPr>
            <w:r w:rsidRPr="003429DC">
              <w:rPr>
                <w:rFonts w:ascii="Arial Narrow" w:hAnsi="Arial Narrow"/>
                <w:b/>
                <w:i/>
                <w:sz w:val="20"/>
              </w:rPr>
              <w:t>redacted</w:t>
            </w:r>
          </w:p>
        </w:tc>
      </w:tr>
      <w:tr w:rsidR="00E06A2F" w:rsidRPr="001F45A8" w14:paraId="7DB9EAED"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hideMark/>
          </w:tcPr>
          <w:p w14:paraId="6D1EE284" w14:textId="77777777" w:rsidR="00E06A2F" w:rsidRPr="001F45A8" w:rsidRDefault="00E06A2F" w:rsidP="00E06A2F">
            <w:pPr>
              <w:rPr>
                <w:rFonts w:ascii="Arial Narrow" w:hAnsi="Arial Narrow"/>
                <w:sz w:val="20"/>
              </w:rPr>
            </w:pPr>
            <w:r w:rsidRPr="001F45A8">
              <w:rPr>
                <w:rFonts w:ascii="Arial Narrow" w:hAnsi="Arial Narrow"/>
                <w:sz w:val="20"/>
              </w:rPr>
              <w:t>Sub-total direct cost to MBS</w:t>
            </w:r>
          </w:p>
        </w:tc>
        <w:tc>
          <w:tcPr>
            <w:tcW w:w="1037" w:type="dxa"/>
            <w:tcBorders>
              <w:top w:val="single" w:sz="4" w:space="0" w:color="auto"/>
              <w:left w:val="single" w:sz="4" w:space="0" w:color="auto"/>
              <w:bottom w:val="single" w:sz="4" w:space="0" w:color="auto"/>
              <w:right w:val="single" w:sz="4" w:space="0" w:color="auto"/>
            </w:tcBorders>
            <w:hideMark/>
          </w:tcPr>
          <w:p w14:paraId="54E4DF28"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c>
          <w:tcPr>
            <w:tcW w:w="1037" w:type="dxa"/>
            <w:tcBorders>
              <w:top w:val="single" w:sz="4" w:space="0" w:color="auto"/>
              <w:left w:val="single" w:sz="4" w:space="0" w:color="auto"/>
              <w:bottom w:val="single" w:sz="4" w:space="0" w:color="auto"/>
              <w:right w:val="single" w:sz="4" w:space="0" w:color="auto"/>
            </w:tcBorders>
            <w:hideMark/>
          </w:tcPr>
          <w:p w14:paraId="6B51EF73"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c>
          <w:tcPr>
            <w:tcW w:w="1037" w:type="dxa"/>
            <w:tcBorders>
              <w:top w:val="single" w:sz="4" w:space="0" w:color="auto"/>
              <w:left w:val="single" w:sz="4" w:space="0" w:color="auto"/>
              <w:bottom w:val="single" w:sz="4" w:space="0" w:color="auto"/>
              <w:right w:val="single" w:sz="4" w:space="0" w:color="auto"/>
            </w:tcBorders>
            <w:hideMark/>
          </w:tcPr>
          <w:p w14:paraId="415BFA86"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c>
          <w:tcPr>
            <w:tcW w:w="1037" w:type="dxa"/>
            <w:tcBorders>
              <w:top w:val="single" w:sz="4" w:space="0" w:color="auto"/>
              <w:left w:val="single" w:sz="4" w:space="0" w:color="auto"/>
              <w:bottom w:val="single" w:sz="4" w:space="0" w:color="auto"/>
              <w:right w:val="single" w:sz="4" w:space="0" w:color="auto"/>
            </w:tcBorders>
            <w:hideMark/>
          </w:tcPr>
          <w:p w14:paraId="00A6C851"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c>
          <w:tcPr>
            <w:tcW w:w="1037" w:type="dxa"/>
            <w:tcBorders>
              <w:top w:val="single" w:sz="4" w:space="0" w:color="auto"/>
              <w:left w:val="single" w:sz="4" w:space="0" w:color="auto"/>
              <w:bottom w:val="single" w:sz="4" w:space="0" w:color="auto"/>
              <w:right w:val="single" w:sz="4" w:space="0" w:color="auto"/>
            </w:tcBorders>
            <w:hideMark/>
          </w:tcPr>
          <w:p w14:paraId="195F728B" w14:textId="77777777" w:rsidR="00E06A2F" w:rsidRPr="001F45A8" w:rsidRDefault="00E06A2F" w:rsidP="00E06A2F">
            <w:pPr>
              <w:jc w:val="center"/>
              <w:rPr>
                <w:rFonts w:ascii="Arial Narrow" w:hAnsi="Arial Narrow"/>
                <w:sz w:val="20"/>
              </w:rPr>
            </w:pPr>
            <w:r w:rsidRPr="001F45A8">
              <w:rPr>
                <w:rFonts w:ascii="Arial Narrow" w:hAnsi="Arial Narrow"/>
                <w:sz w:val="20"/>
              </w:rPr>
              <w:t>$0</w:t>
            </w:r>
          </w:p>
        </w:tc>
      </w:tr>
      <w:tr w:rsidR="00E06A2F" w:rsidRPr="001F45A8" w14:paraId="3E1DB8D7" w14:textId="77777777" w:rsidTr="00E06A2F">
        <w:trPr>
          <w:trHeight w:val="327"/>
        </w:trPr>
        <w:tc>
          <w:tcPr>
            <w:tcW w:w="9016" w:type="dxa"/>
            <w:gridSpan w:val="6"/>
            <w:tcBorders>
              <w:top w:val="single" w:sz="4" w:space="0" w:color="auto"/>
              <w:left w:val="single" w:sz="4" w:space="0" w:color="auto"/>
              <w:bottom w:val="single" w:sz="4" w:space="0" w:color="auto"/>
              <w:right w:val="single" w:sz="4" w:space="0" w:color="auto"/>
            </w:tcBorders>
            <w:hideMark/>
          </w:tcPr>
          <w:p w14:paraId="607686C9" w14:textId="77777777" w:rsidR="00E06A2F" w:rsidRPr="001F45A8" w:rsidRDefault="00E06A2F" w:rsidP="00E06A2F">
            <w:pPr>
              <w:rPr>
                <w:rFonts w:ascii="Arial Narrow" w:hAnsi="Arial Narrow"/>
                <w:b/>
                <w:sz w:val="20"/>
              </w:rPr>
            </w:pPr>
            <w:r w:rsidRPr="001F45A8">
              <w:rPr>
                <w:rFonts w:ascii="Arial Narrow" w:hAnsi="Arial Narrow"/>
                <w:b/>
                <w:sz w:val="20"/>
              </w:rPr>
              <w:t>Revision surgeries and anaesthesia costs for initial surgery</w:t>
            </w:r>
          </w:p>
        </w:tc>
      </w:tr>
      <w:tr w:rsidR="00E06A2F" w:rsidRPr="001F45A8" w14:paraId="218EDF00" w14:textId="77777777" w:rsidTr="00E06A2F">
        <w:trPr>
          <w:trHeight w:val="300"/>
        </w:trPr>
        <w:tc>
          <w:tcPr>
            <w:tcW w:w="3831" w:type="dxa"/>
            <w:tcBorders>
              <w:top w:val="single" w:sz="4" w:space="0" w:color="auto"/>
              <w:left w:val="single" w:sz="4" w:space="0" w:color="auto"/>
              <w:bottom w:val="single" w:sz="4" w:space="0" w:color="auto"/>
              <w:right w:val="single" w:sz="4" w:space="0" w:color="auto"/>
            </w:tcBorders>
            <w:hideMark/>
          </w:tcPr>
          <w:p w14:paraId="1548F88F" w14:textId="77777777" w:rsidR="00E06A2F" w:rsidRPr="001F45A8" w:rsidRDefault="00E06A2F" w:rsidP="00E06A2F">
            <w:pPr>
              <w:rPr>
                <w:rFonts w:ascii="Arial Narrow" w:hAnsi="Arial Narrow"/>
                <w:sz w:val="20"/>
              </w:rPr>
            </w:pPr>
            <w:r w:rsidRPr="001F45A8">
              <w:rPr>
                <w:rFonts w:ascii="Arial Narrow" w:hAnsi="Arial Narrow"/>
                <w:sz w:val="20"/>
              </w:rPr>
              <w:t xml:space="preserve">Estimated change in services </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B74415E" w14:textId="77777777" w:rsidR="00E06A2F" w:rsidRPr="001F45A8" w:rsidRDefault="00E06A2F" w:rsidP="00E06A2F">
            <w:pPr>
              <w:jc w:val="center"/>
              <w:rPr>
                <w:rFonts w:ascii="Arial Narrow" w:hAnsi="Arial Narrow"/>
                <w:sz w:val="20"/>
              </w:rPr>
            </w:pPr>
            <w:r w:rsidRPr="001F45A8">
              <w:rPr>
                <w:rFonts w:ascii="Arial Narrow" w:hAnsi="Arial Narrow"/>
                <w:sz w:val="20"/>
              </w:rPr>
              <w:t>-29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5FC8E90" w14:textId="77777777" w:rsidR="00E06A2F" w:rsidRPr="001F45A8" w:rsidRDefault="00E06A2F" w:rsidP="00E06A2F">
            <w:pPr>
              <w:jc w:val="center"/>
              <w:rPr>
                <w:rFonts w:ascii="Arial Narrow" w:hAnsi="Arial Narrow"/>
                <w:sz w:val="20"/>
              </w:rPr>
            </w:pPr>
            <w:r w:rsidRPr="001F45A8">
              <w:rPr>
                <w:rFonts w:ascii="Arial Narrow" w:hAnsi="Arial Narrow"/>
                <w:sz w:val="20"/>
              </w:rPr>
              <w:t>-59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4F5F4DD" w14:textId="77777777" w:rsidR="00E06A2F" w:rsidRPr="001F45A8" w:rsidRDefault="00E06A2F" w:rsidP="00E06A2F">
            <w:pPr>
              <w:jc w:val="center"/>
              <w:rPr>
                <w:rFonts w:ascii="Arial Narrow" w:hAnsi="Arial Narrow"/>
                <w:sz w:val="20"/>
              </w:rPr>
            </w:pPr>
            <w:r w:rsidRPr="001F45A8">
              <w:rPr>
                <w:rFonts w:ascii="Arial Narrow" w:hAnsi="Arial Narrow"/>
                <w:sz w:val="20"/>
              </w:rPr>
              <w:t>-90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ABFB839" w14:textId="77777777" w:rsidR="00E06A2F" w:rsidRPr="001F45A8" w:rsidRDefault="00E06A2F" w:rsidP="00E06A2F">
            <w:pPr>
              <w:jc w:val="center"/>
              <w:rPr>
                <w:rFonts w:ascii="Arial Narrow" w:hAnsi="Arial Narrow"/>
                <w:sz w:val="20"/>
              </w:rPr>
            </w:pPr>
            <w:r w:rsidRPr="001F45A8">
              <w:rPr>
                <w:rFonts w:ascii="Arial Narrow" w:hAnsi="Arial Narrow"/>
                <w:sz w:val="20"/>
              </w:rPr>
              <w:t>-122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80B38CD" w14:textId="77777777" w:rsidR="00E06A2F" w:rsidRPr="001F45A8" w:rsidRDefault="00E06A2F" w:rsidP="00E06A2F">
            <w:pPr>
              <w:jc w:val="center"/>
              <w:rPr>
                <w:rFonts w:ascii="Arial Narrow" w:hAnsi="Arial Narrow"/>
                <w:sz w:val="20"/>
              </w:rPr>
            </w:pPr>
            <w:r w:rsidRPr="001F45A8">
              <w:rPr>
                <w:rFonts w:ascii="Arial Narrow" w:hAnsi="Arial Narrow"/>
                <w:sz w:val="20"/>
              </w:rPr>
              <w:t>-155</w:t>
            </w:r>
          </w:p>
        </w:tc>
      </w:tr>
      <w:tr w:rsidR="00E06A2F" w:rsidRPr="001F45A8" w14:paraId="20FB2DAB" w14:textId="77777777" w:rsidTr="00E06A2F">
        <w:trPr>
          <w:trHeight w:val="300"/>
        </w:trPr>
        <w:tc>
          <w:tcPr>
            <w:tcW w:w="3831" w:type="dxa"/>
            <w:tcBorders>
              <w:top w:val="single" w:sz="4" w:space="0" w:color="auto"/>
              <w:left w:val="single" w:sz="4" w:space="0" w:color="auto"/>
              <w:bottom w:val="single" w:sz="4" w:space="0" w:color="auto"/>
              <w:right w:val="single" w:sz="4" w:space="0" w:color="auto"/>
            </w:tcBorders>
          </w:tcPr>
          <w:p w14:paraId="010DC444" w14:textId="77777777" w:rsidR="00E06A2F" w:rsidRPr="001F45A8" w:rsidRDefault="00E06A2F" w:rsidP="00E06A2F">
            <w:pPr>
              <w:ind w:left="227"/>
              <w:rPr>
                <w:rFonts w:ascii="Arial Narrow" w:hAnsi="Arial Narrow"/>
                <w:sz w:val="20"/>
              </w:rPr>
            </w:pPr>
            <w:r w:rsidRPr="00D51E93">
              <w:rPr>
                <w:rFonts w:ascii="Arial Narrow" w:hAnsi="Arial Narrow"/>
                <w:i/>
                <w:sz w:val="20"/>
              </w:rPr>
              <w:t>PTRCT</w:t>
            </w:r>
          </w:p>
        </w:tc>
        <w:tc>
          <w:tcPr>
            <w:tcW w:w="1037" w:type="dxa"/>
            <w:tcBorders>
              <w:top w:val="single" w:sz="4" w:space="0" w:color="auto"/>
              <w:left w:val="single" w:sz="4" w:space="0" w:color="auto"/>
              <w:bottom w:val="single" w:sz="4" w:space="0" w:color="auto"/>
              <w:right w:val="single" w:sz="4" w:space="0" w:color="auto"/>
            </w:tcBorders>
          </w:tcPr>
          <w:p w14:paraId="082F2033" w14:textId="77777777" w:rsidR="00E06A2F" w:rsidRPr="00FF3B1A" w:rsidRDefault="00E06A2F" w:rsidP="00E06A2F">
            <w:pPr>
              <w:pStyle w:val="Tabletextcentred"/>
              <w:rPr>
                <w:i/>
              </w:rPr>
            </w:pPr>
            <w:r w:rsidRPr="00FF3B1A">
              <w:rPr>
                <w:i/>
              </w:rPr>
              <w:t>-17</w:t>
            </w:r>
          </w:p>
        </w:tc>
        <w:tc>
          <w:tcPr>
            <w:tcW w:w="1037" w:type="dxa"/>
            <w:tcBorders>
              <w:top w:val="single" w:sz="4" w:space="0" w:color="auto"/>
              <w:left w:val="single" w:sz="4" w:space="0" w:color="auto"/>
              <w:bottom w:val="single" w:sz="4" w:space="0" w:color="auto"/>
              <w:right w:val="single" w:sz="4" w:space="0" w:color="auto"/>
            </w:tcBorders>
          </w:tcPr>
          <w:p w14:paraId="12F3008D" w14:textId="77777777" w:rsidR="00E06A2F" w:rsidRPr="00FF3B1A" w:rsidRDefault="00E06A2F" w:rsidP="00E06A2F">
            <w:pPr>
              <w:pStyle w:val="Tabletextcentred"/>
              <w:rPr>
                <w:i/>
              </w:rPr>
            </w:pPr>
            <w:r w:rsidRPr="00FF3B1A">
              <w:rPr>
                <w:i/>
              </w:rPr>
              <w:t>-35</w:t>
            </w:r>
          </w:p>
        </w:tc>
        <w:tc>
          <w:tcPr>
            <w:tcW w:w="1037" w:type="dxa"/>
            <w:tcBorders>
              <w:top w:val="single" w:sz="4" w:space="0" w:color="auto"/>
              <w:left w:val="single" w:sz="4" w:space="0" w:color="auto"/>
              <w:bottom w:val="single" w:sz="4" w:space="0" w:color="auto"/>
              <w:right w:val="single" w:sz="4" w:space="0" w:color="auto"/>
            </w:tcBorders>
          </w:tcPr>
          <w:p w14:paraId="0F68CCCC" w14:textId="77777777" w:rsidR="00E06A2F" w:rsidRPr="00FF3B1A" w:rsidRDefault="00E06A2F" w:rsidP="00E06A2F">
            <w:pPr>
              <w:pStyle w:val="Tabletextcentred"/>
              <w:rPr>
                <w:i/>
              </w:rPr>
            </w:pPr>
            <w:r w:rsidRPr="00FF3B1A">
              <w:rPr>
                <w:i/>
              </w:rPr>
              <w:t>-53</w:t>
            </w:r>
          </w:p>
        </w:tc>
        <w:tc>
          <w:tcPr>
            <w:tcW w:w="1037" w:type="dxa"/>
            <w:tcBorders>
              <w:top w:val="single" w:sz="4" w:space="0" w:color="auto"/>
              <w:left w:val="single" w:sz="4" w:space="0" w:color="auto"/>
              <w:bottom w:val="single" w:sz="4" w:space="0" w:color="auto"/>
              <w:right w:val="single" w:sz="4" w:space="0" w:color="auto"/>
            </w:tcBorders>
          </w:tcPr>
          <w:p w14:paraId="42856658" w14:textId="77777777" w:rsidR="00E06A2F" w:rsidRPr="00FF3B1A" w:rsidRDefault="00E06A2F" w:rsidP="00E06A2F">
            <w:pPr>
              <w:pStyle w:val="Tabletextcentred"/>
              <w:rPr>
                <w:i/>
              </w:rPr>
            </w:pPr>
            <w:r w:rsidRPr="00FF3B1A">
              <w:rPr>
                <w:i/>
              </w:rPr>
              <w:t>-71</w:t>
            </w:r>
          </w:p>
        </w:tc>
        <w:tc>
          <w:tcPr>
            <w:tcW w:w="1037" w:type="dxa"/>
            <w:tcBorders>
              <w:top w:val="single" w:sz="4" w:space="0" w:color="auto"/>
              <w:left w:val="single" w:sz="4" w:space="0" w:color="auto"/>
              <w:bottom w:val="single" w:sz="4" w:space="0" w:color="auto"/>
              <w:right w:val="single" w:sz="4" w:space="0" w:color="auto"/>
            </w:tcBorders>
          </w:tcPr>
          <w:p w14:paraId="12B410F4" w14:textId="77777777" w:rsidR="00E06A2F" w:rsidRPr="00FF3B1A" w:rsidRDefault="00E06A2F" w:rsidP="00E06A2F">
            <w:pPr>
              <w:pStyle w:val="Tabletextcentred"/>
              <w:rPr>
                <w:i/>
              </w:rPr>
            </w:pPr>
            <w:r w:rsidRPr="00FF3B1A">
              <w:rPr>
                <w:i/>
              </w:rPr>
              <w:t>-91</w:t>
            </w:r>
          </w:p>
        </w:tc>
      </w:tr>
      <w:tr w:rsidR="00E06A2F" w:rsidRPr="001F45A8" w14:paraId="629F6CA5" w14:textId="77777777" w:rsidTr="00E06A2F">
        <w:trPr>
          <w:trHeight w:val="300"/>
        </w:trPr>
        <w:tc>
          <w:tcPr>
            <w:tcW w:w="3831" w:type="dxa"/>
            <w:tcBorders>
              <w:top w:val="single" w:sz="4" w:space="0" w:color="auto"/>
              <w:left w:val="single" w:sz="4" w:space="0" w:color="auto"/>
              <w:bottom w:val="single" w:sz="4" w:space="0" w:color="auto"/>
              <w:right w:val="single" w:sz="4" w:space="0" w:color="auto"/>
            </w:tcBorders>
          </w:tcPr>
          <w:p w14:paraId="5F13C878" w14:textId="77777777" w:rsidR="00E06A2F" w:rsidRPr="001F45A8" w:rsidRDefault="00E06A2F" w:rsidP="00E06A2F">
            <w:pPr>
              <w:ind w:left="227"/>
              <w:rPr>
                <w:rFonts w:ascii="Arial Narrow" w:hAnsi="Arial Narrow"/>
                <w:sz w:val="20"/>
              </w:rPr>
            </w:pPr>
            <w:r w:rsidRPr="00D51E93">
              <w:rPr>
                <w:rFonts w:ascii="Arial Narrow" w:hAnsi="Arial Narrow"/>
                <w:i/>
                <w:sz w:val="20"/>
              </w:rPr>
              <w:t>FTRCT</w:t>
            </w:r>
          </w:p>
        </w:tc>
        <w:tc>
          <w:tcPr>
            <w:tcW w:w="1037" w:type="dxa"/>
            <w:tcBorders>
              <w:top w:val="single" w:sz="4" w:space="0" w:color="auto"/>
              <w:left w:val="single" w:sz="4" w:space="0" w:color="auto"/>
              <w:bottom w:val="single" w:sz="4" w:space="0" w:color="auto"/>
              <w:right w:val="single" w:sz="4" w:space="0" w:color="auto"/>
            </w:tcBorders>
            <w:vAlign w:val="bottom"/>
          </w:tcPr>
          <w:p w14:paraId="14FE8B26" w14:textId="77777777" w:rsidR="00E06A2F" w:rsidRPr="001F45A8" w:rsidRDefault="00E06A2F" w:rsidP="00E06A2F">
            <w:pPr>
              <w:jc w:val="center"/>
              <w:rPr>
                <w:rFonts w:ascii="Arial Narrow" w:hAnsi="Arial Narrow"/>
                <w:sz w:val="20"/>
              </w:rPr>
            </w:pPr>
            <w:r w:rsidRPr="00D51E93">
              <w:rPr>
                <w:rFonts w:ascii="Arial Narrow" w:hAnsi="Arial Narrow"/>
                <w:sz w:val="20"/>
                <w:szCs w:val="24"/>
              </w:rPr>
              <w:t>-12</w:t>
            </w:r>
          </w:p>
        </w:tc>
        <w:tc>
          <w:tcPr>
            <w:tcW w:w="1037" w:type="dxa"/>
            <w:tcBorders>
              <w:top w:val="single" w:sz="4" w:space="0" w:color="auto"/>
              <w:left w:val="single" w:sz="4" w:space="0" w:color="auto"/>
              <w:bottom w:val="single" w:sz="4" w:space="0" w:color="auto"/>
              <w:right w:val="single" w:sz="4" w:space="0" w:color="auto"/>
            </w:tcBorders>
            <w:vAlign w:val="bottom"/>
          </w:tcPr>
          <w:p w14:paraId="042CE555" w14:textId="77777777" w:rsidR="00E06A2F" w:rsidRPr="001F45A8" w:rsidRDefault="00E06A2F" w:rsidP="00E06A2F">
            <w:pPr>
              <w:jc w:val="center"/>
              <w:rPr>
                <w:rFonts w:ascii="Arial Narrow" w:hAnsi="Arial Narrow"/>
                <w:sz w:val="20"/>
              </w:rPr>
            </w:pPr>
            <w:r w:rsidRPr="00D51E93">
              <w:rPr>
                <w:rFonts w:ascii="Arial Narrow" w:hAnsi="Arial Narrow"/>
                <w:sz w:val="20"/>
                <w:szCs w:val="24"/>
              </w:rPr>
              <w:t>-24</w:t>
            </w:r>
          </w:p>
        </w:tc>
        <w:tc>
          <w:tcPr>
            <w:tcW w:w="1037" w:type="dxa"/>
            <w:tcBorders>
              <w:top w:val="single" w:sz="4" w:space="0" w:color="auto"/>
              <w:left w:val="single" w:sz="4" w:space="0" w:color="auto"/>
              <w:bottom w:val="single" w:sz="4" w:space="0" w:color="auto"/>
              <w:right w:val="single" w:sz="4" w:space="0" w:color="auto"/>
            </w:tcBorders>
            <w:vAlign w:val="bottom"/>
          </w:tcPr>
          <w:p w14:paraId="4966AE04" w14:textId="77777777" w:rsidR="00E06A2F" w:rsidRPr="001F45A8" w:rsidRDefault="00E06A2F" w:rsidP="00E06A2F">
            <w:pPr>
              <w:jc w:val="center"/>
              <w:rPr>
                <w:rFonts w:ascii="Arial Narrow" w:hAnsi="Arial Narrow"/>
                <w:sz w:val="20"/>
              </w:rPr>
            </w:pPr>
            <w:r w:rsidRPr="00D51E93">
              <w:rPr>
                <w:rFonts w:ascii="Arial Narrow" w:hAnsi="Arial Narrow"/>
                <w:sz w:val="20"/>
                <w:szCs w:val="24"/>
              </w:rPr>
              <w:t>-37</w:t>
            </w:r>
          </w:p>
        </w:tc>
        <w:tc>
          <w:tcPr>
            <w:tcW w:w="1037" w:type="dxa"/>
            <w:tcBorders>
              <w:top w:val="single" w:sz="4" w:space="0" w:color="auto"/>
              <w:left w:val="single" w:sz="4" w:space="0" w:color="auto"/>
              <w:bottom w:val="single" w:sz="4" w:space="0" w:color="auto"/>
              <w:right w:val="single" w:sz="4" w:space="0" w:color="auto"/>
            </w:tcBorders>
            <w:vAlign w:val="bottom"/>
          </w:tcPr>
          <w:p w14:paraId="032EBBE1" w14:textId="77777777" w:rsidR="00E06A2F" w:rsidRPr="001F45A8" w:rsidRDefault="00E06A2F" w:rsidP="00E06A2F">
            <w:pPr>
              <w:jc w:val="center"/>
              <w:rPr>
                <w:rFonts w:ascii="Arial Narrow" w:hAnsi="Arial Narrow"/>
                <w:sz w:val="20"/>
              </w:rPr>
            </w:pPr>
            <w:r w:rsidRPr="00D51E93">
              <w:rPr>
                <w:rFonts w:ascii="Arial Narrow" w:hAnsi="Arial Narrow"/>
                <w:sz w:val="20"/>
                <w:szCs w:val="24"/>
              </w:rPr>
              <w:t>-50</w:t>
            </w:r>
          </w:p>
        </w:tc>
        <w:tc>
          <w:tcPr>
            <w:tcW w:w="1037" w:type="dxa"/>
            <w:tcBorders>
              <w:top w:val="single" w:sz="4" w:space="0" w:color="auto"/>
              <w:left w:val="single" w:sz="4" w:space="0" w:color="auto"/>
              <w:bottom w:val="single" w:sz="4" w:space="0" w:color="auto"/>
              <w:right w:val="single" w:sz="4" w:space="0" w:color="auto"/>
            </w:tcBorders>
            <w:vAlign w:val="bottom"/>
          </w:tcPr>
          <w:p w14:paraId="32EA53D9" w14:textId="77777777" w:rsidR="00E06A2F" w:rsidRPr="001F45A8" w:rsidRDefault="00E06A2F" w:rsidP="00E06A2F">
            <w:pPr>
              <w:jc w:val="center"/>
              <w:rPr>
                <w:rFonts w:ascii="Arial Narrow" w:hAnsi="Arial Narrow"/>
                <w:sz w:val="20"/>
              </w:rPr>
            </w:pPr>
            <w:r w:rsidRPr="00D51E93">
              <w:rPr>
                <w:rFonts w:ascii="Arial Narrow" w:hAnsi="Arial Narrow"/>
                <w:sz w:val="20"/>
                <w:szCs w:val="24"/>
              </w:rPr>
              <w:t>-64</w:t>
            </w:r>
          </w:p>
        </w:tc>
      </w:tr>
      <w:tr w:rsidR="00E06A2F" w:rsidRPr="001F45A8" w14:paraId="38B50B9E" w14:textId="77777777" w:rsidTr="00E06A2F">
        <w:trPr>
          <w:trHeight w:val="300"/>
        </w:trPr>
        <w:tc>
          <w:tcPr>
            <w:tcW w:w="3831" w:type="dxa"/>
            <w:tcBorders>
              <w:top w:val="single" w:sz="4" w:space="0" w:color="auto"/>
              <w:left w:val="single" w:sz="4" w:space="0" w:color="auto"/>
              <w:bottom w:val="single" w:sz="4" w:space="0" w:color="auto"/>
              <w:right w:val="single" w:sz="4" w:space="0" w:color="auto"/>
            </w:tcBorders>
            <w:hideMark/>
          </w:tcPr>
          <w:p w14:paraId="1917EB5B" w14:textId="77777777" w:rsidR="00E06A2F" w:rsidRPr="001F45A8" w:rsidRDefault="00E06A2F" w:rsidP="00E06A2F">
            <w:pPr>
              <w:rPr>
                <w:rFonts w:ascii="Arial Narrow" w:hAnsi="Arial Narrow"/>
                <w:sz w:val="20"/>
              </w:rPr>
            </w:pPr>
            <w:r w:rsidRPr="001F45A8">
              <w:rPr>
                <w:rFonts w:ascii="Arial Narrow" w:hAnsi="Arial Narrow"/>
                <w:sz w:val="20"/>
              </w:rPr>
              <w:t>Sub-total cost to MBS</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5ACCDBC" w14:textId="77777777" w:rsidR="00E06A2F" w:rsidRPr="001F45A8" w:rsidRDefault="00E06A2F" w:rsidP="00E06A2F">
            <w:pPr>
              <w:jc w:val="right"/>
              <w:rPr>
                <w:rFonts w:ascii="Arial Narrow" w:hAnsi="Arial Narrow"/>
                <w:sz w:val="20"/>
              </w:rPr>
            </w:pPr>
            <w:r w:rsidRPr="001F45A8">
              <w:rPr>
                <w:rFonts w:ascii="Arial Narrow" w:hAnsi="Arial Narrow"/>
                <w:sz w:val="20"/>
              </w:rPr>
              <w:t>-$13,849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15D90AC" w14:textId="77777777" w:rsidR="00E06A2F" w:rsidRPr="001F45A8" w:rsidRDefault="00E06A2F" w:rsidP="00E06A2F">
            <w:pPr>
              <w:jc w:val="right"/>
              <w:rPr>
                <w:rFonts w:ascii="Arial Narrow" w:hAnsi="Arial Narrow"/>
                <w:sz w:val="20"/>
              </w:rPr>
            </w:pPr>
            <w:r w:rsidRPr="001F45A8">
              <w:rPr>
                <w:rFonts w:ascii="Arial Narrow" w:hAnsi="Arial Narrow"/>
                <w:sz w:val="20"/>
              </w:rPr>
              <w:t>-$28,151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D83D520" w14:textId="77777777" w:rsidR="00E06A2F" w:rsidRPr="001F45A8" w:rsidRDefault="00E06A2F" w:rsidP="00E06A2F">
            <w:pPr>
              <w:jc w:val="right"/>
              <w:rPr>
                <w:rFonts w:ascii="Arial Narrow" w:hAnsi="Arial Narrow"/>
                <w:sz w:val="20"/>
              </w:rPr>
            </w:pPr>
            <w:r w:rsidRPr="001F45A8">
              <w:rPr>
                <w:rFonts w:ascii="Arial Narrow" w:hAnsi="Arial Narrow"/>
                <w:sz w:val="20"/>
              </w:rPr>
              <w:t>-$42,904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59400C5" w14:textId="77777777" w:rsidR="00E06A2F" w:rsidRPr="001F45A8" w:rsidRDefault="00E06A2F" w:rsidP="00E06A2F">
            <w:pPr>
              <w:jc w:val="right"/>
              <w:rPr>
                <w:rFonts w:ascii="Arial Narrow" w:hAnsi="Arial Narrow"/>
                <w:sz w:val="20"/>
              </w:rPr>
            </w:pPr>
            <w:r w:rsidRPr="001F45A8">
              <w:rPr>
                <w:rFonts w:ascii="Arial Narrow" w:hAnsi="Arial Narrow"/>
                <w:sz w:val="20"/>
              </w:rPr>
              <w:t>-$58,100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9EE5EBC" w14:textId="77777777" w:rsidR="00E06A2F" w:rsidRPr="001F45A8" w:rsidRDefault="00E06A2F" w:rsidP="00E06A2F">
            <w:pPr>
              <w:jc w:val="right"/>
              <w:rPr>
                <w:rFonts w:ascii="Arial Narrow" w:hAnsi="Arial Narrow"/>
                <w:sz w:val="20"/>
              </w:rPr>
            </w:pPr>
            <w:r w:rsidRPr="001F45A8">
              <w:rPr>
                <w:rFonts w:ascii="Arial Narrow" w:hAnsi="Arial Narrow"/>
                <w:sz w:val="20"/>
              </w:rPr>
              <w:t>-$73,759</w:t>
            </w:r>
          </w:p>
        </w:tc>
      </w:tr>
      <w:tr w:rsidR="00E06A2F" w:rsidRPr="001F45A8" w14:paraId="555870A6"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hideMark/>
          </w:tcPr>
          <w:p w14:paraId="148B8484" w14:textId="77777777" w:rsidR="00E06A2F" w:rsidRPr="001F45A8" w:rsidRDefault="00E06A2F" w:rsidP="00E06A2F">
            <w:pPr>
              <w:rPr>
                <w:rFonts w:ascii="Arial Narrow" w:hAnsi="Arial Narrow"/>
                <w:b/>
                <w:sz w:val="20"/>
              </w:rPr>
            </w:pPr>
            <w:r w:rsidRPr="001F45A8">
              <w:rPr>
                <w:rFonts w:ascii="Arial Narrow" w:hAnsi="Arial Narrow"/>
                <w:b/>
                <w:sz w:val="20"/>
              </w:rPr>
              <w:t>Estimated change in services</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76786CE" w14:textId="77777777" w:rsidR="00E06A2F" w:rsidRPr="001F45A8" w:rsidRDefault="00E06A2F" w:rsidP="00E06A2F">
            <w:pPr>
              <w:jc w:val="center"/>
              <w:rPr>
                <w:rFonts w:ascii="Arial Narrow" w:hAnsi="Arial Narrow"/>
                <w:sz w:val="20"/>
              </w:rPr>
            </w:pPr>
            <w:r w:rsidRPr="001F45A8">
              <w:rPr>
                <w:rFonts w:ascii="Arial Narrow" w:hAnsi="Arial Narrow"/>
                <w:sz w:val="20"/>
              </w:rPr>
              <w:t>-29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9AB7848" w14:textId="77777777" w:rsidR="00E06A2F" w:rsidRPr="001F45A8" w:rsidRDefault="00E06A2F" w:rsidP="00E06A2F">
            <w:pPr>
              <w:jc w:val="center"/>
              <w:rPr>
                <w:rFonts w:ascii="Arial Narrow" w:hAnsi="Arial Narrow"/>
                <w:sz w:val="20"/>
              </w:rPr>
            </w:pPr>
            <w:r w:rsidRPr="001F45A8">
              <w:rPr>
                <w:rFonts w:ascii="Arial Narrow" w:hAnsi="Arial Narrow"/>
                <w:sz w:val="20"/>
              </w:rPr>
              <w:t>-59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324E20" w14:textId="77777777" w:rsidR="00E06A2F" w:rsidRPr="001F45A8" w:rsidRDefault="00E06A2F" w:rsidP="00E06A2F">
            <w:pPr>
              <w:jc w:val="center"/>
              <w:rPr>
                <w:rFonts w:ascii="Arial Narrow" w:hAnsi="Arial Narrow"/>
                <w:sz w:val="20"/>
              </w:rPr>
            </w:pPr>
            <w:r w:rsidRPr="001F45A8">
              <w:rPr>
                <w:rFonts w:ascii="Arial Narrow" w:hAnsi="Arial Narrow"/>
                <w:sz w:val="20"/>
              </w:rPr>
              <w:t>-90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EEC1804" w14:textId="77777777" w:rsidR="00E06A2F" w:rsidRPr="001F45A8" w:rsidRDefault="00E06A2F" w:rsidP="00E06A2F">
            <w:pPr>
              <w:jc w:val="center"/>
              <w:rPr>
                <w:rFonts w:ascii="Arial Narrow" w:hAnsi="Arial Narrow"/>
                <w:sz w:val="20"/>
              </w:rPr>
            </w:pPr>
            <w:r w:rsidRPr="001F45A8">
              <w:rPr>
                <w:rFonts w:ascii="Arial Narrow" w:hAnsi="Arial Narrow"/>
                <w:sz w:val="20"/>
              </w:rPr>
              <w:t>-122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26204A2" w14:textId="77777777" w:rsidR="00E06A2F" w:rsidRPr="001F45A8" w:rsidRDefault="00E06A2F" w:rsidP="00E06A2F">
            <w:pPr>
              <w:jc w:val="center"/>
              <w:rPr>
                <w:rFonts w:ascii="Arial Narrow" w:hAnsi="Arial Narrow"/>
                <w:sz w:val="20"/>
              </w:rPr>
            </w:pPr>
            <w:r w:rsidRPr="001F45A8">
              <w:rPr>
                <w:rFonts w:ascii="Arial Narrow" w:hAnsi="Arial Narrow"/>
                <w:sz w:val="20"/>
              </w:rPr>
              <w:t>-155</w:t>
            </w:r>
          </w:p>
        </w:tc>
      </w:tr>
      <w:tr w:rsidR="00E06A2F" w:rsidRPr="001F45A8" w14:paraId="5C6F671D"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vAlign w:val="bottom"/>
            <w:hideMark/>
          </w:tcPr>
          <w:p w14:paraId="3CE67A2E" w14:textId="77777777" w:rsidR="00E06A2F" w:rsidRPr="00FF3B1A" w:rsidRDefault="00E06A2F" w:rsidP="00E06A2F">
            <w:pPr>
              <w:rPr>
                <w:rFonts w:ascii="Arial Narrow" w:hAnsi="Arial Narrow"/>
                <w:b/>
                <w:bCs/>
                <w:i/>
                <w:sz w:val="20"/>
              </w:rPr>
            </w:pPr>
            <w:r w:rsidRPr="00FF3B1A">
              <w:rPr>
                <w:rFonts w:ascii="Arial Narrow" w:hAnsi="Arial Narrow"/>
                <w:b/>
                <w:bCs/>
                <w:i/>
                <w:sz w:val="20"/>
              </w:rPr>
              <w:t>Total costs to MBS</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0EA036F" w14:textId="77777777" w:rsidR="00E06A2F" w:rsidRPr="00FF3B1A" w:rsidRDefault="00E06A2F" w:rsidP="00E06A2F">
            <w:pPr>
              <w:jc w:val="right"/>
              <w:rPr>
                <w:rFonts w:ascii="Arial Narrow" w:hAnsi="Arial Narrow"/>
                <w:b/>
                <w:bCs/>
                <w:i/>
                <w:sz w:val="20"/>
              </w:rPr>
            </w:pPr>
            <w:r w:rsidRPr="00FF3B1A">
              <w:rPr>
                <w:rFonts w:ascii="Arial Narrow" w:hAnsi="Arial Narrow"/>
                <w:b/>
                <w:i/>
                <w:sz w:val="20"/>
              </w:rPr>
              <w:t>-$13,849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C92B986" w14:textId="77777777" w:rsidR="00E06A2F" w:rsidRPr="00FF3B1A" w:rsidRDefault="00E06A2F" w:rsidP="00E06A2F">
            <w:pPr>
              <w:jc w:val="right"/>
              <w:rPr>
                <w:rFonts w:ascii="Arial Narrow" w:hAnsi="Arial Narrow"/>
                <w:b/>
                <w:bCs/>
                <w:i/>
                <w:sz w:val="20"/>
              </w:rPr>
            </w:pPr>
            <w:r w:rsidRPr="00FF3B1A">
              <w:rPr>
                <w:rFonts w:ascii="Arial Narrow" w:hAnsi="Arial Narrow"/>
                <w:b/>
                <w:i/>
                <w:sz w:val="20"/>
              </w:rPr>
              <w:t>-$28,151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3E441CB" w14:textId="77777777" w:rsidR="00E06A2F" w:rsidRPr="00FF3B1A" w:rsidRDefault="00E06A2F" w:rsidP="00E06A2F">
            <w:pPr>
              <w:jc w:val="right"/>
              <w:rPr>
                <w:rFonts w:ascii="Arial Narrow" w:hAnsi="Arial Narrow"/>
                <w:b/>
                <w:bCs/>
                <w:i/>
                <w:sz w:val="20"/>
              </w:rPr>
            </w:pPr>
            <w:r w:rsidRPr="00FF3B1A">
              <w:rPr>
                <w:rFonts w:ascii="Arial Narrow" w:hAnsi="Arial Narrow"/>
                <w:b/>
                <w:i/>
                <w:sz w:val="20"/>
              </w:rPr>
              <w:t>-$42,904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6BCC2BD" w14:textId="77777777" w:rsidR="00E06A2F" w:rsidRPr="00FF3B1A" w:rsidRDefault="00E06A2F" w:rsidP="00E06A2F">
            <w:pPr>
              <w:jc w:val="right"/>
              <w:rPr>
                <w:rFonts w:ascii="Arial Narrow" w:hAnsi="Arial Narrow"/>
                <w:b/>
                <w:bCs/>
                <w:i/>
                <w:sz w:val="20"/>
              </w:rPr>
            </w:pPr>
            <w:r w:rsidRPr="00FF3B1A">
              <w:rPr>
                <w:rFonts w:ascii="Arial Narrow" w:hAnsi="Arial Narrow"/>
                <w:b/>
                <w:i/>
                <w:sz w:val="20"/>
              </w:rPr>
              <w:t>-$58,100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87BD20" w14:textId="77777777" w:rsidR="00E06A2F" w:rsidRPr="00FF3B1A" w:rsidRDefault="00E06A2F" w:rsidP="00E06A2F">
            <w:pPr>
              <w:jc w:val="right"/>
              <w:rPr>
                <w:rFonts w:ascii="Arial Narrow" w:hAnsi="Arial Narrow"/>
                <w:b/>
                <w:bCs/>
                <w:i/>
                <w:sz w:val="20"/>
              </w:rPr>
            </w:pPr>
            <w:r w:rsidRPr="00FF3B1A">
              <w:rPr>
                <w:rFonts w:ascii="Arial Narrow" w:hAnsi="Arial Narrow"/>
                <w:b/>
                <w:i/>
                <w:sz w:val="20"/>
              </w:rPr>
              <w:t>-$73,759</w:t>
            </w:r>
          </w:p>
        </w:tc>
      </w:tr>
      <w:tr w:rsidR="00E06A2F" w:rsidRPr="001F45A8" w14:paraId="09ED91DF"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tcPr>
          <w:p w14:paraId="38D3B25B" w14:textId="77777777" w:rsidR="00E06A2F" w:rsidRPr="00FF3B1A" w:rsidRDefault="00E06A2F" w:rsidP="00E06A2F">
            <w:pPr>
              <w:ind w:left="227"/>
              <w:rPr>
                <w:rFonts w:ascii="Arial Narrow" w:hAnsi="Arial Narrow"/>
                <w:b/>
                <w:bCs/>
                <w:i/>
                <w:sz w:val="20"/>
              </w:rPr>
            </w:pPr>
            <w:r w:rsidRPr="00D51E93">
              <w:rPr>
                <w:rFonts w:ascii="Arial Narrow" w:hAnsi="Arial Narrow"/>
                <w:i/>
                <w:sz w:val="20"/>
              </w:rPr>
              <w:t>PTRCT</w:t>
            </w:r>
          </w:p>
        </w:tc>
        <w:tc>
          <w:tcPr>
            <w:tcW w:w="1037" w:type="dxa"/>
            <w:tcBorders>
              <w:top w:val="single" w:sz="4" w:space="0" w:color="auto"/>
              <w:left w:val="single" w:sz="4" w:space="0" w:color="auto"/>
              <w:bottom w:val="single" w:sz="4" w:space="0" w:color="auto"/>
              <w:right w:val="single" w:sz="4" w:space="0" w:color="auto"/>
            </w:tcBorders>
            <w:vAlign w:val="bottom"/>
          </w:tcPr>
          <w:p w14:paraId="2C6E1956" w14:textId="77777777" w:rsidR="00E06A2F" w:rsidRPr="00FF3B1A" w:rsidRDefault="00E06A2F" w:rsidP="00E06A2F">
            <w:pPr>
              <w:pStyle w:val="Tabletext"/>
              <w:jc w:val="center"/>
              <w:rPr>
                <w:i/>
              </w:rPr>
            </w:pPr>
            <w:r w:rsidRPr="00FF3B1A">
              <w:rPr>
                <w:i/>
              </w:rPr>
              <w:t>-$20,205</w:t>
            </w:r>
          </w:p>
        </w:tc>
        <w:tc>
          <w:tcPr>
            <w:tcW w:w="1037" w:type="dxa"/>
            <w:tcBorders>
              <w:top w:val="single" w:sz="4" w:space="0" w:color="auto"/>
              <w:left w:val="single" w:sz="4" w:space="0" w:color="auto"/>
              <w:bottom w:val="single" w:sz="4" w:space="0" w:color="auto"/>
              <w:right w:val="single" w:sz="4" w:space="0" w:color="auto"/>
            </w:tcBorders>
            <w:vAlign w:val="bottom"/>
          </w:tcPr>
          <w:p w14:paraId="16CECEA3" w14:textId="77777777" w:rsidR="00E06A2F" w:rsidRPr="00FF3B1A" w:rsidRDefault="00E06A2F" w:rsidP="00E06A2F">
            <w:pPr>
              <w:pStyle w:val="Tabletext"/>
              <w:jc w:val="center"/>
              <w:rPr>
                <w:i/>
              </w:rPr>
            </w:pPr>
            <w:r w:rsidRPr="00FF3B1A">
              <w:rPr>
                <w:i/>
              </w:rPr>
              <w:t>-$41,072</w:t>
            </w:r>
          </w:p>
        </w:tc>
        <w:tc>
          <w:tcPr>
            <w:tcW w:w="1037" w:type="dxa"/>
            <w:tcBorders>
              <w:top w:val="single" w:sz="4" w:space="0" w:color="auto"/>
              <w:left w:val="single" w:sz="4" w:space="0" w:color="auto"/>
              <w:bottom w:val="single" w:sz="4" w:space="0" w:color="auto"/>
              <w:right w:val="single" w:sz="4" w:space="0" w:color="auto"/>
            </w:tcBorders>
            <w:vAlign w:val="bottom"/>
          </w:tcPr>
          <w:p w14:paraId="16DA0741" w14:textId="77777777" w:rsidR="00E06A2F" w:rsidRPr="00FF3B1A" w:rsidRDefault="00E06A2F" w:rsidP="00E06A2F">
            <w:pPr>
              <w:pStyle w:val="Tabletext"/>
              <w:jc w:val="center"/>
              <w:rPr>
                <w:i/>
              </w:rPr>
            </w:pPr>
            <w:r w:rsidRPr="00FF3B1A">
              <w:rPr>
                <w:i/>
              </w:rPr>
              <w:t>-$62,598</w:t>
            </w:r>
          </w:p>
        </w:tc>
        <w:tc>
          <w:tcPr>
            <w:tcW w:w="1037" w:type="dxa"/>
            <w:tcBorders>
              <w:top w:val="single" w:sz="4" w:space="0" w:color="auto"/>
              <w:left w:val="single" w:sz="4" w:space="0" w:color="auto"/>
              <w:bottom w:val="single" w:sz="4" w:space="0" w:color="auto"/>
              <w:right w:val="single" w:sz="4" w:space="0" w:color="auto"/>
            </w:tcBorders>
            <w:vAlign w:val="bottom"/>
          </w:tcPr>
          <w:p w14:paraId="4554F964" w14:textId="77777777" w:rsidR="00E06A2F" w:rsidRPr="00FF3B1A" w:rsidRDefault="00E06A2F" w:rsidP="00E06A2F">
            <w:pPr>
              <w:pStyle w:val="Tabletext"/>
              <w:jc w:val="center"/>
              <w:rPr>
                <w:i/>
              </w:rPr>
            </w:pPr>
            <w:r w:rsidRPr="00FF3B1A">
              <w:rPr>
                <w:i/>
              </w:rPr>
              <w:t>-$84,768</w:t>
            </w:r>
          </w:p>
        </w:tc>
        <w:tc>
          <w:tcPr>
            <w:tcW w:w="1037" w:type="dxa"/>
            <w:tcBorders>
              <w:top w:val="single" w:sz="4" w:space="0" w:color="auto"/>
              <w:left w:val="single" w:sz="4" w:space="0" w:color="auto"/>
              <w:bottom w:val="single" w:sz="4" w:space="0" w:color="auto"/>
              <w:right w:val="single" w:sz="4" w:space="0" w:color="auto"/>
            </w:tcBorders>
            <w:vAlign w:val="bottom"/>
          </w:tcPr>
          <w:p w14:paraId="67F054AE" w14:textId="77777777" w:rsidR="00E06A2F" w:rsidRPr="00FF3B1A" w:rsidRDefault="00E06A2F" w:rsidP="00E06A2F">
            <w:pPr>
              <w:pStyle w:val="Tabletext"/>
              <w:jc w:val="center"/>
              <w:rPr>
                <w:i/>
              </w:rPr>
            </w:pPr>
            <w:r w:rsidRPr="00FF3B1A">
              <w:rPr>
                <w:i/>
              </w:rPr>
              <w:t>-$107,616</w:t>
            </w:r>
          </w:p>
        </w:tc>
      </w:tr>
      <w:tr w:rsidR="00E06A2F" w:rsidRPr="001F45A8" w14:paraId="5BCFDDD0"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tcPr>
          <w:p w14:paraId="7A01D8BF" w14:textId="77777777" w:rsidR="00E06A2F" w:rsidRPr="00FF3B1A" w:rsidRDefault="00E06A2F" w:rsidP="00E06A2F">
            <w:pPr>
              <w:ind w:left="227"/>
              <w:rPr>
                <w:rFonts w:ascii="Arial Narrow" w:hAnsi="Arial Narrow"/>
                <w:b/>
                <w:bCs/>
                <w:i/>
                <w:sz w:val="20"/>
              </w:rPr>
            </w:pPr>
            <w:r w:rsidRPr="00D51E93">
              <w:rPr>
                <w:rFonts w:ascii="Arial Narrow" w:hAnsi="Arial Narrow"/>
                <w:i/>
                <w:sz w:val="20"/>
              </w:rPr>
              <w:t>FTRCT</w:t>
            </w:r>
          </w:p>
        </w:tc>
        <w:tc>
          <w:tcPr>
            <w:tcW w:w="1037" w:type="dxa"/>
            <w:tcBorders>
              <w:top w:val="single" w:sz="4" w:space="0" w:color="auto"/>
              <w:left w:val="single" w:sz="4" w:space="0" w:color="auto"/>
              <w:bottom w:val="single" w:sz="4" w:space="0" w:color="auto"/>
              <w:right w:val="single" w:sz="4" w:space="0" w:color="auto"/>
            </w:tcBorders>
            <w:vAlign w:val="bottom"/>
          </w:tcPr>
          <w:p w14:paraId="33E51531" w14:textId="77777777" w:rsidR="00E06A2F" w:rsidRPr="00FF3B1A" w:rsidRDefault="00E06A2F" w:rsidP="00E06A2F">
            <w:pPr>
              <w:pStyle w:val="Tabletext"/>
              <w:jc w:val="center"/>
              <w:rPr>
                <w:i/>
              </w:rPr>
            </w:pPr>
            <w:r w:rsidRPr="00FF3B1A">
              <w:rPr>
                <w:i/>
              </w:rPr>
              <w:t>$6,357</w:t>
            </w:r>
          </w:p>
        </w:tc>
        <w:tc>
          <w:tcPr>
            <w:tcW w:w="1037" w:type="dxa"/>
            <w:tcBorders>
              <w:top w:val="single" w:sz="4" w:space="0" w:color="auto"/>
              <w:left w:val="single" w:sz="4" w:space="0" w:color="auto"/>
              <w:bottom w:val="single" w:sz="4" w:space="0" w:color="auto"/>
              <w:right w:val="single" w:sz="4" w:space="0" w:color="auto"/>
            </w:tcBorders>
            <w:vAlign w:val="bottom"/>
          </w:tcPr>
          <w:p w14:paraId="766AD1BD" w14:textId="77777777" w:rsidR="00E06A2F" w:rsidRPr="00FF3B1A" w:rsidRDefault="00E06A2F" w:rsidP="00E06A2F">
            <w:pPr>
              <w:pStyle w:val="Tabletext"/>
              <w:jc w:val="center"/>
              <w:rPr>
                <w:i/>
              </w:rPr>
            </w:pPr>
            <w:r w:rsidRPr="00FF3B1A">
              <w:rPr>
                <w:i/>
              </w:rPr>
              <w:t>$12,922</w:t>
            </w:r>
          </w:p>
        </w:tc>
        <w:tc>
          <w:tcPr>
            <w:tcW w:w="1037" w:type="dxa"/>
            <w:tcBorders>
              <w:top w:val="single" w:sz="4" w:space="0" w:color="auto"/>
              <w:left w:val="single" w:sz="4" w:space="0" w:color="auto"/>
              <w:bottom w:val="single" w:sz="4" w:space="0" w:color="auto"/>
              <w:right w:val="single" w:sz="4" w:space="0" w:color="auto"/>
            </w:tcBorders>
            <w:vAlign w:val="bottom"/>
          </w:tcPr>
          <w:p w14:paraId="7AFD30CC" w14:textId="77777777" w:rsidR="00E06A2F" w:rsidRPr="00FF3B1A" w:rsidRDefault="00E06A2F" w:rsidP="00E06A2F">
            <w:pPr>
              <w:pStyle w:val="Tabletext"/>
              <w:jc w:val="center"/>
              <w:rPr>
                <w:i/>
              </w:rPr>
            </w:pPr>
            <w:r w:rsidRPr="00FF3B1A">
              <w:rPr>
                <w:i/>
              </w:rPr>
              <w:t>$19,694</w:t>
            </w:r>
          </w:p>
        </w:tc>
        <w:tc>
          <w:tcPr>
            <w:tcW w:w="1037" w:type="dxa"/>
            <w:tcBorders>
              <w:top w:val="single" w:sz="4" w:space="0" w:color="auto"/>
              <w:left w:val="single" w:sz="4" w:space="0" w:color="auto"/>
              <w:bottom w:val="single" w:sz="4" w:space="0" w:color="auto"/>
              <w:right w:val="single" w:sz="4" w:space="0" w:color="auto"/>
            </w:tcBorders>
            <w:vAlign w:val="bottom"/>
          </w:tcPr>
          <w:p w14:paraId="5E460D1A" w14:textId="77777777" w:rsidR="00E06A2F" w:rsidRPr="00FF3B1A" w:rsidRDefault="00E06A2F" w:rsidP="00E06A2F">
            <w:pPr>
              <w:pStyle w:val="Tabletext"/>
              <w:jc w:val="center"/>
              <w:rPr>
                <w:i/>
              </w:rPr>
            </w:pPr>
            <w:r w:rsidRPr="00FF3B1A">
              <w:rPr>
                <w:i/>
              </w:rPr>
              <w:t>$26,669</w:t>
            </w:r>
          </w:p>
        </w:tc>
        <w:tc>
          <w:tcPr>
            <w:tcW w:w="1037" w:type="dxa"/>
            <w:tcBorders>
              <w:top w:val="single" w:sz="4" w:space="0" w:color="auto"/>
              <w:left w:val="single" w:sz="4" w:space="0" w:color="auto"/>
              <w:bottom w:val="single" w:sz="4" w:space="0" w:color="auto"/>
              <w:right w:val="single" w:sz="4" w:space="0" w:color="auto"/>
            </w:tcBorders>
            <w:vAlign w:val="bottom"/>
          </w:tcPr>
          <w:p w14:paraId="40717630" w14:textId="77777777" w:rsidR="00E06A2F" w:rsidRPr="00FF3B1A" w:rsidRDefault="00E06A2F" w:rsidP="00E06A2F">
            <w:pPr>
              <w:pStyle w:val="Tabletext"/>
              <w:jc w:val="center"/>
              <w:rPr>
                <w:i/>
              </w:rPr>
            </w:pPr>
            <w:r w:rsidRPr="00FF3B1A">
              <w:rPr>
                <w:i/>
              </w:rPr>
              <w:t>$33,857</w:t>
            </w:r>
          </w:p>
        </w:tc>
      </w:tr>
      <w:tr w:rsidR="00E06A2F" w:rsidRPr="001F45A8" w14:paraId="34693033"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vAlign w:val="bottom"/>
            <w:hideMark/>
          </w:tcPr>
          <w:p w14:paraId="507D4E40" w14:textId="77777777" w:rsidR="00E06A2F" w:rsidRPr="001F45A8" w:rsidRDefault="00E06A2F" w:rsidP="00E06A2F">
            <w:pPr>
              <w:rPr>
                <w:rFonts w:ascii="Arial Narrow" w:hAnsi="Arial Narrow"/>
                <w:b/>
                <w:bCs/>
                <w:sz w:val="20"/>
              </w:rPr>
            </w:pPr>
            <w:r w:rsidRPr="001F45A8">
              <w:rPr>
                <w:rFonts w:ascii="Arial Narrow" w:hAnsi="Arial Narrow"/>
                <w:b/>
                <w:bCs/>
                <w:sz w:val="20"/>
              </w:rPr>
              <w:t>Total hospital costs</w:t>
            </w:r>
          </w:p>
        </w:tc>
        <w:tc>
          <w:tcPr>
            <w:tcW w:w="1037" w:type="dxa"/>
            <w:tcBorders>
              <w:top w:val="single" w:sz="4" w:space="0" w:color="auto"/>
              <w:left w:val="single" w:sz="4" w:space="0" w:color="auto"/>
              <w:bottom w:val="single" w:sz="4" w:space="0" w:color="auto"/>
              <w:right w:val="single" w:sz="4" w:space="0" w:color="auto"/>
            </w:tcBorders>
            <w:vAlign w:val="center"/>
            <w:hideMark/>
          </w:tcPr>
          <w:p w14:paraId="722FD759" w14:textId="77777777" w:rsidR="00E06A2F" w:rsidRPr="001F45A8" w:rsidRDefault="00E06A2F" w:rsidP="00E06A2F">
            <w:pPr>
              <w:jc w:val="right"/>
              <w:rPr>
                <w:rFonts w:ascii="Arial Narrow" w:hAnsi="Arial Narrow"/>
                <w:b/>
                <w:bCs/>
                <w:sz w:val="20"/>
              </w:rPr>
            </w:pPr>
            <w:r w:rsidRPr="001F45A8">
              <w:rPr>
                <w:rFonts w:ascii="Arial Narrow" w:hAnsi="Arial Narrow"/>
                <w:b/>
                <w:bCs/>
                <w:sz w:val="20"/>
              </w:rPr>
              <w:t>-$39,601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06552F7" w14:textId="77777777" w:rsidR="00E06A2F" w:rsidRPr="001F45A8" w:rsidRDefault="00E06A2F" w:rsidP="00E06A2F">
            <w:pPr>
              <w:jc w:val="right"/>
              <w:rPr>
                <w:rFonts w:ascii="Arial Narrow" w:hAnsi="Arial Narrow"/>
                <w:b/>
                <w:bCs/>
                <w:sz w:val="20"/>
              </w:rPr>
            </w:pPr>
            <w:r w:rsidRPr="001F45A8">
              <w:rPr>
                <w:rFonts w:ascii="Arial Narrow" w:hAnsi="Arial Narrow"/>
                <w:b/>
                <w:bCs/>
                <w:sz w:val="20"/>
              </w:rPr>
              <w:t>-$80,500</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A2C9B48" w14:textId="77777777" w:rsidR="00E06A2F" w:rsidRPr="001F45A8" w:rsidRDefault="00E06A2F" w:rsidP="00E06A2F">
            <w:pPr>
              <w:jc w:val="right"/>
              <w:rPr>
                <w:rFonts w:ascii="Arial Narrow" w:hAnsi="Arial Narrow"/>
                <w:b/>
                <w:bCs/>
                <w:sz w:val="20"/>
              </w:rPr>
            </w:pPr>
            <w:r w:rsidRPr="001F45A8">
              <w:rPr>
                <w:rFonts w:ascii="Arial Narrow" w:hAnsi="Arial Narrow"/>
                <w:b/>
                <w:bCs/>
                <w:sz w:val="20"/>
              </w:rPr>
              <w:t>-$122,688</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C4DF2EB" w14:textId="77777777" w:rsidR="00E06A2F" w:rsidRPr="001F45A8" w:rsidRDefault="00E06A2F" w:rsidP="00E06A2F">
            <w:pPr>
              <w:jc w:val="right"/>
              <w:rPr>
                <w:rFonts w:ascii="Arial Narrow" w:hAnsi="Arial Narrow"/>
                <w:b/>
                <w:bCs/>
                <w:sz w:val="20"/>
              </w:rPr>
            </w:pPr>
            <w:r w:rsidRPr="001F45A8">
              <w:rPr>
                <w:rFonts w:ascii="Arial Narrow" w:hAnsi="Arial Narrow"/>
                <w:b/>
                <w:bCs/>
                <w:sz w:val="20"/>
              </w:rPr>
              <w:t>-$166,141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56D1270" w14:textId="77777777" w:rsidR="00E06A2F" w:rsidRPr="001F45A8" w:rsidRDefault="00E06A2F" w:rsidP="00E06A2F">
            <w:pPr>
              <w:jc w:val="right"/>
              <w:rPr>
                <w:rFonts w:ascii="Arial Narrow" w:hAnsi="Arial Narrow"/>
                <w:b/>
                <w:bCs/>
                <w:sz w:val="20"/>
              </w:rPr>
            </w:pPr>
            <w:r w:rsidRPr="001F45A8">
              <w:rPr>
                <w:rFonts w:ascii="Arial Narrow" w:hAnsi="Arial Narrow"/>
                <w:b/>
                <w:bCs/>
                <w:sz w:val="20"/>
              </w:rPr>
              <w:t>-$210,921</w:t>
            </w:r>
          </w:p>
        </w:tc>
      </w:tr>
      <w:tr w:rsidR="00E06A2F" w:rsidRPr="001F45A8" w14:paraId="5BD17695"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tcPr>
          <w:p w14:paraId="426AE261" w14:textId="77777777" w:rsidR="00E06A2F" w:rsidRPr="001F45A8" w:rsidRDefault="00E06A2F" w:rsidP="00E06A2F">
            <w:pPr>
              <w:ind w:left="227"/>
              <w:rPr>
                <w:rFonts w:ascii="Arial Narrow" w:hAnsi="Arial Narrow"/>
                <w:b/>
                <w:bCs/>
                <w:sz w:val="20"/>
              </w:rPr>
            </w:pPr>
            <w:r w:rsidRPr="00D51E93">
              <w:rPr>
                <w:rFonts w:ascii="Arial Narrow" w:hAnsi="Arial Narrow"/>
                <w:i/>
                <w:sz w:val="20"/>
              </w:rPr>
              <w:t>PTRCT</w:t>
            </w:r>
          </w:p>
        </w:tc>
        <w:tc>
          <w:tcPr>
            <w:tcW w:w="1037" w:type="dxa"/>
            <w:tcBorders>
              <w:top w:val="single" w:sz="4" w:space="0" w:color="auto"/>
              <w:left w:val="single" w:sz="4" w:space="0" w:color="auto"/>
              <w:bottom w:val="single" w:sz="4" w:space="0" w:color="auto"/>
              <w:right w:val="single" w:sz="4" w:space="0" w:color="auto"/>
            </w:tcBorders>
            <w:vAlign w:val="bottom"/>
          </w:tcPr>
          <w:p w14:paraId="197B7284" w14:textId="77777777" w:rsidR="00E06A2F" w:rsidRPr="00FF3B1A" w:rsidRDefault="00E06A2F" w:rsidP="00E06A2F">
            <w:pPr>
              <w:pStyle w:val="Tabletext"/>
              <w:jc w:val="center"/>
              <w:rPr>
                <w:b/>
                <w:bCs/>
                <w:i/>
              </w:rPr>
            </w:pPr>
            <w:r w:rsidRPr="00FF3B1A">
              <w:rPr>
                <w:i/>
              </w:rPr>
              <w:t>-$66,002</w:t>
            </w:r>
          </w:p>
        </w:tc>
        <w:tc>
          <w:tcPr>
            <w:tcW w:w="1037" w:type="dxa"/>
            <w:tcBorders>
              <w:top w:val="single" w:sz="4" w:space="0" w:color="auto"/>
              <w:left w:val="single" w:sz="4" w:space="0" w:color="auto"/>
              <w:bottom w:val="single" w:sz="4" w:space="0" w:color="auto"/>
              <w:right w:val="single" w:sz="4" w:space="0" w:color="auto"/>
            </w:tcBorders>
            <w:vAlign w:val="bottom"/>
          </w:tcPr>
          <w:p w14:paraId="2FE4EC2C" w14:textId="77777777" w:rsidR="00E06A2F" w:rsidRPr="00FF3B1A" w:rsidRDefault="00E06A2F" w:rsidP="00E06A2F">
            <w:pPr>
              <w:pStyle w:val="Tabletext"/>
              <w:jc w:val="center"/>
              <w:rPr>
                <w:b/>
                <w:bCs/>
                <w:i/>
              </w:rPr>
            </w:pPr>
            <w:r w:rsidRPr="00FF3B1A">
              <w:rPr>
                <w:i/>
              </w:rPr>
              <w:t>-$134,166</w:t>
            </w:r>
          </w:p>
        </w:tc>
        <w:tc>
          <w:tcPr>
            <w:tcW w:w="1037" w:type="dxa"/>
            <w:tcBorders>
              <w:top w:val="single" w:sz="4" w:space="0" w:color="auto"/>
              <w:left w:val="single" w:sz="4" w:space="0" w:color="auto"/>
              <w:bottom w:val="single" w:sz="4" w:space="0" w:color="auto"/>
              <w:right w:val="single" w:sz="4" w:space="0" w:color="auto"/>
            </w:tcBorders>
            <w:vAlign w:val="bottom"/>
          </w:tcPr>
          <w:p w14:paraId="7C4532FD" w14:textId="77777777" w:rsidR="00E06A2F" w:rsidRPr="00FF3B1A" w:rsidRDefault="00E06A2F" w:rsidP="00E06A2F">
            <w:pPr>
              <w:pStyle w:val="Tabletext"/>
              <w:jc w:val="center"/>
              <w:rPr>
                <w:b/>
                <w:bCs/>
                <w:i/>
              </w:rPr>
            </w:pPr>
            <w:r w:rsidRPr="00FF3B1A">
              <w:rPr>
                <w:i/>
              </w:rPr>
              <w:t>-$204,480</w:t>
            </w:r>
          </w:p>
        </w:tc>
        <w:tc>
          <w:tcPr>
            <w:tcW w:w="1037" w:type="dxa"/>
            <w:tcBorders>
              <w:top w:val="single" w:sz="4" w:space="0" w:color="auto"/>
              <w:left w:val="single" w:sz="4" w:space="0" w:color="auto"/>
              <w:bottom w:val="single" w:sz="4" w:space="0" w:color="auto"/>
              <w:right w:val="single" w:sz="4" w:space="0" w:color="auto"/>
            </w:tcBorders>
            <w:vAlign w:val="bottom"/>
          </w:tcPr>
          <w:p w14:paraId="05C22068" w14:textId="77777777" w:rsidR="00E06A2F" w:rsidRPr="00FF3B1A" w:rsidRDefault="00E06A2F" w:rsidP="00E06A2F">
            <w:pPr>
              <w:pStyle w:val="Tabletext"/>
              <w:jc w:val="center"/>
              <w:rPr>
                <w:b/>
                <w:bCs/>
                <w:i/>
              </w:rPr>
            </w:pPr>
            <w:r w:rsidRPr="00FF3B1A">
              <w:rPr>
                <w:i/>
              </w:rPr>
              <w:t>-$276,902</w:t>
            </w:r>
          </w:p>
        </w:tc>
        <w:tc>
          <w:tcPr>
            <w:tcW w:w="1037" w:type="dxa"/>
            <w:tcBorders>
              <w:top w:val="single" w:sz="4" w:space="0" w:color="auto"/>
              <w:left w:val="single" w:sz="4" w:space="0" w:color="auto"/>
              <w:bottom w:val="single" w:sz="4" w:space="0" w:color="auto"/>
              <w:right w:val="single" w:sz="4" w:space="0" w:color="auto"/>
            </w:tcBorders>
            <w:vAlign w:val="bottom"/>
          </w:tcPr>
          <w:p w14:paraId="0361D914" w14:textId="77777777" w:rsidR="00E06A2F" w:rsidRPr="00FF3B1A" w:rsidRDefault="00E06A2F" w:rsidP="00E06A2F">
            <w:pPr>
              <w:pStyle w:val="Tabletext"/>
              <w:jc w:val="center"/>
              <w:rPr>
                <w:b/>
                <w:bCs/>
                <w:i/>
              </w:rPr>
            </w:pPr>
            <w:r w:rsidRPr="00FF3B1A">
              <w:rPr>
                <w:i/>
              </w:rPr>
              <w:t>-$351,536</w:t>
            </w:r>
          </w:p>
        </w:tc>
      </w:tr>
      <w:tr w:rsidR="00E06A2F" w:rsidRPr="001F45A8" w14:paraId="364A92E1"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tcPr>
          <w:p w14:paraId="0DBF1350" w14:textId="77777777" w:rsidR="00E06A2F" w:rsidRPr="001F45A8" w:rsidRDefault="00E06A2F" w:rsidP="00E06A2F">
            <w:pPr>
              <w:ind w:left="227"/>
              <w:rPr>
                <w:rFonts w:ascii="Arial Narrow" w:hAnsi="Arial Narrow"/>
                <w:b/>
                <w:bCs/>
                <w:sz w:val="20"/>
              </w:rPr>
            </w:pPr>
            <w:r w:rsidRPr="00D51E93">
              <w:rPr>
                <w:rFonts w:ascii="Arial Narrow" w:hAnsi="Arial Narrow"/>
                <w:i/>
                <w:sz w:val="20"/>
              </w:rPr>
              <w:t>FTRCT</w:t>
            </w:r>
          </w:p>
        </w:tc>
        <w:tc>
          <w:tcPr>
            <w:tcW w:w="1037" w:type="dxa"/>
            <w:tcBorders>
              <w:top w:val="single" w:sz="4" w:space="0" w:color="auto"/>
              <w:left w:val="single" w:sz="4" w:space="0" w:color="auto"/>
              <w:bottom w:val="single" w:sz="4" w:space="0" w:color="auto"/>
              <w:right w:val="single" w:sz="4" w:space="0" w:color="auto"/>
            </w:tcBorders>
            <w:vAlign w:val="bottom"/>
          </w:tcPr>
          <w:p w14:paraId="7654AE17" w14:textId="77777777" w:rsidR="00E06A2F" w:rsidRPr="00FF3B1A" w:rsidRDefault="00E06A2F" w:rsidP="00E06A2F">
            <w:pPr>
              <w:pStyle w:val="Tabletext"/>
              <w:jc w:val="center"/>
              <w:rPr>
                <w:b/>
                <w:bCs/>
                <w:i/>
              </w:rPr>
            </w:pPr>
            <w:r w:rsidRPr="00FF3B1A">
              <w:rPr>
                <w:i/>
              </w:rPr>
              <w:t>$26,401</w:t>
            </w:r>
          </w:p>
        </w:tc>
        <w:tc>
          <w:tcPr>
            <w:tcW w:w="1037" w:type="dxa"/>
            <w:tcBorders>
              <w:top w:val="single" w:sz="4" w:space="0" w:color="auto"/>
              <w:left w:val="single" w:sz="4" w:space="0" w:color="auto"/>
              <w:bottom w:val="single" w:sz="4" w:space="0" w:color="auto"/>
              <w:right w:val="single" w:sz="4" w:space="0" w:color="auto"/>
            </w:tcBorders>
            <w:vAlign w:val="bottom"/>
          </w:tcPr>
          <w:p w14:paraId="29A793E1" w14:textId="77777777" w:rsidR="00E06A2F" w:rsidRPr="00FF3B1A" w:rsidRDefault="00E06A2F" w:rsidP="00E06A2F">
            <w:pPr>
              <w:pStyle w:val="Tabletext"/>
              <w:jc w:val="center"/>
              <w:rPr>
                <w:b/>
                <w:bCs/>
                <w:i/>
              </w:rPr>
            </w:pPr>
            <w:r w:rsidRPr="00FF3B1A">
              <w:rPr>
                <w:i/>
              </w:rPr>
              <w:t>$53,666</w:t>
            </w:r>
          </w:p>
        </w:tc>
        <w:tc>
          <w:tcPr>
            <w:tcW w:w="1037" w:type="dxa"/>
            <w:tcBorders>
              <w:top w:val="single" w:sz="4" w:space="0" w:color="auto"/>
              <w:left w:val="single" w:sz="4" w:space="0" w:color="auto"/>
              <w:bottom w:val="single" w:sz="4" w:space="0" w:color="auto"/>
              <w:right w:val="single" w:sz="4" w:space="0" w:color="auto"/>
            </w:tcBorders>
            <w:vAlign w:val="bottom"/>
          </w:tcPr>
          <w:p w14:paraId="1CE0EB64" w14:textId="77777777" w:rsidR="00E06A2F" w:rsidRPr="00FF3B1A" w:rsidRDefault="00E06A2F" w:rsidP="00E06A2F">
            <w:pPr>
              <w:pStyle w:val="Tabletext"/>
              <w:jc w:val="center"/>
              <w:rPr>
                <w:b/>
                <w:bCs/>
                <w:i/>
              </w:rPr>
            </w:pPr>
            <w:r w:rsidRPr="00FF3B1A">
              <w:rPr>
                <w:i/>
              </w:rPr>
              <w:t>$81,792</w:t>
            </w:r>
          </w:p>
        </w:tc>
        <w:tc>
          <w:tcPr>
            <w:tcW w:w="1037" w:type="dxa"/>
            <w:tcBorders>
              <w:top w:val="single" w:sz="4" w:space="0" w:color="auto"/>
              <w:left w:val="single" w:sz="4" w:space="0" w:color="auto"/>
              <w:bottom w:val="single" w:sz="4" w:space="0" w:color="auto"/>
              <w:right w:val="single" w:sz="4" w:space="0" w:color="auto"/>
            </w:tcBorders>
            <w:vAlign w:val="bottom"/>
          </w:tcPr>
          <w:p w14:paraId="7BB32E32" w14:textId="77777777" w:rsidR="00E06A2F" w:rsidRPr="00FF3B1A" w:rsidRDefault="00E06A2F" w:rsidP="00E06A2F">
            <w:pPr>
              <w:pStyle w:val="Tabletext"/>
              <w:jc w:val="center"/>
              <w:rPr>
                <w:b/>
                <w:bCs/>
                <w:i/>
              </w:rPr>
            </w:pPr>
            <w:r w:rsidRPr="00FF3B1A">
              <w:rPr>
                <w:i/>
              </w:rPr>
              <w:t>$110,761</w:t>
            </w:r>
          </w:p>
        </w:tc>
        <w:tc>
          <w:tcPr>
            <w:tcW w:w="1037" w:type="dxa"/>
            <w:tcBorders>
              <w:top w:val="single" w:sz="4" w:space="0" w:color="auto"/>
              <w:left w:val="single" w:sz="4" w:space="0" w:color="auto"/>
              <w:bottom w:val="single" w:sz="4" w:space="0" w:color="auto"/>
              <w:right w:val="single" w:sz="4" w:space="0" w:color="auto"/>
            </w:tcBorders>
            <w:vAlign w:val="bottom"/>
          </w:tcPr>
          <w:p w14:paraId="24003053" w14:textId="77777777" w:rsidR="00E06A2F" w:rsidRPr="00FF3B1A" w:rsidRDefault="00E06A2F" w:rsidP="00E06A2F">
            <w:pPr>
              <w:pStyle w:val="Tabletext"/>
              <w:jc w:val="center"/>
              <w:rPr>
                <w:b/>
                <w:bCs/>
                <w:i/>
              </w:rPr>
            </w:pPr>
            <w:r w:rsidRPr="00FF3B1A">
              <w:rPr>
                <w:i/>
              </w:rPr>
              <w:t>$140,614</w:t>
            </w:r>
          </w:p>
        </w:tc>
      </w:tr>
      <w:tr w:rsidR="00E06A2F" w:rsidRPr="001F45A8" w14:paraId="649580A7"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vAlign w:val="bottom"/>
            <w:hideMark/>
          </w:tcPr>
          <w:p w14:paraId="65F19A74" w14:textId="77777777" w:rsidR="00E06A2F" w:rsidRPr="00FF3B1A" w:rsidRDefault="00E06A2F" w:rsidP="00E06A2F">
            <w:pPr>
              <w:rPr>
                <w:rFonts w:ascii="Arial Narrow" w:hAnsi="Arial Narrow"/>
                <w:b/>
                <w:bCs/>
                <w:i/>
                <w:sz w:val="20"/>
              </w:rPr>
            </w:pPr>
            <w:r w:rsidRPr="00FF3B1A">
              <w:rPr>
                <w:rFonts w:ascii="Arial Narrow" w:hAnsi="Arial Narrow"/>
                <w:b/>
                <w:bCs/>
                <w:i/>
                <w:sz w:val="20"/>
              </w:rPr>
              <w:t>Total costs to PHI</w:t>
            </w:r>
          </w:p>
        </w:tc>
        <w:tc>
          <w:tcPr>
            <w:tcW w:w="1037" w:type="dxa"/>
            <w:tcBorders>
              <w:top w:val="single" w:sz="4" w:space="0" w:color="auto"/>
              <w:left w:val="single" w:sz="4" w:space="0" w:color="auto"/>
              <w:bottom w:val="single" w:sz="4" w:space="0" w:color="auto"/>
              <w:right w:val="single" w:sz="4" w:space="0" w:color="auto"/>
            </w:tcBorders>
            <w:vAlign w:val="bottom"/>
            <w:hideMark/>
          </w:tcPr>
          <w:p w14:paraId="00BF3062" w14:textId="697FD21B" w:rsidR="00E06A2F" w:rsidRPr="00FF3B1A" w:rsidRDefault="00E06A2F" w:rsidP="00E06A2F">
            <w:pPr>
              <w:pStyle w:val="Tablecaption"/>
              <w:jc w:val="center"/>
              <w:rPr>
                <w:b/>
                <w:i/>
              </w:rPr>
            </w:pPr>
            <w:r w:rsidRPr="00FF3B1A">
              <w:rPr>
                <w:b/>
                <w:i/>
              </w:rPr>
              <w:t>$</w:t>
            </w:r>
            <w:r w:rsidR="00E85AB0" w:rsidRPr="003429DC">
              <w:rPr>
                <w:b/>
                <w:i/>
              </w:rPr>
              <w:t>redacted</w:t>
            </w:r>
          </w:p>
        </w:tc>
        <w:tc>
          <w:tcPr>
            <w:tcW w:w="1037" w:type="dxa"/>
            <w:tcBorders>
              <w:top w:val="single" w:sz="4" w:space="0" w:color="auto"/>
              <w:left w:val="single" w:sz="4" w:space="0" w:color="auto"/>
              <w:bottom w:val="single" w:sz="4" w:space="0" w:color="auto"/>
              <w:right w:val="single" w:sz="4" w:space="0" w:color="auto"/>
            </w:tcBorders>
            <w:vAlign w:val="bottom"/>
            <w:hideMark/>
          </w:tcPr>
          <w:p w14:paraId="41AFC3B8" w14:textId="49273A9C" w:rsidR="00E06A2F" w:rsidRPr="00FF3B1A" w:rsidRDefault="00E06A2F" w:rsidP="00E06A2F">
            <w:pPr>
              <w:pStyle w:val="Tablecaption"/>
              <w:jc w:val="center"/>
              <w:rPr>
                <w:b/>
                <w:i/>
              </w:rPr>
            </w:pPr>
            <w:r w:rsidRPr="00FF3B1A">
              <w:rPr>
                <w:b/>
                <w:i/>
              </w:rPr>
              <w:t>$</w:t>
            </w:r>
            <w:r w:rsidR="00E85AB0" w:rsidRPr="003429DC">
              <w:rPr>
                <w:b/>
                <w:i/>
              </w:rPr>
              <w:t>redacted</w:t>
            </w:r>
          </w:p>
        </w:tc>
        <w:tc>
          <w:tcPr>
            <w:tcW w:w="1037" w:type="dxa"/>
            <w:tcBorders>
              <w:top w:val="single" w:sz="4" w:space="0" w:color="auto"/>
              <w:left w:val="single" w:sz="4" w:space="0" w:color="auto"/>
              <w:bottom w:val="single" w:sz="4" w:space="0" w:color="auto"/>
              <w:right w:val="single" w:sz="4" w:space="0" w:color="auto"/>
            </w:tcBorders>
            <w:vAlign w:val="bottom"/>
            <w:hideMark/>
          </w:tcPr>
          <w:p w14:paraId="0EF43274" w14:textId="13E29899" w:rsidR="00E06A2F" w:rsidRPr="00FF3B1A" w:rsidRDefault="00E06A2F" w:rsidP="00E06A2F">
            <w:pPr>
              <w:pStyle w:val="Tablecaption"/>
              <w:jc w:val="center"/>
              <w:rPr>
                <w:b/>
                <w:i/>
              </w:rPr>
            </w:pPr>
            <w:r w:rsidRPr="00FF3B1A">
              <w:rPr>
                <w:b/>
                <w:i/>
              </w:rPr>
              <w:t>$</w:t>
            </w:r>
            <w:r w:rsidR="00E85AB0" w:rsidRPr="003429DC">
              <w:rPr>
                <w:b/>
                <w:i/>
              </w:rPr>
              <w:t>redacted</w:t>
            </w:r>
          </w:p>
        </w:tc>
        <w:tc>
          <w:tcPr>
            <w:tcW w:w="1037" w:type="dxa"/>
            <w:tcBorders>
              <w:top w:val="single" w:sz="4" w:space="0" w:color="auto"/>
              <w:left w:val="single" w:sz="4" w:space="0" w:color="auto"/>
              <w:bottom w:val="single" w:sz="4" w:space="0" w:color="auto"/>
              <w:right w:val="single" w:sz="4" w:space="0" w:color="auto"/>
            </w:tcBorders>
            <w:vAlign w:val="bottom"/>
            <w:hideMark/>
          </w:tcPr>
          <w:p w14:paraId="49404B74" w14:textId="24A14500" w:rsidR="00E06A2F" w:rsidRPr="00FF3B1A" w:rsidRDefault="00E06A2F" w:rsidP="00E06A2F">
            <w:pPr>
              <w:pStyle w:val="Tablecaption"/>
              <w:jc w:val="center"/>
              <w:rPr>
                <w:b/>
                <w:i/>
              </w:rPr>
            </w:pPr>
            <w:r w:rsidRPr="00FF3B1A">
              <w:rPr>
                <w:b/>
                <w:i/>
              </w:rPr>
              <w:t>$</w:t>
            </w:r>
            <w:r w:rsidR="00E85AB0" w:rsidRPr="003429DC">
              <w:rPr>
                <w:b/>
                <w:i/>
              </w:rPr>
              <w:t>redacted</w:t>
            </w:r>
          </w:p>
        </w:tc>
        <w:tc>
          <w:tcPr>
            <w:tcW w:w="1037" w:type="dxa"/>
            <w:tcBorders>
              <w:top w:val="single" w:sz="4" w:space="0" w:color="auto"/>
              <w:left w:val="single" w:sz="4" w:space="0" w:color="auto"/>
              <w:bottom w:val="single" w:sz="4" w:space="0" w:color="auto"/>
              <w:right w:val="single" w:sz="4" w:space="0" w:color="auto"/>
            </w:tcBorders>
            <w:vAlign w:val="bottom"/>
            <w:hideMark/>
          </w:tcPr>
          <w:p w14:paraId="429B8DA3" w14:textId="6C1727B0" w:rsidR="00E06A2F" w:rsidRPr="00FF3B1A" w:rsidRDefault="00E06A2F" w:rsidP="00E06A2F">
            <w:pPr>
              <w:pStyle w:val="Tablecaption"/>
              <w:jc w:val="center"/>
              <w:rPr>
                <w:b/>
                <w:i/>
              </w:rPr>
            </w:pPr>
            <w:r w:rsidRPr="00FF3B1A">
              <w:rPr>
                <w:b/>
                <w:i/>
              </w:rPr>
              <w:t>$</w:t>
            </w:r>
            <w:r w:rsidR="00E85AB0" w:rsidRPr="003429DC">
              <w:rPr>
                <w:b/>
                <w:i/>
              </w:rPr>
              <w:t>redacted</w:t>
            </w:r>
          </w:p>
        </w:tc>
      </w:tr>
      <w:tr w:rsidR="00E06A2F" w:rsidRPr="001F45A8" w14:paraId="5A3B27AE"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tcPr>
          <w:p w14:paraId="567569B9" w14:textId="77777777" w:rsidR="00E06A2F" w:rsidRPr="00FF3B1A" w:rsidRDefault="00E06A2F" w:rsidP="00E06A2F">
            <w:pPr>
              <w:ind w:left="227"/>
              <w:rPr>
                <w:rFonts w:ascii="Arial Narrow" w:hAnsi="Arial Narrow"/>
                <w:b/>
                <w:bCs/>
                <w:i/>
                <w:sz w:val="20"/>
              </w:rPr>
            </w:pPr>
            <w:r w:rsidRPr="00D51E93">
              <w:rPr>
                <w:rFonts w:ascii="Arial Narrow" w:hAnsi="Arial Narrow"/>
                <w:i/>
                <w:sz w:val="20"/>
              </w:rPr>
              <w:t>PTRCT</w:t>
            </w:r>
          </w:p>
        </w:tc>
        <w:tc>
          <w:tcPr>
            <w:tcW w:w="1037" w:type="dxa"/>
            <w:tcBorders>
              <w:top w:val="single" w:sz="4" w:space="0" w:color="auto"/>
              <w:left w:val="single" w:sz="4" w:space="0" w:color="auto"/>
              <w:bottom w:val="single" w:sz="4" w:space="0" w:color="auto"/>
              <w:right w:val="single" w:sz="4" w:space="0" w:color="auto"/>
            </w:tcBorders>
            <w:vAlign w:val="bottom"/>
          </w:tcPr>
          <w:p w14:paraId="7165BCFD" w14:textId="6CFB74E9" w:rsidR="00E06A2F" w:rsidRPr="00FF3B1A" w:rsidRDefault="00E06A2F" w:rsidP="00E85AB0">
            <w:pPr>
              <w:pStyle w:val="Tablecaption"/>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67102D7E" w14:textId="1C86C4AD" w:rsidR="00E06A2F" w:rsidRPr="00FF3B1A" w:rsidRDefault="00E06A2F" w:rsidP="00E06A2F">
            <w:pPr>
              <w:pStyle w:val="Tablecaption"/>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72AE3714" w14:textId="503AEDC6" w:rsidR="00E06A2F" w:rsidRPr="00FF3B1A" w:rsidRDefault="00E06A2F" w:rsidP="00E06A2F">
            <w:pPr>
              <w:pStyle w:val="Tablecaption"/>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2083E138" w14:textId="56E12F1D" w:rsidR="00E06A2F" w:rsidRPr="00FF3B1A" w:rsidRDefault="00E06A2F" w:rsidP="00E06A2F">
            <w:pPr>
              <w:pStyle w:val="Tablecaption"/>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7E63EAFF" w14:textId="50D614E7" w:rsidR="00E06A2F" w:rsidRPr="00FF3B1A" w:rsidRDefault="00E06A2F" w:rsidP="00E06A2F">
            <w:pPr>
              <w:pStyle w:val="Tablecaption"/>
              <w:jc w:val="center"/>
              <w:rPr>
                <w:i/>
              </w:rPr>
            </w:pPr>
            <w:r w:rsidRPr="00FF3B1A">
              <w:rPr>
                <w:i/>
              </w:rPr>
              <w:t>$</w:t>
            </w:r>
            <w:r w:rsidR="00E85AB0">
              <w:rPr>
                <w:i/>
              </w:rPr>
              <w:t>redacted</w:t>
            </w:r>
          </w:p>
        </w:tc>
      </w:tr>
      <w:tr w:rsidR="00E06A2F" w:rsidRPr="001F45A8" w14:paraId="32FA00F6"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tcPr>
          <w:p w14:paraId="2A6E1F8B" w14:textId="77777777" w:rsidR="00E06A2F" w:rsidRPr="00FF3B1A" w:rsidRDefault="00E06A2F" w:rsidP="00E06A2F">
            <w:pPr>
              <w:ind w:left="227"/>
              <w:rPr>
                <w:rFonts w:ascii="Arial Narrow" w:hAnsi="Arial Narrow"/>
                <w:b/>
                <w:bCs/>
                <w:i/>
                <w:sz w:val="20"/>
              </w:rPr>
            </w:pPr>
            <w:r w:rsidRPr="00D51E93">
              <w:rPr>
                <w:rFonts w:ascii="Arial Narrow" w:hAnsi="Arial Narrow"/>
                <w:i/>
                <w:sz w:val="20"/>
              </w:rPr>
              <w:t>FTRCT</w:t>
            </w:r>
          </w:p>
        </w:tc>
        <w:tc>
          <w:tcPr>
            <w:tcW w:w="1037" w:type="dxa"/>
            <w:tcBorders>
              <w:top w:val="single" w:sz="4" w:space="0" w:color="auto"/>
              <w:left w:val="single" w:sz="4" w:space="0" w:color="auto"/>
              <w:bottom w:val="single" w:sz="4" w:space="0" w:color="auto"/>
              <w:right w:val="single" w:sz="4" w:space="0" w:color="auto"/>
            </w:tcBorders>
            <w:vAlign w:val="bottom"/>
          </w:tcPr>
          <w:p w14:paraId="5DBCEF76" w14:textId="3588B567" w:rsidR="00E06A2F" w:rsidRPr="00FF3B1A" w:rsidRDefault="00E06A2F" w:rsidP="00E06A2F">
            <w:pPr>
              <w:pStyle w:val="Tablecaption"/>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343B6526" w14:textId="0B6F0857" w:rsidR="00E06A2F" w:rsidRPr="00FF3B1A" w:rsidRDefault="00E06A2F" w:rsidP="00E06A2F">
            <w:pPr>
              <w:pStyle w:val="Tablecaption"/>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65A43021" w14:textId="06561DD2" w:rsidR="00E06A2F" w:rsidRPr="00FF3B1A" w:rsidRDefault="00E06A2F" w:rsidP="00E06A2F">
            <w:pPr>
              <w:pStyle w:val="Tablecaption"/>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66D74D35" w14:textId="322638DC" w:rsidR="00E06A2F" w:rsidRPr="00FF3B1A" w:rsidRDefault="00E06A2F" w:rsidP="00E06A2F">
            <w:pPr>
              <w:pStyle w:val="Tablecaption"/>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6CB9E7AE" w14:textId="76F24468" w:rsidR="00E06A2F" w:rsidRPr="00FF3B1A" w:rsidRDefault="00E06A2F" w:rsidP="00E06A2F">
            <w:pPr>
              <w:pStyle w:val="Tablecaption"/>
              <w:jc w:val="center"/>
              <w:rPr>
                <w:i/>
              </w:rPr>
            </w:pPr>
            <w:r w:rsidRPr="00FF3B1A">
              <w:rPr>
                <w:i/>
              </w:rPr>
              <w:t>$</w:t>
            </w:r>
            <w:r w:rsidR="00E85AB0">
              <w:rPr>
                <w:i/>
              </w:rPr>
              <w:t>redacted</w:t>
            </w:r>
          </w:p>
        </w:tc>
      </w:tr>
      <w:tr w:rsidR="00E06A2F" w:rsidRPr="001F45A8" w14:paraId="536AC9D8"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vAlign w:val="bottom"/>
            <w:hideMark/>
          </w:tcPr>
          <w:p w14:paraId="3C03B5DC" w14:textId="77777777" w:rsidR="00E06A2F" w:rsidRPr="00FF3B1A" w:rsidRDefault="00E06A2F" w:rsidP="00E06A2F">
            <w:pPr>
              <w:rPr>
                <w:rFonts w:ascii="Arial Narrow" w:hAnsi="Arial Narrow"/>
                <w:b/>
                <w:bCs/>
                <w:i/>
                <w:sz w:val="20"/>
              </w:rPr>
            </w:pPr>
            <w:r w:rsidRPr="00FF3B1A">
              <w:rPr>
                <w:rFonts w:ascii="Arial Narrow" w:hAnsi="Arial Narrow"/>
                <w:b/>
                <w:bCs/>
                <w:i/>
                <w:sz w:val="20"/>
              </w:rPr>
              <w:t>Total overall cost</w:t>
            </w:r>
          </w:p>
        </w:tc>
        <w:tc>
          <w:tcPr>
            <w:tcW w:w="1037" w:type="dxa"/>
            <w:tcBorders>
              <w:top w:val="single" w:sz="4" w:space="0" w:color="auto"/>
              <w:left w:val="single" w:sz="4" w:space="0" w:color="auto"/>
              <w:bottom w:val="single" w:sz="4" w:space="0" w:color="auto"/>
              <w:right w:val="single" w:sz="4" w:space="0" w:color="auto"/>
            </w:tcBorders>
            <w:vAlign w:val="bottom"/>
            <w:hideMark/>
          </w:tcPr>
          <w:p w14:paraId="75648040" w14:textId="27F667AA" w:rsidR="00E06A2F" w:rsidRPr="00FF3B1A" w:rsidRDefault="00E06A2F" w:rsidP="00E06A2F">
            <w:pPr>
              <w:pStyle w:val="Tabletext"/>
              <w:rPr>
                <w:b/>
                <w:i/>
              </w:rPr>
            </w:pPr>
            <w:r w:rsidRPr="00FF3B1A">
              <w:rPr>
                <w:b/>
                <w:i/>
                <w:color w:val="000000"/>
                <w:szCs w:val="20"/>
              </w:rPr>
              <w:t>$</w:t>
            </w:r>
            <w:r w:rsidR="00E85AB0" w:rsidRPr="003429DC">
              <w:rPr>
                <w:b/>
                <w:i/>
              </w:rPr>
              <w:t>redacted</w:t>
            </w:r>
          </w:p>
        </w:tc>
        <w:tc>
          <w:tcPr>
            <w:tcW w:w="1037" w:type="dxa"/>
            <w:tcBorders>
              <w:top w:val="single" w:sz="4" w:space="0" w:color="auto"/>
              <w:left w:val="single" w:sz="4" w:space="0" w:color="auto"/>
              <w:bottom w:val="single" w:sz="4" w:space="0" w:color="auto"/>
              <w:right w:val="single" w:sz="4" w:space="0" w:color="auto"/>
            </w:tcBorders>
            <w:vAlign w:val="bottom"/>
            <w:hideMark/>
          </w:tcPr>
          <w:p w14:paraId="2B991475" w14:textId="66ACD7D1" w:rsidR="00E06A2F" w:rsidRPr="00FF3B1A" w:rsidRDefault="00E06A2F" w:rsidP="00E06A2F">
            <w:pPr>
              <w:pStyle w:val="Tabletext"/>
              <w:rPr>
                <w:b/>
                <w:i/>
              </w:rPr>
            </w:pPr>
            <w:r w:rsidRPr="00FF3B1A">
              <w:rPr>
                <w:b/>
                <w:i/>
                <w:color w:val="000000"/>
                <w:szCs w:val="20"/>
              </w:rPr>
              <w:t>$</w:t>
            </w:r>
            <w:r w:rsidR="00E85AB0" w:rsidRPr="003429DC">
              <w:rPr>
                <w:b/>
                <w:i/>
              </w:rPr>
              <w:t>redacted</w:t>
            </w:r>
          </w:p>
        </w:tc>
        <w:tc>
          <w:tcPr>
            <w:tcW w:w="1037" w:type="dxa"/>
            <w:tcBorders>
              <w:top w:val="single" w:sz="4" w:space="0" w:color="auto"/>
              <w:left w:val="single" w:sz="4" w:space="0" w:color="auto"/>
              <w:bottom w:val="single" w:sz="4" w:space="0" w:color="auto"/>
              <w:right w:val="single" w:sz="4" w:space="0" w:color="auto"/>
            </w:tcBorders>
            <w:vAlign w:val="bottom"/>
            <w:hideMark/>
          </w:tcPr>
          <w:p w14:paraId="2AB29410" w14:textId="19F3DFA2" w:rsidR="00E06A2F" w:rsidRPr="00FF3B1A" w:rsidRDefault="00E06A2F" w:rsidP="00E06A2F">
            <w:pPr>
              <w:pStyle w:val="Tabletext"/>
              <w:rPr>
                <w:b/>
                <w:i/>
              </w:rPr>
            </w:pPr>
            <w:r w:rsidRPr="00FF3B1A">
              <w:rPr>
                <w:b/>
                <w:i/>
                <w:color w:val="000000"/>
                <w:szCs w:val="20"/>
              </w:rPr>
              <w:t>$</w:t>
            </w:r>
            <w:r w:rsidR="00E85AB0" w:rsidRPr="003429DC">
              <w:rPr>
                <w:b/>
                <w:i/>
              </w:rPr>
              <w:t>redacted</w:t>
            </w:r>
          </w:p>
        </w:tc>
        <w:tc>
          <w:tcPr>
            <w:tcW w:w="1037" w:type="dxa"/>
            <w:tcBorders>
              <w:top w:val="single" w:sz="4" w:space="0" w:color="auto"/>
              <w:left w:val="single" w:sz="4" w:space="0" w:color="auto"/>
              <w:bottom w:val="single" w:sz="4" w:space="0" w:color="auto"/>
              <w:right w:val="single" w:sz="4" w:space="0" w:color="auto"/>
            </w:tcBorders>
            <w:vAlign w:val="bottom"/>
            <w:hideMark/>
          </w:tcPr>
          <w:p w14:paraId="1FE6EF33" w14:textId="31C0652D" w:rsidR="00E06A2F" w:rsidRPr="00FF3B1A" w:rsidRDefault="00E06A2F" w:rsidP="00E06A2F">
            <w:pPr>
              <w:pStyle w:val="Tabletext"/>
              <w:rPr>
                <w:b/>
                <w:i/>
              </w:rPr>
            </w:pPr>
            <w:r w:rsidRPr="00FF3B1A">
              <w:rPr>
                <w:b/>
                <w:i/>
                <w:color w:val="000000"/>
                <w:szCs w:val="20"/>
              </w:rPr>
              <w:t>$</w:t>
            </w:r>
            <w:r w:rsidR="00E85AB0" w:rsidRPr="003429DC">
              <w:rPr>
                <w:b/>
                <w:i/>
              </w:rPr>
              <w:t>redacted</w:t>
            </w:r>
          </w:p>
        </w:tc>
        <w:tc>
          <w:tcPr>
            <w:tcW w:w="1037" w:type="dxa"/>
            <w:tcBorders>
              <w:top w:val="single" w:sz="4" w:space="0" w:color="auto"/>
              <w:left w:val="single" w:sz="4" w:space="0" w:color="auto"/>
              <w:bottom w:val="single" w:sz="4" w:space="0" w:color="auto"/>
              <w:right w:val="single" w:sz="4" w:space="0" w:color="auto"/>
            </w:tcBorders>
            <w:vAlign w:val="bottom"/>
            <w:hideMark/>
          </w:tcPr>
          <w:p w14:paraId="797332A5" w14:textId="172FF39E" w:rsidR="00E06A2F" w:rsidRPr="00FF3B1A" w:rsidRDefault="00E06A2F" w:rsidP="00E06A2F">
            <w:pPr>
              <w:pStyle w:val="Tabletext"/>
              <w:rPr>
                <w:b/>
                <w:i/>
              </w:rPr>
            </w:pPr>
            <w:r w:rsidRPr="00FF3B1A">
              <w:rPr>
                <w:b/>
                <w:i/>
                <w:color w:val="000000"/>
                <w:szCs w:val="20"/>
              </w:rPr>
              <w:t>$</w:t>
            </w:r>
            <w:r w:rsidR="00E85AB0" w:rsidRPr="003429DC">
              <w:rPr>
                <w:b/>
                <w:i/>
              </w:rPr>
              <w:t>redacted</w:t>
            </w:r>
          </w:p>
        </w:tc>
      </w:tr>
      <w:tr w:rsidR="00E06A2F" w:rsidRPr="001F45A8" w14:paraId="466A87A2"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tcPr>
          <w:p w14:paraId="42CE3E82" w14:textId="77777777" w:rsidR="00E06A2F" w:rsidRPr="00FF3B1A" w:rsidRDefault="00E06A2F" w:rsidP="00E06A2F">
            <w:pPr>
              <w:ind w:left="227"/>
              <w:rPr>
                <w:rFonts w:ascii="Arial Narrow" w:hAnsi="Arial Narrow"/>
                <w:b/>
                <w:bCs/>
                <w:i/>
                <w:sz w:val="20"/>
              </w:rPr>
            </w:pPr>
            <w:r w:rsidRPr="00D51E93">
              <w:rPr>
                <w:rFonts w:ascii="Arial Narrow" w:hAnsi="Arial Narrow"/>
                <w:i/>
                <w:sz w:val="20"/>
              </w:rPr>
              <w:t>PTRCT</w:t>
            </w:r>
          </w:p>
        </w:tc>
        <w:tc>
          <w:tcPr>
            <w:tcW w:w="1037" w:type="dxa"/>
            <w:tcBorders>
              <w:top w:val="single" w:sz="4" w:space="0" w:color="auto"/>
              <w:left w:val="single" w:sz="4" w:space="0" w:color="auto"/>
              <w:bottom w:val="single" w:sz="4" w:space="0" w:color="auto"/>
              <w:right w:val="single" w:sz="4" w:space="0" w:color="auto"/>
            </w:tcBorders>
            <w:vAlign w:val="bottom"/>
          </w:tcPr>
          <w:p w14:paraId="7D40CF4C" w14:textId="5532E97C" w:rsidR="00E06A2F" w:rsidRPr="00FF3B1A" w:rsidRDefault="00E06A2F" w:rsidP="00E06A2F">
            <w:pPr>
              <w:pStyle w:val="Tabletext"/>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3A5DA127" w14:textId="285AE257" w:rsidR="00E06A2F" w:rsidRPr="00FF3B1A" w:rsidRDefault="00E06A2F" w:rsidP="00E06A2F">
            <w:pPr>
              <w:pStyle w:val="Tabletext"/>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34FC2977" w14:textId="68D7095D" w:rsidR="00E06A2F" w:rsidRPr="00FF3B1A" w:rsidRDefault="00E06A2F" w:rsidP="00E06A2F">
            <w:pPr>
              <w:pStyle w:val="Tabletext"/>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48CF7AF8" w14:textId="1A76735C" w:rsidR="00E06A2F" w:rsidRPr="00FF3B1A" w:rsidRDefault="00E06A2F" w:rsidP="00E06A2F">
            <w:pPr>
              <w:pStyle w:val="Tabletext"/>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5AAD5389" w14:textId="2AA8E47F" w:rsidR="00E06A2F" w:rsidRPr="00FF3B1A" w:rsidRDefault="00E06A2F" w:rsidP="00E06A2F">
            <w:pPr>
              <w:pStyle w:val="Tabletext"/>
              <w:jc w:val="center"/>
              <w:rPr>
                <w:i/>
              </w:rPr>
            </w:pPr>
            <w:r w:rsidRPr="00FF3B1A">
              <w:rPr>
                <w:i/>
              </w:rPr>
              <w:t>$</w:t>
            </w:r>
            <w:r w:rsidR="00E85AB0">
              <w:rPr>
                <w:i/>
              </w:rPr>
              <w:t>redacted</w:t>
            </w:r>
          </w:p>
        </w:tc>
      </w:tr>
      <w:tr w:rsidR="00E06A2F" w:rsidRPr="001F45A8" w14:paraId="7B09BE33" w14:textId="77777777" w:rsidTr="00E06A2F">
        <w:trPr>
          <w:trHeight w:val="315"/>
        </w:trPr>
        <w:tc>
          <w:tcPr>
            <w:tcW w:w="3831" w:type="dxa"/>
            <w:tcBorders>
              <w:top w:val="single" w:sz="4" w:space="0" w:color="auto"/>
              <w:left w:val="single" w:sz="4" w:space="0" w:color="auto"/>
              <w:bottom w:val="single" w:sz="4" w:space="0" w:color="auto"/>
              <w:right w:val="single" w:sz="4" w:space="0" w:color="auto"/>
            </w:tcBorders>
          </w:tcPr>
          <w:p w14:paraId="7FE23C05" w14:textId="77777777" w:rsidR="00E06A2F" w:rsidRPr="00FF3B1A" w:rsidRDefault="00E06A2F" w:rsidP="00E06A2F">
            <w:pPr>
              <w:ind w:left="227"/>
              <w:rPr>
                <w:rFonts w:ascii="Arial Narrow" w:hAnsi="Arial Narrow"/>
                <w:b/>
                <w:bCs/>
                <w:i/>
                <w:sz w:val="20"/>
              </w:rPr>
            </w:pPr>
            <w:r w:rsidRPr="00D51E93">
              <w:rPr>
                <w:rFonts w:ascii="Arial Narrow" w:hAnsi="Arial Narrow"/>
                <w:i/>
                <w:sz w:val="20"/>
              </w:rPr>
              <w:t>FTRCT</w:t>
            </w:r>
          </w:p>
        </w:tc>
        <w:tc>
          <w:tcPr>
            <w:tcW w:w="1037" w:type="dxa"/>
            <w:tcBorders>
              <w:top w:val="single" w:sz="4" w:space="0" w:color="auto"/>
              <w:left w:val="single" w:sz="4" w:space="0" w:color="auto"/>
              <w:bottom w:val="single" w:sz="4" w:space="0" w:color="auto"/>
              <w:right w:val="single" w:sz="4" w:space="0" w:color="auto"/>
            </w:tcBorders>
            <w:vAlign w:val="bottom"/>
          </w:tcPr>
          <w:p w14:paraId="25259AC8" w14:textId="21675494" w:rsidR="00E06A2F" w:rsidRPr="00FF3B1A" w:rsidRDefault="00E06A2F" w:rsidP="00E06A2F">
            <w:pPr>
              <w:pStyle w:val="Tabletext"/>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2EAFB403" w14:textId="3E269BDF" w:rsidR="00E06A2F" w:rsidRPr="00FF3B1A" w:rsidRDefault="00E06A2F" w:rsidP="00E06A2F">
            <w:pPr>
              <w:pStyle w:val="Tabletext"/>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2599AA43" w14:textId="53B3B863" w:rsidR="00E06A2F" w:rsidRPr="00FF3B1A" w:rsidRDefault="00E06A2F" w:rsidP="00E06A2F">
            <w:pPr>
              <w:pStyle w:val="Tabletext"/>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132597A5" w14:textId="55C71CD7" w:rsidR="00E06A2F" w:rsidRPr="00FF3B1A" w:rsidRDefault="00E06A2F" w:rsidP="00E06A2F">
            <w:pPr>
              <w:pStyle w:val="Tabletext"/>
              <w:jc w:val="center"/>
              <w:rPr>
                <w:i/>
              </w:rPr>
            </w:pPr>
            <w:r w:rsidRPr="00FF3B1A">
              <w:rPr>
                <w:i/>
              </w:rPr>
              <w:t>$</w:t>
            </w:r>
            <w:r w:rsidR="00E85AB0">
              <w:rPr>
                <w:i/>
              </w:rPr>
              <w:t>redacted</w:t>
            </w:r>
          </w:p>
        </w:tc>
        <w:tc>
          <w:tcPr>
            <w:tcW w:w="1037" w:type="dxa"/>
            <w:tcBorders>
              <w:top w:val="single" w:sz="4" w:space="0" w:color="auto"/>
              <w:left w:val="single" w:sz="4" w:space="0" w:color="auto"/>
              <w:bottom w:val="single" w:sz="4" w:space="0" w:color="auto"/>
              <w:right w:val="single" w:sz="4" w:space="0" w:color="auto"/>
            </w:tcBorders>
            <w:vAlign w:val="bottom"/>
          </w:tcPr>
          <w:p w14:paraId="24375D79" w14:textId="6A245240" w:rsidR="00E06A2F" w:rsidRPr="00FF3B1A" w:rsidRDefault="00E06A2F" w:rsidP="00E06A2F">
            <w:pPr>
              <w:pStyle w:val="Tabletext"/>
              <w:jc w:val="center"/>
              <w:rPr>
                <w:i/>
              </w:rPr>
            </w:pPr>
            <w:r w:rsidRPr="00FF3B1A">
              <w:rPr>
                <w:i/>
              </w:rPr>
              <w:t>$</w:t>
            </w:r>
            <w:r w:rsidR="00E85AB0">
              <w:rPr>
                <w:i/>
              </w:rPr>
              <w:t>redacted</w:t>
            </w:r>
          </w:p>
        </w:tc>
      </w:tr>
    </w:tbl>
    <w:p w14:paraId="3FD2A32A" w14:textId="77777777" w:rsidR="00E06A2F" w:rsidRPr="001F45A8" w:rsidRDefault="00E06A2F" w:rsidP="00E06A2F">
      <w:pPr>
        <w:pStyle w:val="Tablenotes"/>
      </w:pPr>
      <w:r w:rsidRPr="001F45A8">
        <w:t>Medicare Benefits Schedule; Negative costs = savings. Negative services = reduced utilisation</w:t>
      </w:r>
      <w:r w:rsidRPr="001F45A8">
        <w:br/>
        <w:t xml:space="preserve">The ADAR applied the cost of revision surgeries to ‘Total hospital costs’ using a public AR-DRG-I16Z. The recalculated values apply a private payer AR-DRG- I16Z (as a cost to PHI) and MBS items 17610, 23045 and 48960 as costs to MBS.  </w:t>
      </w:r>
      <w:r w:rsidRPr="001F45A8">
        <w:br/>
        <w:t xml:space="preserve">Number of services of REGENETEN reflect the expected uptake of REGENETEN and the ‘Estimated change in services’ reflects changes in revision surgeries, based on the revision surgery rate specified in Table 78 pp155-156 in the ADAR. </w:t>
      </w:r>
    </w:p>
    <w:p w14:paraId="0ECA46D2" w14:textId="77777777" w:rsidR="00E06A2F" w:rsidRDefault="00E06A2F" w:rsidP="00E06A2F">
      <w:pPr>
        <w:pStyle w:val="Tablenotes"/>
      </w:pPr>
      <w:r w:rsidRPr="001F45A8">
        <w:t xml:space="preserve">The </w:t>
      </w:r>
      <w:r>
        <w:t>re-specified base</w:t>
      </w:r>
      <w:r w:rsidRPr="001F45A8">
        <w:t xml:space="preserve"> case replaces the use of re-tear rate as a proxy for revision surgery with the revision surgery rate</w:t>
      </w:r>
      <w:r>
        <w:t>.</w:t>
      </w:r>
    </w:p>
    <w:p w14:paraId="010BA17D" w14:textId="77777777" w:rsidR="00E06A2F" w:rsidRDefault="00E06A2F" w:rsidP="00E06A2F">
      <w:pPr>
        <w:pStyle w:val="Tablenotes"/>
      </w:pPr>
      <w:r>
        <w:t xml:space="preserve">Source: </w:t>
      </w:r>
      <w:r w:rsidR="00E858B9">
        <w:t xml:space="preserve">and </w:t>
      </w:r>
      <w:r w:rsidR="00E858B9" w:rsidRPr="00FF3B1A">
        <w:t xml:space="preserve">Compiled </w:t>
      </w:r>
      <w:r w:rsidR="00E858B9">
        <w:t xml:space="preserve">from </w:t>
      </w:r>
      <w:r w:rsidRPr="00C222FA">
        <w:t xml:space="preserve">Table 16, </w:t>
      </w:r>
      <w:proofErr w:type="spellStart"/>
      <w:r w:rsidRPr="00C222FA">
        <w:t>pxxvi</w:t>
      </w:r>
      <w:proofErr w:type="spellEnd"/>
      <w:r w:rsidRPr="00C222FA">
        <w:t xml:space="preserve"> of the Commentary</w:t>
      </w:r>
      <w:r w:rsidR="00E858B9">
        <w:t>,</w:t>
      </w:r>
      <w:r>
        <w:t xml:space="preserve"> </w:t>
      </w:r>
      <w:r w:rsidR="00E858B9">
        <w:t xml:space="preserve">and </w:t>
      </w:r>
      <w:r>
        <w:t>post</w:t>
      </w:r>
      <w:r w:rsidRPr="00FF3B1A">
        <w:t xml:space="preserve"> ESC by </w:t>
      </w:r>
      <w:r w:rsidR="00E858B9">
        <w:t xml:space="preserve">the Department using the </w:t>
      </w:r>
      <w:r w:rsidRPr="00FF3B1A">
        <w:t>Commentary Respecified spreadsheet</w:t>
      </w:r>
    </w:p>
    <w:p w14:paraId="363ED88E" w14:textId="77777777" w:rsidR="00645E8A" w:rsidRDefault="00E06A2F" w:rsidP="00645E8A">
      <w:pPr>
        <w:pStyle w:val="Tablenotes"/>
      </w:pPr>
      <w:r w:rsidRPr="009C613E">
        <w:t>Italicised represents correcte</w:t>
      </w:r>
      <w:r w:rsidR="00645E8A">
        <w:t>d values Post-ESC by Department</w:t>
      </w:r>
    </w:p>
    <w:p w14:paraId="26A6FD15" w14:textId="77777777" w:rsidR="00455942" w:rsidRDefault="00455942">
      <w:r>
        <w:br w:type="page"/>
      </w:r>
    </w:p>
    <w:p w14:paraId="24069682" w14:textId="33678D5D" w:rsidR="00E06A2F" w:rsidRDefault="00E06A2F" w:rsidP="00E06A2F">
      <w:bookmarkStart w:id="41" w:name="_GoBack"/>
      <w:bookmarkEnd w:id="41"/>
      <w:r>
        <w:t xml:space="preserve">In the pre-ESC response, the applicant </w:t>
      </w:r>
      <w:r w:rsidRPr="00463DDD">
        <w:t>acknowledges the changes made to the financial implications during the e</w:t>
      </w:r>
      <w:r>
        <w:t>valuation with three exceptions:</w:t>
      </w:r>
    </w:p>
    <w:p w14:paraId="2BC8ACC7" w14:textId="77777777" w:rsidR="00E06A2F" w:rsidRDefault="00E06A2F" w:rsidP="00E06A2F">
      <w:pPr>
        <w:pStyle w:val="ListParagraph"/>
        <w:numPr>
          <w:ilvl w:val="0"/>
          <w:numId w:val="42"/>
        </w:numPr>
      </w:pPr>
      <w:r>
        <w:t>R</w:t>
      </w:r>
      <w:r w:rsidRPr="00463DDD">
        <w:t>e-tear rates are considered by the sponsor to be an appropriate proxy for revision surgeries in the economic and financial analyses, since reporting of revision rates in the clinical studies were subject to p</w:t>
      </w:r>
      <w:r>
        <w:t>ublication and population bias</w:t>
      </w:r>
    </w:p>
    <w:p w14:paraId="4C9926EF" w14:textId="77777777" w:rsidR="00E06A2F" w:rsidRDefault="00E06A2F" w:rsidP="00E06A2F">
      <w:pPr>
        <w:pStyle w:val="ListParagraph"/>
        <w:numPr>
          <w:ilvl w:val="0"/>
          <w:numId w:val="42"/>
        </w:numPr>
      </w:pPr>
      <w:r>
        <w:t>T</w:t>
      </w:r>
      <w:r w:rsidRPr="00463DDD">
        <w:t>he sensitivity analysis conducted by the evaluators assuming 100% of surgeries to be for full-thickness tears is misleading. As noted above, the expected proportion of all tears that are full-thickness tears is 60%. An assumption of</w:t>
      </w:r>
      <w:r>
        <w:t xml:space="preserve"> 100% is therefore unrealistic</w:t>
      </w:r>
    </w:p>
    <w:p w14:paraId="2A777418" w14:textId="77777777" w:rsidR="00E06A2F" w:rsidRDefault="00E06A2F" w:rsidP="00E06A2F">
      <w:pPr>
        <w:pStyle w:val="ListParagraph"/>
        <w:numPr>
          <w:ilvl w:val="0"/>
          <w:numId w:val="42"/>
        </w:numPr>
      </w:pPr>
      <w:r>
        <w:t>A</w:t>
      </w:r>
      <w:r w:rsidRPr="00463DDD">
        <w:t>ll evidence supports the use of one REGENETEN implant pe</w:t>
      </w:r>
      <w:r>
        <w:t>r tendon.</w:t>
      </w:r>
    </w:p>
    <w:p w14:paraId="43AD8B52" w14:textId="77777777" w:rsidR="00E06A2F" w:rsidRDefault="00E06A2F" w:rsidP="002808C4">
      <w:pPr>
        <w:spacing w:before="240"/>
      </w:pPr>
      <w:r w:rsidRPr="00463DDD">
        <w:t xml:space="preserve">Nevertheless, the sponsor notes that the financial </w:t>
      </w:r>
      <w:proofErr w:type="gramStart"/>
      <w:r w:rsidRPr="00463DDD">
        <w:t>impacts</w:t>
      </w:r>
      <w:proofErr w:type="gramEnd"/>
      <w:r w:rsidRPr="00463DDD">
        <w:t xml:space="preserve"> for the re-specified base case – and in particular the impacts to PHI – do not differ substantially from those estimated by the sponsor in the ADAR.</w:t>
      </w:r>
    </w:p>
    <w:p w14:paraId="73C69104" w14:textId="23EA4B5E" w:rsidR="00915DDA" w:rsidRDefault="004A7F5D" w:rsidP="00E06A2F">
      <w:pPr>
        <w:pStyle w:val="Heading2"/>
      </w:pPr>
      <w:r>
        <w:lastRenderedPageBreak/>
        <w:t xml:space="preserve">Noted </w:t>
      </w:r>
      <w:r w:rsidR="00E06A2F">
        <w:t>Post ESC</w:t>
      </w:r>
      <w:r w:rsidR="00915DDA">
        <w:t xml:space="preserve"> values</w:t>
      </w:r>
    </w:p>
    <w:p w14:paraId="2356E60E" w14:textId="0B475123" w:rsidR="00E06A2F" w:rsidRDefault="00915DDA" w:rsidP="00885C08">
      <w:r>
        <w:t xml:space="preserve">As per ESC advice, the Department investigated the impact of prevalence on the financial estimates by performing additional sensitivity analysis using the </w:t>
      </w:r>
      <w:r w:rsidR="00E06A2F">
        <w:t>prevalence estimate</w:t>
      </w:r>
      <w:r>
        <w:t xml:space="preserve"> from Yeo 2019 (39% PTRCT, 61% FTRCT) provided</w:t>
      </w:r>
      <w:r w:rsidR="004F7C04">
        <w:t xml:space="preserve"> initially</w:t>
      </w:r>
      <w:r>
        <w:t xml:space="preserve"> i</w:t>
      </w:r>
      <w:r w:rsidR="002808C4">
        <w:t xml:space="preserve">n the pre-ESC </w:t>
      </w:r>
      <w:r w:rsidR="002808C4" w:rsidRPr="00F44FA3">
        <w:rPr>
          <w:szCs w:val="24"/>
        </w:rPr>
        <w:t>response (</w:t>
      </w:r>
      <w:r w:rsidR="002808C4" w:rsidRPr="00F44FA3">
        <w:rPr>
          <w:szCs w:val="24"/>
        </w:rPr>
        <w:fldChar w:fldCharType="begin"/>
      </w:r>
      <w:r w:rsidR="002808C4" w:rsidRPr="00F44FA3">
        <w:rPr>
          <w:szCs w:val="24"/>
        </w:rPr>
        <w:instrText xml:space="preserve"> REF _Ref49847671 \h </w:instrText>
      </w:r>
      <w:r w:rsidR="002808C4" w:rsidRPr="00F44FA3">
        <w:rPr>
          <w:szCs w:val="24"/>
        </w:rPr>
      </w:r>
      <w:r w:rsidR="00F44FA3" w:rsidRPr="00F44FA3">
        <w:rPr>
          <w:szCs w:val="24"/>
        </w:rPr>
        <w:instrText xml:space="preserve"> \* MERGEFORMAT </w:instrText>
      </w:r>
      <w:r w:rsidR="002808C4" w:rsidRPr="00F44FA3">
        <w:rPr>
          <w:szCs w:val="24"/>
        </w:rPr>
        <w:fldChar w:fldCharType="separate"/>
      </w:r>
      <w:r w:rsidR="00455942" w:rsidRPr="00455942">
        <w:rPr>
          <w:szCs w:val="24"/>
        </w:rPr>
        <w:t xml:space="preserve">Table </w:t>
      </w:r>
      <w:r w:rsidR="00455942" w:rsidRPr="00455942">
        <w:rPr>
          <w:noProof/>
          <w:szCs w:val="24"/>
        </w:rPr>
        <w:t>17</w:t>
      </w:r>
      <w:r w:rsidR="002808C4" w:rsidRPr="00F44FA3">
        <w:rPr>
          <w:szCs w:val="24"/>
        </w:rPr>
        <w:fldChar w:fldCharType="end"/>
      </w:r>
      <w:r w:rsidRPr="00F44FA3">
        <w:rPr>
          <w:szCs w:val="24"/>
        </w:rPr>
        <w:t>)</w:t>
      </w:r>
      <w:r w:rsidR="002808C4" w:rsidRPr="00F44FA3">
        <w:rPr>
          <w:szCs w:val="24"/>
        </w:rPr>
        <w:t>.</w:t>
      </w:r>
    </w:p>
    <w:p w14:paraId="57C470F7" w14:textId="7525B5B5" w:rsidR="00E06A2F" w:rsidRPr="00D32FC9" w:rsidRDefault="002808C4" w:rsidP="00D32FC9">
      <w:pPr>
        <w:spacing w:before="240"/>
        <w:rPr>
          <w:rFonts w:ascii="Arial Narrow" w:hAnsi="Arial Narrow"/>
          <w:b/>
          <w:sz w:val="20"/>
        </w:rPr>
      </w:pPr>
      <w:bookmarkStart w:id="42" w:name="_Ref49847671"/>
      <w:r w:rsidRPr="00D32FC9">
        <w:rPr>
          <w:rFonts w:ascii="Arial Narrow" w:hAnsi="Arial Narrow"/>
          <w:b/>
          <w:sz w:val="20"/>
        </w:rPr>
        <w:t xml:space="preserve">Table </w:t>
      </w:r>
      <w:r w:rsidR="00F62D1A" w:rsidRPr="00D32FC9">
        <w:rPr>
          <w:rFonts w:ascii="Arial Narrow" w:hAnsi="Arial Narrow"/>
          <w:b/>
          <w:sz w:val="20"/>
        </w:rPr>
        <w:fldChar w:fldCharType="begin"/>
      </w:r>
      <w:r w:rsidR="00F62D1A" w:rsidRPr="00D32FC9">
        <w:rPr>
          <w:rFonts w:ascii="Arial Narrow" w:hAnsi="Arial Narrow"/>
          <w:b/>
          <w:sz w:val="20"/>
        </w:rPr>
        <w:instrText xml:space="preserve"> SEQ Table \* ARABIC </w:instrText>
      </w:r>
      <w:r w:rsidR="00F62D1A" w:rsidRPr="00D32FC9">
        <w:rPr>
          <w:rFonts w:ascii="Arial Narrow" w:hAnsi="Arial Narrow"/>
          <w:b/>
          <w:sz w:val="20"/>
        </w:rPr>
        <w:fldChar w:fldCharType="separate"/>
      </w:r>
      <w:r w:rsidR="00455942">
        <w:rPr>
          <w:rFonts w:ascii="Arial Narrow" w:hAnsi="Arial Narrow"/>
          <w:b/>
          <w:noProof/>
          <w:sz w:val="20"/>
        </w:rPr>
        <w:t>17</w:t>
      </w:r>
      <w:r w:rsidR="00F62D1A" w:rsidRPr="00D32FC9">
        <w:rPr>
          <w:rFonts w:ascii="Arial Narrow" w:hAnsi="Arial Narrow"/>
          <w:b/>
          <w:sz w:val="20"/>
        </w:rPr>
        <w:fldChar w:fldCharType="end"/>
      </w:r>
      <w:bookmarkEnd w:id="42"/>
      <w:r w:rsidRPr="00D32FC9">
        <w:rPr>
          <w:rFonts w:ascii="Arial Narrow" w:hAnsi="Arial Narrow"/>
          <w:b/>
          <w:sz w:val="20"/>
        </w:rPr>
        <w:t xml:space="preserve"> </w:t>
      </w:r>
      <w:r w:rsidR="00E06A2F" w:rsidRPr="00D32FC9">
        <w:rPr>
          <w:rFonts w:ascii="Arial Narrow" w:hAnsi="Arial Narrow"/>
          <w:b/>
          <w:sz w:val="20"/>
        </w:rPr>
        <w:t>Sensitivity analysis of financi</w:t>
      </w:r>
      <w:r w:rsidR="00915DDA" w:rsidRPr="00D32FC9">
        <w:rPr>
          <w:rFonts w:ascii="Arial Narrow" w:hAnsi="Arial Narrow"/>
          <w:b/>
          <w:sz w:val="20"/>
        </w:rPr>
        <w:t>al estimates using</w:t>
      </w:r>
      <w:r w:rsidR="00E06A2F" w:rsidRPr="00D32FC9">
        <w:rPr>
          <w:rFonts w:ascii="Arial Narrow" w:hAnsi="Arial Narrow"/>
          <w:b/>
          <w:sz w:val="20"/>
        </w:rPr>
        <w:t xml:space="preserve"> prevalence 39/61%</w:t>
      </w:r>
      <w:r w:rsidR="00915DDA" w:rsidRPr="00D32FC9">
        <w:rPr>
          <w:rFonts w:ascii="Arial Narrow" w:hAnsi="Arial Narrow"/>
          <w:b/>
          <w:sz w:val="20"/>
        </w:rPr>
        <w:t xml:space="preserve"> PTRCT/FTRCT from pre-ESC response</w:t>
      </w:r>
    </w:p>
    <w:tbl>
      <w:tblPr>
        <w:tblStyle w:val="TableGrid"/>
        <w:tblW w:w="0" w:type="auto"/>
        <w:tblCellMar>
          <w:left w:w="28" w:type="dxa"/>
          <w:right w:w="28" w:type="dxa"/>
        </w:tblCellMar>
        <w:tblLook w:val="04A0" w:firstRow="1" w:lastRow="0" w:firstColumn="1" w:lastColumn="0" w:noHBand="0" w:noVBand="1"/>
        <w:tblDescription w:val="Sensitivity analysis of financial estimates using prevalence 39/61% PTRCT/FTRCT from pre-ESC response"/>
      </w:tblPr>
      <w:tblGrid>
        <w:gridCol w:w="1620"/>
        <w:gridCol w:w="1479"/>
        <w:gridCol w:w="1479"/>
        <w:gridCol w:w="1479"/>
        <w:gridCol w:w="1479"/>
        <w:gridCol w:w="1480"/>
      </w:tblGrid>
      <w:tr w:rsidR="00E06A2F" w14:paraId="284D033A" w14:textId="77777777" w:rsidTr="00D32FC9">
        <w:trPr>
          <w:tblHeader/>
        </w:trPr>
        <w:tc>
          <w:tcPr>
            <w:tcW w:w="1620" w:type="dxa"/>
            <w:tcBorders>
              <w:top w:val="single" w:sz="4" w:space="0" w:color="auto"/>
              <w:left w:val="single" w:sz="4" w:space="0" w:color="auto"/>
              <w:bottom w:val="single" w:sz="4" w:space="0" w:color="auto"/>
              <w:right w:val="single" w:sz="4" w:space="0" w:color="auto"/>
            </w:tcBorders>
          </w:tcPr>
          <w:p w14:paraId="262E9151" w14:textId="77777777" w:rsidR="00E06A2F" w:rsidRPr="00FF3B1A" w:rsidRDefault="00E06A2F" w:rsidP="00E06A2F">
            <w:pPr>
              <w:pStyle w:val="Tabletext"/>
              <w:rPr>
                <w:b/>
              </w:rPr>
            </w:pPr>
            <w:r>
              <w:rPr>
                <w:b/>
              </w:rPr>
              <w:t>-</w:t>
            </w:r>
          </w:p>
        </w:tc>
        <w:tc>
          <w:tcPr>
            <w:tcW w:w="1479" w:type="dxa"/>
            <w:tcBorders>
              <w:top w:val="single" w:sz="4" w:space="0" w:color="auto"/>
              <w:left w:val="single" w:sz="4" w:space="0" w:color="auto"/>
              <w:bottom w:val="single" w:sz="4" w:space="0" w:color="auto"/>
              <w:right w:val="single" w:sz="4" w:space="0" w:color="auto"/>
            </w:tcBorders>
            <w:vAlign w:val="center"/>
          </w:tcPr>
          <w:p w14:paraId="6389A53E" w14:textId="77777777" w:rsidR="00E06A2F" w:rsidRPr="00FF3B1A" w:rsidRDefault="00E06A2F" w:rsidP="00E06A2F">
            <w:pPr>
              <w:pStyle w:val="Tabletext"/>
              <w:jc w:val="center"/>
              <w:rPr>
                <w:b/>
              </w:rPr>
            </w:pPr>
            <w:r w:rsidRPr="00FF3B1A">
              <w:rPr>
                <w:b/>
              </w:rPr>
              <w:t>2020</w:t>
            </w:r>
          </w:p>
        </w:tc>
        <w:tc>
          <w:tcPr>
            <w:tcW w:w="1479" w:type="dxa"/>
            <w:tcBorders>
              <w:top w:val="single" w:sz="4" w:space="0" w:color="auto"/>
              <w:left w:val="single" w:sz="4" w:space="0" w:color="auto"/>
              <w:bottom w:val="single" w:sz="4" w:space="0" w:color="auto"/>
              <w:right w:val="single" w:sz="4" w:space="0" w:color="auto"/>
            </w:tcBorders>
            <w:vAlign w:val="center"/>
          </w:tcPr>
          <w:p w14:paraId="32952D0A" w14:textId="77777777" w:rsidR="00E06A2F" w:rsidRPr="00FF3B1A" w:rsidRDefault="00E06A2F" w:rsidP="00E06A2F">
            <w:pPr>
              <w:pStyle w:val="Tabletext"/>
              <w:jc w:val="center"/>
              <w:rPr>
                <w:b/>
              </w:rPr>
            </w:pPr>
            <w:r w:rsidRPr="00FF3B1A">
              <w:rPr>
                <w:b/>
              </w:rPr>
              <w:t>2021</w:t>
            </w:r>
          </w:p>
        </w:tc>
        <w:tc>
          <w:tcPr>
            <w:tcW w:w="1479" w:type="dxa"/>
            <w:tcBorders>
              <w:top w:val="single" w:sz="4" w:space="0" w:color="auto"/>
              <w:left w:val="single" w:sz="4" w:space="0" w:color="auto"/>
              <w:bottom w:val="single" w:sz="4" w:space="0" w:color="auto"/>
              <w:right w:val="single" w:sz="4" w:space="0" w:color="auto"/>
            </w:tcBorders>
            <w:vAlign w:val="center"/>
          </w:tcPr>
          <w:p w14:paraId="1FEDB998" w14:textId="77777777" w:rsidR="00E06A2F" w:rsidRPr="00FF3B1A" w:rsidRDefault="00E06A2F" w:rsidP="00E06A2F">
            <w:pPr>
              <w:pStyle w:val="Tabletext"/>
              <w:jc w:val="center"/>
              <w:rPr>
                <w:b/>
              </w:rPr>
            </w:pPr>
            <w:r w:rsidRPr="00FF3B1A">
              <w:rPr>
                <w:b/>
              </w:rPr>
              <w:t>2022</w:t>
            </w:r>
          </w:p>
        </w:tc>
        <w:tc>
          <w:tcPr>
            <w:tcW w:w="1479" w:type="dxa"/>
            <w:tcBorders>
              <w:top w:val="single" w:sz="4" w:space="0" w:color="auto"/>
              <w:left w:val="single" w:sz="4" w:space="0" w:color="auto"/>
              <w:bottom w:val="single" w:sz="4" w:space="0" w:color="auto"/>
              <w:right w:val="single" w:sz="4" w:space="0" w:color="auto"/>
            </w:tcBorders>
            <w:vAlign w:val="center"/>
          </w:tcPr>
          <w:p w14:paraId="7DF5B157" w14:textId="77777777" w:rsidR="00E06A2F" w:rsidRPr="00FF3B1A" w:rsidRDefault="00E06A2F" w:rsidP="00E06A2F">
            <w:pPr>
              <w:pStyle w:val="Tabletext"/>
              <w:jc w:val="center"/>
              <w:rPr>
                <w:b/>
              </w:rPr>
            </w:pPr>
            <w:r w:rsidRPr="00FF3B1A">
              <w:rPr>
                <w:b/>
              </w:rPr>
              <w:t>2023</w:t>
            </w:r>
          </w:p>
        </w:tc>
        <w:tc>
          <w:tcPr>
            <w:tcW w:w="1480" w:type="dxa"/>
            <w:tcBorders>
              <w:top w:val="single" w:sz="4" w:space="0" w:color="auto"/>
              <w:left w:val="single" w:sz="4" w:space="0" w:color="auto"/>
              <w:bottom w:val="single" w:sz="4" w:space="0" w:color="auto"/>
              <w:right w:val="single" w:sz="4" w:space="0" w:color="auto"/>
            </w:tcBorders>
            <w:vAlign w:val="center"/>
          </w:tcPr>
          <w:p w14:paraId="55A14E7D" w14:textId="77777777" w:rsidR="00E06A2F" w:rsidRPr="00FF3B1A" w:rsidRDefault="00E06A2F" w:rsidP="00E06A2F">
            <w:pPr>
              <w:pStyle w:val="Tabletext"/>
              <w:jc w:val="center"/>
              <w:rPr>
                <w:b/>
              </w:rPr>
            </w:pPr>
            <w:r w:rsidRPr="00FF3B1A">
              <w:rPr>
                <w:b/>
              </w:rPr>
              <w:t>2024</w:t>
            </w:r>
          </w:p>
        </w:tc>
      </w:tr>
      <w:tr w:rsidR="00E06A2F" w14:paraId="1870610D" w14:textId="77777777" w:rsidTr="00E06A2F">
        <w:tc>
          <w:tcPr>
            <w:tcW w:w="1620" w:type="dxa"/>
            <w:tcBorders>
              <w:top w:val="single" w:sz="4" w:space="0" w:color="auto"/>
              <w:left w:val="single" w:sz="4" w:space="0" w:color="auto"/>
              <w:bottom w:val="single" w:sz="4" w:space="0" w:color="auto"/>
              <w:right w:val="nil"/>
            </w:tcBorders>
          </w:tcPr>
          <w:p w14:paraId="2D819E8A" w14:textId="77777777" w:rsidR="00E06A2F" w:rsidRPr="00FF3B1A" w:rsidRDefault="00E06A2F" w:rsidP="00E06A2F">
            <w:pPr>
              <w:pStyle w:val="Tabletext"/>
              <w:rPr>
                <w:b/>
              </w:rPr>
            </w:pPr>
            <w:r w:rsidRPr="00FF3B1A">
              <w:rPr>
                <w:b/>
              </w:rPr>
              <w:t>ADAR values</w:t>
            </w:r>
          </w:p>
        </w:tc>
        <w:tc>
          <w:tcPr>
            <w:tcW w:w="1479" w:type="dxa"/>
            <w:tcBorders>
              <w:top w:val="single" w:sz="4" w:space="0" w:color="auto"/>
              <w:left w:val="nil"/>
              <w:bottom w:val="single" w:sz="4" w:space="0" w:color="auto"/>
              <w:right w:val="nil"/>
            </w:tcBorders>
            <w:vAlign w:val="bottom"/>
          </w:tcPr>
          <w:p w14:paraId="60ABDF22" w14:textId="77777777" w:rsidR="00E06A2F" w:rsidRPr="00FF3B1A" w:rsidRDefault="00E06A2F" w:rsidP="00E06A2F">
            <w:pPr>
              <w:pStyle w:val="Tabletext"/>
              <w:jc w:val="center"/>
              <w:rPr>
                <w:b/>
              </w:rPr>
            </w:pPr>
          </w:p>
        </w:tc>
        <w:tc>
          <w:tcPr>
            <w:tcW w:w="1479" w:type="dxa"/>
            <w:tcBorders>
              <w:top w:val="single" w:sz="4" w:space="0" w:color="auto"/>
              <w:left w:val="nil"/>
              <w:bottom w:val="single" w:sz="4" w:space="0" w:color="auto"/>
              <w:right w:val="nil"/>
            </w:tcBorders>
            <w:vAlign w:val="bottom"/>
          </w:tcPr>
          <w:p w14:paraId="3C9C14BC" w14:textId="77777777" w:rsidR="00E06A2F" w:rsidRPr="00FF3B1A" w:rsidRDefault="00E06A2F" w:rsidP="00E06A2F">
            <w:pPr>
              <w:pStyle w:val="Tabletext"/>
              <w:jc w:val="center"/>
              <w:rPr>
                <w:b/>
              </w:rPr>
            </w:pPr>
          </w:p>
        </w:tc>
        <w:tc>
          <w:tcPr>
            <w:tcW w:w="1479" w:type="dxa"/>
            <w:tcBorders>
              <w:top w:val="single" w:sz="4" w:space="0" w:color="auto"/>
              <w:left w:val="nil"/>
              <w:bottom w:val="single" w:sz="4" w:space="0" w:color="auto"/>
              <w:right w:val="nil"/>
            </w:tcBorders>
            <w:vAlign w:val="bottom"/>
          </w:tcPr>
          <w:p w14:paraId="4AD45407" w14:textId="77777777" w:rsidR="00E06A2F" w:rsidRPr="00FF3B1A" w:rsidRDefault="00E06A2F" w:rsidP="00E06A2F">
            <w:pPr>
              <w:pStyle w:val="Tabletext"/>
              <w:jc w:val="center"/>
              <w:rPr>
                <w:b/>
              </w:rPr>
            </w:pPr>
          </w:p>
        </w:tc>
        <w:tc>
          <w:tcPr>
            <w:tcW w:w="1479" w:type="dxa"/>
            <w:tcBorders>
              <w:top w:val="single" w:sz="4" w:space="0" w:color="auto"/>
              <w:left w:val="nil"/>
              <w:bottom w:val="single" w:sz="4" w:space="0" w:color="auto"/>
              <w:right w:val="nil"/>
            </w:tcBorders>
          </w:tcPr>
          <w:p w14:paraId="4EA86151" w14:textId="77777777" w:rsidR="00E06A2F" w:rsidRPr="00FF3B1A" w:rsidRDefault="00E06A2F" w:rsidP="00E06A2F">
            <w:pPr>
              <w:pStyle w:val="Tabletext"/>
              <w:jc w:val="center"/>
              <w:rPr>
                <w:rFonts w:ascii="Calibri" w:hAnsi="Calibri" w:cs="Calibri"/>
                <w:b/>
                <w:color w:val="000000"/>
                <w:sz w:val="22"/>
                <w:szCs w:val="22"/>
              </w:rPr>
            </w:pPr>
          </w:p>
        </w:tc>
        <w:tc>
          <w:tcPr>
            <w:tcW w:w="1480" w:type="dxa"/>
            <w:tcBorders>
              <w:top w:val="single" w:sz="4" w:space="0" w:color="auto"/>
              <w:left w:val="nil"/>
              <w:bottom w:val="single" w:sz="4" w:space="0" w:color="auto"/>
              <w:right w:val="single" w:sz="4" w:space="0" w:color="auto"/>
            </w:tcBorders>
          </w:tcPr>
          <w:p w14:paraId="2CAA32EC" w14:textId="77777777" w:rsidR="00E06A2F" w:rsidRPr="00FF3B1A" w:rsidRDefault="00E06A2F" w:rsidP="00E06A2F">
            <w:pPr>
              <w:pStyle w:val="Tabletext"/>
              <w:jc w:val="center"/>
              <w:rPr>
                <w:rFonts w:ascii="Calibri" w:hAnsi="Calibri" w:cs="Calibri"/>
                <w:b/>
                <w:color w:val="000000"/>
                <w:sz w:val="22"/>
                <w:szCs w:val="22"/>
              </w:rPr>
            </w:pPr>
          </w:p>
        </w:tc>
      </w:tr>
      <w:tr w:rsidR="00E06A2F" w14:paraId="5056D101" w14:textId="77777777" w:rsidTr="00E06A2F">
        <w:tc>
          <w:tcPr>
            <w:tcW w:w="1620" w:type="dxa"/>
            <w:tcBorders>
              <w:top w:val="single" w:sz="4" w:space="0" w:color="auto"/>
            </w:tcBorders>
          </w:tcPr>
          <w:p w14:paraId="2A47F6FB" w14:textId="77777777" w:rsidR="00E06A2F" w:rsidRDefault="00E06A2F" w:rsidP="00E06A2F">
            <w:pPr>
              <w:pStyle w:val="Tabletext"/>
            </w:pPr>
            <w:r>
              <w:t>Total cost to MBS</w:t>
            </w:r>
          </w:p>
        </w:tc>
        <w:tc>
          <w:tcPr>
            <w:tcW w:w="1479" w:type="dxa"/>
            <w:tcBorders>
              <w:top w:val="single" w:sz="4" w:space="0" w:color="auto"/>
            </w:tcBorders>
            <w:vAlign w:val="bottom"/>
          </w:tcPr>
          <w:p w14:paraId="25DACB0F" w14:textId="77777777" w:rsidR="00E06A2F" w:rsidRPr="00FF3B1A" w:rsidRDefault="00E06A2F" w:rsidP="00E06A2F">
            <w:pPr>
              <w:pStyle w:val="Tabletext"/>
              <w:jc w:val="center"/>
              <w:rPr>
                <w:i/>
              </w:rPr>
            </w:pPr>
            <w:r w:rsidRPr="00FF3B1A">
              <w:rPr>
                <w:i/>
              </w:rPr>
              <w:t>-$8,613</w:t>
            </w:r>
          </w:p>
        </w:tc>
        <w:tc>
          <w:tcPr>
            <w:tcW w:w="1479" w:type="dxa"/>
            <w:tcBorders>
              <w:top w:val="single" w:sz="4" w:space="0" w:color="auto"/>
            </w:tcBorders>
            <w:vAlign w:val="bottom"/>
          </w:tcPr>
          <w:p w14:paraId="55ACCA0D" w14:textId="77777777" w:rsidR="00E06A2F" w:rsidRPr="00FF3B1A" w:rsidRDefault="00E06A2F" w:rsidP="00E06A2F">
            <w:pPr>
              <w:pStyle w:val="Tabletext"/>
              <w:jc w:val="center"/>
              <w:rPr>
                <w:i/>
              </w:rPr>
            </w:pPr>
            <w:r w:rsidRPr="00FF3B1A">
              <w:rPr>
                <w:i/>
              </w:rPr>
              <w:t>-$17,508</w:t>
            </w:r>
          </w:p>
        </w:tc>
        <w:tc>
          <w:tcPr>
            <w:tcW w:w="1479" w:type="dxa"/>
            <w:tcBorders>
              <w:top w:val="single" w:sz="4" w:space="0" w:color="auto"/>
            </w:tcBorders>
            <w:vAlign w:val="bottom"/>
          </w:tcPr>
          <w:p w14:paraId="60D03920" w14:textId="77777777" w:rsidR="00E06A2F" w:rsidRPr="00FF3B1A" w:rsidRDefault="00E06A2F" w:rsidP="00E06A2F">
            <w:pPr>
              <w:pStyle w:val="Tabletext"/>
              <w:jc w:val="center"/>
              <w:rPr>
                <w:i/>
              </w:rPr>
            </w:pPr>
            <w:r w:rsidRPr="00FF3B1A">
              <w:rPr>
                <w:i/>
              </w:rPr>
              <w:t>-$26,683</w:t>
            </w:r>
          </w:p>
        </w:tc>
        <w:tc>
          <w:tcPr>
            <w:tcW w:w="1479" w:type="dxa"/>
            <w:tcBorders>
              <w:top w:val="single" w:sz="4" w:space="0" w:color="auto"/>
            </w:tcBorders>
            <w:vAlign w:val="bottom"/>
          </w:tcPr>
          <w:p w14:paraId="2F2C69C0" w14:textId="77777777" w:rsidR="00E06A2F" w:rsidRPr="00FF3B1A" w:rsidRDefault="00E06A2F" w:rsidP="00E06A2F">
            <w:pPr>
              <w:pStyle w:val="Tabletext"/>
              <w:jc w:val="center"/>
              <w:rPr>
                <w:i/>
              </w:rPr>
            </w:pPr>
            <w:r w:rsidRPr="00FF3B1A">
              <w:rPr>
                <w:i/>
              </w:rPr>
              <w:t>-$36,134</w:t>
            </w:r>
          </w:p>
        </w:tc>
        <w:tc>
          <w:tcPr>
            <w:tcW w:w="1480" w:type="dxa"/>
            <w:tcBorders>
              <w:top w:val="single" w:sz="4" w:space="0" w:color="auto"/>
            </w:tcBorders>
            <w:vAlign w:val="bottom"/>
          </w:tcPr>
          <w:p w14:paraId="55E1BE85" w14:textId="77777777" w:rsidR="00E06A2F" w:rsidRPr="00FF3B1A" w:rsidRDefault="00E06A2F" w:rsidP="00E06A2F">
            <w:pPr>
              <w:pStyle w:val="Tabletext"/>
              <w:jc w:val="center"/>
              <w:rPr>
                <w:i/>
              </w:rPr>
            </w:pPr>
            <w:r w:rsidRPr="00FF3B1A">
              <w:rPr>
                <w:i/>
              </w:rPr>
              <w:t>-$45,873</w:t>
            </w:r>
          </w:p>
        </w:tc>
      </w:tr>
      <w:tr w:rsidR="00E06A2F" w14:paraId="63518662" w14:textId="77777777" w:rsidTr="00E06A2F">
        <w:tc>
          <w:tcPr>
            <w:tcW w:w="1620" w:type="dxa"/>
          </w:tcPr>
          <w:p w14:paraId="2D9CE14A" w14:textId="77777777" w:rsidR="00E06A2F" w:rsidRDefault="00E06A2F" w:rsidP="00E06A2F">
            <w:pPr>
              <w:pStyle w:val="Tabletext"/>
            </w:pPr>
            <w:r>
              <w:t>Total hospital costs</w:t>
            </w:r>
          </w:p>
        </w:tc>
        <w:tc>
          <w:tcPr>
            <w:tcW w:w="1479" w:type="dxa"/>
            <w:vAlign w:val="bottom"/>
          </w:tcPr>
          <w:p w14:paraId="767BAA1F" w14:textId="77777777" w:rsidR="00E06A2F" w:rsidRPr="00FF3B1A" w:rsidRDefault="00E06A2F" w:rsidP="00E06A2F">
            <w:pPr>
              <w:pStyle w:val="Tabletext"/>
              <w:jc w:val="center"/>
              <w:rPr>
                <w:i/>
              </w:rPr>
            </w:pPr>
            <w:r w:rsidRPr="00FF3B1A">
              <w:rPr>
                <w:i/>
              </w:rPr>
              <w:t>-$273,400</w:t>
            </w:r>
          </w:p>
        </w:tc>
        <w:tc>
          <w:tcPr>
            <w:tcW w:w="1479" w:type="dxa"/>
            <w:vAlign w:val="bottom"/>
          </w:tcPr>
          <w:p w14:paraId="013A6A17" w14:textId="77777777" w:rsidR="00E06A2F" w:rsidRPr="00FF3B1A" w:rsidRDefault="00E06A2F" w:rsidP="00E06A2F">
            <w:pPr>
              <w:pStyle w:val="Tabletext"/>
              <w:jc w:val="center"/>
              <w:rPr>
                <w:i/>
              </w:rPr>
            </w:pPr>
            <w:r w:rsidRPr="00FF3B1A">
              <w:rPr>
                <w:i/>
              </w:rPr>
              <w:t>-$555,754</w:t>
            </w:r>
          </w:p>
        </w:tc>
        <w:tc>
          <w:tcPr>
            <w:tcW w:w="1479" w:type="dxa"/>
            <w:vAlign w:val="bottom"/>
          </w:tcPr>
          <w:p w14:paraId="3904AD87" w14:textId="77777777" w:rsidR="00E06A2F" w:rsidRPr="00FF3B1A" w:rsidRDefault="00E06A2F" w:rsidP="00E06A2F">
            <w:pPr>
              <w:pStyle w:val="Tabletext"/>
              <w:jc w:val="center"/>
              <w:rPr>
                <w:i/>
              </w:rPr>
            </w:pPr>
            <w:r w:rsidRPr="00FF3B1A">
              <w:rPr>
                <w:i/>
              </w:rPr>
              <w:t>-$847,013</w:t>
            </w:r>
          </w:p>
        </w:tc>
        <w:tc>
          <w:tcPr>
            <w:tcW w:w="1479" w:type="dxa"/>
            <w:vAlign w:val="bottom"/>
          </w:tcPr>
          <w:p w14:paraId="0381DE3A" w14:textId="77777777" w:rsidR="00E06A2F" w:rsidRPr="00FF3B1A" w:rsidRDefault="00E06A2F" w:rsidP="00E06A2F">
            <w:pPr>
              <w:pStyle w:val="Tabletext"/>
              <w:jc w:val="center"/>
              <w:rPr>
                <w:i/>
              </w:rPr>
            </w:pPr>
            <w:r w:rsidRPr="00FF3B1A">
              <w:rPr>
                <w:i/>
              </w:rPr>
              <w:t>-$1,147,008</w:t>
            </w:r>
          </w:p>
        </w:tc>
        <w:tc>
          <w:tcPr>
            <w:tcW w:w="1480" w:type="dxa"/>
            <w:vAlign w:val="bottom"/>
          </w:tcPr>
          <w:p w14:paraId="28370F45" w14:textId="77777777" w:rsidR="00E06A2F" w:rsidRPr="00FF3B1A" w:rsidRDefault="00E06A2F" w:rsidP="00E06A2F">
            <w:pPr>
              <w:pStyle w:val="Tabletext"/>
              <w:jc w:val="center"/>
              <w:rPr>
                <w:i/>
              </w:rPr>
            </w:pPr>
            <w:r w:rsidRPr="00FF3B1A">
              <w:rPr>
                <w:i/>
              </w:rPr>
              <w:t>-$1,456,160</w:t>
            </w:r>
          </w:p>
        </w:tc>
      </w:tr>
      <w:tr w:rsidR="00E06A2F" w14:paraId="355D7DA0" w14:textId="77777777" w:rsidTr="00E06A2F">
        <w:tc>
          <w:tcPr>
            <w:tcW w:w="1620" w:type="dxa"/>
          </w:tcPr>
          <w:p w14:paraId="499D3FE8" w14:textId="77777777" w:rsidR="00E06A2F" w:rsidRDefault="00E06A2F" w:rsidP="00E06A2F">
            <w:pPr>
              <w:pStyle w:val="Tabletext"/>
            </w:pPr>
            <w:r>
              <w:t>Total PHI costs</w:t>
            </w:r>
          </w:p>
        </w:tc>
        <w:tc>
          <w:tcPr>
            <w:tcW w:w="1479" w:type="dxa"/>
            <w:vAlign w:val="bottom"/>
          </w:tcPr>
          <w:p w14:paraId="30A98D1C" w14:textId="64587D82" w:rsidR="00E06A2F" w:rsidRPr="00FF3B1A" w:rsidRDefault="00E06A2F" w:rsidP="00E06A2F">
            <w:pPr>
              <w:pStyle w:val="Tabletext"/>
              <w:jc w:val="center"/>
              <w:rPr>
                <w:i/>
              </w:rPr>
            </w:pPr>
            <w:r w:rsidRPr="00FF3B1A">
              <w:rPr>
                <w:i/>
              </w:rPr>
              <w:t>$</w:t>
            </w:r>
            <w:r w:rsidR="00E85AB0">
              <w:rPr>
                <w:i/>
              </w:rPr>
              <w:t>redacted</w:t>
            </w:r>
          </w:p>
        </w:tc>
        <w:tc>
          <w:tcPr>
            <w:tcW w:w="1479" w:type="dxa"/>
            <w:vAlign w:val="bottom"/>
          </w:tcPr>
          <w:p w14:paraId="73973F3D" w14:textId="5CB36BAA" w:rsidR="00E06A2F" w:rsidRPr="00FF3B1A" w:rsidRDefault="00E06A2F" w:rsidP="00E06A2F">
            <w:pPr>
              <w:pStyle w:val="Tabletext"/>
              <w:jc w:val="center"/>
              <w:rPr>
                <w:i/>
              </w:rPr>
            </w:pPr>
            <w:r w:rsidRPr="00FF3B1A">
              <w:rPr>
                <w:i/>
              </w:rPr>
              <w:t>$</w:t>
            </w:r>
            <w:r w:rsidR="00E85AB0">
              <w:rPr>
                <w:i/>
              </w:rPr>
              <w:t>redacted</w:t>
            </w:r>
          </w:p>
        </w:tc>
        <w:tc>
          <w:tcPr>
            <w:tcW w:w="1479" w:type="dxa"/>
            <w:vAlign w:val="bottom"/>
          </w:tcPr>
          <w:p w14:paraId="0C61FFB9" w14:textId="7D831F8D" w:rsidR="00E06A2F" w:rsidRPr="00FF3B1A" w:rsidRDefault="00E06A2F" w:rsidP="00E06A2F">
            <w:pPr>
              <w:pStyle w:val="Tabletext"/>
              <w:jc w:val="center"/>
              <w:rPr>
                <w:i/>
              </w:rPr>
            </w:pPr>
            <w:r w:rsidRPr="00FF3B1A">
              <w:rPr>
                <w:i/>
              </w:rPr>
              <w:t>$</w:t>
            </w:r>
            <w:r w:rsidR="00E85AB0">
              <w:rPr>
                <w:i/>
              </w:rPr>
              <w:t>redacted</w:t>
            </w:r>
          </w:p>
        </w:tc>
        <w:tc>
          <w:tcPr>
            <w:tcW w:w="1479" w:type="dxa"/>
            <w:vAlign w:val="bottom"/>
          </w:tcPr>
          <w:p w14:paraId="269C19BA" w14:textId="7D7A76E9" w:rsidR="00E06A2F" w:rsidRPr="00FF3B1A" w:rsidRDefault="00E06A2F" w:rsidP="00E06A2F">
            <w:pPr>
              <w:pStyle w:val="Tabletext"/>
              <w:jc w:val="center"/>
              <w:rPr>
                <w:i/>
              </w:rPr>
            </w:pPr>
            <w:r w:rsidRPr="00FF3B1A">
              <w:rPr>
                <w:i/>
              </w:rPr>
              <w:t>$</w:t>
            </w:r>
            <w:r w:rsidR="00E85AB0">
              <w:rPr>
                <w:i/>
              </w:rPr>
              <w:t>redacted</w:t>
            </w:r>
          </w:p>
        </w:tc>
        <w:tc>
          <w:tcPr>
            <w:tcW w:w="1480" w:type="dxa"/>
            <w:vAlign w:val="bottom"/>
          </w:tcPr>
          <w:p w14:paraId="4D93ACEA" w14:textId="545E371F" w:rsidR="00E06A2F" w:rsidRPr="00FF3B1A" w:rsidRDefault="00E06A2F" w:rsidP="00E06A2F">
            <w:pPr>
              <w:pStyle w:val="Tabletext"/>
              <w:jc w:val="center"/>
              <w:rPr>
                <w:i/>
              </w:rPr>
            </w:pPr>
            <w:r w:rsidRPr="00FF3B1A">
              <w:rPr>
                <w:i/>
              </w:rPr>
              <w:t>$</w:t>
            </w:r>
            <w:r w:rsidR="00E85AB0">
              <w:rPr>
                <w:i/>
              </w:rPr>
              <w:t>redacted</w:t>
            </w:r>
          </w:p>
        </w:tc>
      </w:tr>
      <w:tr w:rsidR="00E06A2F" w14:paraId="5D73ECD4" w14:textId="77777777" w:rsidTr="00E06A2F">
        <w:tc>
          <w:tcPr>
            <w:tcW w:w="1620" w:type="dxa"/>
            <w:tcBorders>
              <w:bottom w:val="single" w:sz="4" w:space="0" w:color="auto"/>
            </w:tcBorders>
          </w:tcPr>
          <w:p w14:paraId="5EA93D30" w14:textId="77777777" w:rsidR="00E06A2F" w:rsidRPr="00FF3B1A" w:rsidRDefault="00E06A2F" w:rsidP="00E06A2F">
            <w:pPr>
              <w:pStyle w:val="Tabletext"/>
              <w:rPr>
                <w:b/>
              </w:rPr>
            </w:pPr>
            <w:r w:rsidRPr="00FF3B1A">
              <w:rPr>
                <w:b/>
              </w:rPr>
              <w:t>Total overall costs</w:t>
            </w:r>
          </w:p>
        </w:tc>
        <w:tc>
          <w:tcPr>
            <w:tcW w:w="1479" w:type="dxa"/>
            <w:tcBorders>
              <w:bottom w:val="single" w:sz="4" w:space="0" w:color="auto"/>
            </w:tcBorders>
            <w:vAlign w:val="bottom"/>
          </w:tcPr>
          <w:p w14:paraId="1D9D4104" w14:textId="01C72301" w:rsidR="00E06A2F" w:rsidRPr="00FF3B1A" w:rsidRDefault="00E06A2F" w:rsidP="00E06A2F">
            <w:pPr>
              <w:pStyle w:val="Tabletext"/>
              <w:jc w:val="center"/>
              <w:rPr>
                <w:b/>
                <w:i/>
              </w:rPr>
            </w:pPr>
            <w:r w:rsidRPr="00FF3B1A">
              <w:rPr>
                <w:b/>
                <w:i/>
              </w:rPr>
              <w:t>$</w:t>
            </w:r>
            <w:r w:rsidR="00E85AB0" w:rsidRPr="003429DC">
              <w:rPr>
                <w:b/>
                <w:i/>
              </w:rPr>
              <w:t>redacted</w:t>
            </w:r>
          </w:p>
        </w:tc>
        <w:tc>
          <w:tcPr>
            <w:tcW w:w="1479" w:type="dxa"/>
            <w:tcBorders>
              <w:bottom w:val="single" w:sz="4" w:space="0" w:color="auto"/>
            </w:tcBorders>
            <w:vAlign w:val="bottom"/>
          </w:tcPr>
          <w:p w14:paraId="34D4037B" w14:textId="2FEBBE7B" w:rsidR="00E06A2F" w:rsidRPr="00FF3B1A" w:rsidRDefault="00E06A2F" w:rsidP="00E06A2F">
            <w:pPr>
              <w:pStyle w:val="Tabletext"/>
              <w:jc w:val="center"/>
              <w:rPr>
                <w:b/>
                <w:i/>
              </w:rPr>
            </w:pPr>
            <w:r w:rsidRPr="00FF3B1A">
              <w:rPr>
                <w:b/>
                <w:i/>
              </w:rPr>
              <w:t>$</w:t>
            </w:r>
            <w:r w:rsidR="00E85AB0" w:rsidRPr="003429DC">
              <w:rPr>
                <w:b/>
                <w:i/>
              </w:rPr>
              <w:t>redacted</w:t>
            </w:r>
          </w:p>
        </w:tc>
        <w:tc>
          <w:tcPr>
            <w:tcW w:w="1479" w:type="dxa"/>
            <w:tcBorders>
              <w:bottom w:val="single" w:sz="4" w:space="0" w:color="auto"/>
            </w:tcBorders>
            <w:vAlign w:val="bottom"/>
          </w:tcPr>
          <w:p w14:paraId="44965508" w14:textId="6ADFF3E4" w:rsidR="00E06A2F" w:rsidRPr="00FF3B1A" w:rsidRDefault="00E06A2F" w:rsidP="00E06A2F">
            <w:pPr>
              <w:pStyle w:val="Tabletext"/>
              <w:jc w:val="center"/>
              <w:rPr>
                <w:b/>
                <w:i/>
              </w:rPr>
            </w:pPr>
            <w:r w:rsidRPr="00FF3B1A">
              <w:rPr>
                <w:b/>
                <w:i/>
              </w:rPr>
              <w:t>$</w:t>
            </w:r>
            <w:r w:rsidR="00E85AB0" w:rsidRPr="003429DC">
              <w:rPr>
                <w:b/>
                <w:i/>
              </w:rPr>
              <w:t>redacted</w:t>
            </w:r>
          </w:p>
        </w:tc>
        <w:tc>
          <w:tcPr>
            <w:tcW w:w="1479" w:type="dxa"/>
            <w:tcBorders>
              <w:bottom w:val="single" w:sz="4" w:space="0" w:color="auto"/>
            </w:tcBorders>
            <w:vAlign w:val="bottom"/>
          </w:tcPr>
          <w:p w14:paraId="5648FB75" w14:textId="245849AC" w:rsidR="00E06A2F" w:rsidRPr="00FF3B1A" w:rsidRDefault="00E06A2F" w:rsidP="00E06A2F">
            <w:pPr>
              <w:pStyle w:val="Tabletext"/>
              <w:jc w:val="center"/>
              <w:rPr>
                <w:b/>
                <w:i/>
              </w:rPr>
            </w:pPr>
            <w:r w:rsidRPr="00FF3B1A">
              <w:rPr>
                <w:b/>
                <w:i/>
              </w:rPr>
              <w:t>$</w:t>
            </w:r>
            <w:r w:rsidR="00E85AB0" w:rsidRPr="003429DC">
              <w:rPr>
                <w:b/>
                <w:i/>
              </w:rPr>
              <w:t>redacted</w:t>
            </w:r>
          </w:p>
        </w:tc>
        <w:tc>
          <w:tcPr>
            <w:tcW w:w="1480" w:type="dxa"/>
            <w:tcBorders>
              <w:bottom w:val="single" w:sz="4" w:space="0" w:color="auto"/>
            </w:tcBorders>
            <w:vAlign w:val="bottom"/>
          </w:tcPr>
          <w:p w14:paraId="48E39264" w14:textId="633F0E3C" w:rsidR="00E06A2F" w:rsidRPr="00FF3B1A" w:rsidRDefault="00E06A2F" w:rsidP="00E06A2F">
            <w:pPr>
              <w:pStyle w:val="Tabletext"/>
              <w:jc w:val="center"/>
              <w:rPr>
                <w:b/>
                <w:i/>
              </w:rPr>
            </w:pPr>
            <w:r w:rsidRPr="00FF3B1A">
              <w:rPr>
                <w:b/>
                <w:i/>
              </w:rPr>
              <w:t>$</w:t>
            </w:r>
            <w:r w:rsidR="00E85AB0" w:rsidRPr="003429DC">
              <w:rPr>
                <w:b/>
                <w:i/>
              </w:rPr>
              <w:t>redacted</w:t>
            </w:r>
          </w:p>
        </w:tc>
      </w:tr>
      <w:tr w:rsidR="00E06A2F" w:rsidRPr="00FF3B1A" w14:paraId="4C77FDF0" w14:textId="77777777" w:rsidTr="00E06A2F">
        <w:tc>
          <w:tcPr>
            <w:tcW w:w="1620" w:type="dxa"/>
            <w:tcBorders>
              <w:top w:val="single" w:sz="4" w:space="0" w:color="auto"/>
              <w:left w:val="single" w:sz="4" w:space="0" w:color="auto"/>
              <w:bottom w:val="single" w:sz="4" w:space="0" w:color="auto"/>
              <w:right w:val="nil"/>
            </w:tcBorders>
          </w:tcPr>
          <w:p w14:paraId="43516D70" w14:textId="77777777" w:rsidR="00E06A2F" w:rsidRPr="00FF3B1A" w:rsidRDefault="00E06A2F" w:rsidP="00E06A2F">
            <w:pPr>
              <w:pStyle w:val="Tabletext"/>
              <w:rPr>
                <w:b/>
                <w:i/>
              </w:rPr>
            </w:pPr>
            <w:r w:rsidRPr="00FF3B1A">
              <w:rPr>
                <w:b/>
                <w:i/>
              </w:rPr>
              <w:t>Commentary values</w:t>
            </w:r>
          </w:p>
        </w:tc>
        <w:tc>
          <w:tcPr>
            <w:tcW w:w="1479" w:type="dxa"/>
            <w:tcBorders>
              <w:top w:val="single" w:sz="4" w:space="0" w:color="auto"/>
              <w:left w:val="nil"/>
              <w:bottom w:val="single" w:sz="4" w:space="0" w:color="auto"/>
              <w:right w:val="nil"/>
            </w:tcBorders>
          </w:tcPr>
          <w:p w14:paraId="25E03529" w14:textId="77777777" w:rsidR="00E06A2F" w:rsidRPr="00FF3B1A" w:rsidRDefault="00E06A2F" w:rsidP="00E06A2F">
            <w:pPr>
              <w:pStyle w:val="Tabletext"/>
              <w:rPr>
                <w:b/>
                <w:i/>
              </w:rPr>
            </w:pPr>
            <w:r w:rsidRPr="00FF3B1A">
              <w:rPr>
                <w:b/>
                <w:i/>
              </w:rPr>
              <w:t>-recalculated</w:t>
            </w:r>
          </w:p>
        </w:tc>
        <w:tc>
          <w:tcPr>
            <w:tcW w:w="1479" w:type="dxa"/>
            <w:tcBorders>
              <w:top w:val="single" w:sz="4" w:space="0" w:color="auto"/>
              <w:left w:val="nil"/>
              <w:bottom w:val="single" w:sz="4" w:space="0" w:color="auto"/>
              <w:right w:val="nil"/>
            </w:tcBorders>
          </w:tcPr>
          <w:p w14:paraId="256426B6" w14:textId="77777777" w:rsidR="00E06A2F" w:rsidRPr="00FF3B1A" w:rsidRDefault="00E06A2F" w:rsidP="00E06A2F">
            <w:pPr>
              <w:pStyle w:val="Tabletext"/>
              <w:jc w:val="center"/>
              <w:rPr>
                <w:b/>
              </w:rPr>
            </w:pPr>
          </w:p>
        </w:tc>
        <w:tc>
          <w:tcPr>
            <w:tcW w:w="1479" w:type="dxa"/>
            <w:tcBorders>
              <w:top w:val="single" w:sz="4" w:space="0" w:color="auto"/>
              <w:left w:val="nil"/>
              <w:bottom w:val="single" w:sz="4" w:space="0" w:color="auto"/>
              <w:right w:val="nil"/>
            </w:tcBorders>
          </w:tcPr>
          <w:p w14:paraId="0E2DCC2B" w14:textId="77777777" w:rsidR="00E06A2F" w:rsidRPr="00FF3B1A" w:rsidRDefault="00E06A2F" w:rsidP="00E06A2F">
            <w:pPr>
              <w:pStyle w:val="Tabletext"/>
              <w:jc w:val="center"/>
              <w:rPr>
                <w:b/>
              </w:rPr>
            </w:pPr>
          </w:p>
        </w:tc>
        <w:tc>
          <w:tcPr>
            <w:tcW w:w="1479" w:type="dxa"/>
            <w:tcBorders>
              <w:top w:val="single" w:sz="4" w:space="0" w:color="auto"/>
              <w:left w:val="nil"/>
              <w:bottom w:val="single" w:sz="4" w:space="0" w:color="auto"/>
              <w:right w:val="nil"/>
            </w:tcBorders>
          </w:tcPr>
          <w:p w14:paraId="0DFE3C01" w14:textId="77777777" w:rsidR="00E06A2F" w:rsidRPr="00FF3B1A" w:rsidRDefault="00E06A2F" w:rsidP="00E06A2F">
            <w:pPr>
              <w:pStyle w:val="Tabletext"/>
              <w:jc w:val="center"/>
              <w:rPr>
                <w:b/>
              </w:rPr>
            </w:pPr>
          </w:p>
        </w:tc>
        <w:tc>
          <w:tcPr>
            <w:tcW w:w="1480" w:type="dxa"/>
            <w:tcBorders>
              <w:top w:val="single" w:sz="4" w:space="0" w:color="auto"/>
              <w:left w:val="nil"/>
              <w:bottom w:val="single" w:sz="4" w:space="0" w:color="auto"/>
              <w:right w:val="single" w:sz="4" w:space="0" w:color="auto"/>
            </w:tcBorders>
          </w:tcPr>
          <w:p w14:paraId="6D50B68C" w14:textId="77777777" w:rsidR="00E06A2F" w:rsidRPr="00FF3B1A" w:rsidRDefault="00E06A2F" w:rsidP="00E06A2F">
            <w:pPr>
              <w:pStyle w:val="Tabletext"/>
              <w:jc w:val="center"/>
              <w:rPr>
                <w:b/>
              </w:rPr>
            </w:pPr>
          </w:p>
        </w:tc>
      </w:tr>
      <w:tr w:rsidR="00E06A2F" w14:paraId="1E7065B6" w14:textId="77777777" w:rsidTr="00E06A2F">
        <w:tc>
          <w:tcPr>
            <w:tcW w:w="1620" w:type="dxa"/>
            <w:tcBorders>
              <w:top w:val="single" w:sz="4" w:space="0" w:color="auto"/>
            </w:tcBorders>
          </w:tcPr>
          <w:p w14:paraId="3255BB60" w14:textId="77777777" w:rsidR="00E06A2F" w:rsidRDefault="00E06A2F" w:rsidP="00E06A2F">
            <w:pPr>
              <w:pStyle w:val="Tabletext"/>
            </w:pPr>
            <w:r>
              <w:t>Total cost to MBS</w:t>
            </w:r>
          </w:p>
        </w:tc>
        <w:tc>
          <w:tcPr>
            <w:tcW w:w="1479" w:type="dxa"/>
            <w:tcBorders>
              <w:top w:val="single" w:sz="4" w:space="0" w:color="auto"/>
            </w:tcBorders>
            <w:vAlign w:val="bottom"/>
          </w:tcPr>
          <w:p w14:paraId="1E022DE4" w14:textId="77777777" w:rsidR="00E06A2F" w:rsidRPr="00FF3B1A" w:rsidRDefault="00E06A2F" w:rsidP="00E06A2F">
            <w:pPr>
              <w:pStyle w:val="Tabletext"/>
              <w:jc w:val="center"/>
              <w:rPr>
                <w:i/>
              </w:rPr>
            </w:pPr>
            <w:r w:rsidRPr="00FF3B1A">
              <w:rPr>
                <w:i/>
              </w:rPr>
              <w:t>-$36,888</w:t>
            </w:r>
          </w:p>
        </w:tc>
        <w:tc>
          <w:tcPr>
            <w:tcW w:w="1479" w:type="dxa"/>
            <w:tcBorders>
              <w:top w:val="single" w:sz="4" w:space="0" w:color="auto"/>
            </w:tcBorders>
            <w:vAlign w:val="bottom"/>
          </w:tcPr>
          <w:p w14:paraId="54A73967" w14:textId="77777777" w:rsidR="00E06A2F" w:rsidRPr="00FF3B1A" w:rsidRDefault="00E06A2F" w:rsidP="00E06A2F">
            <w:pPr>
              <w:pStyle w:val="Tabletext"/>
              <w:jc w:val="center"/>
              <w:rPr>
                <w:i/>
              </w:rPr>
            </w:pPr>
            <w:r w:rsidRPr="00FF3B1A">
              <w:rPr>
                <w:i/>
              </w:rPr>
              <w:t>-$74,983</w:t>
            </w:r>
          </w:p>
        </w:tc>
        <w:tc>
          <w:tcPr>
            <w:tcW w:w="1479" w:type="dxa"/>
            <w:tcBorders>
              <w:top w:val="single" w:sz="4" w:space="0" w:color="auto"/>
            </w:tcBorders>
            <w:vAlign w:val="bottom"/>
          </w:tcPr>
          <w:p w14:paraId="2E51F963" w14:textId="77777777" w:rsidR="00E06A2F" w:rsidRPr="00FF3B1A" w:rsidRDefault="00E06A2F" w:rsidP="00E06A2F">
            <w:pPr>
              <w:pStyle w:val="Tabletext"/>
              <w:jc w:val="center"/>
              <w:rPr>
                <w:i/>
              </w:rPr>
            </w:pPr>
            <w:r w:rsidRPr="00FF3B1A">
              <w:rPr>
                <w:i/>
              </w:rPr>
              <w:t>-$114,280</w:t>
            </w:r>
          </w:p>
        </w:tc>
        <w:tc>
          <w:tcPr>
            <w:tcW w:w="1479" w:type="dxa"/>
            <w:tcBorders>
              <w:top w:val="single" w:sz="4" w:space="0" w:color="auto"/>
            </w:tcBorders>
            <w:vAlign w:val="bottom"/>
          </w:tcPr>
          <w:p w14:paraId="19D9240F" w14:textId="77777777" w:rsidR="00E06A2F" w:rsidRPr="00FF3B1A" w:rsidRDefault="00E06A2F" w:rsidP="00E06A2F">
            <w:pPr>
              <w:pStyle w:val="Tabletext"/>
              <w:jc w:val="center"/>
              <w:rPr>
                <w:i/>
              </w:rPr>
            </w:pPr>
            <w:r w:rsidRPr="00FF3B1A">
              <w:rPr>
                <w:i/>
              </w:rPr>
              <w:t>-$154,756</w:t>
            </w:r>
          </w:p>
        </w:tc>
        <w:tc>
          <w:tcPr>
            <w:tcW w:w="1480" w:type="dxa"/>
            <w:tcBorders>
              <w:top w:val="single" w:sz="4" w:space="0" w:color="auto"/>
            </w:tcBorders>
            <w:vAlign w:val="bottom"/>
          </w:tcPr>
          <w:p w14:paraId="3A4905CD" w14:textId="77777777" w:rsidR="00E06A2F" w:rsidRPr="00FF3B1A" w:rsidRDefault="00E06A2F" w:rsidP="00E06A2F">
            <w:pPr>
              <w:pStyle w:val="Tabletext"/>
              <w:jc w:val="center"/>
              <w:rPr>
                <w:i/>
              </w:rPr>
            </w:pPr>
            <w:r w:rsidRPr="00FF3B1A">
              <w:rPr>
                <w:i/>
              </w:rPr>
              <w:t>-$196,467</w:t>
            </w:r>
          </w:p>
        </w:tc>
      </w:tr>
      <w:tr w:rsidR="00E06A2F" w14:paraId="61C3A095" w14:textId="77777777" w:rsidTr="00E06A2F">
        <w:tc>
          <w:tcPr>
            <w:tcW w:w="1620" w:type="dxa"/>
          </w:tcPr>
          <w:p w14:paraId="58FAC198" w14:textId="77777777" w:rsidR="00E06A2F" w:rsidRDefault="00E06A2F" w:rsidP="00E06A2F">
            <w:pPr>
              <w:pStyle w:val="Tabletext"/>
            </w:pPr>
            <w:r>
              <w:t>Total hospital costs</w:t>
            </w:r>
          </w:p>
        </w:tc>
        <w:tc>
          <w:tcPr>
            <w:tcW w:w="1479" w:type="dxa"/>
            <w:vAlign w:val="bottom"/>
          </w:tcPr>
          <w:p w14:paraId="26E1D330" w14:textId="77777777" w:rsidR="00E06A2F" w:rsidRPr="00FF3B1A" w:rsidRDefault="00E06A2F" w:rsidP="00E06A2F">
            <w:pPr>
              <w:pStyle w:val="Tabletext"/>
              <w:jc w:val="center"/>
              <w:rPr>
                <w:i/>
              </w:rPr>
            </w:pPr>
            <w:r w:rsidRPr="00FF3B1A">
              <w:rPr>
                <w:i/>
              </w:rPr>
              <w:t>$20,329</w:t>
            </w:r>
          </w:p>
        </w:tc>
        <w:tc>
          <w:tcPr>
            <w:tcW w:w="1479" w:type="dxa"/>
            <w:vAlign w:val="bottom"/>
          </w:tcPr>
          <w:p w14:paraId="406FB2A7" w14:textId="77777777" w:rsidR="00E06A2F" w:rsidRPr="00FF3B1A" w:rsidRDefault="00E06A2F" w:rsidP="00E06A2F">
            <w:pPr>
              <w:pStyle w:val="Tabletext"/>
              <w:jc w:val="center"/>
              <w:rPr>
                <w:i/>
              </w:rPr>
            </w:pPr>
            <w:r w:rsidRPr="00FF3B1A">
              <w:rPr>
                <w:i/>
              </w:rPr>
              <w:t>$41,323</w:t>
            </w:r>
          </w:p>
        </w:tc>
        <w:tc>
          <w:tcPr>
            <w:tcW w:w="1479" w:type="dxa"/>
            <w:vAlign w:val="bottom"/>
          </w:tcPr>
          <w:p w14:paraId="18257ED2" w14:textId="77777777" w:rsidR="00E06A2F" w:rsidRPr="00FF3B1A" w:rsidRDefault="00E06A2F" w:rsidP="00E06A2F">
            <w:pPr>
              <w:pStyle w:val="Tabletext"/>
              <w:jc w:val="center"/>
              <w:rPr>
                <w:i/>
              </w:rPr>
            </w:pPr>
            <w:r w:rsidRPr="00FF3B1A">
              <w:rPr>
                <w:i/>
              </w:rPr>
              <w:t>$62,980</w:t>
            </w:r>
          </w:p>
        </w:tc>
        <w:tc>
          <w:tcPr>
            <w:tcW w:w="1479" w:type="dxa"/>
            <w:vAlign w:val="bottom"/>
          </w:tcPr>
          <w:p w14:paraId="717F0312" w14:textId="77777777" w:rsidR="00E06A2F" w:rsidRPr="00FF3B1A" w:rsidRDefault="00E06A2F" w:rsidP="00E06A2F">
            <w:pPr>
              <w:pStyle w:val="Tabletext"/>
              <w:jc w:val="center"/>
              <w:rPr>
                <w:i/>
              </w:rPr>
            </w:pPr>
            <w:r w:rsidRPr="00FF3B1A">
              <w:rPr>
                <w:i/>
              </w:rPr>
              <w:t>$85,286</w:t>
            </w:r>
          </w:p>
        </w:tc>
        <w:tc>
          <w:tcPr>
            <w:tcW w:w="1480" w:type="dxa"/>
            <w:vAlign w:val="bottom"/>
          </w:tcPr>
          <w:p w14:paraId="30A5C001" w14:textId="77777777" w:rsidR="00E06A2F" w:rsidRPr="00FF3B1A" w:rsidRDefault="00E06A2F" w:rsidP="00E06A2F">
            <w:pPr>
              <w:pStyle w:val="Tabletext"/>
              <w:jc w:val="center"/>
              <w:rPr>
                <w:i/>
              </w:rPr>
            </w:pPr>
            <w:r w:rsidRPr="00FF3B1A">
              <w:rPr>
                <w:i/>
              </w:rPr>
              <w:t>$108,273</w:t>
            </w:r>
          </w:p>
        </w:tc>
      </w:tr>
      <w:tr w:rsidR="00E06A2F" w14:paraId="7977F01E" w14:textId="77777777" w:rsidTr="00E06A2F">
        <w:tc>
          <w:tcPr>
            <w:tcW w:w="1620" w:type="dxa"/>
          </w:tcPr>
          <w:p w14:paraId="28F45324" w14:textId="77777777" w:rsidR="00E06A2F" w:rsidRDefault="00E06A2F" w:rsidP="00E06A2F">
            <w:pPr>
              <w:pStyle w:val="Tabletext"/>
            </w:pPr>
            <w:r>
              <w:t>Total PHI costs</w:t>
            </w:r>
          </w:p>
        </w:tc>
        <w:tc>
          <w:tcPr>
            <w:tcW w:w="1479" w:type="dxa"/>
            <w:vAlign w:val="bottom"/>
          </w:tcPr>
          <w:p w14:paraId="40264BD8" w14:textId="4E96DBE4" w:rsidR="00E06A2F" w:rsidRPr="00FF3B1A" w:rsidRDefault="00E06A2F" w:rsidP="00E06A2F">
            <w:pPr>
              <w:pStyle w:val="Tabletext"/>
              <w:jc w:val="center"/>
              <w:rPr>
                <w:i/>
              </w:rPr>
            </w:pPr>
            <w:r w:rsidRPr="00FF3B1A">
              <w:rPr>
                <w:i/>
              </w:rPr>
              <w:t>$</w:t>
            </w:r>
            <w:r w:rsidR="00E85AB0">
              <w:rPr>
                <w:i/>
              </w:rPr>
              <w:t>redacted</w:t>
            </w:r>
          </w:p>
        </w:tc>
        <w:tc>
          <w:tcPr>
            <w:tcW w:w="1479" w:type="dxa"/>
            <w:vAlign w:val="bottom"/>
          </w:tcPr>
          <w:p w14:paraId="1838670D" w14:textId="28FC108A" w:rsidR="00E06A2F" w:rsidRPr="00FF3B1A" w:rsidRDefault="00E06A2F" w:rsidP="00E85AB0">
            <w:pPr>
              <w:pStyle w:val="Tabletext"/>
              <w:jc w:val="center"/>
              <w:rPr>
                <w:i/>
              </w:rPr>
            </w:pPr>
            <w:r w:rsidRPr="00FF3B1A">
              <w:rPr>
                <w:i/>
              </w:rPr>
              <w:t>$</w:t>
            </w:r>
            <w:r w:rsidR="00E85AB0">
              <w:rPr>
                <w:i/>
              </w:rPr>
              <w:t>redacted</w:t>
            </w:r>
          </w:p>
        </w:tc>
        <w:tc>
          <w:tcPr>
            <w:tcW w:w="1479" w:type="dxa"/>
            <w:vAlign w:val="bottom"/>
          </w:tcPr>
          <w:p w14:paraId="46D61F6F" w14:textId="7EFB7B2C" w:rsidR="00E06A2F" w:rsidRPr="00FF3B1A" w:rsidRDefault="00E06A2F" w:rsidP="00E06A2F">
            <w:pPr>
              <w:pStyle w:val="Tabletext"/>
              <w:jc w:val="center"/>
              <w:rPr>
                <w:i/>
              </w:rPr>
            </w:pPr>
            <w:r w:rsidRPr="00FF3B1A">
              <w:rPr>
                <w:i/>
              </w:rPr>
              <w:t>$</w:t>
            </w:r>
            <w:r w:rsidR="00E85AB0">
              <w:rPr>
                <w:i/>
              </w:rPr>
              <w:t>redacted</w:t>
            </w:r>
          </w:p>
        </w:tc>
        <w:tc>
          <w:tcPr>
            <w:tcW w:w="1479" w:type="dxa"/>
            <w:vAlign w:val="bottom"/>
          </w:tcPr>
          <w:p w14:paraId="1F80CAA1" w14:textId="1B0CF3E7" w:rsidR="00E06A2F" w:rsidRPr="00FF3B1A" w:rsidRDefault="00E06A2F" w:rsidP="00E06A2F">
            <w:pPr>
              <w:pStyle w:val="Tabletext"/>
              <w:jc w:val="center"/>
              <w:rPr>
                <w:i/>
              </w:rPr>
            </w:pPr>
            <w:r w:rsidRPr="00FF3B1A">
              <w:rPr>
                <w:i/>
              </w:rPr>
              <w:t>$</w:t>
            </w:r>
            <w:r w:rsidR="00E85AB0">
              <w:rPr>
                <w:i/>
              </w:rPr>
              <w:t>redacted</w:t>
            </w:r>
          </w:p>
        </w:tc>
        <w:tc>
          <w:tcPr>
            <w:tcW w:w="1480" w:type="dxa"/>
            <w:vAlign w:val="bottom"/>
          </w:tcPr>
          <w:p w14:paraId="2AEA4C25" w14:textId="01C9AFAD" w:rsidR="00E06A2F" w:rsidRPr="00FF3B1A" w:rsidRDefault="00E06A2F" w:rsidP="00E06A2F">
            <w:pPr>
              <w:pStyle w:val="Tabletext"/>
              <w:jc w:val="center"/>
              <w:rPr>
                <w:i/>
              </w:rPr>
            </w:pPr>
            <w:r w:rsidRPr="00FF3B1A">
              <w:rPr>
                <w:i/>
              </w:rPr>
              <w:t>$</w:t>
            </w:r>
            <w:r w:rsidR="00E85AB0">
              <w:rPr>
                <w:i/>
              </w:rPr>
              <w:t>redacted</w:t>
            </w:r>
          </w:p>
        </w:tc>
      </w:tr>
      <w:tr w:rsidR="00E06A2F" w14:paraId="16D47DB9" w14:textId="77777777" w:rsidTr="00E06A2F">
        <w:tc>
          <w:tcPr>
            <w:tcW w:w="1620" w:type="dxa"/>
            <w:tcBorders>
              <w:bottom w:val="single" w:sz="4" w:space="0" w:color="auto"/>
            </w:tcBorders>
          </w:tcPr>
          <w:p w14:paraId="0943B673" w14:textId="77777777" w:rsidR="00E06A2F" w:rsidRPr="00FF3B1A" w:rsidRDefault="00E06A2F" w:rsidP="00E06A2F">
            <w:pPr>
              <w:pStyle w:val="Tabletext"/>
              <w:rPr>
                <w:b/>
              </w:rPr>
            </w:pPr>
            <w:r w:rsidRPr="00FF3B1A">
              <w:rPr>
                <w:b/>
              </w:rPr>
              <w:t>Total overall costs</w:t>
            </w:r>
          </w:p>
        </w:tc>
        <w:tc>
          <w:tcPr>
            <w:tcW w:w="1479" w:type="dxa"/>
            <w:tcBorders>
              <w:bottom w:val="single" w:sz="4" w:space="0" w:color="auto"/>
            </w:tcBorders>
            <w:vAlign w:val="bottom"/>
          </w:tcPr>
          <w:p w14:paraId="05BAFD86" w14:textId="1EF3ECEA" w:rsidR="00E06A2F" w:rsidRPr="00FF3B1A" w:rsidRDefault="00E06A2F" w:rsidP="00E06A2F">
            <w:pPr>
              <w:pStyle w:val="Tabletext"/>
              <w:jc w:val="center"/>
              <w:rPr>
                <w:b/>
                <w:i/>
              </w:rPr>
            </w:pPr>
            <w:r w:rsidRPr="00FF3B1A">
              <w:rPr>
                <w:b/>
                <w:i/>
              </w:rPr>
              <w:t>$</w:t>
            </w:r>
            <w:r w:rsidR="00E85AB0" w:rsidRPr="003429DC">
              <w:rPr>
                <w:b/>
                <w:i/>
              </w:rPr>
              <w:t>redacted</w:t>
            </w:r>
          </w:p>
        </w:tc>
        <w:tc>
          <w:tcPr>
            <w:tcW w:w="1479" w:type="dxa"/>
            <w:tcBorders>
              <w:bottom w:val="single" w:sz="4" w:space="0" w:color="auto"/>
            </w:tcBorders>
            <w:vAlign w:val="bottom"/>
          </w:tcPr>
          <w:p w14:paraId="719CA371" w14:textId="19B4168D" w:rsidR="00E06A2F" w:rsidRPr="00FF3B1A" w:rsidRDefault="00E06A2F" w:rsidP="00E06A2F">
            <w:pPr>
              <w:pStyle w:val="Tabletext"/>
              <w:jc w:val="center"/>
              <w:rPr>
                <w:b/>
                <w:i/>
              </w:rPr>
            </w:pPr>
            <w:r w:rsidRPr="00FF3B1A">
              <w:rPr>
                <w:b/>
                <w:i/>
              </w:rPr>
              <w:t>$</w:t>
            </w:r>
            <w:r w:rsidR="00E85AB0" w:rsidRPr="003429DC">
              <w:rPr>
                <w:b/>
                <w:i/>
              </w:rPr>
              <w:t>redacted</w:t>
            </w:r>
          </w:p>
        </w:tc>
        <w:tc>
          <w:tcPr>
            <w:tcW w:w="1479" w:type="dxa"/>
            <w:tcBorders>
              <w:bottom w:val="single" w:sz="4" w:space="0" w:color="auto"/>
            </w:tcBorders>
            <w:vAlign w:val="bottom"/>
          </w:tcPr>
          <w:p w14:paraId="213714DF" w14:textId="46B70A9F" w:rsidR="00E06A2F" w:rsidRPr="00FF3B1A" w:rsidRDefault="00E06A2F" w:rsidP="00E06A2F">
            <w:pPr>
              <w:pStyle w:val="Tabletext"/>
              <w:jc w:val="center"/>
              <w:rPr>
                <w:b/>
                <w:i/>
              </w:rPr>
            </w:pPr>
            <w:r w:rsidRPr="00FF3B1A">
              <w:rPr>
                <w:b/>
                <w:i/>
              </w:rPr>
              <w:t>$</w:t>
            </w:r>
            <w:r w:rsidR="00E85AB0" w:rsidRPr="003429DC">
              <w:rPr>
                <w:b/>
                <w:i/>
              </w:rPr>
              <w:t>redacted</w:t>
            </w:r>
          </w:p>
        </w:tc>
        <w:tc>
          <w:tcPr>
            <w:tcW w:w="1479" w:type="dxa"/>
            <w:tcBorders>
              <w:bottom w:val="single" w:sz="4" w:space="0" w:color="auto"/>
            </w:tcBorders>
            <w:vAlign w:val="bottom"/>
          </w:tcPr>
          <w:p w14:paraId="59287B5D" w14:textId="18230CED" w:rsidR="00E06A2F" w:rsidRPr="00FF3B1A" w:rsidRDefault="00E06A2F" w:rsidP="00E06A2F">
            <w:pPr>
              <w:pStyle w:val="Tabletext"/>
              <w:jc w:val="center"/>
              <w:rPr>
                <w:b/>
                <w:i/>
              </w:rPr>
            </w:pPr>
            <w:r w:rsidRPr="00FF3B1A">
              <w:rPr>
                <w:b/>
                <w:i/>
              </w:rPr>
              <w:t>$</w:t>
            </w:r>
            <w:r w:rsidR="00E85AB0" w:rsidRPr="003429DC">
              <w:rPr>
                <w:b/>
                <w:i/>
              </w:rPr>
              <w:t>redacted</w:t>
            </w:r>
          </w:p>
        </w:tc>
        <w:tc>
          <w:tcPr>
            <w:tcW w:w="1480" w:type="dxa"/>
            <w:tcBorders>
              <w:bottom w:val="single" w:sz="4" w:space="0" w:color="auto"/>
            </w:tcBorders>
            <w:vAlign w:val="bottom"/>
          </w:tcPr>
          <w:p w14:paraId="01117C26" w14:textId="179A38D4" w:rsidR="00E06A2F" w:rsidRPr="00FF3B1A" w:rsidRDefault="00E06A2F" w:rsidP="00E06A2F">
            <w:pPr>
              <w:pStyle w:val="Tabletext"/>
              <w:jc w:val="center"/>
              <w:rPr>
                <w:b/>
                <w:i/>
              </w:rPr>
            </w:pPr>
            <w:r w:rsidRPr="00FF3B1A">
              <w:rPr>
                <w:b/>
                <w:i/>
              </w:rPr>
              <w:t>$</w:t>
            </w:r>
            <w:r w:rsidR="00E85AB0" w:rsidRPr="003429DC">
              <w:rPr>
                <w:b/>
                <w:i/>
              </w:rPr>
              <w:t>redacted</w:t>
            </w:r>
          </w:p>
        </w:tc>
      </w:tr>
      <w:tr w:rsidR="00E06A2F" w14:paraId="13BF32BE" w14:textId="77777777" w:rsidTr="00E06A2F">
        <w:tc>
          <w:tcPr>
            <w:tcW w:w="1620" w:type="dxa"/>
            <w:tcBorders>
              <w:top w:val="single" w:sz="4" w:space="0" w:color="auto"/>
              <w:left w:val="single" w:sz="4" w:space="0" w:color="auto"/>
              <w:bottom w:val="single" w:sz="4" w:space="0" w:color="auto"/>
              <w:right w:val="nil"/>
            </w:tcBorders>
          </w:tcPr>
          <w:p w14:paraId="70E7D35C" w14:textId="77777777" w:rsidR="00E06A2F" w:rsidRPr="00FF3B1A" w:rsidRDefault="00E06A2F" w:rsidP="00E06A2F">
            <w:pPr>
              <w:pStyle w:val="Tabletext"/>
              <w:rPr>
                <w:b/>
                <w:i/>
              </w:rPr>
            </w:pPr>
            <w:r w:rsidRPr="00FF3B1A">
              <w:rPr>
                <w:b/>
                <w:i/>
              </w:rPr>
              <w:t>Commentary values</w:t>
            </w:r>
          </w:p>
        </w:tc>
        <w:tc>
          <w:tcPr>
            <w:tcW w:w="1479" w:type="dxa"/>
            <w:tcBorders>
              <w:top w:val="single" w:sz="4" w:space="0" w:color="auto"/>
              <w:left w:val="nil"/>
              <w:bottom w:val="single" w:sz="4" w:space="0" w:color="auto"/>
              <w:right w:val="nil"/>
            </w:tcBorders>
          </w:tcPr>
          <w:p w14:paraId="08A45BC3" w14:textId="77777777" w:rsidR="00E06A2F" w:rsidRPr="00FF3B1A" w:rsidRDefault="00E06A2F" w:rsidP="00E06A2F">
            <w:pPr>
              <w:pStyle w:val="Tabletext"/>
              <w:rPr>
                <w:b/>
                <w:i/>
              </w:rPr>
            </w:pPr>
            <w:r w:rsidRPr="00FF3B1A">
              <w:rPr>
                <w:b/>
                <w:i/>
              </w:rPr>
              <w:t>-respecified</w:t>
            </w:r>
          </w:p>
        </w:tc>
        <w:tc>
          <w:tcPr>
            <w:tcW w:w="1479" w:type="dxa"/>
            <w:tcBorders>
              <w:top w:val="single" w:sz="4" w:space="0" w:color="auto"/>
              <w:left w:val="nil"/>
              <w:bottom w:val="single" w:sz="4" w:space="0" w:color="auto"/>
              <w:right w:val="nil"/>
            </w:tcBorders>
          </w:tcPr>
          <w:p w14:paraId="2460EFEE" w14:textId="77777777" w:rsidR="00E06A2F" w:rsidRDefault="00E06A2F" w:rsidP="00E06A2F">
            <w:pPr>
              <w:pStyle w:val="Tabletext"/>
              <w:jc w:val="center"/>
            </w:pPr>
          </w:p>
        </w:tc>
        <w:tc>
          <w:tcPr>
            <w:tcW w:w="1479" w:type="dxa"/>
            <w:tcBorders>
              <w:top w:val="single" w:sz="4" w:space="0" w:color="auto"/>
              <w:left w:val="nil"/>
              <w:bottom w:val="single" w:sz="4" w:space="0" w:color="auto"/>
              <w:right w:val="nil"/>
            </w:tcBorders>
          </w:tcPr>
          <w:p w14:paraId="35E137C2" w14:textId="77777777" w:rsidR="00E06A2F" w:rsidRDefault="00E06A2F" w:rsidP="00E06A2F">
            <w:pPr>
              <w:pStyle w:val="Tabletext"/>
              <w:jc w:val="center"/>
            </w:pPr>
          </w:p>
        </w:tc>
        <w:tc>
          <w:tcPr>
            <w:tcW w:w="1479" w:type="dxa"/>
            <w:tcBorders>
              <w:top w:val="single" w:sz="4" w:space="0" w:color="auto"/>
              <w:left w:val="nil"/>
              <w:bottom w:val="single" w:sz="4" w:space="0" w:color="auto"/>
              <w:right w:val="nil"/>
            </w:tcBorders>
          </w:tcPr>
          <w:p w14:paraId="1C24CD18" w14:textId="77777777" w:rsidR="00E06A2F" w:rsidRDefault="00E06A2F" w:rsidP="00E06A2F">
            <w:pPr>
              <w:pStyle w:val="Tabletext"/>
              <w:jc w:val="center"/>
            </w:pPr>
          </w:p>
        </w:tc>
        <w:tc>
          <w:tcPr>
            <w:tcW w:w="1480" w:type="dxa"/>
            <w:tcBorders>
              <w:top w:val="single" w:sz="4" w:space="0" w:color="auto"/>
              <w:left w:val="nil"/>
              <w:bottom w:val="single" w:sz="4" w:space="0" w:color="auto"/>
              <w:right w:val="single" w:sz="4" w:space="0" w:color="auto"/>
            </w:tcBorders>
          </w:tcPr>
          <w:p w14:paraId="4ADCCD5D" w14:textId="77777777" w:rsidR="00E06A2F" w:rsidRDefault="00E06A2F" w:rsidP="00E06A2F">
            <w:pPr>
              <w:pStyle w:val="Tabletext"/>
              <w:jc w:val="center"/>
            </w:pPr>
          </w:p>
        </w:tc>
      </w:tr>
      <w:tr w:rsidR="00E06A2F" w14:paraId="4534D0D5" w14:textId="77777777" w:rsidTr="00E06A2F">
        <w:tc>
          <w:tcPr>
            <w:tcW w:w="1620" w:type="dxa"/>
            <w:tcBorders>
              <w:top w:val="single" w:sz="4" w:space="0" w:color="auto"/>
            </w:tcBorders>
          </w:tcPr>
          <w:p w14:paraId="290A6137" w14:textId="77777777" w:rsidR="00E06A2F" w:rsidRDefault="00E06A2F" w:rsidP="00E06A2F">
            <w:pPr>
              <w:pStyle w:val="Tabletext"/>
            </w:pPr>
            <w:r>
              <w:t>Total cost to MBS</w:t>
            </w:r>
          </w:p>
        </w:tc>
        <w:tc>
          <w:tcPr>
            <w:tcW w:w="1479" w:type="dxa"/>
            <w:tcBorders>
              <w:top w:val="single" w:sz="4" w:space="0" w:color="auto"/>
            </w:tcBorders>
            <w:vAlign w:val="bottom"/>
          </w:tcPr>
          <w:p w14:paraId="0E404BAE" w14:textId="77777777" w:rsidR="00E06A2F" w:rsidRPr="00FF3B1A" w:rsidRDefault="00E06A2F" w:rsidP="00E06A2F">
            <w:pPr>
              <w:pStyle w:val="Tabletext"/>
              <w:jc w:val="center"/>
              <w:rPr>
                <w:i/>
              </w:rPr>
            </w:pPr>
            <w:r w:rsidRPr="00FF3B1A">
              <w:rPr>
                <w:i/>
              </w:rPr>
              <w:t>$2,540</w:t>
            </w:r>
          </w:p>
        </w:tc>
        <w:tc>
          <w:tcPr>
            <w:tcW w:w="1479" w:type="dxa"/>
            <w:tcBorders>
              <w:top w:val="single" w:sz="4" w:space="0" w:color="auto"/>
            </w:tcBorders>
            <w:vAlign w:val="bottom"/>
          </w:tcPr>
          <w:p w14:paraId="53A41DBD" w14:textId="77777777" w:rsidR="00E06A2F" w:rsidRPr="00FF3B1A" w:rsidRDefault="00E06A2F" w:rsidP="00E06A2F">
            <w:pPr>
              <w:pStyle w:val="Tabletext"/>
              <w:jc w:val="center"/>
              <w:rPr>
                <w:i/>
              </w:rPr>
            </w:pPr>
            <w:r w:rsidRPr="00FF3B1A">
              <w:rPr>
                <w:i/>
              </w:rPr>
              <w:t>$5,162</w:t>
            </w:r>
          </w:p>
        </w:tc>
        <w:tc>
          <w:tcPr>
            <w:tcW w:w="1479" w:type="dxa"/>
            <w:tcBorders>
              <w:top w:val="single" w:sz="4" w:space="0" w:color="auto"/>
            </w:tcBorders>
            <w:vAlign w:val="bottom"/>
          </w:tcPr>
          <w:p w14:paraId="5A15B918" w14:textId="77777777" w:rsidR="00E06A2F" w:rsidRPr="00FF3B1A" w:rsidRDefault="00E06A2F" w:rsidP="00E06A2F">
            <w:pPr>
              <w:pStyle w:val="Tabletext"/>
              <w:jc w:val="center"/>
              <w:rPr>
                <w:i/>
              </w:rPr>
            </w:pPr>
            <w:r w:rsidRPr="00FF3B1A">
              <w:rPr>
                <w:i/>
              </w:rPr>
              <w:t>$7,868</w:t>
            </w:r>
          </w:p>
        </w:tc>
        <w:tc>
          <w:tcPr>
            <w:tcW w:w="1479" w:type="dxa"/>
            <w:tcBorders>
              <w:top w:val="single" w:sz="4" w:space="0" w:color="auto"/>
            </w:tcBorders>
            <w:vAlign w:val="bottom"/>
          </w:tcPr>
          <w:p w14:paraId="0E6ABAF8" w14:textId="77777777" w:rsidR="00E06A2F" w:rsidRPr="00FF3B1A" w:rsidRDefault="00E06A2F" w:rsidP="00E06A2F">
            <w:pPr>
              <w:pStyle w:val="Tabletext"/>
              <w:jc w:val="center"/>
              <w:rPr>
                <w:i/>
              </w:rPr>
            </w:pPr>
            <w:r w:rsidRPr="00FF3B1A">
              <w:rPr>
                <w:i/>
              </w:rPr>
              <w:t>$10,655</w:t>
            </w:r>
          </w:p>
        </w:tc>
        <w:tc>
          <w:tcPr>
            <w:tcW w:w="1480" w:type="dxa"/>
            <w:tcBorders>
              <w:top w:val="single" w:sz="4" w:space="0" w:color="auto"/>
            </w:tcBorders>
            <w:vAlign w:val="bottom"/>
          </w:tcPr>
          <w:p w14:paraId="2F936921" w14:textId="77777777" w:rsidR="00E06A2F" w:rsidRPr="00FF3B1A" w:rsidRDefault="00E06A2F" w:rsidP="00E06A2F">
            <w:pPr>
              <w:pStyle w:val="Tabletext"/>
              <w:jc w:val="center"/>
              <w:rPr>
                <w:i/>
              </w:rPr>
            </w:pPr>
            <w:r w:rsidRPr="00FF3B1A">
              <w:rPr>
                <w:i/>
              </w:rPr>
              <w:t>$13,526</w:t>
            </w:r>
          </w:p>
        </w:tc>
      </w:tr>
      <w:tr w:rsidR="00E06A2F" w14:paraId="0873ECA3" w14:textId="77777777" w:rsidTr="00E06A2F">
        <w:tc>
          <w:tcPr>
            <w:tcW w:w="1620" w:type="dxa"/>
          </w:tcPr>
          <w:p w14:paraId="163C5DEA" w14:textId="77777777" w:rsidR="00E06A2F" w:rsidRDefault="00E06A2F" w:rsidP="00E06A2F">
            <w:pPr>
              <w:pStyle w:val="Tabletext"/>
            </w:pPr>
            <w:r>
              <w:t>Total hospital costs</w:t>
            </w:r>
          </w:p>
        </w:tc>
        <w:tc>
          <w:tcPr>
            <w:tcW w:w="1479" w:type="dxa"/>
            <w:vAlign w:val="bottom"/>
          </w:tcPr>
          <w:p w14:paraId="24EB8804" w14:textId="77777777" w:rsidR="00E06A2F" w:rsidRPr="00FF3B1A" w:rsidRDefault="00E06A2F" w:rsidP="00E06A2F">
            <w:pPr>
              <w:pStyle w:val="Tabletext"/>
              <w:jc w:val="center"/>
              <w:rPr>
                <w:i/>
              </w:rPr>
            </w:pPr>
            <w:r w:rsidRPr="00FF3B1A">
              <w:rPr>
                <w:i/>
              </w:rPr>
              <w:t>$20,329</w:t>
            </w:r>
          </w:p>
        </w:tc>
        <w:tc>
          <w:tcPr>
            <w:tcW w:w="1479" w:type="dxa"/>
            <w:vAlign w:val="bottom"/>
          </w:tcPr>
          <w:p w14:paraId="7ACDC928" w14:textId="77777777" w:rsidR="00E06A2F" w:rsidRPr="00FF3B1A" w:rsidRDefault="00E06A2F" w:rsidP="00E06A2F">
            <w:pPr>
              <w:pStyle w:val="Tabletext"/>
              <w:jc w:val="center"/>
              <w:rPr>
                <w:i/>
              </w:rPr>
            </w:pPr>
            <w:r w:rsidRPr="00FF3B1A">
              <w:rPr>
                <w:i/>
              </w:rPr>
              <w:t>$41,323</w:t>
            </w:r>
          </w:p>
        </w:tc>
        <w:tc>
          <w:tcPr>
            <w:tcW w:w="1479" w:type="dxa"/>
            <w:vAlign w:val="bottom"/>
          </w:tcPr>
          <w:p w14:paraId="43AAFD37" w14:textId="77777777" w:rsidR="00E06A2F" w:rsidRPr="00FF3B1A" w:rsidRDefault="00E06A2F" w:rsidP="00E06A2F">
            <w:pPr>
              <w:pStyle w:val="Tabletext"/>
              <w:jc w:val="center"/>
              <w:rPr>
                <w:i/>
              </w:rPr>
            </w:pPr>
            <w:r w:rsidRPr="00FF3B1A">
              <w:rPr>
                <w:i/>
              </w:rPr>
              <w:t>$62,980</w:t>
            </w:r>
          </w:p>
        </w:tc>
        <w:tc>
          <w:tcPr>
            <w:tcW w:w="1479" w:type="dxa"/>
            <w:vAlign w:val="bottom"/>
          </w:tcPr>
          <w:p w14:paraId="11C10039" w14:textId="77777777" w:rsidR="00E06A2F" w:rsidRPr="00FF3B1A" w:rsidRDefault="00E06A2F" w:rsidP="00E06A2F">
            <w:pPr>
              <w:pStyle w:val="Tabletext"/>
              <w:jc w:val="center"/>
              <w:rPr>
                <w:i/>
              </w:rPr>
            </w:pPr>
            <w:r w:rsidRPr="00FF3B1A">
              <w:rPr>
                <w:i/>
              </w:rPr>
              <w:t>$85,286</w:t>
            </w:r>
          </w:p>
        </w:tc>
        <w:tc>
          <w:tcPr>
            <w:tcW w:w="1480" w:type="dxa"/>
            <w:vAlign w:val="bottom"/>
          </w:tcPr>
          <w:p w14:paraId="34324AFF" w14:textId="77777777" w:rsidR="00E06A2F" w:rsidRPr="00FF3B1A" w:rsidRDefault="00E06A2F" w:rsidP="00E06A2F">
            <w:pPr>
              <w:pStyle w:val="Tabletext"/>
              <w:jc w:val="center"/>
              <w:rPr>
                <w:i/>
              </w:rPr>
            </w:pPr>
            <w:r w:rsidRPr="00FF3B1A">
              <w:rPr>
                <w:i/>
              </w:rPr>
              <w:t>$108,273</w:t>
            </w:r>
          </w:p>
        </w:tc>
      </w:tr>
      <w:tr w:rsidR="00E06A2F" w14:paraId="3B80076A" w14:textId="77777777" w:rsidTr="00E06A2F">
        <w:tc>
          <w:tcPr>
            <w:tcW w:w="1620" w:type="dxa"/>
          </w:tcPr>
          <w:p w14:paraId="6249CE14" w14:textId="77777777" w:rsidR="00E06A2F" w:rsidRDefault="00E06A2F" w:rsidP="00E06A2F">
            <w:pPr>
              <w:pStyle w:val="Tabletext"/>
            </w:pPr>
            <w:r>
              <w:t>Total PHI costs</w:t>
            </w:r>
          </w:p>
        </w:tc>
        <w:tc>
          <w:tcPr>
            <w:tcW w:w="1479" w:type="dxa"/>
            <w:vAlign w:val="bottom"/>
          </w:tcPr>
          <w:p w14:paraId="4473BD31" w14:textId="25BB3CCE" w:rsidR="00E06A2F" w:rsidRPr="00FF3B1A" w:rsidRDefault="00E06A2F" w:rsidP="00E06A2F">
            <w:pPr>
              <w:pStyle w:val="Tabletext"/>
              <w:jc w:val="center"/>
              <w:rPr>
                <w:i/>
              </w:rPr>
            </w:pPr>
            <w:r w:rsidRPr="00FF3B1A">
              <w:rPr>
                <w:i/>
              </w:rPr>
              <w:t>$</w:t>
            </w:r>
            <w:r w:rsidR="00E85AB0">
              <w:rPr>
                <w:i/>
              </w:rPr>
              <w:t>redacted</w:t>
            </w:r>
          </w:p>
        </w:tc>
        <w:tc>
          <w:tcPr>
            <w:tcW w:w="1479" w:type="dxa"/>
            <w:vAlign w:val="bottom"/>
          </w:tcPr>
          <w:p w14:paraId="272DD82B" w14:textId="65E277C6" w:rsidR="00E06A2F" w:rsidRPr="00FF3B1A" w:rsidRDefault="00E06A2F" w:rsidP="00E06A2F">
            <w:pPr>
              <w:pStyle w:val="Tabletext"/>
              <w:jc w:val="center"/>
              <w:rPr>
                <w:i/>
              </w:rPr>
            </w:pPr>
            <w:r w:rsidRPr="00FF3B1A">
              <w:rPr>
                <w:i/>
              </w:rPr>
              <w:t>$</w:t>
            </w:r>
            <w:r w:rsidR="00E85AB0">
              <w:rPr>
                <w:i/>
              </w:rPr>
              <w:t>redacted</w:t>
            </w:r>
          </w:p>
        </w:tc>
        <w:tc>
          <w:tcPr>
            <w:tcW w:w="1479" w:type="dxa"/>
            <w:vAlign w:val="bottom"/>
          </w:tcPr>
          <w:p w14:paraId="24CABB85" w14:textId="0517A3E0" w:rsidR="00E06A2F" w:rsidRPr="00FF3B1A" w:rsidRDefault="00E06A2F" w:rsidP="00E06A2F">
            <w:pPr>
              <w:pStyle w:val="Tabletext"/>
              <w:jc w:val="center"/>
              <w:rPr>
                <w:i/>
              </w:rPr>
            </w:pPr>
            <w:r w:rsidRPr="00FF3B1A">
              <w:rPr>
                <w:i/>
              </w:rPr>
              <w:t>$</w:t>
            </w:r>
            <w:r w:rsidR="00E85AB0">
              <w:rPr>
                <w:i/>
              </w:rPr>
              <w:t>redacted</w:t>
            </w:r>
          </w:p>
        </w:tc>
        <w:tc>
          <w:tcPr>
            <w:tcW w:w="1479" w:type="dxa"/>
            <w:vAlign w:val="bottom"/>
          </w:tcPr>
          <w:p w14:paraId="1088A540" w14:textId="783C553F" w:rsidR="00E06A2F" w:rsidRPr="00FF3B1A" w:rsidRDefault="00E06A2F" w:rsidP="00E06A2F">
            <w:pPr>
              <w:pStyle w:val="Tabletext"/>
              <w:jc w:val="center"/>
              <w:rPr>
                <w:i/>
              </w:rPr>
            </w:pPr>
            <w:r w:rsidRPr="00FF3B1A">
              <w:rPr>
                <w:i/>
              </w:rPr>
              <w:t>$</w:t>
            </w:r>
            <w:r w:rsidR="00E85AB0">
              <w:rPr>
                <w:i/>
              </w:rPr>
              <w:t>redacted</w:t>
            </w:r>
          </w:p>
        </w:tc>
        <w:tc>
          <w:tcPr>
            <w:tcW w:w="1480" w:type="dxa"/>
            <w:vAlign w:val="bottom"/>
          </w:tcPr>
          <w:p w14:paraId="65384A1C" w14:textId="08C24DD1" w:rsidR="00E06A2F" w:rsidRPr="00FF3B1A" w:rsidRDefault="00E06A2F" w:rsidP="00E06A2F">
            <w:pPr>
              <w:pStyle w:val="Tabletext"/>
              <w:jc w:val="center"/>
              <w:rPr>
                <w:i/>
              </w:rPr>
            </w:pPr>
            <w:r w:rsidRPr="00FF3B1A">
              <w:rPr>
                <w:i/>
              </w:rPr>
              <w:t>$</w:t>
            </w:r>
            <w:r w:rsidR="00E85AB0">
              <w:rPr>
                <w:i/>
              </w:rPr>
              <w:t>redacted</w:t>
            </w:r>
          </w:p>
        </w:tc>
      </w:tr>
      <w:tr w:rsidR="00E06A2F" w14:paraId="18267D75" w14:textId="77777777" w:rsidTr="00E06A2F">
        <w:tc>
          <w:tcPr>
            <w:tcW w:w="1620" w:type="dxa"/>
          </w:tcPr>
          <w:p w14:paraId="39A92EEC" w14:textId="77777777" w:rsidR="00E06A2F" w:rsidRPr="00FF3B1A" w:rsidRDefault="00E06A2F" w:rsidP="00E06A2F">
            <w:pPr>
              <w:pStyle w:val="Tabletext"/>
              <w:rPr>
                <w:b/>
              </w:rPr>
            </w:pPr>
            <w:r w:rsidRPr="00FF3B1A">
              <w:rPr>
                <w:b/>
              </w:rPr>
              <w:t>Total overall costs</w:t>
            </w:r>
          </w:p>
        </w:tc>
        <w:tc>
          <w:tcPr>
            <w:tcW w:w="1479" w:type="dxa"/>
            <w:vAlign w:val="bottom"/>
          </w:tcPr>
          <w:p w14:paraId="2A79DD2A" w14:textId="28444E67" w:rsidR="00E06A2F" w:rsidRPr="00FF3B1A" w:rsidRDefault="00E06A2F" w:rsidP="00E06A2F">
            <w:pPr>
              <w:pStyle w:val="Tabletext"/>
              <w:jc w:val="center"/>
              <w:rPr>
                <w:b/>
                <w:i/>
              </w:rPr>
            </w:pPr>
            <w:r w:rsidRPr="00FF3B1A">
              <w:rPr>
                <w:b/>
                <w:i/>
              </w:rPr>
              <w:t>$</w:t>
            </w:r>
            <w:r w:rsidR="00E85AB0" w:rsidRPr="003429DC">
              <w:rPr>
                <w:b/>
                <w:i/>
              </w:rPr>
              <w:t>redacted</w:t>
            </w:r>
          </w:p>
        </w:tc>
        <w:tc>
          <w:tcPr>
            <w:tcW w:w="1479" w:type="dxa"/>
            <w:vAlign w:val="bottom"/>
          </w:tcPr>
          <w:p w14:paraId="20266E66" w14:textId="1654ECA2" w:rsidR="00E06A2F" w:rsidRPr="00FF3B1A" w:rsidRDefault="00E06A2F" w:rsidP="00E06A2F">
            <w:pPr>
              <w:pStyle w:val="Tabletext"/>
              <w:jc w:val="center"/>
              <w:rPr>
                <w:b/>
                <w:i/>
              </w:rPr>
            </w:pPr>
            <w:r w:rsidRPr="00FF3B1A">
              <w:rPr>
                <w:b/>
                <w:i/>
              </w:rPr>
              <w:t>$</w:t>
            </w:r>
            <w:r w:rsidR="00E85AB0" w:rsidRPr="003429DC">
              <w:rPr>
                <w:b/>
                <w:i/>
              </w:rPr>
              <w:t>redacted</w:t>
            </w:r>
          </w:p>
        </w:tc>
        <w:tc>
          <w:tcPr>
            <w:tcW w:w="1479" w:type="dxa"/>
            <w:vAlign w:val="bottom"/>
          </w:tcPr>
          <w:p w14:paraId="7D66063C" w14:textId="7148C5FD" w:rsidR="00E06A2F" w:rsidRPr="00FF3B1A" w:rsidRDefault="00E06A2F" w:rsidP="00E06A2F">
            <w:pPr>
              <w:pStyle w:val="Tabletext"/>
              <w:jc w:val="center"/>
              <w:rPr>
                <w:b/>
                <w:i/>
              </w:rPr>
            </w:pPr>
            <w:r w:rsidRPr="00FF3B1A">
              <w:rPr>
                <w:b/>
                <w:i/>
              </w:rPr>
              <w:t>$</w:t>
            </w:r>
            <w:r w:rsidR="00E85AB0" w:rsidRPr="003429DC">
              <w:rPr>
                <w:b/>
                <w:i/>
              </w:rPr>
              <w:t>redacted</w:t>
            </w:r>
          </w:p>
        </w:tc>
        <w:tc>
          <w:tcPr>
            <w:tcW w:w="1479" w:type="dxa"/>
            <w:vAlign w:val="bottom"/>
          </w:tcPr>
          <w:p w14:paraId="4E0A1B11" w14:textId="1724A3FF" w:rsidR="00E06A2F" w:rsidRPr="00FF3B1A" w:rsidRDefault="00E06A2F" w:rsidP="00E06A2F">
            <w:pPr>
              <w:pStyle w:val="Tabletext"/>
              <w:jc w:val="center"/>
              <w:rPr>
                <w:b/>
                <w:i/>
              </w:rPr>
            </w:pPr>
            <w:r w:rsidRPr="00FF3B1A">
              <w:rPr>
                <w:b/>
                <w:i/>
              </w:rPr>
              <w:t>$</w:t>
            </w:r>
            <w:r w:rsidR="00E85AB0" w:rsidRPr="003429DC">
              <w:rPr>
                <w:b/>
                <w:i/>
              </w:rPr>
              <w:t>redacted</w:t>
            </w:r>
          </w:p>
        </w:tc>
        <w:tc>
          <w:tcPr>
            <w:tcW w:w="1480" w:type="dxa"/>
            <w:vAlign w:val="bottom"/>
          </w:tcPr>
          <w:p w14:paraId="74BD2AF9" w14:textId="593D57D9" w:rsidR="00E06A2F" w:rsidRPr="00FF3B1A" w:rsidRDefault="00E06A2F" w:rsidP="00E06A2F">
            <w:pPr>
              <w:pStyle w:val="Tabletext"/>
              <w:jc w:val="center"/>
              <w:rPr>
                <w:b/>
                <w:i/>
              </w:rPr>
            </w:pPr>
            <w:r w:rsidRPr="00FF3B1A">
              <w:rPr>
                <w:b/>
                <w:i/>
              </w:rPr>
              <w:t>$</w:t>
            </w:r>
            <w:r w:rsidR="00E85AB0" w:rsidRPr="003429DC">
              <w:rPr>
                <w:b/>
                <w:i/>
              </w:rPr>
              <w:t>redacted</w:t>
            </w:r>
          </w:p>
        </w:tc>
      </w:tr>
    </w:tbl>
    <w:p w14:paraId="17A7B3AB" w14:textId="77777777" w:rsidR="00E06A2F" w:rsidRDefault="00E06A2F" w:rsidP="00E06A2F">
      <w:pPr>
        <w:pStyle w:val="Tablenotes"/>
      </w:pPr>
      <w:r>
        <w:t xml:space="preserve">Source: </w:t>
      </w:r>
      <w:r w:rsidRPr="00D51E93">
        <w:t xml:space="preserve">Compiled </w:t>
      </w:r>
      <w:r>
        <w:t>post</w:t>
      </w:r>
      <w:r w:rsidRPr="00D51E93">
        <w:t xml:space="preserve"> ESC by Department from Commentary Respecified spreadsheet</w:t>
      </w:r>
    </w:p>
    <w:p w14:paraId="65119EA6" w14:textId="407C2313" w:rsidR="002808C4" w:rsidRPr="00885C08" w:rsidRDefault="00E06A2F" w:rsidP="00885C08">
      <w:pPr>
        <w:pStyle w:val="Tablenotes"/>
      </w:pPr>
      <w:r w:rsidRPr="009C613E">
        <w:t>Italicised represents correcte</w:t>
      </w:r>
      <w:r w:rsidR="00915DDA">
        <w:t>d values Post-ESC by Department</w:t>
      </w:r>
      <w:r w:rsidR="002808C4">
        <w:br w:type="page"/>
      </w:r>
    </w:p>
    <w:p w14:paraId="19707785" w14:textId="77777777" w:rsidR="006A0D97" w:rsidRPr="00F715D1" w:rsidRDefault="006A0D97" w:rsidP="00F715D1">
      <w:pPr>
        <w:pStyle w:val="Heading1"/>
      </w:pPr>
      <w:r w:rsidRPr="00F715D1">
        <w:lastRenderedPageBreak/>
        <w:t>Key issues from ESC for MSAC</w:t>
      </w:r>
    </w:p>
    <w:tbl>
      <w:tblPr>
        <w:tblStyle w:val="TableGrid1"/>
        <w:tblW w:w="0" w:type="auto"/>
        <w:tblLook w:val="04A0" w:firstRow="1" w:lastRow="0" w:firstColumn="1" w:lastColumn="0" w:noHBand="0" w:noVBand="1"/>
        <w:tblDescription w:val="Key issues identified by ESC for MSAC consideration"/>
      </w:tblPr>
      <w:tblGrid>
        <w:gridCol w:w="1980"/>
        <w:gridCol w:w="7036"/>
      </w:tblGrid>
      <w:tr w:rsidR="00447BAB" w:rsidRPr="00885C08" w14:paraId="2C9D3F0A" w14:textId="77777777" w:rsidTr="00F07327">
        <w:trPr>
          <w:tblHeader/>
        </w:trPr>
        <w:tc>
          <w:tcPr>
            <w:tcW w:w="1980" w:type="dxa"/>
          </w:tcPr>
          <w:p w14:paraId="0AA5F440" w14:textId="77777777" w:rsidR="00447BAB" w:rsidRPr="00885C08" w:rsidRDefault="00447BAB" w:rsidP="00F07327">
            <w:pPr>
              <w:widowControl w:val="0"/>
              <w:spacing w:before="60" w:after="60"/>
              <w:rPr>
                <w:rFonts w:ascii="Arial Narrow" w:hAnsi="Arial Narrow"/>
                <w:b/>
                <w:bCs/>
                <w:color w:val="000000"/>
                <w:sz w:val="20"/>
              </w:rPr>
            </w:pPr>
            <w:r w:rsidRPr="00885C08">
              <w:rPr>
                <w:rFonts w:ascii="Arial Narrow" w:hAnsi="Arial Narrow"/>
                <w:b/>
                <w:bCs/>
                <w:color w:val="000000"/>
                <w:sz w:val="20"/>
              </w:rPr>
              <w:t>ESC key issue</w:t>
            </w:r>
          </w:p>
        </w:tc>
        <w:tc>
          <w:tcPr>
            <w:tcW w:w="7036" w:type="dxa"/>
          </w:tcPr>
          <w:p w14:paraId="1B97E0F1" w14:textId="77777777" w:rsidR="00447BAB" w:rsidRPr="00885C08" w:rsidRDefault="00447BAB" w:rsidP="00F07327">
            <w:pPr>
              <w:widowControl w:val="0"/>
              <w:spacing w:before="60" w:after="60"/>
              <w:rPr>
                <w:rFonts w:ascii="Arial Narrow" w:hAnsi="Arial Narrow"/>
                <w:b/>
                <w:bCs/>
                <w:color w:val="000000"/>
                <w:sz w:val="20"/>
              </w:rPr>
            </w:pPr>
            <w:r w:rsidRPr="00885C08">
              <w:rPr>
                <w:rFonts w:ascii="Arial Narrow" w:hAnsi="Arial Narrow"/>
                <w:b/>
                <w:bCs/>
                <w:color w:val="000000"/>
                <w:sz w:val="20"/>
              </w:rPr>
              <w:t>ESC advice to MSAC</w:t>
            </w:r>
          </w:p>
        </w:tc>
      </w:tr>
      <w:tr w:rsidR="00447BAB" w:rsidRPr="00885C08" w14:paraId="29103EA8" w14:textId="77777777" w:rsidTr="00F07327">
        <w:tc>
          <w:tcPr>
            <w:tcW w:w="1980" w:type="dxa"/>
          </w:tcPr>
          <w:p w14:paraId="27883308"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Primary outcome in the ADAR was imaging outcomes</w:t>
            </w:r>
          </w:p>
        </w:tc>
        <w:tc>
          <w:tcPr>
            <w:tcW w:w="7036" w:type="dxa"/>
          </w:tcPr>
          <w:p w14:paraId="2F1A8FED"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 xml:space="preserve">The most appropriate primary outcome is function (and pain) improvement. There was no statistically significant differences in these patient-relevant outcomes. The clinical claim of superior effectiveness </w:t>
            </w:r>
            <w:proofErr w:type="gramStart"/>
            <w:r w:rsidRPr="00885C08">
              <w:rPr>
                <w:rFonts w:ascii="Arial Narrow" w:hAnsi="Arial Narrow"/>
                <w:color w:val="000000"/>
                <w:sz w:val="20"/>
              </w:rPr>
              <w:t>was only supported</w:t>
            </w:r>
            <w:proofErr w:type="gramEnd"/>
            <w:r w:rsidRPr="00885C08">
              <w:rPr>
                <w:rFonts w:ascii="Arial Narrow" w:hAnsi="Arial Narrow"/>
                <w:color w:val="000000"/>
                <w:sz w:val="20"/>
              </w:rPr>
              <w:t xml:space="preserve"> for imaging outcomes. </w:t>
            </w:r>
          </w:p>
        </w:tc>
      </w:tr>
      <w:tr w:rsidR="00447BAB" w:rsidRPr="00885C08" w14:paraId="33CDDEE3" w14:textId="77777777" w:rsidTr="00F07327">
        <w:tc>
          <w:tcPr>
            <w:tcW w:w="1980" w:type="dxa"/>
          </w:tcPr>
          <w:p w14:paraId="6F40786A"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Very low-quality evidence for REGENETEN</w:t>
            </w:r>
          </w:p>
        </w:tc>
        <w:tc>
          <w:tcPr>
            <w:tcW w:w="7036" w:type="dxa"/>
          </w:tcPr>
          <w:p w14:paraId="17585BFE"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 xml:space="preserve">Only 5 case series studies, limited to 2 Australian studies with n&lt;30 and two international studies n&gt;30 (PTRCT n =136; FTRCT n=115). The low quality evidence base is prone to multiple sources of bias; thus, there is low confidence in the estimate of effect. </w:t>
            </w:r>
          </w:p>
        </w:tc>
      </w:tr>
      <w:tr w:rsidR="00447BAB" w:rsidRPr="00885C08" w14:paraId="70631A45" w14:textId="77777777" w:rsidTr="00F07327">
        <w:tc>
          <w:tcPr>
            <w:tcW w:w="1980" w:type="dxa"/>
          </w:tcPr>
          <w:p w14:paraId="7BEC8C78"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i/>
                <w:color w:val="000000"/>
                <w:sz w:val="20"/>
              </w:rPr>
              <w:t>Naïve</w:t>
            </w:r>
            <w:r w:rsidRPr="00885C08">
              <w:rPr>
                <w:rFonts w:ascii="Arial Narrow" w:hAnsi="Arial Narrow"/>
                <w:color w:val="000000"/>
                <w:sz w:val="20"/>
              </w:rPr>
              <w:t xml:space="preserve"> indirect comparison</w:t>
            </w:r>
          </w:p>
        </w:tc>
        <w:tc>
          <w:tcPr>
            <w:tcW w:w="7036" w:type="dxa"/>
          </w:tcPr>
          <w:p w14:paraId="3CD5C7E9"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 xml:space="preserve">No randomised controlled trial, nor head-to-head data, the ADAR relied on </w:t>
            </w:r>
            <w:r w:rsidRPr="00885C08">
              <w:rPr>
                <w:rFonts w:ascii="Arial Narrow" w:hAnsi="Arial Narrow"/>
                <w:i/>
                <w:color w:val="000000"/>
                <w:sz w:val="20"/>
              </w:rPr>
              <w:t>naïve</w:t>
            </w:r>
            <w:r w:rsidRPr="00885C08">
              <w:rPr>
                <w:rFonts w:ascii="Arial Narrow" w:hAnsi="Arial Narrow"/>
                <w:color w:val="000000"/>
                <w:sz w:val="20"/>
              </w:rPr>
              <w:t xml:space="preserve"> indirect comparisons. In addition, the meta-analyses had high heterogeneity, making interpretation challenging. This had flow on effects to the economic model and financial estimates.</w:t>
            </w:r>
          </w:p>
        </w:tc>
      </w:tr>
      <w:tr w:rsidR="00447BAB" w:rsidRPr="00885C08" w14:paraId="5A5C45F6" w14:textId="77777777" w:rsidTr="00F07327">
        <w:tc>
          <w:tcPr>
            <w:tcW w:w="1980" w:type="dxa"/>
          </w:tcPr>
          <w:p w14:paraId="24F3C719"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MBS items do not restrict access</w:t>
            </w:r>
          </w:p>
        </w:tc>
        <w:tc>
          <w:tcPr>
            <w:tcW w:w="7036" w:type="dxa"/>
          </w:tcPr>
          <w:p w14:paraId="3729D1A4"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 xml:space="preserve">The ADAR </w:t>
            </w:r>
            <w:proofErr w:type="gramStart"/>
            <w:r w:rsidRPr="00885C08">
              <w:rPr>
                <w:rFonts w:ascii="Arial Narrow" w:hAnsi="Arial Narrow"/>
                <w:color w:val="000000"/>
                <w:sz w:val="20"/>
              </w:rPr>
              <w:t>was based</w:t>
            </w:r>
            <w:proofErr w:type="gramEnd"/>
            <w:r w:rsidRPr="00885C08">
              <w:rPr>
                <w:rFonts w:ascii="Arial Narrow" w:hAnsi="Arial Narrow"/>
                <w:color w:val="000000"/>
                <w:sz w:val="20"/>
              </w:rPr>
              <w:t xml:space="preserve"> on a once-only graft, but its use is not restricted in any form on the MBS. Hence, leakage could be an issue, or it </w:t>
            </w:r>
            <w:proofErr w:type="gramStart"/>
            <w:r w:rsidRPr="00885C08">
              <w:rPr>
                <w:rFonts w:ascii="Arial Narrow" w:hAnsi="Arial Narrow"/>
                <w:color w:val="000000"/>
                <w:sz w:val="20"/>
              </w:rPr>
              <w:t>could be used</w:t>
            </w:r>
            <w:proofErr w:type="gramEnd"/>
            <w:r w:rsidRPr="00885C08">
              <w:rPr>
                <w:rFonts w:ascii="Arial Narrow" w:hAnsi="Arial Narrow"/>
                <w:color w:val="000000"/>
                <w:sz w:val="20"/>
              </w:rPr>
              <w:t xml:space="preserve"> multiple times (although there is no evidence for this). Private insurers may want to stipulate limits on use (e.g. once per lifetime).</w:t>
            </w:r>
          </w:p>
        </w:tc>
      </w:tr>
      <w:tr w:rsidR="00447BAB" w:rsidRPr="00885C08" w14:paraId="137F8562" w14:textId="77777777" w:rsidTr="00F07327">
        <w:tc>
          <w:tcPr>
            <w:tcW w:w="1980" w:type="dxa"/>
          </w:tcPr>
          <w:p w14:paraId="20F4CFDA"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Uncertainties that significantly impact the economic model</w:t>
            </w:r>
          </w:p>
        </w:tc>
        <w:tc>
          <w:tcPr>
            <w:tcW w:w="7036" w:type="dxa"/>
          </w:tcPr>
          <w:p w14:paraId="6AD69DBB"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Highly uncertain and low-quality evidence base used to inform the model inputs. Other uncertainties included:</w:t>
            </w:r>
          </w:p>
          <w:p w14:paraId="466E1056" w14:textId="77777777" w:rsidR="00447BAB" w:rsidRPr="00885C08" w:rsidRDefault="00447BAB" w:rsidP="00447BAB">
            <w:pPr>
              <w:pStyle w:val="ListParagraph"/>
              <w:widowControl w:val="0"/>
              <w:numPr>
                <w:ilvl w:val="0"/>
                <w:numId w:val="26"/>
              </w:numPr>
              <w:spacing w:before="60" w:after="60"/>
              <w:ind w:left="113" w:hanging="113"/>
              <w:rPr>
                <w:rFonts w:ascii="Arial Narrow" w:hAnsi="Arial Narrow"/>
                <w:color w:val="000000"/>
                <w:sz w:val="20"/>
              </w:rPr>
            </w:pPr>
            <w:r w:rsidRPr="00885C08">
              <w:rPr>
                <w:rFonts w:ascii="Arial Narrow" w:hAnsi="Arial Narrow"/>
                <w:color w:val="000000"/>
                <w:sz w:val="20"/>
              </w:rPr>
              <w:t xml:space="preserve">Structural issues/assumptions related to use of imaging outcomes, physiotherapy visits and utilities favour REGENETEN. The modelled QALY benefit in both subpopulations </w:t>
            </w:r>
            <w:proofErr w:type="gramStart"/>
            <w:r w:rsidRPr="00885C08">
              <w:rPr>
                <w:rFonts w:ascii="Arial Narrow" w:hAnsi="Arial Narrow"/>
                <w:color w:val="000000"/>
                <w:sz w:val="20"/>
              </w:rPr>
              <w:t>was not validated</w:t>
            </w:r>
            <w:proofErr w:type="gramEnd"/>
            <w:r w:rsidRPr="00885C08">
              <w:rPr>
                <w:rFonts w:ascii="Arial Narrow" w:hAnsi="Arial Narrow"/>
                <w:color w:val="000000"/>
                <w:sz w:val="20"/>
              </w:rPr>
              <w:t xml:space="preserve"> in the ADARs evidence for clinical outcomes.</w:t>
            </w:r>
          </w:p>
          <w:p w14:paraId="07758165" w14:textId="77777777" w:rsidR="00447BAB" w:rsidRPr="00885C08" w:rsidRDefault="00447BAB" w:rsidP="00447BAB">
            <w:pPr>
              <w:pStyle w:val="ListParagraph"/>
              <w:widowControl w:val="0"/>
              <w:numPr>
                <w:ilvl w:val="0"/>
                <w:numId w:val="26"/>
              </w:numPr>
              <w:spacing w:before="60" w:after="60"/>
              <w:ind w:left="113" w:hanging="113"/>
              <w:rPr>
                <w:rFonts w:ascii="Arial Narrow" w:hAnsi="Arial Narrow"/>
                <w:color w:val="000000"/>
                <w:sz w:val="20"/>
              </w:rPr>
            </w:pPr>
            <w:r w:rsidRPr="00885C08">
              <w:rPr>
                <w:rFonts w:ascii="Arial Narrow" w:hAnsi="Arial Narrow"/>
                <w:color w:val="000000"/>
                <w:sz w:val="20"/>
              </w:rPr>
              <w:t xml:space="preserve">Although the ADAR provided a more applicable estimate for prevalence of PTRCT/FTRCT (39/61%, respectively) in the pre-ESC response, this estimate was markedly different to the original estimate (71/29%, respectively); more evidence is required for this estimate, which </w:t>
            </w:r>
            <w:proofErr w:type="gramStart"/>
            <w:r w:rsidRPr="00885C08">
              <w:rPr>
                <w:rFonts w:ascii="Arial Narrow" w:hAnsi="Arial Narrow"/>
                <w:color w:val="000000"/>
                <w:sz w:val="20"/>
              </w:rPr>
              <w:t>impacts</w:t>
            </w:r>
            <w:proofErr w:type="gramEnd"/>
            <w:r w:rsidRPr="00885C08">
              <w:rPr>
                <w:rFonts w:ascii="Arial Narrow" w:hAnsi="Arial Narrow"/>
                <w:color w:val="000000"/>
                <w:sz w:val="20"/>
              </w:rPr>
              <w:t xml:space="preserve"> the derivation of the economics (and financials).</w:t>
            </w:r>
          </w:p>
          <w:p w14:paraId="730B4C6A" w14:textId="2632178E" w:rsidR="00447BAB" w:rsidRPr="00885C08" w:rsidRDefault="00447BAB" w:rsidP="00885C08">
            <w:pPr>
              <w:pStyle w:val="ListParagraph"/>
              <w:widowControl w:val="0"/>
              <w:numPr>
                <w:ilvl w:val="0"/>
                <w:numId w:val="26"/>
              </w:numPr>
              <w:spacing w:before="60" w:after="60"/>
              <w:ind w:left="113" w:hanging="113"/>
              <w:rPr>
                <w:rFonts w:ascii="Arial Narrow" w:hAnsi="Arial Narrow"/>
                <w:color w:val="000000"/>
                <w:sz w:val="20"/>
              </w:rPr>
            </w:pPr>
            <w:r w:rsidRPr="00885C08">
              <w:rPr>
                <w:rFonts w:ascii="Arial Narrow" w:hAnsi="Arial Narrow"/>
                <w:color w:val="000000"/>
                <w:sz w:val="20"/>
              </w:rPr>
              <w:t>The applicant’s inclusion of the societal perspective (which was based on expert opinion), did not add much to decision making for MSAC.</w:t>
            </w:r>
          </w:p>
        </w:tc>
      </w:tr>
      <w:tr w:rsidR="00447BAB" w:rsidRPr="00885C08" w14:paraId="7032C733" w14:textId="77777777" w:rsidTr="00F07327">
        <w:tc>
          <w:tcPr>
            <w:tcW w:w="1980" w:type="dxa"/>
          </w:tcPr>
          <w:p w14:paraId="1E2CB248"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Financial analysis</w:t>
            </w:r>
          </w:p>
        </w:tc>
        <w:tc>
          <w:tcPr>
            <w:tcW w:w="7036" w:type="dxa"/>
          </w:tcPr>
          <w:p w14:paraId="33C0380B"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 xml:space="preserve">Uncertain, due to the flow of effects from clinical evidence and economic analyses, noting the </w:t>
            </w:r>
            <w:proofErr w:type="gramStart"/>
            <w:r w:rsidRPr="00885C08">
              <w:rPr>
                <w:rFonts w:ascii="Arial Narrow" w:hAnsi="Arial Narrow"/>
                <w:color w:val="000000"/>
                <w:sz w:val="20"/>
              </w:rPr>
              <w:t>Commentary’s</w:t>
            </w:r>
            <w:proofErr w:type="gramEnd"/>
            <w:r w:rsidRPr="00885C08">
              <w:rPr>
                <w:rFonts w:ascii="Arial Narrow" w:hAnsi="Arial Narrow"/>
                <w:color w:val="000000"/>
                <w:sz w:val="20"/>
              </w:rPr>
              <w:t xml:space="preserve"> respecified base case was 20% higher than ADARs. ESC considered disaggregating the financial analysis for both subpopulations would be informative, given the differences in clinical and economic outcomes.</w:t>
            </w:r>
          </w:p>
        </w:tc>
      </w:tr>
      <w:tr w:rsidR="00447BAB" w:rsidRPr="00885C08" w14:paraId="50FF15C4" w14:textId="77777777" w:rsidTr="00F07327">
        <w:tc>
          <w:tcPr>
            <w:tcW w:w="1980" w:type="dxa"/>
          </w:tcPr>
          <w:p w14:paraId="6710DB1F"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 xml:space="preserve">Upcoming cohort study in PTRCT high-grade (&gt;50%)  </w:t>
            </w:r>
            <w:r w:rsidRPr="00885C08">
              <w:rPr>
                <w:rFonts w:ascii="Arial Narrow" w:hAnsi="Arial Narrow"/>
                <w:i/>
                <w:color w:val="000000"/>
                <w:sz w:val="20"/>
              </w:rPr>
              <w:t>vs</w:t>
            </w:r>
            <w:r w:rsidRPr="00885C08">
              <w:rPr>
                <w:rFonts w:ascii="Arial Narrow" w:hAnsi="Arial Narrow"/>
                <w:color w:val="000000"/>
                <w:sz w:val="20"/>
              </w:rPr>
              <w:t>. standard surgery</w:t>
            </w:r>
          </w:p>
        </w:tc>
        <w:tc>
          <w:tcPr>
            <w:tcW w:w="7036" w:type="dxa"/>
          </w:tcPr>
          <w:p w14:paraId="0CB32E2C" w14:textId="77777777" w:rsidR="00447BAB" w:rsidRPr="00885C08" w:rsidRDefault="00447BAB" w:rsidP="00F07327">
            <w:pPr>
              <w:widowControl w:val="0"/>
              <w:spacing w:before="60" w:after="60"/>
              <w:rPr>
                <w:rFonts w:ascii="Arial Narrow" w:hAnsi="Arial Narrow"/>
                <w:color w:val="000000"/>
                <w:sz w:val="20"/>
              </w:rPr>
            </w:pPr>
            <w:r w:rsidRPr="00885C08">
              <w:rPr>
                <w:rFonts w:ascii="Arial Narrow" w:hAnsi="Arial Narrow"/>
                <w:color w:val="000000"/>
                <w:sz w:val="20"/>
              </w:rPr>
              <w:t xml:space="preserve">Prospective, REGENETEN study (REGEN PUB 2018; NCT03734536) is due for completion in 2022, but applicant informed enrolment </w:t>
            </w:r>
            <w:proofErr w:type="gramStart"/>
            <w:r w:rsidRPr="00885C08">
              <w:rPr>
                <w:rFonts w:ascii="Arial Narrow" w:hAnsi="Arial Narrow"/>
                <w:color w:val="000000"/>
                <w:sz w:val="20"/>
              </w:rPr>
              <w:t>has been delayed</w:t>
            </w:r>
            <w:proofErr w:type="gramEnd"/>
            <w:r w:rsidRPr="00885C08">
              <w:rPr>
                <w:rFonts w:ascii="Arial Narrow" w:hAnsi="Arial Narrow"/>
                <w:color w:val="000000"/>
                <w:sz w:val="20"/>
              </w:rPr>
              <w:t xml:space="preserve">. The primary outcome is the functional outcome: American Shoulder Elbow Surgeons (ASES) score at 3 months, and 24 months. Although this is a comparative study, it is a non-randomised, </w:t>
            </w:r>
            <w:proofErr w:type="spellStart"/>
            <w:r w:rsidRPr="00885C08">
              <w:rPr>
                <w:rFonts w:ascii="Arial Narrow" w:hAnsi="Arial Narrow"/>
                <w:color w:val="000000"/>
                <w:sz w:val="20"/>
              </w:rPr>
              <w:t>unblinded</w:t>
            </w:r>
            <w:proofErr w:type="spellEnd"/>
            <w:r w:rsidRPr="00885C08">
              <w:rPr>
                <w:rFonts w:ascii="Arial Narrow" w:hAnsi="Arial Narrow"/>
                <w:color w:val="000000"/>
                <w:sz w:val="20"/>
              </w:rPr>
              <w:t xml:space="preserve"> and industry funded study that might not substantially change our confidence in the estimate of effect.</w:t>
            </w:r>
          </w:p>
        </w:tc>
      </w:tr>
    </w:tbl>
    <w:p w14:paraId="53B4E8E4" w14:textId="77777777" w:rsidR="00447BAB" w:rsidRDefault="00F56D7F" w:rsidP="002808C4">
      <w:pPr>
        <w:spacing w:before="240" w:after="240"/>
        <w:rPr>
          <w:b/>
        </w:rPr>
      </w:pPr>
      <w:r w:rsidRPr="00F56D7F">
        <w:rPr>
          <w:b/>
        </w:rPr>
        <w:t>ESC discussion</w:t>
      </w:r>
    </w:p>
    <w:p w14:paraId="5E5759DA" w14:textId="77777777" w:rsidR="00447BAB" w:rsidRPr="00D57F76" w:rsidRDefault="00447BAB" w:rsidP="00447BAB">
      <w:pPr>
        <w:spacing w:after="240"/>
        <w:rPr>
          <w:color w:val="000000"/>
        </w:rPr>
      </w:pPr>
      <w:r w:rsidRPr="00D57F76">
        <w:rPr>
          <w:color w:val="000000"/>
        </w:rPr>
        <w:t xml:space="preserve">ESC noted that </w:t>
      </w:r>
      <w:proofErr w:type="gramStart"/>
      <w:r w:rsidRPr="00D57F76">
        <w:rPr>
          <w:color w:val="000000"/>
        </w:rPr>
        <w:t>this application was referred to MSAC by the Prosthesis List Advisory Committee</w:t>
      </w:r>
      <w:r>
        <w:rPr>
          <w:color w:val="000000"/>
        </w:rPr>
        <w:t xml:space="preserve"> (PLAC)</w:t>
      </w:r>
      <w:proofErr w:type="gramEnd"/>
      <w:r w:rsidRPr="00D57F76">
        <w:rPr>
          <w:color w:val="000000"/>
        </w:rPr>
        <w:t>, as REGENETEN is a novel, costly device that requires a full health technology assessment.</w:t>
      </w:r>
    </w:p>
    <w:p w14:paraId="581EF708" w14:textId="77777777" w:rsidR="00447BAB" w:rsidRPr="00D57F76" w:rsidRDefault="00447BAB" w:rsidP="00447BAB">
      <w:pPr>
        <w:spacing w:after="240"/>
        <w:rPr>
          <w:rFonts w:eastAsia="Calibri"/>
          <w:color w:val="000000"/>
          <w:lang w:eastAsia="en-US"/>
        </w:rPr>
      </w:pPr>
      <w:r w:rsidRPr="00D57F76">
        <w:rPr>
          <w:rFonts w:eastAsia="Calibri"/>
          <w:color w:val="000000"/>
          <w:lang w:eastAsia="en-US"/>
        </w:rPr>
        <w:t>ESC noted the lack of consumer response and therefore there is no patient experience information for MSAC to consider.</w:t>
      </w:r>
    </w:p>
    <w:p w14:paraId="36F7CAE5" w14:textId="77777777" w:rsidR="00447BAB" w:rsidRPr="00D57F76" w:rsidRDefault="00447BAB" w:rsidP="00447BAB">
      <w:pPr>
        <w:spacing w:after="240"/>
        <w:rPr>
          <w:color w:val="000000"/>
        </w:rPr>
      </w:pPr>
      <w:r w:rsidRPr="00D57F76">
        <w:rPr>
          <w:color w:val="000000"/>
        </w:rPr>
        <w:t>ESC noted that this is an application for listing on the Prostheses List</w:t>
      </w:r>
      <w:r>
        <w:rPr>
          <w:color w:val="000000"/>
        </w:rPr>
        <w:t xml:space="preserve"> (PL)</w:t>
      </w:r>
      <w:r w:rsidRPr="00D57F76">
        <w:rPr>
          <w:color w:val="000000"/>
        </w:rPr>
        <w:t xml:space="preserve">, not a new Medicare Benefits Schedule (MBS) item. There are MBS item numbers in use (48960, 48906, </w:t>
      </w:r>
      <w:proofErr w:type="gramStart"/>
      <w:r w:rsidRPr="00D57F76">
        <w:rPr>
          <w:color w:val="000000"/>
        </w:rPr>
        <w:t>48909</w:t>
      </w:r>
      <w:proofErr w:type="gramEnd"/>
      <w:r w:rsidRPr="00D57F76">
        <w:rPr>
          <w:color w:val="000000"/>
        </w:rPr>
        <w:t xml:space="preserve">) that could be used if this device was found to be safe and cost-effective. ESC noted the </w:t>
      </w:r>
      <w:r>
        <w:rPr>
          <w:color w:val="000000"/>
        </w:rPr>
        <w:t>applicant developed assessment report’s (ADARs)</w:t>
      </w:r>
      <w:r w:rsidRPr="00D57F76">
        <w:rPr>
          <w:color w:val="000000"/>
        </w:rPr>
        <w:t xml:space="preserve"> claim that this is to be a once-only procedure; however, </w:t>
      </w:r>
      <w:proofErr w:type="gramStart"/>
      <w:r w:rsidRPr="00D57F76">
        <w:rPr>
          <w:color w:val="000000"/>
        </w:rPr>
        <w:t>this cannot currently be rest</w:t>
      </w:r>
      <w:r>
        <w:rPr>
          <w:color w:val="000000"/>
        </w:rPr>
        <w:t xml:space="preserve">ricted by the proposed MBS item </w:t>
      </w:r>
      <w:r w:rsidRPr="00D57F76">
        <w:rPr>
          <w:color w:val="000000"/>
        </w:rPr>
        <w:t>numbers</w:t>
      </w:r>
      <w:proofErr w:type="gramEnd"/>
      <w:r w:rsidRPr="00D57F76">
        <w:rPr>
          <w:color w:val="000000"/>
        </w:rPr>
        <w:t xml:space="preserve">. </w:t>
      </w:r>
      <w:r>
        <w:rPr>
          <w:color w:val="000000"/>
        </w:rPr>
        <w:t>ESC queried if this could be restricted by p</w:t>
      </w:r>
      <w:r w:rsidRPr="00481661">
        <w:rPr>
          <w:color w:val="000000"/>
        </w:rPr>
        <w:t xml:space="preserve">rivate insurers </w:t>
      </w:r>
      <w:r>
        <w:rPr>
          <w:color w:val="000000"/>
        </w:rPr>
        <w:t>stipulating</w:t>
      </w:r>
      <w:r w:rsidRPr="00481661">
        <w:rPr>
          <w:color w:val="000000"/>
        </w:rPr>
        <w:t xml:space="preserve"> limits on use</w:t>
      </w:r>
      <w:r>
        <w:rPr>
          <w:color w:val="000000"/>
        </w:rPr>
        <w:t xml:space="preserve"> on PL </w:t>
      </w:r>
      <w:r w:rsidRPr="00481661">
        <w:rPr>
          <w:color w:val="000000"/>
        </w:rPr>
        <w:t>(e.g. once per lifetime).</w:t>
      </w:r>
      <w:r>
        <w:rPr>
          <w:color w:val="000000"/>
        </w:rPr>
        <w:t xml:space="preserve"> Although, </w:t>
      </w:r>
      <w:r w:rsidRPr="00D57F76">
        <w:rPr>
          <w:color w:val="000000"/>
        </w:rPr>
        <w:t>ESC noted the pre-ESC response</w:t>
      </w:r>
      <w:r>
        <w:rPr>
          <w:color w:val="000000"/>
        </w:rPr>
        <w:t xml:space="preserve">, which the </w:t>
      </w:r>
      <w:r>
        <w:rPr>
          <w:color w:val="000000"/>
        </w:rPr>
        <w:lastRenderedPageBreak/>
        <w:t>applicant indicated</w:t>
      </w:r>
      <w:r w:rsidRPr="00D57F76">
        <w:rPr>
          <w:color w:val="000000"/>
        </w:rPr>
        <w:t xml:space="preserve"> that the real-world clinical evidence</w:t>
      </w:r>
      <w:r>
        <w:rPr>
          <w:color w:val="000000"/>
        </w:rPr>
        <w:t xml:space="preserve"> for REGENETEN</w:t>
      </w:r>
      <w:r w:rsidRPr="00D57F76">
        <w:rPr>
          <w:color w:val="000000"/>
        </w:rPr>
        <w:t xml:space="preserve"> su</w:t>
      </w:r>
      <w:r>
        <w:rPr>
          <w:color w:val="000000"/>
        </w:rPr>
        <w:t xml:space="preserve">ggests that only one implant </w:t>
      </w:r>
      <w:proofErr w:type="gramStart"/>
      <w:r>
        <w:rPr>
          <w:color w:val="000000"/>
        </w:rPr>
        <w:t>is used</w:t>
      </w:r>
      <w:proofErr w:type="gramEnd"/>
      <w:r w:rsidRPr="00D57F76">
        <w:rPr>
          <w:color w:val="000000"/>
        </w:rPr>
        <w:t xml:space="preserve"> during surgery.</w:t>
      </w:r>
      <w:r>
        <w:rPr>
          <w:color w:val="000000"/>
        </w:rPr>
        <w:t xml:space="preserve"> </w:t>
      </w:r>
    </w:p>
    <w:p w14:paraId="5B2F76A0" w14:textId="77777777" w:rsidR="00447BAB" w:rsidRDefault="00447BAB" w:rsidP="00447BAB">
      <w:pPr>
        <w:spacing w:after="240"/>
        <w:rPr>
          <w:color w:val="000000"/>
        </w:rPr>
      </w:pPr>
      <w:r w:rsidRPr="00D57F76">
        <w:rPr>
          <w:color w:val="000000"/>
        </w:rPr>
        <w:t>ESC noted there were no randomised controlled trials</w:t>
      </w:r>
      <w:r>
        <w:rPr>
          <w:color w:val="000000"/>
        </w:rPr>
        <w:t xml:space="preserve"> (RCTs), nor head-to head evidence</w:t>
      </w:r>
      <w:r w:rsidRPr="00D57F76">
        <w:rPr>
          <w:color w:val="000000"/>
        </w:rPr>
        <w:t xml:space="preserve"> evaluating REGENETEN</w:t>
      </w:r>
      <w:r>
        <w:rPr>
          <w:color w:val="000000"/>
        </w:rPr>
        <w:t xml:space="preserve"> </w:t>
      </w:r>
      <w:r w:rsidRPr="003E0B3F">
        <w:rPr>
          <w:i/>
          <w:color w:val="000000"/>
        </w:rPr>
        <w:t>vs.</w:t>
      </w:r>
      <w:r>
        <w:rPr>
          <w:color w:val="000000"/>
        </w:rPr>
        <w:t xml:space="preserve"> standard surgery in both subpopulations. Hence, all comparisons were </w:t>
      </w:r>
      <w:r w:rsidRPr="003E0B3F">
        <w:rPr>
          <w:i/>
          <w:color w:val="000000"/>
        </w:rPr>
        <w:t>naïve</w:t>
      </w:r>
      <w:r>
        <w:rPr>
          <w:color w:val="000000"/>
        </w:rPr>
        <w:t xml:space="preserve"> indirect </w:t>
      </w:r>
      <w:proofErr w:type="gramStart"/>
      <w:r>
        <w:rPr>
          <w:color w:val="000000"/>
        </w:rPr>
        <w:t>comparisons, that</w:t>
      </w:r>
      <w:proofErr w:type="gramEnd"/>
      <w:r>
        <w:rPr>
          <w:color w:val="000000"/>
        </w:rPr>
        <w:t xml:space="preserve"> were not adjusted via any common comparator.  ESC noted: </w:t>
      </w:r>
      <w:r w:rsidRPr="003E0B3F">
        <w:rPr>
          <w:color w:val="000000"/>
        </w:rPr>
        <w:t>the evidence for REGENETEN is derived from only case series studies (k=</w:t>
      </w:r>
      <w:proofErr w:type="gramStart"/>
      <w:r w:rsidRPr="003E0B3F">
        <w:rPr>
          <w:color w:val="000000"/>
        </w:rPr>
        <w:t>5</w:t>
      </w:r>
      <w:proofErr w:type="gramEnd"/>
      <w:r w:rsidRPr="003E0B3F">
        <w:rPr>
          <w:color w:val="000000"/>
        </w:rPr>
        <w:t>; n=251),</w:t>
      </w:r>
      <w:r>
        <w:rPr>
          <w:color w:val="000000"/>
        </w:rPr>
        <w:t xml:space="preserve"> further divided into the subpopulations,</w:t>
      </w:r>
      <w:r w:rsidRPr="003E0B3F">
        <w:rPr>
          <w:color w:val="000000"/>
        </w:rPr>
        <w:t xml:space="preserve"> which the majority had small sample sizes (n&lt;30), including the two Australian studies</w:t>
      </w:r>
      <w:r w:rsidRPr="008A4B2E">
        <w:rPr>
          <w:color w:val="000000"/>
        </w:rPr>
        <w:t xml:space="preserve">; and </w:t>
      </w:r>
      <w:r w:rsidRPr="003E0B3F">
        <w:rPr>
          <w:color w:val="000000"/>
        </w:rPr>
        <w:t>the evidence for standard surgery was from RCTs and observational studies (k=45; n=3,209).</w:t>
      </w:r>
      <w:r>
        <w:rPr>
          <w:color w:val="000000"/>
        </w:rPr>
        <w:t xml:space="preserve"> Overall, </w:t>
      </w:r>
      <w:r w:rsidRPr="003E0B3F">
        <w:rPr>
          <w:color w:val="000000"/>
        </w:rPr>
        <w:t xml:space="preserve">ESC considered that </w:t>
      </w:r>
      <w:r>
        <w:rPr>
          <w:color w:val="000000"/>
        </w:rPr>
        <w:t xml:space="preserve">the </w:t>
      </w:r>
      <w:r w:rsidRPr="003E0B3F">
        <w:rPr>
          <w:i/>
          <w:color w:val="000000"/>
        </w:rPr>
        <w:t>naïve</w:t>
      </w:r>
      <w:r>
        <w:rPr>
          <w:color w:val="000000"/>
        </w:rPr>
        <w:t xml:space="preserve"> indirect comparison was at very high risk of bias, noting </w:t>
      </w:r>
      <w:r w:rsidRPr="003E0B3F">
        <w:rPr>
          <w:color w:val="000000"/>
        </w:rPr>
        <w:t xml:space="preserve">the </w:t>
      </w:r>
      <w:r>
        <w:rPr>
          <w:color w:val="000000"/>
        </w:rPr>
        <w:t>ADAR</w:t>
      </w:r>
      <w:r w:rsidRPr="003E0B3F">
        <w:rPr>
          <w:color w:val="000000"/>
        </w:rPr>
        <w:t xml:space="preserve"> did not fully address</w:t>
      </w:r>
      <w:r>
        <w:rPr>
          <w:color w:val="000000"/>
        </w:rPr>
        <w:t xml:space="preserve"> these issues</w:t>
      </w:r>
      <w:r w:rsidRPr="003E0B3F">
        <w:rPr>
          <w:color w:val="000000"/>
        </w:rPr>
        <w:t xml:space="preserve">. </w:t>
      </w:r>
      <w:r w:rsidRPr="00E9482F">
        <w:rPr>
          <w:color w:val="000000"/>
        </w:rPr>
        <w:t>In addition, many of the ADARs meta-analyses had high heterogeneity, making interpretation challenging</w:t>
      </w:r>
      <w:r>
        <w:rPr>
          <w:color w:val="000000"/>
        </w:rPr>
        <w:t xml:space="preserve">. </w:t>
      </w:r>
    </w:p>
    <w:p w14:paraId="46E6C43F" w14:textId="77777777" w:rsidR="00447BAB" w:rsidRDefault="00447BAB" w:rsidP="00447BAB">
      <w:pPr>
        <w:spacing w:after="240"/>
        <w:rPr>
          <w:color w:val="000000"/>
        </w:rPr>
      </w:pPr>
      <w:r>
        <w:rPr>
          <w:color w:val="000000"/>
        </w:rPr>
        <w:t xml:space="preserve">Regarding comparative safety, ESC noted the scarcity of long-term safety data from clinical studies, which was limited to 11 patients followed over 5 years in subpopulation 1 (PTRCT) and only follow-up data for 2 years in subpopulation 2 (FTRCT). ESC also noted that the claim of non-inferiority in comparative safety for subpopulation 2 was not </w:t>
      </w:r>
      <w:r w:rsidRPr="00CA0CB5">
        <w:t>supported by the statistically significantly higher revision surgery rates with REGENETEN</w:t>
      </w:r>
      <w:r>
        <w:t xml:space="preserve">, which in the pre-ESC </w:t>
      </w:r>
      <w:proofErr w:type="gramStart"/>
      <w:r>
        <w:t>response,</w:t>
      </w:r>
      <w:proofErr w:type="gramEnd"/>
      <w:r>
        <w:t xml:space="preserve"> the applicant indicated this was driven by the medico-legal environment of the US study (McIntyre 2019). The applicant also highlighted concerns of publication bias among standard surgery studies, which would bias against REGENETEN. </w:t>
      </w:r>
    </w:p>
    <w:p w14:paraId="1E0382D9" w14:textId="77777777" w:rsidR="00447BAB" w:rsidRPr="00D57F76" w:rsidRDefault="00447BAB" w:rsidP="00447BAB">
      <w:pPr>
        <w:spacing w:after="240"/>
        <w:rPr>
          <w:color w:val="000000"/>
        </w:rPr>
      </w:pPr>
      <w:r>
        <w:rPr>
          <w:color w:val="000000"/>
        </w:rPr>
        <w:t>Regarding comparative effectiveness</w:t>
      </w:r>
      <w:r w:rsidRPr="003E0B3F">
        <w:rPr>
          <w:color w:val="000000"/>
        </w:rPr>
        <w:t xml:space="preserve">, ESC considered that the appropriate primary outcomes </w:t>
      </w:r>
      <w:r>
        <w:rPr>
          <w:color w:val="000000"/>
        </w:rPr>
        <w:t xml:space="preserve"> </w:t>
      </w:r>
      <w:r w:rsidRPr="003E0B3F">
        <w:rPr>
          <w:color w:val="000000"/>
        </w:rPr>
        <w:t xml:space="preserve">are clinical outcomes assessing function, quality of life, pain and range of movement scores (e.g. American Shoulder Elbow Surgeons score; ASES score], </w:t>
      </w:r>
      <w:r>
        <w:rPr>
          <w:color w:val="000000"/>
        </w:rPr>
        <w:t xml:space="preserve">rather than imaging outcomes, which ESC noted the included studies had heterogeneous definitions for these outcomes. ESC also noted </w:t>
      </w:r>
      <w:r>
        <w:t xml:space="preserve">the claim of superiority in clinical effectiveness was based on statistically significant greater benefit in imaging outcomes, rather than in clinical or functional outcomes (as per clinical claim), the results of which were not statistically significant. </w:t>
      </w:r>
      <w:r>
        <w:rPr>
          <w:color w:val="000000"/>
        </w:rPr>
        <w:t xml:space="preserve"> ESC considered the pre-ESC response, which the applicant reasoned the results for functional outcomes could be due to the heterogeneity in baseline characteristics included in the </w:t>
      </w:r>
      <w:r w:rsidRPr="003E0B3F">
        <w:rPr>
          <w:i/>
          <w:color w:val="000000"/>
        </w:rPr>
        <w:t>naïve</w:t>
      </w:r>
      <w:r>
        <w:rPr>
          <w:color w:val="000000"/>
        </w:rPr>
        <w:t xml:space="preserve"> comparisons, and due to the studies </w:t>
      </w:r>
      <w:proofErr w:type="gramStart"/>
      <w:r>
        <w:rPr>
          <w:color w:val="000000"/>
        </w:rPr>
        <w:t>were not powered</w:t>
      </w:r>
      <w:proofErr w:type="gramEnd"/>
      <w:r>
        <w:rPr>
          <w:color w:val="000000"/>
        </w:rPr>
        <w:t xml:space="preserve"> to detect differences in clinical or patient-relevant outcomes. However, ESC noted no power calculations </w:t>
      </w:r>
      <w:proofErr w:type="gramStart"/>
      <w:r>
        <w:rPr>
          <w:color w:val="000000"/>
        </w:rPr>
        <w:t>were undertaken</w:t>
      </w:r>
      <w:proofErr w:type="gramEnd"/>
      <w:r>
        <w:rPr>
          <w:color w:val="000000"/>
        </w:rPr>
        <w:t xml:space="preserve"> for REGENETEN studies, as they were case series data. Overall, ESC considered that m</w:t>
      </w:r>
      <w:r w:rsidRPr="00C921CC">
        <w:rPr>
          <w:color w:val="000000"/>
        </w:rPr>
        <w:t>ore evidence of clinical outcomes in both subpopulations is required.</w:t>
      </w:r>
    </w:p>
    <w:p w14:paraId="07BF9022" w14:textId="77777777" w:rsidR="00447BAB" w:rsidRDefault="00447BAB" w:rsidP="00447BAB">
      <w:pPr>
        <w:spacing w:after="120"/>
        <w:rPr>
          <w:color w:val="000000"/>
        </w:rPr>
      </w:pPr>
      <w:r>
        <w:rPr>
          <w:color w:val="000000"/>
        </w:rPr>
        <w:t>ESC considered that the key uncertainty with the economics related to the very low quality evidence informing the key model inputs, noting the ADARs model relied heavily on imaging outcomes. ESC noted the following structural issues with the model:</w:t>
      </w:r>
    </w:p>
    <w:p w14:paraId="5B091EE6" w14:textId="77777777" w:rsidR="00447BAB" w:rsidRDefault="00447BAB" w:rsidP="00447BAB">
      <w:pPr>
        <w:pStyle w:val="ListParagraph"/>
        <w:numPr>
          <w:ilvl w:val="0"/>
          <w:numId w:val="27"/>
        </w:numPr>
        <w:rPr>
          <w:color w:val="000000"/>
        </w:rPr>
      </w:pPr>
      <w:r w:rsidRPr="000B3318">
        <w:rPr>
          <w:color w:val="000000"/>
        </w:rPr>
        <w:t>No conceptualisation process or strong justification for the health states in the model was provided; choosing health states on the basis of available data is inappropriate</w:t>
      </w:r>
    </w:p>
    <w:p w14:paraId="07F34064" w14:textId="77777777" w:rsidR="00447BAB" w:rsidRPr="00A850E0" w:rsidRDefault="00447BAB" w:rsidP="00447BAB">
      <w:pPr>
        <w:pStyle w:val="ListParagraph"/>
        <w:numPr>
          <w:ilvl w:val="0"/>
          <w:numId w:val="27"/>
        </w:numPr>
        <w:spacing w:after="120"/>
        <w:ind w:left="714" w:hanging="357"/>
        <w:rPr>
          <w:color w:val="000000"/>
        </w:rPr>
      </w:pPr>
      <w:r>
        <w:rPr>
          <w:color w:val="000000"/>
        </w:rPr>
        <w:t>R</w:t>
      </w:r>
      <w:r w:rsidRPr="00D57F76">
        <w:rPr>
          <w:color w:val="000000"/>
        </w:rPr>
        <w:t xml:space="preserve">evision </w:t>
      </w:r>
      <w:r>
        <w:rPr>
          <w:color w:val="000000"/>
        </w:rPr>
        <w:t xml:space="preserve">surgery </w:t>
      </w:r>
      <w:r w:rsidRPr="00D57F76">
        <w:rPr>
          <w:color w:val="000000"/>
        </w:rPr>
        <w:t>rates should be included in the model, and that the re-tear rate should be separated from re-surgery rate</w:t>
      </w:r>
    </w:p>
    <w:p w14:paraId="19F9DFD9" w14:textId="77777777" w:rsidR="00447BAB" w:rsidRPr="003E0B3F" w:rsidRDefault="00447BAB" w:rsidP="00447BAB">
      <w:pPr>
        <w:pStyle w:val="ListParagraph"/>
        <w:numPr>
          <w:ilvl w:val="0"/>
          <w:numId w:val="27"/>
        </w:numPr>
        <w:spacing w:after="120"/>
        <w:ind w:left="714" w:hanging="357"/>
        <w:rPr>
          <w:color w:val="000000"/>
        </w:rPr>
      </w:pPr>
      <w:r>
        <w:rPr>
          <w:color w:val="000000"/>
        </w:rPr>
        <w:t>Whether the</w:t>
      </w:r>
      <w:r w:rsidRPr="003E0B3F">
        <w:rPr>
          <w:color w:val="000000"/>
        </w:rPr>
        <w:t xml:space="preserve"> use of two different models</w:t>
      </w:r>
      <w:r>
        <w:rPr>
          <w:color w:val="000000"/>
        </w:rPr>
        <w:t xml:space="preserve"> for each subpopulation</w:t>
      </w:r>
      <w:r w:rsidRPr="003E0B3F">
        <w:rPr>
          <w:color w:val="000000"/>
        </w:rPr>
        <w:t xml:space="preserve"> in the economic evaluation</w:t>
      </w:r>
      <w:r>
        <w:rPr>
          <w:color w:val="000000"/>
        </w:rPr>
        <w:t xml:space="preserve"> was appropriate</w:t>
      </w:r>
      <w:r w:rsidRPr="003E0B3F">
        <w:rPr>
          <w:color w:val="000000"/>
        </w:rPr>
        <w:t xml:space="preserve">, </w:t>
      </w:r>
      <w:r>
        <w:rPr>
          <w:color w:val="000000"/>
        </w:rPr>
        <w:t>noting</w:t>
      </w:r>
      <w:r w:rsidRPr="003E0B3F">
        <w:rPr>
          <w:color w:val="000000"/>
        </w:rPr>
        <w:t xml:space="preserve"> patients can progress from a partial thickness tear to a full thickness tear, which this approach does not consider.</w:t>
      </w:r>
    </w:p>
    <w:p w14:paraId="220D3F0E" w14:textId="520385A4" w:rsidR="00447BAB" w:rsidRDefault="00447BAB" w:rsidP="00447BAB">
      <w:pPr>
        <w:spacing w:after="240"/>
        <w:rPr>
          <w:color w:val="000000"/>
        </w:rPr>
      </w:pPr>
      <w:r>
        <w:rPr>
          <w:color w:val="000000"/>
        </w:rPr>
        <w:t xml:space="preserve">ESC agreed with the Commentary who considered </w:t>
      </w:r>
      <w:r w:rsidRPr="00C60A4C">
        <w:rPr>
          <w:color w:val="000000"/>
        </w:rPr>
        <w:t>the model structure used is not well justified due to a number of issues with the chosen health states and the ability to accurately reflect utility values for these health states. The relationship between revision surgery, incomplete healing and re-tear rates is not well defined or supported by the evidence</w:t>
      </w:r>
      <w:r>
        <w:rPr>
          <w:color w:val="000000"/>
        </w:rPr>
        <w:t xml:space="preserve">. </w:t>
      </w:r>
      <w:r w:rsidRPr="00D57F76">
        <w:rPr>
          <w:color w:val="000000"/>
        </w:rPr>
        <w:t xml:space="preserve">ESC </w:t>
      </w:r>
      <w:r>
        <w:rPr>
          <w:color w:val="000000"/>
        </w:rPr>
        <w:lastRenderedPageBreak/>
        <w:t>also agreed with the C</w:t>
      </w:r>
      <w:r w:rsidRPr="00D57F76">
        <w:rPr>
          <w:color w:val="000000"/>
        </w:rPr>
        <w:t>ommentary that the source of utility values is highly uncertain</w:t>
      </w:r>
      <w:r>
        <w:rPr>
          <w:color w:val="000000"/>
        </w:rPr>
        <w:t xml:space="preserve"> </w:t>
      </w:r>
      <w:proofErr w:type="gramStart"/>
      <w:r>
        <w:rPr>
          <w:color w:val="000000"/>
        </w:rPr>
        <w:t>and also</w:t>
      </w:r>
      <w:proofErr w:type="gramEnd"/>
      <w:r>
        <w:rPr>
          <w:color w:val="000000"/>
        </w:rPr>
        <w:t xml:space="preserve"> noted that modelled rehabilitation outcomes (e.g. physiotherapy sessions) were based on expert opinion.  ESC noted that the Commentary’s respecified  base case model attempted to address some of these issues resulting in much higher incremental cost-effectiveness ratio’s (ICERs) for both subpopulations (see Table </w:t>
      </w:r>
      <w:r w:rsidR="00DE3007">
        <w:rPr>
          <w:color w:val="000000"/>
        </w:rPr>
        <w:t>9</w:t>
      </w:r>
      <w:r>
        <w:rPr>
          <w:color w:val="000000"/>
        </w:rPr>
        <w:t xml:space="preserve">); however, ESC considered the ICERs still remained highly uncertain, mainly </w:t>
      </w:r>
      <w:r w:rsidRPr="00D57F76">
        <w:rPr>
          <w:color w:val="000000"/>
        </w:rPr>
        <w:t>due to the</w:t>
      </w:r>
      <w:r>
        <w:rPr>
          <w:color w:val="000000"/>
        </w:rPr>
        <w:t xml:space="preserve"> lack of good quality evidence informing the model.</w:t>
      </w:r>
    </w:p>
    <w:p w14:paraId="7138D0E7" w14:textId="77777777" w:rsidR="00447BAB" w:rsidRPr="00D57F76" w:rsidRDefault="00447BAB" w:rsidP="00447BAB">
      <w:pPr>
        <w:spacing w:after="240"/>
        <w:rPr>
          <w:color w:val="000000"/>
        </w:rPr>
      </w:pPr>
      <w:r w:rsidRPr="00D57F76">
        <w:rPr>
          <w:color w:val="000000"/>
        </w:rPr>
        <w:t xml:space="preserve">ESC </w:t>
      </w:r>
      <w:r>
        <w:rPr>
          <w:color w:val="000000"/>
        </w:rPr>
        <w:t>considered another source of uncertainty affecting the derivation of the economics (and the financials) was the ADARs estimate of prevalence of PTRCT/FTRCT in the proposed population. ESC noted in the pre-ESC response, the</w:t>
      </w:r>
      <w:r w:rsidRPr="00D57F76">
        <w:rPr>
          <w:color w:val="000000"/>
        </w:rPr>
        <w:t xml:space="preserve"> applicant provided </w:t>
      </w:r>
      <w:r>
        <w:rPr>
          <w:color w:val="000000"/>
        </w:rPr>
        <w:t xml:space="preserve">a more applicable estimate from an </w:t>
      </w:r>
      <w:r w:rsidRPr="00D57F76">
        <w:rPr>
          <w:color w:val="000000"/>
        </w:rPr>
        <w:t xml:space="preserve">Australian </w:t>
      </w:r>
      <w:r>
        <w:rPr>
          <w:color w:val="000000"/>
        </w:rPr>
        <w:t>retrospective cohort study</w:t>
      </w:r>
      <w:r w:rsidRPr="00D57F76">
        <w:rPr>
          <w:color w:val="000000"/>
        </w:rPr>
        <w:t xml:space="preserve"> (39</w:t>
      </w:r>
      <w:r>
        <w:rPr>
          <w:color w:val="000000"/>
        </w:rPr>
        <w:t>/</w:t>
      </w:r>
      <w:r w:rsidRPr="00D57F76">
        <w:rPr>
          <w:color w:val="000000"/>
        </w:rPr>
        <w:t>61%, respectively), which increased confidence in the prevalence estimates</w:t>
      </w:r>
      <w:r>
        <w:rPr>
          <w:color w:val="000000"/>
        </w:rPr>
        <w:t xml:space="preserve"> (and improved the ICER for REGENETEN), but ESC was concerned how this estimate was markedly different to the original estimate provided in the ADAR (71/29%, respectively). ESC considered that more evidence was required for this estimate, given the difference in ICERs of both subpopulations from the healthcare perspective system (ADAR and Commentary respecified base case ICER: PTRCT &gt; FTRCT), and its consequential impact to the pooled ICER, relevant to the proposed population for public funding.</w:t>
      </w:r>
    </w:p>
    <w:p w14:paraId="2BB31F70" w14:textId="77777777" w:rsidR="00447BAB" w:rsidRDefault="00447BAB" w:rsidP="00447BAB">
      <w:pPr>
        <w:spacing w:after="240"/>
        <w:rPr>
          <w:color w:val="000000"/>
        </w:rPr>
      </w:pPr>
      <w:r w:rsidRPr="00D57F76">
        <w:rPr>
          <w:color w:val="000000"/>
        </w:rPr>
        <w:t xml:space="preserve">ESC </w:t>
      </w:r>
      <w:r>
        <w:rPr>
          <w:color w:val="000000"/>
        </w:rPr>
        <w:t xml:space="preserve">also </w:t>
      </w:r>
      <w:r w:rsidRPr="00D57F76">
        <w:rPr>
          <w:color w:val="000000"/>
        </w:rPr>
        <w:t xml:space="preserve">noted the </w:t>
      </w:r>
      <w:r>
        <w:rPr>
          <w:color w:val="000000"/>
        </w:rPr>
        <w:t>ADARs economic analyses did not define a base case perspective but rather</w:t>
      </w:r>
      <w:r w:rsidRPr="00D57F76">
        <w:rPr>
          <w:color w:val="000000"/>
        </w:rPr>
        <w:t xml:space="preserve"> </w:t>
      </w:r>
      <w:r>
        <w:rPr>
          <w:color w:val="000000"/>
        </w:rPr>
        <w:t>included an assessment from the</w:t>
      </w:r>
      <w:r w:rsidRPr="00D57F76">
        <w:rPr>
          <w:color w:val="000000"/>
        </w:rPr>
        <w:t xml:space="preserve"> healthcare</w:t>
      </w:r>
      <w:r>
        <w:rPr>
          <w:color w:val="000000"/>
        </w:rPr>
        <w:t xml:space="preserve"> system and societal</w:t>
      </w:r>
      <w:r w:rsidRPr="00D57F76">
        <w:rPr>
          <w:color w:val="000000"/>
        </w:rPr>
        <w:t xml:space="preserve"> perspective</w:t>
      </w:r>
      <w:r>
        <w:rPr>
          <w:color w:val="000000"/>
        </w:rPr>
        <w:t>. ESC considered that g</w:t>
      </w:r>
      <w:r w:rsidRPr="009D6D73">
        <w:rPr>
          <w:color w:val="000000"/>
        </w:rPr>
        <w:t xml:space="preserve">iven the absence of good quality evidence, and no comparative evidence for assessing outcomes captured in the societal perspective (the ADAR relied on expert opinion), </w:t>
      </w:r>
      <w:r>
        <w:rPr>
          <w:color w:val="000000"/>
        </w:rPr>
        <w:t>including the societal perspective did not</w:t>
      </w:r>
      <w:r w:rsidRPr="009D6D73">
        <w:rPr>
          <w:color w:val="000000"/>
        </w:rPr>
        <w:t xml:space="preserve"> </w:t>
      </w:r>
      <w:r w:rsidRPr="00D57F76">
        <w:rPr>
          <w:color w:val="000000"/>
        </w:rPr>
        <w:t>add much value to decision making for MSAC</w:t>
      </w:r>
      <w:r>
        <w:rPr>
          <w:color w:val="000000"/>
        </w:rPr>
        <w:t xml:space="preserve">. Consequently, ESC advised the healthcare system perspective should inform the base case. </w:t>
      </w:r>
    </w:p>
    <w:p w14:paraId="11C9C65C" w14:textId="77777777" w:rsidR="00447BAB" w:rsidRPr="00D57F76" w:rsidRDefault="00447BAB" w:rsidP="00447BAB">
      <w:pPr>
        <w:spacing w:after="240"/>
        <w:rPr>
          <w:color w:val="000000"/>
        </w:rPr>
      </w:pPr>
      <w:r>
        <w:rPr>
          <w:color w:val="000000"/>
        </w:rPr>
        <w:t xml:space="preserve">Consistent with the economics, ESC noted that the Commentary respecified the financial base-case analysis. ESC noted the budget impact </w:t>
      </w:r>
      <w:proofErr w:type="gramStart"/>
      <w:r>
        <w:rPr>
          <w:color w:val="000000"/>
        </w:rPr>
        <w:t>may</w:t>
      </w:r>
      <w:proofErr w:type="gramEnd"/>
      <w:r>
        <w:rPr>
          <w:color w:val="000000"/>
        </w:rPr>
        <w:t xml:space="preserve"> be approximately 20% higher compared to the estimate from the ADAR. Moreover, ESC considered that due to the uncertainty with the clinical evidence, which had flow on effects to the economic model, that the financial estimates were also uncertain. However, ESC noted the financial impact was modest (including to the MBS). ESC also noted that the financial estimates </w:t>
      </w:r>
      <w:proofErr w:type="gramStart"/>
      <w:r>
        <w:rPr>
          <w:color w:val="000000"/>
        </w:rPr>
        <w:t>were not updated</w:t>
      </w:r>
      <w:proofErr w:type="gramEnd"/>
      <w:r>
        <w:rPr>
          <w:color w:val="000000"/>
        </w:rPr>
        <w:t xml:space="preserve"> for the applicant’s updated prevalence estimate provided in the pre-ESC response. ESC also considered that the financial analyses should be disaggregated for subpopulation 1 and subpopulation 2, given </w:t>
      </w:r>
      <w:r w:rsidRPr="00EC354C">
        <w:rPr>
          <w:color w:val="000000"/>
        </w:rPr>
        <w:t>the differences in ICERs</w:t>
      </w:r>
      <w:r>
        <w:rPr>
          <w:color w:val="000000"/>
        </w:rPr>
        <w:t>, uncertainty with estimate of prevalence,  and also differences in cost offsets, as REGENETEN is performed as an alternative to standard surgery in subpopulation 1, compared with as an additional procedure in s</w:t>
      </w:r>
      <w:r w:rsidR="00501BDF">
        <w:rPr>
          <w:color w:val="000000"/>
        </w:rPr>
        <w:t>ubpopulation 2. Post ESC</w:t>
      </w:r>
      <w:r>
        <w:rPr>
          <w:color w:val="000000"/>
        </w:rPr>
        <w:t>, all financial estimates were disaggregated for each population using the ADARs original estimate of prevalence (71/29% PTRCT/FTR</w:t>
      </w:r>
      <w:r w:rsidR="00501BDF">
        <w:rPr>
          <w:color w:val="000000"/>
        </w:rPr>
        <w:t>CT, respectively) [see Tables 13</w:t>
      </w:r>
      <w:r>
        <w:rPr>
          <w:color w:val="000000"/>
        </w:rPr>
        <w:t xml:space="preserve">-15]; and sensitivity analysis was conducted using the prevalence estimate provided by applicant in the pre-ESC response </w:t>
      </w:r>
      <w:r w:rsidRPr="00D57F76">
        <w:rPr>
          <w:color w:val="000000"/>
        </w:rPr>
        <w:t>(39</w:t>
      </w:r>
      <w:r>
        <w:rPr>
          <w:color w:val="000000"/>
        </w:rPr>
        <w:t>/</w:t>
      </w:r>
      <w:r w:rsidRPr="00D57F76">
        <w:rPr>
          <w:color w:val="000000"/>
        </w:rPr>
        <w:t>61%</w:t>
      </w:r>
      <w:r w:rsidRPr="00F22A4A">
        <w:rPr>
          <w:color w:val="000000"/>
        </w:rPr>
        <w:t xml:space="preserve"> </w:t>
      </w:r>
      <w:r>
        <w:rPr>
          <w:color w:val="000000"/>
        </w:rPr>
        <w:t>PTRCT/FTRCT, respectively</w:t>
      </w:r>
      <w:r w:rsidRPr="00D57F76">
        <w:rPr>
          <w:color w:val="000000"/>
        </w:rPr>
        <w:t>)</w:t>
      </w:r>
      <w:r>
        <w:rPr>
          <w:color w:val="000000"/>
        </w:rPr>
        <w:t xml:space="preserve"> [see Table 16].</w:t>
      </w:r>
    </w:p>
    <w:p w14:paraId="04CB7385" w14:textId="77777777" w:rsidR="00447BAB" w:rsidRPr="00447BAB" w:rsidRDefault="00447BAB" w:rsidP="00F715D1">
      <w:pPr>
        <w:spacing w:after="240"/>
        <w:rPr>
          <w:color w:val="000000"/>
        </w:rPr>
      </w:pPr>
      <w:r w:rsidRPr="00D57F76">
        <w:rPr>
          <w:color w:val="000000"/>
        </w:rPr>
        <w:t>ESC noted possible new evidence on the horizon (</w:t>
      </w:r>
      <w:r>
        <w:rPr>
          <w:color w:val="000000"/>
        </w:rPr>
        <w:t xml:space="preserve">REGEN PUB 2018; </w:t>
      </w:r>
      <w:proofErr w:type="gramStart"/>
      <w:r w:rsidRPr="00D57F76">
        <w:rPr>
          <w:color w:val="000000"/>
        </w:rPr>
        <w:t>NCT03734536:</w:t>
      </w:r>
      <w:proofErr w:type="gramEnd"/>
      <w:r w:rsidRPr="00D57F76">
        <w:rPr>
          <w:color w:val="000000"/>
        </w:rPr>
        <w:t>)</w:t>
      </w:r>
      <w:r>
        <w:rPr>
          <w:color w:val="000000"/>
        </w:rPr>
        <w:t>, which the</w:t>
      </w:r>
      <w:r w:rsidRPr="00D57F76">
        <w:rPr>
          <w:color w:val="000000"/>
        </w:rPr>
        <w:t xml:space="preserve"> primary outcome in this study will be the ASES score at 3 months and 24 months. However, enrolment is delayed (until possibly 2022), and ESC considered that the nonrandomised, </w:t>
      </w:r>
      <w:proofErr w:type="spellStart"/>
      <w:r>
        <w:rPr>
          <w:color w:val="000000"/>
        </w:rPr>
        <w:t>un</w:t>
      </w:r>
      <w:r w:rsidRPr="00D57F76">
        <w:rPr>
          <w:color w:val="000000"/>
        </w:rPr>
        <w:t>blinded</w:t>
      </w:r>
      <w:proofErr w:type="spellEnd"/>
      <w:r w:rsidRPr="00D57F76">
        <w:rPr>
          <w:color w:val="000000"/>
        </w:rPr>
        <w:t>, industry-funded study may not substantially change the confidence in the estimate of the effect.</w:t>
      </w:r>
    </w:p>
    <w:p w14:paraId="0C1B5C5C" w14:textId="77777777" w:rsidR="00D90A38" w:rsidRPr="00F715D1" w:rsidRDefault="00BC1364" w:rsidP="00F715D1">
      <w:pPr>
        <w:pStyle w:val="Heading1"/>
      </w:pPr>
      <w:r w:rsidRPr="00F715D1">
        <w:lastRenderedPageBreak/>
        <w:t>Other significant factors</w:t>
      </w:r>
    </w:p>
    <w:p w14:paraId="38840969" w14:textId="38EE5A23" w:rsidR="00447BAB" w:rsidRDefault="00447BAB" w:rsidP="00447BAB">
      <w:r w:rsidRPr="000A1E0A">
        <w:t>As no</w:t>
      </w:r>
      <w:r w:rsidR="002808C4">
        <w:t>ted by the PASC in August 2019,</w:t>
      </w:r>
      <w:r>
        <w:t xml:space="preserve"> the Commentary stated that </w:t>
      </w:r>
      <w:r w:rsidRPr="000A1E0A">
        <w:t>there is an upcoming nonrandomised prospective study comparing REGENETEN and standard arthroscopic repair of patients with high-grade (&gt;50%) PTRCT (subpopulation 1) due for completion in September 2020</w:t>
      </w:r>
      <w:r>
        <w:t xml:space="preserve"> </w:t>
      </w:r>
      <w:r w:rsidRPr="00B75EBC">
        <w:t xml:space="preserve">(REGEN PUB 2018, </w:t>
      </w:r>
      <w:hyperlink r:id="rId11" w:history="1">
        <w:r w:rsidRPr="00B75EBC">
          <w:rPr>
            <w:rStyle w:val="Hyperlink"/>
            <w:iCs/>
          </w:rPr>
          <w:t>NCT03734536</w:t>
        </w:r>
      </w:hyperlink>
      <w:r w:rsidRPr="00B75EBC">
        <w:t>)</w:t>
      </w:r>
      <w:r w:rsidRPr="000A1E0A">
        <w:t xml:space="preserve">. </w:t>
      </w:r>
      <w:r>
        <w:t xml:space="preserve">The </w:t>
      </w:r>
      <w:r w:rsidRPr="00A86F06">
        <w:t>primary outcome is the American Shoulder Elbow Surgeons (ASES)</w:t>
      </w:r>
      <w:r>
        <w:t xml:space="preserve"> score at 3 months following index surgery, with secondary outcomes including (but not limited to) ASES score up to 24 months, </w:t>
      </w:r>
      <w:r w:rsidRPr="000A1E0A">
        <w:t>Single Assessment Numeric Evaluation</w:t>
      </w:r>
      <w:r>
        <w:t xml:space="preserve"> (SANE) score up to 24 months, cumulative pain medication, incidence of revision surgery and aggregate healthcare utilisation costs.</w:t>
      </w:r>
    </w:p>
    <w:p w14:paraId="3C69DDE8" w14:textId="27781CCF" w:rsidR="00447BAB" w:rsidRDefault="00447BAB" w:rsidP="00885C08">
      <w:pPr>
        <w:spacing w:before="240"/>
      </w:pPr>
      <w:r>
        <w:t xml:space="preserve">In the pre-ESC response, the applicant advised that this trial </w:t>
      </w:r>
      <w:proofErr w:type="gramStart"/>
      <w:r>
        <w:t>is</w:t>
      </w:r>
      <w:proofErr w:type="gramEnd"/>
      <w:r>
        <w:t xml:space="preserve"> delayed due to enrolment issues.</w:t>
      </w:r>
      <w:r w:rsidRPr="00463DDD">
        <w:t xml:space="preserve"> </w:t>
      </w:r>
      <w:r>
        <w:t xml:space="preserve">First year results are expected </w:t>
      </w:r>
      <w:r w:rsidR="002B7008" w:rsidRPr="002B7008">
        <w:rPr>
          <w:b/>
        </w:rPr>
        <w:t>redacted</w:t>
      </w:r>
      <w:r>
        <w:t xml:space="preserve">. </w:t>
      </w:r>
    </w:p>
    <w:p w14:paraId="4472E22D" w14:textId="77777777" w:rsidR="00BC1364" w:rsidRPr="00F715D1" w:rsidRDefault="00C06B0B" w:rsidP="00F715D1">
      <w:pPr>
        <w:pStyle w:val="Heading1"/>
      </w:pPr>
      <w:r>
        <w:t>Applicant</w:t>
      </w:r>
      <w:r w:rsidR="00BC1364" w:rsidRPr="00F715D1">
        <w:t xml:space="preserve"> comments on MSAC’s </w:t>
      </w:r>
      <w:r w:rsidR="00DA56AA" w:rsidRPr="00F715D1">
        <w:t>Public Summary Document</w:t>
      </w:r>
    </w:p>
    <w:p w14:paraId="3E8BE85C" w14:textId="77777777" w:rsidR="0059604E" w:rsidRPr="003547AE" w:rsidRDefault="0059604E" w:rsidP="0059604E">
      <w:r w:rsidRPr="003547AE">
        <w:t xml:space="preserve">Smith &amp; Nephew is disappointed with the outcome from this MSAC evaluation of REGENETEN for Prostheses Listing given the need for a new treatment option in patients with symptomatic partial-thickness (PTRCT) or full-thickness rotator cuff tear (FTRCT) who have failed at least three months of conservative, non-surgical management and </w:t>
      </w:r>
      <w:proofErr w:type="gramStart"/>
      <w:r w:rsidRPr="003547AE">
        <w:t>are considered</w:t>
      </w:r>
      <w:proofErr w:type="gramEnd"/>
      <w:r w:rsidRPr="003547AE">
        <w:t xml:space="preserve"> eligible for surgical repair. Smith &amp; Nephew is committed to working with the Department of Health to achieve Prostheses Listing at the earliest opportunity to ensure that appropriate Australian patients with PTRCT or FTRCT can have timely and equitable access to REGENETEN in line with its TGA registration (effective July 2020).</w:t>
      </w:r>
    </w:p>
    <w:p w14:paraId="05A79A6F" w14:textId="77777777" w:rsidR="00BC1364" w:rsidRPr="00F715D1" w:rsidRDefault="00271F18" w:rsidP="00F715D1">
      <w:pPr>
        <w:pStyle w:val="Heading1"/>
      </w:pPr>
      <w:r w:rsidRPr="00F715D1">
        <w:t>Further information on MSAC</w:t>
      </w:r>
    </w:p>
    <w:p w14:paraId="09DC49D4" w14:textId="77777777" w:rsidR="00BC1364" w:rsidRPr="00F715D1" w:rsidRDefault="00271F18" w:rsidP="00F715D1">
      <w:pPr>
        <w:spacing w:after="240"/>
        <w:rPr>
          <w:szCs w:val="24"/>
        </w:rPr>
      </w:pPr>
      <w:r w:rsidRPr="00F715D1">
        <w:rPr>
          <w:szCs w:val="24"/>
        </w:rPr>
        <w:t xml:space="preserve">MSAC Terms of Reference and other </w:t>
      </w:r>
      <w:r w:rsidR="00BC1364" w:rsidRPr="00F715D1">
        <w:rPr>
          <w:szCs w:val="24"/>
        </w:rPr>
        <w:t xml:space="preserve">information </w:t>
      </w:r>
      <w:r w:rsidRPr="00F715D1">
        <w:rPr>
          <w:szCs w:val="24"/>
        </w:rPr>
        <w:t>are</w:t>
      </w:r>
      <w:r w:rsidR="00BC1364" w:rsidRPr="00F715D1">
        <w:rPr>
          <w:szCs w:val="24"/>
        </w:rPr>
        <w:t xml:space="preserve"> available on the MSAC Website: </w:t>
      </w:r>
      <w:r w:rsidR="00BC2667">
        <w:rPr>
          <w:szCs w:val="24"/>
        </w:rPr>
        <w:br/>
      </w:r>
      <w:hyperlink r:id="rId12" w:tooltip="Link to Medical Services Advisory Committee website" w:history="1">
        <w:r w:rsidR="00BC2667" w:rsidRPr="00F715D1">
          <w:rPr>
            <w:rStyle w:val="Hyperlink"/>
            <w:szCs w:val="24"/>
          </w:rPr>
          <w:t>visit the MSAC website</w:t>
        </w:r>
      </w:hyperlink>
    </w:p>
    <w:sectPr w:rsidR="00BC1364" w:rsidRPr="00F715D1" w:rsidSect="00271F18">
      <w:headerReference w:type="even" r:id="rId13"/>
      <w:headerReference w:type="default" r:id="rId14"/>
      <w:footerReference w:type="even" r:id="rId15"/>
      <w:footerReference w:type="default" r:id="rId16"/>
      <w:headerReference w:type="first" r:id="rId17"/>
      <w:footerReference w:type="first" r:id="rId18"/>
      <w:pgSz w:w="11906" w:h="16838"/>
      <w:pgMar w:top="1134" w:right="1440" w:bottom="42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60955" w16cex:dateUtc="2020-08-30T01: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89A671" w16cid:durableId="22F6095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85305" w14:textId="77777777" w:rsidR="004F6878" w:rsidRDefault="004F6878" w:rsidP="00065623">
      <w:r>
        <w:separator/>
      </w:r>
    </w:p>
  </w:endnote>
  <w:endnote w:type="continuationSeparator" w:id="0">
    <w:p w14:paraId="5FC42DD2" w14:textId="77777777" w:rsidR="004F6878" w:rsidRDefault="004F687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vPA183">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9394E" w14:textId="77777777" w:rsidR="004F6878" w:rsidRDefault="004F6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3507969"/>
      <w:docPartObj>
        <w:docPartGallery w:val="Page Numbers (Bottom of Page)"/>
        <w:docPartUnique/>
      </w:docPartObj>
    </w:sdtPr>
    <w:sdtEndPr>
      <w:rPr>
        <w:noProof/>
      </w:rPr>
    </w:sdtEndPr>
    <w:sdtContent>
      <w:p w14:paraId="325F230B" w14:textId="1B971F57" w:rsidR="004F6878" w:rsidRDefault="004F6878">
        <w:pPr>
          <w:pStyle w:val="Footer"/>
          <w:jc w:val="right"/>
        </w:pPr>
        <w:r>
          <w:fldChar w:fldCharType="begin"/>
        </w:r>
        <w:r>
          <w:instrText xml:space="preserve"> PAGE   \* MERGEFORMAT </w:instrText>
        </w:r>
        <w:r>
          <w:fldChar w:fldCharType="separate"/>
        </w:r>
        <w:r w:rsidR="00455942">
          <w:rPr>
            <w:noProof/>
          </w:rPr>
          <w:t>28</w:t>
        </w:r>
        <w:r>
          <w:rPr>
            <w:noProof/>
          </w:rPr>
          <w:fldChar w:fldCharType="end"/>
        </w:r>
      </w:p>
    </w:sdtContent>
  </w:sdt>
  <w:p w14:paraId="06D0295A" w14:textId="77777777" w:rsidR="004F6878" w:rsidRDefault="004F68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A9AA6" w14:textId="77777777" w:rsidR="004F6878" w:rsidRDefault="004F6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156CD" w14:textId="77777777" w:rsidR="004F6878" w:rsidRDefault="004F6878" w:rsidP="00065623">
      <w:r>
        <w:separator/>
      </w:r>
    </w:p>
  </w:footnote>
  <w:footnote w:type="continuationSeparator" w:id="0">
    <w:p w14:paraId="6E2DD6CE" w14:textId="77777777" w:rsidR="004F6878" w:rsidRDefault="004F6878" w:rsidP="00065623">
      <w:r>
        <w:continuationSeparator/>
      </w:r>
    </w:p>
  </w:footnote>
  <w:footnote w:id="1">
    <w:p w14:paraId="65AB5261" w14:textId="158A986D" w:rsidR="004F6878" w:rsidRDefault="004F6878">
      <w:pPr>
        <w:pStyle w:val="FootnoteText"/>
      </w:pPr>
      <w:r>
        <w:rPr>
          <w:rStyle w:val="FootnoteReference"/>
        </w:rPr>
        <w:footnoteRef/>
      </w:r>
      <w:r>
        <w:t xml:space="preserve"> </w:t>
      </w:r>
      <w:r w:rsidRPr="00C51F6C">
        <w:t xml:space="preserve">Russell RD, Knight JR, Mulligan E, </w:t>
      </w:r>
      <w:proofErr w:type="spellStart"/>
      <w:r w:rsidRPr="00C51F6C">
        <w:t>Khazzam</w:t>
      </w:r>
      <w:proofErr w:type="spellEnd"/>
      <w:r w:rsidRPr="00C51F6C">
        <w:t xml:space="preserve"> MS. Structural integrity after rotator cuff repair does not correlate with patient function and pain: a meta-analysis. JBJS. 2014 Feb 19</w:t>
      </w:r>
      <w:proofErr w:type="gramStart"/>
      <w:r w:rsidRPr="00C51F6C">
        <w:t>;96</w:t>
      </w:r>
      <w:proofErr w:type="gramEnd"/>
      <w:r w:rsidRPr="00C51F6C">
        <w:t>(4):265-71.</w:t>
      </w:r>
    </w:p>
  </w:footnote>
  <w:footnote w:id="2">
    <w:p w14:paraId="132BCF0A" w14:textId="2C8412CD" w:rsidR="004F6878" w:rsidRDefault="004F6878">
      <w:pPr>
        <w:pStyle w:val="FootnoteText"/>
      </w:pPr>
      <w:r>
        <w:rPr>
          <w:rStyle w:val="FootnoteReference"/>
        </w:rPr>
        <w:footnoteRef/>
      </w:r>
      <w:r>
        <w:t xml:space="preserve"> </w:t>
      </w:r>
      <w:proofErr w:type="spellStart"/>
      <w:r w:rsidRPr="0036256C">
        <w:t>Karjalainen</w:t>
      </w:r>
      <w:proofErr w:type="spellEnd"/>
      <w:r w:rsidRPr="0036256C">
        <w:t xml:space="preserve"> TV, Jain NB, Page CM, </w:t>
      </w:r>
      <w:proofErr w:type="spellStart"/>
      <w:r w:rsidRPr="0036256C">
        <w:t>Lähdeoja</w:t>
      </w:r>
      <w:proofErr w:type="spellEnd"/>
      <w:r w:rsidRPr="0036256C">
        <w:t xml:space="preserve"> TA, Johnston RV, </w:t>
      </w:r>
      <w:proofErr w:type="spellStart"/>
      <w:r w:rsidRPr="0036256C">
        <w:t>Salamh</w:t>
      </w:r>
      <w:proofErr w:type="spellEnd"/>
      <w:r w:rsidRPr="0036256C">
        <w:t xml:space="preserve"> P, </w:t>
      </w:r>
      <w:proofErr w:type="spellStart"/>
      <w:r w:rsidRPr="0036256C">
        <w:t>Kavaja</w:t>
      </w:r>
      <w:proofErr w:type="spellEnd"/>
      <w:r w:rsidRPr="0036256C">
        <w:t xml:space="preserve"> L, </w:t>
      </w:r>
      <w:proofErr w:type="spellStart"/>
      <w:r w:rsidRPr="0036256C">
        <w:t>Ardern</w:t>
      </w:r>
      <w:proofErr w:type="spellEnd"/>
      <w:r w:rsidRPr="0036256C">
        <w:t xml:space="preserve"> CL, Agarwal A, </w:t>
      </w:r>
      <w:proofErr w:type="spellStart"/>
      <w:r w:rsidRPr="0036256C">
        <w:t>Vandvik</w:t>
      </w:r>
      <w:proofErr w:type="spellEnd"/>
      <w:r w:rsidRPr="0036256C">
        <w:t xml:space="preserve"> PO, </w:t>
      </w:r>
      <w:proofErr w:type="spellStart"/>
      <w:r w:rsidRPr="0036256C">
        <w:t>Buchbinder</w:t>
      </w:r>
      <w:proofErr w:type="spellEnd"/>
      <w:r w:rsidRPr="0036256C">
        <w:t xml:space="preserve"> R. </w:t>
      </w:r>
      <w:proofErr w:type="spellStart"/>
      <w:r w:rsidRPr="0036256C">
        <w:t>Subacromial</w:t>
      </w:r>
      <w:proofErr w:type="spellEnd"/>
      <w:r w:rsidRPr="0036256C">
        <w:t xml:space="preserve"> decompression surgery for rotator cuff disease. Cochrane Database of Systematic Reviews. 2019(1).</w:t>
      </w:r>
    </w:p>
  </w:footnote>
  <w:footnote w:id="3">
    <w:p w14:paraId="418BC34C" w14:textId="7F56C74F" w:rsidR="004F6878" w:rsidRDefault="004F6878">
      <w:pPr>
        <w:pStyle w:val="FootnoteText"/>
      </w:pPr>
      <w:r>
        <w:rPr>
          <w:rStyle w:val="FootnoteReference"/>
        </w:rPr>
        <w:footnoteRef/>
      </w:r>
      <w:r>
        <w:t xml:space="preserve"> </w:t>
      </w:r>
      <w:proofErr w:type="spellStart"/>
      <w:r w:rsidRPr="00F9230A">
        <w:t>Karjalainen</w:t>
      </w:r>
      <w:proofErr w:type="spellEnd"/>
      <w:r w:rsidRPr="00F9230A">
        <w:t xml:space="preserve"> TV, Jain NB, </w:t>
      </w:r>
      <w:proofErr w:type="spellStart"/>
      <w:r w:rsidRPr="00F9230A">
        <w:t>Heikkinen</w:t>
      </w:r>
      <w:proofErr w:type="spellEnd"/>
      <w:r w:rsidRPr="00F9230A">
        <w:t xml:space="preserve"> J, Johnston RV, Page CM, </w:t>
      </w:r>
      <w:proofErr w:type="spellStart"/>
      <w:r w:rsidRPr="00F9230A">
        <w:t>Buchbinder</w:t>
      </w:r>
      <w:proofErr w:type="spellEnd"/>
      <w:r w:rsidRPr="00F9230A">
        <w:t xml:space="preserve"> R. Surgery for rotator cuff tears. Cochrane Database of Systematic Reviews. </w:t>
      </w:r>
      <w:proofErr w:type="gramStart"/>
      <w:r w:rsidRPr="00F9230A">
        <w:t>2019</w:t>
      </w:r>
      <w:proofErr w:type="gramEnd"/>
      <w:r w:rsidRPr="00F9230A">
        <w:t>(12).</w:t>
      </w:r>
    </w:p>
  </w:footnote>
  <w:footnote w:id="4">
    <w:p w14:paraId="6DB74476" w14:textId="77777777" w:rsidR="004F6878" w:rsidRDefault="004F6878" w:rsidP="00EB359F">
      <w:pPr>
        <w:pStyle w:val="FootnoteText"/>
      </w:pPr>
      <w:r>
        <w:rPr>
          <w:rStyle w:val="FootnoteReference"/>
        </w:rPr>
        <w:footnoteRef/>
      </w:r>
      <w:r>
        <w:t xml:space="preserve"> The ADAR stated of these, MBS item 48960 is the most applicable item given it refers to arthroscopic repair.</w:t>
      </w:r>
    </w:p>
  </w:footnote>
  <w:footnote w:id="5">
    <w:p w14:paraId="0BCF195C" w14:textId="77777777" w:rsidR="004F6878" w:rsidRDefault="004F6878" w:rsidP="00447BAB">
      <w:pPr>
        <w:pStyle w:val="FootnoteText"/>
      </w:pPr>
      <w:r w:rsidRPr="00A67731">
        <w:rPr>
          <w:rStyle w:val="FootnoteReference"/>
        </w:rPr>
        <w:footnoteRef/>
      </w:r>
      <w:r w:rsidRPr="00A67731">
        <w:t xml:space="preserve"> Sher, J. S., J. W. Uribe, A. Posada, B. J. Murphy and M. B. </w:t>
      </w:r>
      <w:proofErr w:type="spellStart"/>
      <w:r w:rsidRPr="00A67731">
        <w:t>Zlatkin</w:t>
      </w:r>
      <w:proofErr w:type="spellEnd"/>
      <w:r w:rsidRPr="00A67731">
        <w:t xml:space="preserve"> (1995). "Abnormal findings on magnetic resonance images of asymptomatic shoulders." J Bone Joint </w:t>
      </w:r>
      <w:proofErr w:type="spellStart"/>
      <w:r w:rsidRPr="00A67731">
        <w:t>Surg</w:t>
      </w:r>
      <w:proofErr w:type="spellEnd"/>
      <w:r w:rsidRPr="00A67731">
        <w:t xml:space="preserve"> Am 77(1): 10-15.</w:t>
      </w:r>
    </w:p>
  </w:footnote>
  <w:footnote w:id="6">
    <w:p w14:paraId="230C9EF0" w14:textId="77777777" w:rsidR="004F6878" w:rsidRDefault="004F6878" w:rsidP="00447BAB">
      <w:pPr>
        <w:pStyle w:val="FootnoteText"/>
      </w:pPr>
      <w:r>
        <w:rPr>
          <w:rStyle w:val="FootnoteReference"/>
        </w:rPr>
        <w:footnoteRef/>
      </w:r>
      <w:r>
        <w:t xml:space="preserve"> </w:t>
      </w:r>
      <w:proofErr w:type="spellStart"/>
      <w:r w:rsidRPr="00FB6A0A">
        <w:t>Denkers</w:t>
      </w:r>
      <w:proofErr w:type="spellEnd"/>
      <w:r w:rsidRPr="00FB6A0A">
        <w:t xml:space="preserve">, M., K. </w:t>
      </w:r>
      <w:proofErr w:type="spellStart"/>
      <w:r w:rsidRPr="00FB6A0A">
        <w:t>Pletsch</w:t>
      </w:r>
      <w:proofErr w:type="spellEnd"/>
      <w:r w:rsidRPr="00FB6A0A">
        <w:t xml:space="preserve"> and R. </w:t>
      </w:r>
      <w:proofErr w:type="spellStart"/>
      <w:r w:rsidRPr="00FB6A0A">
        <w:t>Boorman</w:t>
      </w:r>
      <w:proofErr w:type="spellEnd"/>
      <w:r w:rsidRPr="00FB6A0A">
        <w:t xml:space="preserve"> (2012). Partial thickness rotator cuff tears: observe or operative. . Proceedings of the American Academy of Orthopaedic Surgeons Annual Meeting. San Francisco, </w:t>
      </w:r>
      <w:proofErr w:type="spellStart"/>
      <w:r w:rsidRPr="00FB6A0A">
        <w:t>Calif</w:t>
      </w:r>
      <w:proofErr w:type="spellEnd"/>
      <w:r w:rsidRPr="00FB6A0A">
        <w:t>, USA.</w:t>
      </w:r>
    </w:p>
  </w:footnote>
  <w:footnote w:id="7">
    <w:p w14:paraId="363A1FBA" w14:textId="77777777" w:rsidR="004F6878" w:rsidRDefault="004F6878" w:rsidP="00447BAB">
      <w:pPr>
        <w:pStyle w:val="FootnoteText"/>
      </w:pPr>
      <w:r>
        <w:rPr>
          <w:rStyle w:val="FootnoteReference"/>
        </w:rPr>
        <w:footnoteRef/>
      </w:r>
      <w:r>
        <w:t xml:space="preserve"> </w:t>
      </w:r>
      <w:r w:rsidRPr="004D5A62">
        <w:t xml:space="preserve">Yamanaka, K. and H. Fukuda (1987). </w:t>
      </w:r>
      <w:proofErr w:type="gramStart"/>
      <w:r w:rsidRPr="004D5A62">
        <w:t>" Pathological</w:t>
      </w:r>
      <w:proofErr w:type="gramEnd"/>
      <w:r w:rsidRPr="004D5A62">
        <w:t xml:space="preserve"> studies of the supraspinatus tendon with reference to incomplete thickness tear." </w:t>
      </w:r>
      <w:proofErr w:type="spellStart"/>
      <w:r w:rsidRPr="004D5A62">
        <w:t>Katakansetsu</w:t>
      </w:r>
      <w:proofErr w:type="spellEnd"/>
      <w:r w:rsidRPr="004D5A62">
        <w:t xml:space="preserve"> 11(1): 98-102. .</w:t>
      </w:r>
    </w:p>
  </w:footnote>
  <w:footnote w:id="8">
    <w:p w14:paraId="6EDFE16F" w14:textId="77777777" w:rsidR="004F6878" w:rsidRDefault="004F6878" w:rsidP="00E772A0">
      <w:pPr>
        <w:pStyle w:val="FootnoteText"/>
      </w:pPr>
      <w:r>
        <w:rPr>
          <w:rStyle w:val="FootnoteReference"/>
        </w:rPr>
        <w:footnoteRef/>
      </w:r>
      <w:r>
        <w:t xml:space="preserve"> </w:t>
      </w:r>
      <w:proofErr w:type="spellStart"/>
      <w:r w:rsidRPr="00633181">
        <w:t>Bokor</w:t>
      </w:r>
      <w:proofErr w:type="spellEnd"/>
      <w:r w:rsidRPr="00633181">
        <w:t xml:space="preserve">, D. J., D. </w:t>
      </w:r>
      <w:proofErr w:type="spellStart"/>
      <w:r w:rsidRPr="00633181">
        <w:t>Sonnabend</w:t>
      </w:r>
      <w:proofErr w:type="spellEnd"/>
      <w:r w:rsidRPr="00633181">
        <w:t xml:space="preserve">, L. </w:t>
      </w:r>
      <w:proofErr w:type="spellStart"/>
      <w:r w:rsidRPr="00633181">
        <w:t>Deady</w:t>
      </w:r>
      <w:proofErr w:type="spellEnd"/>
      <w:r w:rsidRPr="00633181">
        <w:t xml:space="preserve">, B. Cass, A. Young, C. Van </w:t>
      </w:r>
      <w:proofErr w:type="spellStart"/>
      <w:r w:rsidRPr="00633181">
        <w:t>Kampen</w:t>
      </w:r>
      <w:proofErr w:type="spellEnd"/>
      <w:r w:rsidRPr="00633181">
        <w:t xml:space="preserve"> and S. </w:t>
      </w:r>
      <w:proofErr w:type="spellStart"/>
      <w:r w:rsidRPr="00633181">
        <w:t>Arnoczky</w:t>
      </w:r>
      <w:proofErr w:type="spellEnd"/>
      <w:r w:rsidRPr="00633181">
        <w:t xml:space="preserve"> (2016). "Evidence of healing of partial-thickness rotator cuff tears following arthroscopic augmentation with a collagen implant: a 2-year MRI follow-up." Muscles Ligaments Tendons J 6(1): 16-25.</w:t>
      </w:r>
    </w:p>
  </w:footnote>
  <w:footnote w:id="9">
    <w:p w14:paraId="1DD84860" w14:textId="77777777" w:rsidR="004F6878" w:rsidRDefault="004F6878" w:rsidP="00E772A0">
      <w:pPr>
        <w:pStyle w:val="FootnoteText"/>
      </w:pPr>
      <w:r>
        <w:rPr>
          <w:rStyle w:val="FootnoteReference"/>
        </w:rPr>
        <w:footnoteRef/>
      </w:r>
      <w:r>
        <w:t xml:space="preserve"> </w:t>
      </w:r>
      <w:r w:rsidRPr="00633181">
        <w:t xml:space="preserve">Schlegel, T. F., J. S. Abrams, B. D. Bushnell, J. L. Brock and C. P. </w:t>
      </w:r>
      <w:proofErr w:type="spellStart"/>
      <w:r w:rsidRPr="00633181">
        <w:t>Ho</w:t>
      </w:r>
      <w:proofErr w:type="spellEnd"/>
      <w:r w:rsidRPr="00633181">
        <w:t xml:space="preserve"> (2018). "Radiologic and clinical evaluation of a </w:t>
      </w:r>
      <w:proofErr w:type="spellStart"/>
      <w:r w:rsidRPr="00633181">
        <w:t>bioabsorbable</w:t>
      </w:r>
      <w:proofErr w:type="spellEnd"/>
      <w:r w:rsidRPr="00633181">
        <w:t xml:space="preserve"> collagen implant to treat partial-thickness tears: a prospective </w:t>
      </w:r>
      <w:proofErr w:type="spellStart"/>
      <w:r w:rsidRPr="00633181">
        <w:t>multicenter</w:t>
      </w:r>
      <w:proofErr w:type="spellEnd"/>
      <w:r w:rsidRPr="00633181">
        <w:t xml:space="preserve"> study." Journal of Shoulder and Elbow Surgery 27(2): 242-251.</w:t>
      </w:r>
    </w:p>
  </w:footnote>
  <w:footnote w:id="10">
    <w:p w14:paraId="0D5D57D4" w14:textId="77777777" w:rsidR="004F6878" w:rsidRDefault="004F6878" w:rsidP="00E772A0">
      <w:pPr>
        <w:pStyle w:val="FootnoteText"/>
      </w:pPr>
      <w:r>
        <w:rPr>
          <w:rStyle w:val="FootnoteReference"/>
        </w:rPr>
        <w:footnoteRef/>
      </w:r>
      <w:r>
        <w:t xml:space="preserve"> </w:t>
      </w:r>
      <w:proofErr w:type="spellStart"/>
      <w:r w:rsidRPr="00633181">
        <w:t>Bokor</w:t>
      </w:r>
      <w:proofErr w:type="spellEnd"/>
      <w:r w:rsidRPr="00633181">
        <w:t xml:space="preserve">, D. J., D. </w:t>
      </w:r>
      <w:proofErr w:type="spellStart"/>
      <w:r w:rsidRPr="00633181">
        <w:t>Sonnabend</w:t>
      </w:r>
      <w:proofErr w:type="spellEnd"/>
      <w:r w:rsidRPr="00633181">
        <w:t xml:space="preserve">, L. </w:t>
      </w:r>
      <w:proofErr w:type="spellStart"/>
      <w:r w:rsidRPr="00633181">
        <w:t>Deady</w:t>
      </w:r>
      <w:proofErr w:type="spellEnd"/>
      <w:r w:rsidRPr="00633181">
        <w:t xml:space="preserve">, B. Cass, A. Young, C. Van </w:t>
      </w:r>
      <w:proofErr w:type="spellStart"/>
      <w:r w:rsidRPr="00633181">
        <w:t>Kampen</w:t>
      </w:r>
      <w:proofErr w:type="spellEnd"/>
      <w:r w:rsidRPr="00633181">
        <w:t xml:space="preserve"> and S. </w:t>
      </w:r>
      <w:proofErr w:type="spellStart"/>
      <w:r w:rsidRPr="00633181">
        <w:t>Arnoczky</w:t>
      </w:r>
      <w:proofErr w:type="spellEnd"/>
      <w:r w:rsidRPr="00633181">
        <w:t xml:space="preserve"> (2015). "Preliminary investigation of a biological augmentation of rotator cuff repairs using a collagen implant: a 2-year MRI follow-up." Muscles Ligaments Tendons J 5(3): 144-150.</w:t>
      </w:r>
    </w:p>
  </w:footnote>
  <w:footnote w:id="11">
    <w:p w14:paraId="50FF2865" w14:textId="77777777" w:rsidR="004F6878" w:rsidRDefault="004F6878" w:rsidP="00E772A0">
      <w:pPr>
        <w:pStyle w:val="FootnoteText"/>
      </w:pPr>
      <w:r>
        <w:rPr>
          <w:rStyle w:val="FootnoteReference"/>
        </w:rPr>
        <w:footnoteRef/>
      </w:r>
      <w:r>
        <w:t xml:space="preserve"> </w:t>
      </w:r>
      <w:r w:rsidRPr="00633181">
        <w:t xml:space="preserve">Thon, S. G., L. O'Malley, M. J. O'Brien and F. H. </w:t>
      </w:r>
      <w:proofErr w:type="spellStart"/>
      <w:r w:rsidRPr="00633181">
        <w:t>Savoie</w:t>
      </w:r>
      <w:proofErr w:type="spellEnd"/>
      <w:r w:rsidRPr="00633181">
        <w:t xml:space="preserve"> (2019). "Evaluation of Healing Rates and Safety </w:t>
      </w:r>
      <w:proofErr w:type="gramStart"/>
      <w:r w:rsidRPr="00633181">
        <w:t>With</w:t>
      </w:r>
      <w:proofErr w:type="gramEnd"/>
      <w:r w:rsidRPr="00633181">
        <w:t xml:space="preserve"> a </w:t>
      </w:r>
      <w:proofErr w:type="spellStart"/>
      <w:r w:rsidRPr="00633181">
        <w:t>Bioinductive</w:t>
      </w:r>
      <w:proofErr w:type="spellEnd"/>
      <w:r w:rsidRPr="00633181">
        <w:t xml:space="preserve"> Collagen Patch for Large and Massive Rotator Cuff Tears: 2-Year Safety and Clinical Outcomes." The American journal of sports medicine 47(8): 1901-1908.</w:t>
      </w:r>
    </w:p>
  </w:footnote>
  <w:footnote w:id="12">
    <w:p w14:paraId="67BD965C" w14:textId="77777777" w:rsidR="004F6878" w:rsidRDefault="004F6878" w:rsidP="00E772A0">
      <w:pPr>
        <w:pStyle w:val="FootnoteText"/>
      </w:pPr>
      <w:r>
        <w:rPr>
          <w:rStyle w:val="FootnoteReference"/>
        </w:rPr>
        <w:footnoteRef/>
      </w:r>
      <w:r>
        <w:t xml:space="preserve"> </w:t>
      </w:r>
      <w:r w:rsidRPr="00633181">
        <w:t xml:space="preserve">McIntyre, L. F., B. D. Bushnell, S. W. </w:t>
      </w:r>
      <w:proofErr w:type="spellStart"/>
      <w:r w:rsidRPr="00633181">
        <w:t>Trenhaile</w:t>
      </w:r>
      <w:proofErr w:type="spellEnd"/>
      <w:r w:rsidRPr="00633181">
        <w:t xml:space="preserve"> and P. B. Brown (2018). "Partial and Full Thickness Rotator Cuff Repair with </w:t>
      </w:r>
      <w:proofErr w:type="spellStart"/>
      <w:r w:rsidRPr="00633181">
        <w:t>Bioinductive</w:t>
      </w:r>
      <w:proofErr w:type="spellEnd"/>
      <w:r w:rsidRPr="00633181">
        <w:t xml:space="preserve"> Implants." Arthroscopy - Journal of Arthroscopic and Related Surgery 34(12): e5.</w:t>
      </w:r>
    </w:p>
  </w:footnote>
  <w:footnote w:id="13">
    <w:p w14:paraId="6F3E484C" w14:textId="77777777" w:rsidR="004F6878" w:rsidRDefault="004F6878" w:rsidP="00E772A0">
      <w:pPr>
        <w:pStyle w:val="FootnoteText"/>
      </w:pPr>
      <w:r>
        <w:rPr>
          <w:rStyle w:val="FootnoteReference"/>
        </w:rPr>
        <w:footnoteRef/>
      </w:r>
      <w:r>
        <w:t xml:space="preserve"> </w:t>
      </w:r>
      <w:r w:rsidRPr="00BC1661">
        <w:t xml:space="preserve">Bucher, HC, </w:t>
      </w:r>
      <w:proofErr w:type="spellStart"/>
      <w:r w:rsidRPr="00BC1661">
        <w:t>Guyatt</w:t>
      </w:r>
      <w:proofErr w:type="spellEnd"/>
      <w:r w:rsidRPr="00BC1661">
        <w:t xml:space="preserve">, GH, Griffith, LE &amp; Walter, SD. 1997. ‘The results of direct and indirect treatment comparisons in meta-analysis of randomized controlled trials’, J </w:t>
      </w:r>
      <w:proofErr w:type="spellStart"/>
      <w:r w:rsidRPr="00BC1661">
        <w:t>Clin</w:t>
      </w:r>
      <w:proofErr w:type="spellEnd"/>
      <w:r w:rsidRPr="00BC1661">
        <w:t xml:space="preserve"> </w:t>
      </w:r>
      <w:proofErr w:type="spellStart"/>
      <w:r w:rsidRPr="00BC1661">
        <w:t>Epidemiol</w:t>
      </w:r>
      <w:proofErr w:type="spellEnd"/>
      <w:r w:rsidRPr="00BC1661">
        <w:t>, vol. 50, no. 6, Jun, pp. 683-691.</w:t>
      </w:r>
    </w:p>
  </w:footnote>
  <w:footnote w:id="14">
    <w:p w14:paraId="436875A2" w14:textId="77777777" w:rsidR="004F6878" w:rsidRDefault="004F6878" w:rsidP="00E772A0">
      <w:pPr>
        <w:pStyle w:val="FootnoteText"/>
      </w:pPr>
      <w:r>
        <w:rPr>
          <w:rStyle w:val="FootnoteReference"/>
        </w:rPr>
        <w:footnoteRef/>
      </w:r>
      <w:r>
        <w:t xml:space="preserve"> </w:t>
      </w:r>
      <w:proofErr w:type="spellStart"/>
      <w:r w:rsidRPr="00633181">
        <w:t>Bokor</w:t>
      </w:r>
      <w:proofErr w:type="spellEnd"/>
      <w:r w:rsidRPr="00633181">
        <w:t xml:space="preserve">, D. J., D. H. </w:t>
      </w:r>
      <w:proofErr w:type="spellStart"/>
      <w:r w:rsidRPr="00633181">
        <w:t>Sonnabend</w:t>
      </w:r>
      <w:proofErr w:type="spellEnd"/>
      <w:r w:rsidRPr="00633181">
        <w:t xml:space="preserve">, L. </w:t>
      </w:r>
      <w:proofErr w:type="spellStart"/>
      <w:r w:rsidRPr="00633181">
        <w:t>Deady</w:t>
      </w:r>
      <w:proofErr w:type="spellEnd"/>
      <w:r w:rsidRPr="00633181">
        <w:t xml:space="preserve">, B. Cass, A. A. Young, C. L. Van </w:t>
      </w:r>
      <w:proofErr w:type="spellStart"/>
      <w:r w:rsidRPr="00633181">
        <w:t>Kampen</w:t>
      </w:r>
      <w:proofErr w:type="spellEnd"/>
      <w:r w:rsidRPr="00633181">
        <w:t xml:space="preserve"> and S. P. </w:t>
      </w:r>
      <w:proofErr w:type="spellStart"/>
      <w:r w:rsidRPr="00633181">
        <w:t>Arnoczky</w:t>
      </w:r>
      <w:proofErr w:type="spellEnd"/>
      <w:r w:rsidRPr="00633181">
        <w:t xml:space="preserve"> (2019). "Healing of partial-thickness rotator cuff tears following arthroscopic augmentation with a highly-porous collagen implant: a 5-year clinical and MRI follow-up." Muscles, Ligaments and Tendons Journal 9(3): 338-347.</w:t>
      </w:r>
    </w:p>
  </w:footnote>
  <w:footnote w:id="15">
    <w:p w14:paraId="1975A298" w14:textId="77777777" w:rsidR="004F6878" w:rsidRDefault="004F6878" w:rsidP="00E772A0">
      <w:pPr>
        <w:pStyle w:val="FootnoteText"/>
      </w:pPr>
      <w:r>
        <w:rPr>
          <w:rStyle w:val="FootnoteReference"/>
        </w:rPr>
        <w:footnoteRef/>
      </w:r>
      <w:r>
        <w:t xml:space="preserve"> </w:t>
      </w:r>
      <w:proofErr w:type="spellStart"/>
      <w:r w:rsidRPr="00297FBE">
        <w:t>Cvetanovich</w:t>
      </w:r>
      <w:proofErr w:type="spellEnd"/>
      <w:r w:rsidRPr="00297FBE">
        <w:t xml:space="preserve">, G. L., A. K. </w:t>
      </w:r>
      <w:proofErr w:type="spellStart"/>
      <w:r w:rsidRPr="00297FBE">
        <w:t>Gowd</w:t>
      </w:r>
      <w:proofErr w:type="spellEnd"/>
      <w:r w:rsidRPr="00297FBE">
        <w:t xml:space="preserve">, J. N. Liu, B. U. </w:t>
      </w:r>
      <w:proofErr w:type="spellStart"/>
      <w:r w:rsidRPr="00297FBE">
        <w:t>Nwachukwu</w:t>
      </w:r>
      <w:proofErr w:type="spellEnd"/>
      <w:r w:rsidRPr="00297FBE">
        <w:t xml:space="preserve">, B. C. </w:t>
      </w:r>
      <w:proofErr w:type="spellStart"/>
      <w:r w:rsidRPr="00297FBE">
        <w:t>Cabarcas</w:t>
      </w:r>
      <w:proofErr w:type="spellEnd"/>
      <w:r w:rsidRPr="00297FBE">
        <w:t xml:space="preserve">, B. J. Cole, B. Forsythe, A. A. Romeo and N. N. </w:t>
      </w:r>
      <w:proofErr w:type="spellStart"/>
      <w:r w:rsidRPr="00297FBE">
        <w:t>Verma</w:t>
      </w:r>
      <w:proofErr w:type="spellEnd"/>
      <w:r w:rsidRPr="00297FBE">
        <w:t xml:space="preserve"> (2019). "Establishing clinically significant outcome after arthroscopic rotator cuff repair." J Shoulder Elbow </w:t>
      </w:r>
      <w:proofErr w:type="spellStart"/>
      <w:r w:rsidRPr="00297FBE">
        <w:t>Surg</w:t>
      </w:r>
      <w:proofErr w:type="spellEnd"/>
      <w:r w:rsidRPr="00297FBE">
        <w:t xml:space="preserve"> 28(5): 939-948.</w:t>
      </w:r>
    </w:p>
  </w:footnote>
  <w:footnote w:id="16">
    <w:p w14:paraId="50EB536C" w14:textId="77777777" w:rsidR="004F6878" w:rsidRPr="008869FA" w:rsidRDefault="004F6878" w:rsidP="00E772A0">
      <w:pPr>
        <w:pStyle w:val="FootnoteText"/>
        <w:rPr>
          <w:lang w:val="nl-NL"/>
        </w:rPr>
      </w:pPr>
      <w:r>
        <w:rPr>
          <w:rStyle w:val="FootnoteReference"/>
        </w:rPr>
        <w:footnoteRef/>
      </w:r>
      <w:r>
        <w:t xml:space="preserve"> </w:t>
      </w:r>
      <w:proofErr w:type="spellStart"/>
      <w:r w:rsidRPr="00297FBE">
        <w:t>Tashjian</w:t>
      </w:r>
      <w:proofErr w:type="spellEnd"/>
      <w:r w:rsidRPr="00297FBE">
        <w:t xml:space="preserve">, R. Z., J. </w:t>
      </w:r>
      <w:proofErr w:type="spellStart"/>
      <w:r w:rsidRPr="00297FBE">
        <w:t>Deloach</w:t>
      </w:r>
      <w:proofErr w:type="spellEnd"/>
      <w:r w:rsidRPr="00297FBE">
        <w:t xml:space="preserve">, C. A. </w:t>
      </w:r>
      <w:proofErr w:type="spellStart"/>
      <w:r w:rsidRPr="00297FBE">
        <w:t>Porucznik</w:t>
      </w:r>
      <w:proofErr w:type="spellEnd"/>
      <w:r w:rsidRPr="00297FBE">
        <w:t xml:space="preserve"> and A. P. Powell (2009). "Minimal clinically important differences (MCID) and patient acceptable symptomatic state (PASS) for visual </w:t>
      </w:r>
      <w:proofErr w:type="spellStart"/>
      <w:r w:rsidRPr="00297FBE">
        <w:t>analog</w:t>
      </w:r>
      <w:proofErr w:type="spellEnd"/>
      <w:r w:rsidRPr="00297FBE">
        <w:t xml:space="preserve"> scales (VAS) measuring pain in patients treated for rotator cuff disease." </w:t>
      </w:r>
      <w:r w:rsidRPr="008869FA">
        <w:rPr>
          <w:lang w:val="nl-NL"/>
        </w:rPr>
        <w:t>J Shoulder Elbow Surg 18(6): 927-932.</w:t>
      </w:r>
    </w:p>
  </w:footnote>
  <w:footnote w:id="17">
    <w:p w14:paraId="6EEC2488" w14:textId="77777777" w:rsidR="004F6878" w:rsidRDefault="004F6878" w:rsidP="00E772A0">
      <w:pPr>
        <w:pStyle w:val="FootnoteText"/>
      </w:pPr>
      <w:r>
        <w:rPr>
          <w:rStyle w:val="FootnoteReference"/>
        </w:rPr>
        <w:footnoteRef/>
      </w:r>
      <w:r w:rsidRPr="008869FA">
        <w:rPr>
          <w:lang w:val="nl-NL"/>
        </w:rPr>
        <w:t xml:space="preserve"> </w:t>
      </w:r>
      <w:r w:rsidRPr="008869FA">
        <w:rPr>
          <w:lang w:val="nl-NL"/>
        </w:rPr>
        <w:t xml:space="preserve">Kukkonen, </w:t>
      </w:r>
      <w:r w:rsidRPr="008869FA">
        <w:rPr>
          <w:lang w:val="nl-NL"/>
        </w:rPr>
        <w:t xml:space="preserve">J., A. Joukainen, J. Lehtinen, K. T. Mattila, E. K. Tuominen, T. Kauko and V. Aarimaa (2014). </w:t>
      </w:r>
      <w:r w:rsidRPr="00297FBE">
        <w:t>"Treatment of non-traumatic rotator cuff tears: A randomised controlled trial with one-year clinical results." Bone Joint J 96-</w:t>
      </w:r>
      <w:proofErr w:type="gramStart"/>
      <w:r w:rsidRPr="00297FBE">
        <w:t>B(</w:t>
      </w:r>
      <w:proofErr w:type="gramEnd"/>
      <w:r w:rsidRPr="00297FBE">
        <w:t>1): 75-81.</w:t>
      </w:r>
    </w:p>
  </w:footnote>
  <w:footnote w:id="18">
    <w:p w14:paraId="74426E7D" w14:textId="77777777" w:rsidR="004F6878" w:rsidRDefault="004F6878" w:rsidP="00E772A0">
      <w:pPr>
        <w:pStyle w:val="FootnoteText"/>
      </w:pPr>
      <w:r>
        <w:rPr>
          <w:rStyle w:val="FootnoteReference"/>
        </w:rPr>
        <w:footnoteRef/>
      </w:r>
      <w:r>
        <w:t xml:space="preserve"> The term re-</w:t>
      </w:r>
      <w:r w:rsidRPr="00F91385">
        <w:t>tear was defined for this analysis as a full thickness defect in the index shoulder during follow-up</w:t>
      </w:r>
      <w:r>
        <w:t xml:space="preserve"> </w:t>
      </w:r>
      <w:r w:rsidRPr="00F91385">
        <w:t xml:space="preserve">diagnosed using </w:t>
      </w:r>
      <w:r>
        <w:t>magnetic resonance imaging (</w:t>
      </w:r>
      <w:r w:rsidRPr="00F91385">
        <w:t>MRI</w:t>
      </w:r>
      <w:r>
        <w:t>)</w:t>
      </w:r>
      <w:r w:rsidRPr="00F91385">
        <w:t xml:space="preserve"> or </w:t>
      </w:r>
      <w:r>
        <w:t>ultrasound imaging (</w:t>
      </w:r>
      <w:r w:rsidRPr="00F91385">
        <w:t>US</w:t>
      </w:r>
      <w:r>
        <w:t>)</w:t>
      </w:r>
    </w:p>
  </w:footnote>
  <w:footnote w:id="19">
    <w:p w14:paraId="33959FA1" w14:textId="77777777" w:rsidR="004F6878" w:rsidRDefault="004F6878" w:rsidP="00E772A0">
      <w:pPr>
        <w:pStyle w:val="FootnoteText"/>
      </w:pPr>
      <w:r>
        <w:rPr>
          <w:rStyle w:val="FootnoteReference"/>
        </w:rPr>
        <w:footnoteRef/>
      </w:r>
      <w:r>
        <w:t xml:space="preserve"> </w:t>
      </w:r>
      <w:r w:rsidRPr="00F91385">
        <w:t>The term “incomplete healing” defined as a failure to achieve full thickness in all repaired tendons (partial and full thickness defects observed in follow-up).</w:t>
      </w:r>
      <w:r>
        <w:t xml:space="preserve"> This included mentions in the literature of re-tear and healing rates. It also included </w:t>
      </w:r>
      <w:proofErr w:type="spellStart"/>
      <w:r>
        <w:t>Sugaya</w:t>
      </w:r>
      <w:proofErr w:type="spellEnd"/>
      <w:r>
        <w:t xml:space="preserve"> type III, IV and V tears, and</w:t>
      </w:r>
      <w:r w:rsidRPr="0085145C">
        <w:t xml:space="preserve"> </w:t>
      </w:r>
      <w:r>
        <w:t>i</w:t>
      </w:r>
      <w:r w:rsidRPr="0085145C">
        <w:t>ntermediate and high grade defect</w:t>
      </w:r>
      <w:r>
        <w:t xml:space="preserve">s defined by the </w:t>
      </w:r>
      <w:proofErr w:type="spellStart"/>
      <w:r>
        <w:t>Ellman</w:t>
      </w:r>
      <w:proofErr w:type="spellEnd"/>
      <w:r>
        <w:t xml:space="preserve"> classification</w:t>
      </w:r>
    </w:p>
  </w:footnote>
  <w:footnote w:id="20">
    <w:p w14:paraId="0E19C4D3" w14:textId="77777777" w:rsidR="004F6878" w:rsidRDefault="004F6878" w:rsidP="00E772A0">
      <w:pPr>
        <w:pStyle w:val="FootnoteText"/>
      </w:pPr>
      <w:r>
        <w:rPr>
          <w:rStyle w:val="FootnoteReference"/>
        </w:rPr>
        <w:footnoteRef/>
      </w:r>
      <w:r w:rsidRPr="00083911">
        <w:rPr>
          <w:lang w:val="nl-NL"/>
        </w:rPr>
        <w:t xml:space="preserve"> </w:t>
      </w:r>
      <w:r w:rsidRPr="00083911">
        <w:rPr>
          <w:lang w:val="nl-NL"/>
        </w:rPr>
        <w:t xml:space="preserve">Yian, EH, Ramappa AJ, et al. </w:t>
      </w:r>
      <w:r w:rsidRPr="00F21DEF">
        <w:t xml:space="preserve">“The Constant score in normal shoulders.” J Shoulder Elbow </w:t>
      </w:r>
      <w:proofErr w:type="spellStart"/>
      <w:r w:rsidRPr="00F21DEF">
        <w:t>Surg</w:t>
      </w:r>
      <w:proofErr w:type="spellEnd"/>
      <w:r w:rsidRPr="00F21DEF">
        <w:t xml:space="preserve"> 2005; 14; 128-133 </w:t>
      </w:r>
      <w:proofErr w:type="spellStart"/>
      <w:r w:rsidRPr="00F21DEF">
        <w:t>Yian</w:t>
      </w:r>
      <w:proofErr w:type="spellEnd"/>
      <w:r w:rsidRPr="00F21DEF">
        <w:t xml:space="preserve"> 2005</w:t>
      </w:r>
    </w:p>
  </w:footnote>
  <w:footnote w:id="21">
    <w:p w14:paraId="0DA08442" w14:textId="77777777" w:rsidR="004F6878" w:rsidRDefault="004F6878" w:rsidP="00F07327">
      <w:pPr>
        <w:pStyle w:val="FootnoteText"/>
      </w:pPr>
      <w:r>
        <w:rPr>
          <w:rStyle w:val="FootnoteReference"/>
        </w:rPr>
        <w:footnoteRef/>
      </w:r>
      <w:r>
        <w:t xml:space="preserve"> </w:t>
      </w:r>
      <w:r w:rsidRPr="00734C6B">
        <w:t xml:space="preserve">Yeo, DY, Walton, JR, Lam, P, Murrell, G A. "The Relationship </w:t>
      </w:r>
      <w:proofErr w:type="gramStart"/>
      <w:r w:rsidRPr="00734C6B">
        <w:t>Between</w:t>
      </w:r>
      <w:proofErr w:type="gramEnd"/>
      <w:r w:rsidRPr="00734C6B">
        <w:t xml:space="preserve"> Intraoperative Tear Dimensions and Postoperative Pain in 1624 Consecutive Arthroscopic Rotator Cuff Repairs." Am J Sports Med 2017</w:t>
      </w:r>
      <w:proofErr w:type="gramStart"/>
      <w:r w:rsidRPr="00734C6B">
        <w:t>;</w:t>
      </w:r>
      <w:proofErr w:type="gramEnd"/>
      <w:r w:rsidRPr="00734C6B">
        <w:t xml:space="preserve"> 45(4): 788-793.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E83C1" w14:textId="77777777" w:rsidR="004F6878" w:rsidRDefault="004F6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99A79" w14:textId="77777777" w:rsidR="004F6878" w:rsidRDefault="004F6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A1B1" w14:textId="77777777" w:rsidR="004F6878" w:rsidRDefault="004F6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6E8"/>
    <w:multiLevelType w:val="hybridMultilevel"/>
    <w:tmpl w:val="B01493C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A4990"/>
    <w:multiLevelType w:val="hybridMultilevel"/>
    <w:tmpl w:val="4A62F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C65D09"/>
    <w:multiLevelType w:val="hybridMultilevel"/>
    <w:tmpl w:val="8F1A6EFA"/>
    <w:lvl w:ilvl="0" w:tplc="CE66D59E">
      <w:start w:val="1"/>
      <w:numFmt w:val="decimal"/>
      <w:pStyle w:val="Head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C8B451A"/>
    <w:multiLevelType w:val="hybridMultilevel"/>
    <w:tmpl w:val="7214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571C16"/>
    <w:multiLevelType w:val="hybridMultilevel"/>
    <w:tmpl w:val="3D6E3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FB316E"/>
    <w:multiLevelType w:val="hybridMultilevel"/>
    <w:tmpl w:val="E662CA7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37F76DD"/>
    <w:multiLevelType w:val="hybridMultilevel"/>
    <w:tmpl w:val="7CA07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4903D5"/>
    <w:multiLevelType w:val="hybridMultilevel"/>
    <w:tmpl w:val="60A64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0957AB"/>
    <w:multiLevelType w:val="hybridMultilevel"/>
    <w:tmpl w:val="2842F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6F80588"/>
    <w:multiLevelType w:val="hybridMultilevel"/>
    <w:tmpl w:val="B14420F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5C22A7"/>
    <w:multiLevelType w:val="hybridMultilevel"/>
    <w:tmpl w:val="41049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9B34C0"/>
    <w:multiLevelType w:val="hybridMultilevel"/>
    <w:tmpl w:val="F0F20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8797D06"/>
    <w:multiLevelType w:val="hybridMultilevel"/>
    <w:tmpl w:val="79789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9F66EA"/>
    <w:multiLevelType w:val="hybridMultilevel"/>
    <w:tmpl w:val="E7542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25C33FF"/>
    <w:multiLevelType w:val="hybridMultilevel"/>
    <w:tmpl w:val="0D7A3D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69287A89"/>
    <w:multiLevelType w:val="hybridMultilevel"/>
    <w:tmpl w:val="7A2EA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72E0588E"/>
    <w:multiLevelType w:val="hybridMultilevel"/>
    <w:tmpl w:val="EC10E8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854190"/>
    <w:multiLevelType w:val="hybridMultilevel"/>
    <w:tmpl w:val="F2E49B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3"/>
  </w:num>
  <w:num w:numId="4">
    <w:abstractNumId w:val="28"/>
  </w:num>
  <w:num w:numId="5">
    <w:abstractNumId w:val="18"/>
  </w:num>
  <w:num w:numId="6">
    <w:abstractNumId w:val="27"/>
  </w:num>
  <w:num w:numId="7">
    <w:abstractNumId w:val="32"/>
  </w:num>
  <w:num w:numId="8">
    <w:abstractNumId w:val="21"/>
  </w:num>
  <w:num w:numId="9">
    <w:abstractNumId w:val="42"/>
  </w:num>
  <w:num w:numId="10">
    <w:abstractNumId w:val="1"/>
  </w:num>
  <w:num w:numId="11">
    <w:abstractNumId w:val="30"/>
  </w:num>
  <w:num w:numId="12">
    <w:abstractNumId w:val="33"/>
  </w:num>
  <w:num w:numId="13">
    <w:abstractNumId w:val="6"/>
  </w:num>
  <w:num w:numId="14">
    <w:abstractNumId w:val="38"/>
  </w:num>
  <w:num w:numId="15">
    <w:abstractNumId w:val="29"/>
  </w:num>
  <w:num w:numId="16">
    <w:abstractNumId w:val="34"/>
  </w:num>
  <w:num w:numId="17">
    <w:abstractNumId w:val="23"/>
  </w:num>
  <w:num w:numId="18">
    <w:abstractNumId w:val="25"/>
  </w:num>
  <w:num w:numId="19">
    <w:abstractNumId w:val="37"/>
  </w:num>
  <w:num w:numId="20">
    <w:abstractNumId w:val="35"/>
  </w:num>
  <w:num w:numId="21">
    <w:abstractNumId w:val="5"/>
  </w:num>
  <w:num w:numId="22">
    <w:abstractNumId w:val="17"/>
  </w:num>
  <w:num w:numId="23">
    <w:abstractNumId w:val="4"/>
  </w:num>
  <w:num w:numId="24">
    <w:abstractNumId w:val="15"/>
  </w:num>
  <w:num w:numId="25">
    <w:abstractNumId w:val="9"/>
  </w:num>
  <w:num w:numId="26">
    <w:abstractNumId w:val="2"/>
  </w:num>
  <w:num w:numId="27">
    <w:abstractNumId w:val="13"/>
  </w:num>
  <w:num w:numId="28">
    <w:abstractNumId w:val="8"/>
  </w:num>
  <w:num w:numId="29">
    <w:abstractNumId w:val="19"/>
  </w:num>
  <w:num w:numId="30">
    <w:abstractNumId w:val="14"/>
  </w:num>
  <w:num w:numId="31">
    <w:abstractNumId w:val="36"/>
  </w:num>
  <w:num w:numId="32">
    <w:abstractNumId w:val="41"/>
  </w:num>
  <w:num w:numId="33">
    <w:abstractNumId w:val="24"/>
  </w:num>
  <w:num w:numId="34">
    <w:abstractNumId w:val="22"/>
  </w:num>
  <w:num w:numId="35">
    <w:abstractNumId w:val="31"/>
  </w:num>
  <w:num w:numId="36">
    <w:abstractNumId w:val="20"/>
  </w:num>
  <w:num w:numId="37">
    <w:abstractNumId w:val="10"/>
  </w:num>
  <w:num w:numId="38">
    <w:abstractNumId w:val="7"/>
  </w:num>
  <w:num w:numId="39">
    <w:abstractNumId w:val="39"/>
  </w:num>
  <w:num w:numId="40">
    <w:abstractNumId w:val="0"/>
  </w:num>
  <w:num w:numId="41">
    <w:abstractNumId w:val="16"/>
  </w:num>
  <w:num w:numId="42">
    <w:abstractNumId w:val="11"/>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23"/>
    <w:rsid w:val="00007312"/>
    <w:rsid w:val="00011A36"/>
    <w:rsid w:val="0001311B"/>
    <w:rsid w:val="0001579B"/>
    <w:rsid w:val="000317F2"/>
    <w:rsid w:val="00043809"/>
    <w:rsid w:val="00046C15"/>
    <w:rsid w:val="00047606"/>
    <w:rsid w:val="00065623"/>
    <w:rsid w:val="000756B9"/>
    <w:rsid w:val="00096B67"/>
    <w:rsid w:val="00096DAF"/>
    <w:rsid w:val="000A1BE7"/>
    <w:rsid w:val="000C2F47"/>
    <w:rsid w:val="000D2B9A"/>
    <w:rsid w:val="000D6C00"/>
    <w:rsid w:val="000E4E04"/>
    <w:rsid w:val="000F14B4"/>
    <w:rsid w:val="000F75DF"/>
    <w:rsid w:val="001023DC"/>
    <w:rsid w:val="0012120A"/>
    <w:rsid w:val="0013099D"/>
    <w:rsid w:val="001328FA"/>
    <w:rsid w:val="00147AAF"/>
    <w:rsid w:val="00153309"/>
    <w:rsid w:val="001552C0"/>
    <w:rsid w:val="001640B1"/>
    <w:rsid w:val="001842B7"/>
    <w:rsid w:val="0018435E"/>
    <w:rsid w:val="001A3444"/>
    <w:rsid w:val="001A360C"/>
    <w:rsid w:val="001F1BAE"/>
    <w:rsid w:val="002041A1"/>
    <w:rsid w:val="002054F0"/>
    <w:rsid w:val="00230D6B"/>
    <w:rsid w:val="00232068"/>
    <w:rsid w:val="002330F2"/>
    <w:rsid w:val="00243D9E"/>
    <w:rsid w:val="00253B66"/>
    <w:rsid w:val="00261DF1"/>
    <w:rsid w:val="00271F18"/>
    <w:rsid w:val="002808C4"/>
    <w:rsid w:val="0028237B"/>
    <w:rsid w:val="00282779"/>
    <w:rsid w:val="0028334D"/>
    <w:rsid w:val="00294D27"/>
    <w:rsid w:val="00296393"/>
    <w:rsid w:val="002B586B"/>
    <w:rsid w:val="002B7008"/>
    <w:rsid w:val="002B7FFA"/>
    <w:rsid w:val="002C2BCF"/>
    <w:rsid w:val="002C7BBE"/>
    <w:rsid w:val="002D40A5"/>
    <w:rsid w:val="002F279D"/>
    <w:rsid w:val="002F43B8"/>
    <w:rsid w:val="00317054"/>
    <w:rsid w:val="00325F9D"/>
    <w:rsid w:val="003302A1"/>
    <w:rsid w:val="00336856"/>
    <w:rsid w:val="0034554D"/>
    <w:rsid w:val="00352224"/>
    <w:rsid w:val="003562E2"/>
    <w:rsid w:val="0036256C"/>
    <w:rsid w:val="003671E6"/>
    <w:rsid w:val="00384272"/>
    <w:rsid w:val="00386D67"/>
    <w:rsid w:val="003945B8"/>
    <w:rsid w:val="003D7F29"/>
    <w:rsid w:val="003E70F4"/>
    <w:rsid w:val="00405A6B"/>
    <w:rsid w:val="00407B1F"/>
    <w:rsid w:val="0041184F"/>
    <w:rsid w:val="00414C57"/>
    <w:rsid w:val="00416206"/>
    <w:rsid w:val="0041758C"/>
    <w:rsid w:val="00447BAB"/>
    <w:rsid w:val="004539DE"/>
    <w:rsid w:val="00455942"/>
    <w:rsid w:val="00461E5E"/>
    <w:rsid w:val="004801CF"/>
    <w:rsid w:val="004A2CF1"/>
    <w:rsid w:val="004A7F5D"/>
    <w:rsid w:val="004C3035"/>
    <w:rsid w:val="004C307F"/>
    <w:rsid w:val="004D2A95"/>
    <w:rsid w:val="004D7CD2"/>
    <w:rsid w:val="004E4BA8"/>
    <w:rsid w:val="004F340F"/>
    <w:rsid w:val="004F6878"/>
    <w:rsid w:val="004F7B7C"/>
    <w:rsid w:val="004F7C04"/>
    <w:rsid w:val="00501BDF"/>
    <w:rsid w:val="00520AF0"/>
    <w:rsid w:val="0052243D"/>
    <w:rsid w:val="00530588"/>
    <w:rsid w:val="00532435"/>
    <w:rsid w:val="00550354"/>
    <w:rsid w:val="00566702"/>
    <w:rsid w:val="00571236"/>
    <w:rsid w:val="005929A3"/>
    <w:rsid w:val="005953A1"/>
    <w:rsid w:val="0059604E"/>
    <w:rsid w:val="005A160D"/>
    <w:rsid w:val="005A4362"/>
    <w:rsid w:val="005B5434"/>
    <w:rsid w:val="005D0332"/>
    <w:rsid w:val="005D0D8C"/>
    <w:rsid w:val="00640A46"/>
    <w:rsid w:val="00645E8A"/>
    <w:rsid w:val="0065044C"/>
    <w:rsid w:val="00652916"/>
    <w:rsid w:val="006776AE"/>
    <w:rsid w:val="00690480"/>
    <w:rsid w:val="006A0D97"/>
    <w:rsid w:val="006B1D1D"/>
    <w:rsid w:val="006B1F86"/>
    <w:rsid w:val="006B7E20"/>
    <w:rsid w:val="006C0A91"/>
    <w:rsid w:val="006F0205"/>
    <w:rsid w:val="006F236E"/>
    <w:rsid w:val="006F271F"/>
    <w:rsid w:val="007054BB"/>
    <w:rsid w:val="00707064"/>
    <w:rsid w:val="00724C12"/>
    <w:rsid w:val="00730683"/>
    <w:rsid w:val="00746876"/>
    <w:rsid w:val="0075261F"/>
    <w:rsid w:val="0075468E"/>
    <w:rsid w:val="00755CC6"/>
    <w:rsid w:val="00757328"/>
    <w:rsid w:val="00762785"/>
    <w:rsid w:val="007665D8"/>
    <w:rsid w:val="00766E36"/>
    <w:rsid w:val="007765F4"/>
    <w:rsid w:val="00776633"/>
    <w:rsid w:val="00784D53"/>
    <w:rsid w:val="00797797"/>
    <w:rsid w:val="007A0E3B"/>
    <w:rsid w:val="007A30C9"/>
    <w:rsid w:val="007A63C9"/>
    <w:rsid w:val="007B32D1"/>
    <w:rsid w:val="007B7095"/>
    <w:rsid w:val="007D24E1"/>
    <w:rsid w:val="007D6288"/>
    <w:rsid w:val="007D63F2"/>
    <w:rsid w:val="007E5EDD"/>
    <w:rsid w:val="007F4CE9"/>
    <w:rsid w:val="007F4E20"/>
    <w:rsid w:val="008219E7"/>
    <w:rsid w:val="00822C7E"/>
    <w:rsid w:val="0084043B"/>
    <w:rsid w:val="00847060"/>
    <w:rsid w:val="00847A36"/>
    <w:rsid w:val="00856A33"/>
    <w:rsid w:val="00862B4B"/>
    <w:rsid w:val="0087276B"/>
    <w:rsid w:val="0087527B"/>
    <w:rsid w:val="00885C08"/>
    <w:rsid w:val="00892620"/>
    <w:rsid w:val="0089433A"/>
    <w:rsid w:val="008B5356"/>
    <w:rsid w:val="008C778E"/>
    <w:rsid w:val="008C7D37"/>
    <w:rsid w:val="008D5885"/>
    <w:rsid w:val="00915DDA"/>
    <w:rsid w:val="00923FA2"/>
    <w:rsid w:val="0096060D"/>
    <w:rsid w:val="00974A50"/>
    <w:rsid w:val="0097585A"/>
    <w:rsid w:val="0098433F"/>
    <w:rsid w:val="009924B0"/>
    <w:rsid w:val="009942C9"/>
    <w:rsid w:val="009A68BC"/>
    <w:rsid w:val="009B35C4"/>
    <w:rsid w:val="009C596F"/>
    <w:rsid w:val="009C630A"/>
    <w:rsid w:val="009E0D98"/>
    <w:rsid w:val="00A068A1"/>
    <w:rsid w:val="00A1207D"/>
    <w:rsid w:val="00A12FD8"/>
    <w:rsid w:val="00A32AEF"/>
    <w:rsid w:val="00A346FC"/>
    <w:rsid w:val="00A350F5"/>
    <w:rsid w:val="00A35967"/>
    <w:rsid w:val="00A46D77"/>
    <w:rsid w:val="00A53782"/>
    <w:rsid w:val="00A6376C"/>
    <w:rsid w:val="00A8106A"/>
    <w:rsid w:val="00A846F2"/>
    <w:rsid w:val="00A84F93"/>
    <w:rsid w:val="00A91808"/>
    <w:rsid w:val="00A95D29"/>
    <w:rsid w:val="00AA0F61"/>
    <w:rsid w:val="00AB1AC5"/>
    <w:rsid w:val="00AB3BFC"/>
    <w:rsid w:val="00AC4F2E"/>
    <w:rsid w:val="00AD0C37"/>
    <w:rsid w:val="00AD385F"/>
    <w:rsid w:val="00AE6E2A"/>
    <w:rsid w:val="00AF2AFA"/>
    <w:rsid w:val="00AF4529"/>
    <w:rsid w:val="00B03EAB"/>
    <w:rsid w:val="00B31E9C"/>
    <w:rsid w:val="00B35595"/>
    <w:rsid w:val="00B51C6D"/>
    <w:rsid w:val="00B524D4"/>
    <w:rsid w:val="00B83DD2"/>
    <w:rsid w:val="00B86B78"/>
    <w:rsid w:val="00B86D64"/>
    <w:rsid w:val="00B93A95"/>
    <w:rsid w:val="00BA1A14"/>
    <w:rsid w:val="00BA4AC5"/>
    <w:rsid w:val="00BC1364"/>
    <w:rsid w:val="00BC2667"/>
    <w:rsid w:val="00BC3D52"/>
    <w:rsid w:val="00BC7DE9"/>
    <w:rsid w:val="00BE1417"/>
    <w:rsid w:val="00BF479B"/>
    <w:rsid w:val="00C02577"/>
    <w:rsid w:val="00C06B0B"/>
    <w:rsid w:val="00C14EA6"/>
    <w:rsid w:val="00C204FB"/>
    <w:rsid w:val="00C20BEE"/>
    <w:rsid w:val="00C2158D"/>
    <w:rsid w:val="00C277E7"/>
    <w:rsid w:val="00C51F6C"/>
    <w:rsid w:val="00C67DD2"/>
    <w:rsid w:val="00C725CB"/>
    <w:rsid w:val="00C751D7"/>
    <w:rsid w:val="00C76F5C"/>
    <w:rsid w:val="00C95A27"/>
    <w:rsid w:val="00C96BAD"/>
    <w:rsid w:val="00CA6944"/>
    <w:rsid w:val="00CA69BA"/>
    <w:rsid w:val="00CB0F8E"/>
    <w:rsid w:val="00CB7E7D"/>
    <w:rsid w:val="00CC2911"/>
    <w:rsid w:val="00CD2EEF"/>
    <w:rsid w:val="00CF0C6D"/>
    <w:rsid w:val="00CF4E81"/>
    <w:rsid w:val="00CF7307"/>
    <w:rsid w:val="00CF7C68"/>
    <w:rsid w:val="00D124FA"/>
    <w:rsid w:val="00D32FC9"/>
    <w:rsid w:val="00D340DE"/>
    <w:rsid w:val="00D355B8"/>
    <w:rsid w:val="00D54C5E"/>
    <w:rsid w:val="00D55723"/>
    <w:rsid w:val="00D62FAD"/>
    <w:rsid w:val="00D64355"/>
    <w:rsid w:val="00D70450"/>
    <w:rsid w:val="00D74DAA"/>
    <w:rsid w:val="00D83BFD"/>
    <w:rsid w:val="00D84F90"/>
    <w:rsid w:val="00D90A38"/>
    <w:rsid w:val="00D95739"/>
    <w:rsid w:val="00DA0515"/>
    <w:rsid w:val="00DA171E"/>
    <w:rsid w:val="00DA56AA"/>
    <w:rsid w:val="00DB5833"/>
    <w:rsid w:val="00DD2858"/>
    <w:rsid w:val="00DE3007"/>
    <w:rsid w:val="00DF15E1"/>
    <w:rsid w:val="00DF489D"/>
    <w:rsid w:val="00E03E33"/>
    <w:rsid w:val="00E059E0"/>
    <w:rsid w:val="00E06A2F"/>
    <w:rsid w:val="00E3642A"/>
    <w:rsid w:val="00E415C4"/>
    <w:rsid w:val="00E50016"/>
    <w:rsid w:val="00E50EAA"/>
    <w:rsid w:val="00E62E8F"/>
    <w:rsid w:val="00E656D6"/>
    <w:rsid w:val="00E772A0"/>
    <w:rsid w:val="00E858B9"/>
    <w:rsid w:val="00E85AB0"/>
    <w:rsid w:val="00E977EE"/>
    <w:rsid w:val="00EA2F24"/>
    <w:rsid w:val="00EA3BBD"/>
    <w:rsid w:val="00EA5C0E"/>
    <w:rsid w:val="00EA67A2"/>
    <w:rsid w:val="00EB359F"/>
    <w:rsid w:val="00EB630F"/>
    <w:rsid w:val="00EB6B6F"/>
    <w:rsid w:val="00EC4F98"/>
    <w:rsid w:val="00F07327"/>
    <w:rsid w:val="00F12F02"/>
    <w:rsid w:val="00F169F1"/>
    <w:rsid w:val="00F32E0D"/>
    <w:rsid w:val="00F35134"/>
    <w:rsid w:val="00F37B9C"/>
    <w:rsid w:val="00F41812"/>
    <w:rsid w:val="00F44FA3"/>
    <w:rsid w:val="00F53620"/>
    <w:rsid w:val="00F56D7F"/>
    <w:rsid w:val="00F62D1A"/>
    <w:rsid w:val="00F715D1"/>
    <w:rsid w:val="00F72715"/>
    <w:rsid w:val="00F73333"/>
    <w:rsid w:val="00F878CB"/>
    <w:rsid w:val="00F9230A"/>
    <w:rsid w:val="00F95D8F"/>
    <w:rsid w:val="00FB350A"/>
    <w:rsid w:val="00FB4C5D"/>
    <w:rsid w:val="00FD0063"/>
    <w:rsid w:val="00FE1C3F"/>
    <w:rsid w:val="00FE731D"/>
    <w:rsid w:val="00FF2A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9D8C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A846F2"/>
    <w:pPr>
      <w:keepNext/>
      <w:keepLines/>
      <w:numPr>
        <w:numId w:val="23"/>
      </w:numPr>
      <w:spacing w:before="240" w:after="240"/>
      <w:ind w:hanging="720"/>
      <w:outlineLvl w:val="0"/>
    </w:pPr>
    <w:rPr>
      <w:rFonts w:ascii="Arial" w:hAnsi="Arial"/>
      <w:b/>
      <w:bCs/>
      <w:szCs w:val="28"/>
    </w:rPr>
  </w:style>
  <w:style w:type="paragraph" w:styleId="Heading2">
    <w:name w:val="heading 2"/>
    <w:basedOn w:val="Normal"/>
    <w:next w:val="Normal"/>
    <w:link w:val="Heading2Char"/>
    <w:unhideWhenUsed/>
    <w:qFormat/>
    <w:locked/>
    <w:rsid w:val="00E772A0"/>
    <w:pPr>
      <w:keepNext/>
      <w:keepLines/>
      <w:spacing w:before="200"/>
      <w:outlineLvl w:val="1"/>
    </w:pPr>
    <w:rPr>
      <w:rFonts w:eastAsiaTheme="majorEastAsia" w:cstheme="majorBidi"/>
      <w:bCs/>
      <w:i/>
      <w:szCs w:val="26"/>
    </w:rPr>
  </w:style>
  <w:style w:type="paragraph" w:styleId="Heading3">
    <w:name w:val="heading 3"/>
    <w:basedOn w:val="Normal"/>
    <w:next w:val="Normal"/>
    <w:link w:val="Heading3Char"/>
    <w:unhideWhenUsed/>
    <w:qFormat/>
    <w:locked/>
    <w:rsid w:val="001A360C"/>
    <w:pPr>
      <w:keepNext/>
      <w:keepLines/>
      <w:spacing w:before="200"/>
      <w:outlineLvl w:val="2"/>
    </w:pPr>
    <w:rPr>
      <w:rFonts w:eastAsiaTheme="majorEastAsia" w:cstheme="majorBidi"/>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46F2"/>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semiHidden/>
    <w:rsid w:val="00065623"/>
    <w:rPr>
      <w:sz w:val="20"/>
    </w:rPr>
  </w:style>
  <w:style w:type="character" w:customStyle="1" w:styleId="FootnoteTextChar">
    <w:name w:val="Footnote Text Char"/>
    <w:basedOn w:val="DefaultParagraphFont"/>
    <w:link w:val="FootnoteText"/>
    <w:semiHidden/>
    <w:locked/>
    <w:rsid w:val="00065623"/>
    <w:rPr>
      <w:rFonts w:eastAsia="Times New Roman" w:cs="Times New Roman"/>
      <w:sz w:val="20"/>
      <w:szCs w:val="20"/>
      <w:lang w:eastAsia="en-AU"/>
    </w:rPr>
  </w:style>
  <w:style w:type="character" w:styleId="FootnoteReference">
    <w:name w:val="footnote reference"/>
    <w:basedOn w:val="DefaultParagraphFont"/>
    <w:semiHidden/>
    <w:rsid w:val="00065623"/>
    <w:rPr>
      <w:rFonts w:cs="Times New Roman"/>
      <w:vertAlign w:val="superscript"/>
    </w:rPr>
  </w:style>
  <w:style w:type="paragraph" w:styleId="ListParagraph">
    <w:name w:val="List Paragraph"/>
    <w:aliases w:val="Styl moj,Akapit z listą1,Akapit z listą11"/>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basedOn w:val="DefaultParagraphFont"/>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rsid w:val="00E772A0"/>
    <w:rPr>
      <w:rFonts w:eastAsiaTheme="majorEastAsia" w:cstheme="majorBidi"/>
      <w:bCs/>
      <w:i/>
      <w:sz w:val="24"/>
      <w:szCs w:val="26"/>
    </w:rPr>
  </w:style>
  <w:style w:type="paragraph" w:styleId="Title">
    <w:name w:val="Title"/>
    <w:basedOn w:val="Normal"/>
    <w:next w:val="Normal"/>
    <w:link w:val="TitleChar"/>
    <w:qFormat/>
    <w:locked/>
    <w:rsid w:val="00F715D1"/>
    <w:pPr>
      <w:spacing w:before="480" w:after="240"/>
      <w:jc w:val="center"/>
    </w:pPr>
    <w:rPr>
      <w:rFonts w:ascii="Arial" w:hAnsi="Arial" w:cs="Arial"/>
      <w:b/>
      <w:bCs/>
      <w:color w:val="000080"/>
      <w:sz w:val="36"/>
      <w:szCs w:val="36"/>
    </w:rPr>
  </w:style>
  <w:style w:type="character" w:customStyle="1" w:styleId="TitleChar">
    <w:name w:val="Title Char"/>
    <w:basedOn w:val="DefaultParagraphFont"/>
    <w:link w:val="Title"/>
    <w:rsid w:val="00F715D1"/>
    <w:rPr>
      <w:rFonts w:ascii="Arial" w:eastAsia="Times New Roman" w:hAnsi="Arial" w:cs="Arial"/>
      <w:b/>
      <w:bCs/>
      <w:color w:val="000080"/>
      <w:sz w:val="36"/>
      <w:szCs w:val="36"/>
    </w:rPr>
  </w:style>
  <w:style w:type="paragraph" w:styleId="Subtitle">
    <w:name w:val="Subtitle"/>
    <w:basedOn w:val="Normal"/>
    <w:next w:val="Normal"/>
    <w:link w:val="SubtitleChar"/>
    <w:qFormat/>
    <w:locked/>
    <w:rsid w:val="00F715D1"/>
    <w:pPr>
      <w:spacing w:after="240"/>
      <w:jc w:val="center"/>
    </w:pPr>
    <w:rPr>
      <w:rFonts w:ascii="Arial" w:hAnsi="Arial" w:cs="Arial"/>
      <w:b/>
      <w:bCs/>
      <w:i/>
      <w:color w:val="000080"/>
      <w:sz w:val="28"/>
      <w:szCs w:val="28"/>
    </w:rPr>
  </w:style>
  <w:style w:type="character" w:customStyle="1" w:styleId="SubtitleChar">
    <w:name w:val="Subtitle Char"/>
    <w:basedOn w:val="DefaultParagraphFont"/>
    <w:link w:val="Subtitle"/>
    <w:rsid w:val="00F715D1"/>
    <w:rPr>
      <w:rFonts w:ascii="Arial" w:eastAsia="Times New Roman" w:hAnsi="Arial" w:cs="Arial"/>
      <w:b/>
      <w:bCs/>
      <w:i/>
      <w:color w:val="000080"/>
      <w:sz w:val="28"/>
      <w:szCs w:val="28"/>
    </w:rPr>
  </w:style>
  <w:style w:type="character" w:styleId="FollowedHyperlink">
    <w:name w:val="FollowedHyperlink"/>
    <w:basedOn w:val="DefaultParagraphFont"/>
    <w:uiPriority w:val="99"/>
    <w:semiHidden/>
    <w:unhideWhenUsed/>
    <w:rsid w:val="00F715D1"/>
    <w:rPr>
      <w:color w:val="800080" w:themeColor="followedHyperlink"/>
      <w:u w:val="single"/>
    </w:rPr>
  </w:style>
  <w:style w:type="table" w:styleId="TableGrid">
    <w:name w:val="Table Grid"/>
    <w:basedOn w:val="TableNormal"/>
    <w:uiPriority w:val="59"/>
    <w:locked/>
    <w:rsid w:val="00A637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yl moj Char,Akapit z listą1 Char,Akapit z listą11 Char"/>
    <w:link w:val="ListParagraph"/>
    <w:uiPriority w:val="34"/>
    <w:rsid w:val="00447BAB"/>
    <w:rPr>
      <w:rFonts w:eastAsia="Times New Roman"/>
      <w:sz w:val="24"/>
      <w:szCs w:val="20"/>
    </w:rPr>
  </w:style>
  <w:style w:type="table" w:customStyle="1" w:styleId="TableGrid1">
    <w:name w:val="Table Grid1"/>
    <w:basedOn w:val="TableNormal"/>
    <w:next w:val="TableGrid"/>
    <w:uiPriority w:val="59"/>
    <w:rsid w:val="00447BAB"/>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Bayer Caption,IB Caption,Medical Caption,CSR Caption,Table and Figure Name,Table and Figure name,Caption Char2 Char,Caption Char Char Char2,Caption Char1 Char Char Char1,Caption Char2 Char Char Char1 Char1"/>
    <w:basedOn w:val="Normal"/>
    <w:next w:val="Normal"/>
    <w:link w:val="CaptionChar"/>
    <w:uiPriority w:val="99"/>
    <w:unhideWhenUsed/>
    <w:qFormat/>
    <w:locked/>
    <w:rsid w:val="00447BAB"/>
    <w:pPr>
      <w:keepNext/>
      <w:spacing w:after="40"/>
      <w:jc w:val="both"/>
      <w:outlineLvl w:val="4"/>
    </w:pPr>
    <w:rPr>
      <w:rFonts w:ascii="Arial Narrow" w:hAnsi="Arial Narrow" w:cs="Arial"/>
      <w:b/>
      <w:bCs/>
      <w:iCs/>
      <w:sz w:val="20"/>
      <w:lang w:eastAsia="en-US"/>
    </w:rPr>
  </w:style>
  <w:style w:type="character" w:customStyle="1" w:styleId="CaptionChar">
    <w:name w:val="Caption Char"/>
    <w:aliases w:val="Bayer Caption Char,IB Caption Char,Medical Caption Char,CSR Caption Char,Table and Figure Name Char,Table and Figure name Char,Caption Char2 Char Char,Caption Char Char Char2 Char,Caption Char1 Char Char Char1 Char"/>
    <w:basedOn w:val="DefaultParagraphFont"/>
    <w:link w:val="Caption"/>
    <w:rsid w:val="00447BAB"/>
    <w:rPr>
      <w:rFonts w:ascii="Arial Narrow" w:eastAsia="Times New Roman" w:hAnsi="Arial Narrow" w:cs="Arial"/>
      <w:b/>
      <w:bCs/>
      <w:iCs/>
      <w:sz w:val="20"/>
      <w:szCs w:val="20"/>
      <w:lang w:eastAsia="en-US"/>
    </w:rPr>
  </w:style>
  <w:style w:type="paragraph" w:customStyle="1" w:styleId="Tablenotes">
    <w:name w:val="Tablenotes"/>
    <w:basedOn w:val="Normal"/>
    <w:link w:val="TablenotesChar"/>
    <w:autoRedefine/>
    <w:qFormat/>
    <w:rsid w:val="00E772A0"/>
    <w:pPr>
      <w:widowControl w:val="0"/>
      <w:spacing w:before="60" w:after="240"/>
      <w:contextualSpacing/>
    </w:pPr>
    <w:rPr>
      <w:rFonts w:ascii="Arial Narrow" w:hAnsi="Arial Narrow" w:cs="Arial"/>
      <w:i/>
      <w:snapToGrid w:val="0"/>
      <w:sz w:val="18"/>
      <w:lang w:eastAsia="en-US"/>
    </w:rPr>
  </w:style>
  <w:style w:type="character" w:customStyle="1" w:styleId="TablenotesChar">
    <w:name w:val="Tablenotes Char"/>
    <w:basedOn w:val="DefaultParagraphFont"/>
    <w:link w:val="Tablenotes"/>
    <w:rsid w:val="00E772A0"/>
    <w:rPr>
      <w:rFonts w:ascii="Arial Narrow" w:eastAsia="Times New Roman" w:hAnsi="Arial Narrow" w:cs="Arial"/>
      <w:i/>
      <w:snapToGrid w:val="0"/>
      <w:sz w:val="18"/>
      <w:szCs w:val="20"/>
      <w:lang w:eastAsia="en-US"/>
    </w:rPr>
  </w:style>
  <w:style w:type="paragraph" w:customStyle="1" w:styleId="Tabletext">
    <w:name w:val="Table text"/>
    <w:basedOn w:val="Normal"/>
    <w:link w:val="TabletextChar"/>
    <w:qFormat/>
    <w:rsid w:val="00E772A0"/>
    <w:pPr>
      <w:spacing w:before="40" w:after="40"/>
    </w:pPr>
    <w:rPr>
      <w:rFonts w:ascii="Arial Narrow" w:hAnsi="Arial Narrow"/>
      <w:sz w:val="20"/>
      <w:szCs w:val="24"/>
      <w:lang w:eastAsia="en-US"/>
    </w:rPr>
  </w:style>
  <w:style w:type="character" w:customStyle="1" w:styleId="TabletextChar">
    <w:name w:val="Table text Char"/>
    <w:basedOn w:val="DefaultParagraphFont"/>
    <w:link w:val="Tabletext"/>
    <w:rsid w:val="00E772A0"/>
    <w:rPr>
      <w:rFonts w:ascii="Arial Narrow" w:eastAsia="Times New Roman" w:hAnsi="Arial Narrow"/>
      <w:sz w:val="20"/>
      <w:szCs w:val="24"/>
      <w:lang w:eastAsia="en-US"/>
    </w:rPr>
  </w:style>
  <w:style w:type="paragraph" w:customStyle="1" w:styleId="TableHeading">
    <w:name w:val="TableHeading"/>
    <w:basedOn w:val="Normal"/>
    <w:link w:val="TableHeadingChar"/>
    <w:qFormat/>
    <w:rsid w:val="00E772A0"/>
    <w:pPr>
      <w:keepNext/>
      <w:spacing w:before="40" w:after="40"/>
      <w:ind w:left="1134" w:hanging="1134"/>
      <w:jc w:val="both"/>
    </w:pPr>
    <w:rPr>
      <w:rFonts w:ascii="Arial Narrow" w:hAnsi="Arial Narrow" w:cs="Tahoma"/>
      <w:b/>
      <w:noProof/>
      <w:sz w:val="20"/>
    </w:rPr>
  </w:style>
  <w:style w:type="character" w:customStyle="1" w:styleId="TableHeadingChar">
    <w:name w:val="TableHeading Char"/>
    <w:link w:val="TableHeading"/>
    <w:rsid w:val="00E772A0"/>
    <w:rPr>
      <w:rFonts w:ascii="Arial Narrow" w:eastAsia="Times New Roman" w:hAnsi="Arial Narrow" w:cs="Tahoma"/>
      <w:b/>
      <w:noProof/>
      <w:sz w:val="20"/>
      <w:szCs w:val="20"/>
    </w:rPr>
  </w:style>
  <w:style w:type="table" w:customStyle="1" w:styleId="TableGrid9">
    <w:name w:val="Table Grid9"/>
    <w:basedOn w:val="TableNormal"/>
    <w:next w:val="TableGrid"/>
    <w:uiPriority w:val="39"/>
    <w:rsid w:val="00E772A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A360C"/>
    <w:rPr>
      <w:rFonts w:eastAsiaTheme="majorEastAsia" w:cstheme="majorBidi"/>
      <w:sz w:val="24"/>
      <w:szCs w:val="24"/>
      <w:u w:val="single"/>
    </w:rPr>
  </w:style>
  <w:style w:type="paragraph" w:customStyle="1" w:styleId="Tablecaption">
    <w:name w:val="Table caption"/>
    <w:basedOn w:val="Normal"/>
    <w:link w:val="TablecaptionChar"/>
    <w:qFormat/>
    <w:rsid w:val="00F07327"/>
    <w:pPr>
      <w:keepNext/>
      <w:keepLines/>
      <w:jc w:val="both"/>
    </w:pPr>
    <w:rPr>
      <w:rFonts w:ascii="Arial Narrow" w:hAnsi="Arial Narrow" w:cs="Arial"/>
      <w:sz w:val="20"/>
      <w:lang w:eastAsia="en-US"/>
    </w:rPr>
  </w:style>
  <w:style w:type="character" w:customStyle="1" w:styleId="TablecaptionChar">
    <w:name w:val="Table caption Char"/>
    <w:basedOn w:val="DefaultParagraphFont"/>
    <w:link w:val="Tablecaption"/>
    <w:rsid w:val="00F07327"/>
    <w:rPr>
      <w:rFonts w:ascii="Arial Narrow" w:eastAsia="Times New Roman" w:hAnsi="Arial Narrow" w:cs="Arial"/>
      <w:sz w:val="20"/>
      <w:szCs w:val="20"/>
      <w:lang w:eastAsia="en-US"/>
    </w:rPr>
  </w:style>
  <w:style w:type="paragraph" w:customStyle="1" w:styleId="Tabletextcentred">
    <w:name w:val="Table text centred"/>
    <w:basedOn w:val="Tabletext"/>
    <w:link w:val="TabletextcentredChar"/>
    <w:qFormat/>
    <w:rsid w:val="00F07327"/>
    <w:pPr>
      <w:jc w:val="center"/>
    </w:pPr>
  </w:style>
  <w:style w:type="character" w:customStyle="1" w:styleId="TabletextcentredChar">
    <w:name w:val="Table text centred Char"/>
    <w:basedOn w:val="TabletextChar"/>
    <w:link w:val="Tabletextcentred"/>
    <w:rsid w:val="00F07327"/>
    <w:rPr>
      <w:rFonts w:ascii="Arial Narrow" w:eastAsia="Times New Roman" w:hAnsi="Arial Narrow"/>
      <w:sz w:val="20"/>
      <w:szCs w:val="24"/>
      <w:lang w:eastAsia="en-US"/>
    </w:rPr>
  </w:style>
  <w:style w:type="paragraph" w:customStyle="1" w:styleId="Tablenotes1">
    <w:name w:val="Tablenotes 1"/>
    <w:basedOn w:val="Normal"/>
    <w:link w:val="Tablenotes1Char"/>
    <w:qFormat/>
    <w:rsid w:val="00F07327"/>
    <w:pPr>
      <w:widowControl w:val="0"/>
      <w:spacing w:after="240"/>
      <w:contextualSpacing/>
    </w:pPr>
    <w:rPr>
      <w:rFonts w:ascii="Arial Narrow" w:hAnsi="Arial Narrow" w:cs="Arial"/>
      <w:snapToGrid w:val="0"/>
      <w:sz w:val="18"/>
      <w:lang w:eastAsia="en-US"/>
    </w:rPr>
  </w:style>
  <w:style w:type="character" w:customStyle="1" w:styleId="Tablenotes1Char">
    <w:name w:val="Tablenotes 1 Char"/>
    <w:basedOn w:val="DefaultParagraphFont"/>
    <w:link w:val="Tablenotes1"/>
    <w:rsid w:val="00F07327"/>
    <w:rPr>
      <w:rFonts w:ascii="Arial Narrow" w:eastAsia="Times New Roman" w:hAnsi="Arial Narrow" w:cs="Arial"/>
      <w:snapToGrid w:val="0"/>
      <w:sz w:val="18"/>
      <w:szCs w:val="20"/>
      <w:lang w:eastAsia="en-US"/>
    </w:rPr>
  </w:style>
  <w:style w:type="paragraph" w:customStyle="1" w:styleId="Tabletextboldleft">
    <w:name w:val="Table text bold left"/>
    <w:basedOn w:val="Normal"/>
    <w:link w:val="TabletextboldleftChar"/>
    <w:qFormat/>
    <w:rsid w:val="00E06A2F"/>
    <w:pPr>
      <w:keepNext/>
    </w:pPr>
    <w:rPr>
      <w:rFonts w:ascii="Arial Narrow" w:hAnsi="Arial Narrow" w:cs="Arial"/>
      <w:b/>
      <w:sz w:val="20"/>
      <w:lang w:eastAsia="en-US"/>
    </w:rPr>
  </w:style>
  <w:style w:type="character" w:customStyle="1" w:styleId="TabletextboldleftChar">
    <w:name w:val="Table text bold left Char"/>
    <w:basedOn w:val="DefaultParagraphFont"/>
    <w:link w:val="Tabletextboldleft"/>
    <w:rsid w:val="00E06A2F"/>
    <w:rPr>
      <w:rFonts w:ascii="Arial Narrow" w:eastAsia="Times New Roman" w:hAnsi="Arial Narrow" w:cs="Arial"/>
      <w:b/>
      <w:sz w:val="20"/>
      <w:szCs w:val="20"/>
      <w:lang w:eastAsia="en-US"/>
    </w:rPr>
  </w:style>
  <w:style w:type="table" w:customStyle="1" w:styleId="CMATableTemplate1">
    <w:name w:val="CMA Table Template1"/>
    <w:basedOn w:val="TableNormal"/>
    <w:next w:val="TableGrid"/>
    <w:uiPriority w:val="39"/>
    <w:rsid w:val="0087276B"/>
    <w:pPr>
      <w:spacing w:after="240"/>
      <w:ind w:left="720"/>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Text">
    <w:name w:val="BoxText"/>
    <w:basedOn w:val="Normal"/>
    <w:qFormat/>
    <w:rsid w:val="005929A3"/>
    <w:pPr>
      <w:pBdr>
        <w:top w:val="single" w:sz="4" w:space="4" w:color="000000"/>
        <w:left w:val="single" w:sz="4" w:space="4" w:color="000000"/>
        <w:bottom w:val="single" w:sz="4" w:space="4" w:color="000000"/>
        <w:right w:val="single" w:sz="4" w:space="4" w:color="000000"/>
      </w:pBdr>
      <w:spacing w:after="120"/>
    </w:pPr>
    <w:rPr>
      <w:color w:val="000000"/>
    </w:rPr>
  </w:style>
  <w:style w:type="paragraph" w:customStyle="1" w:styleId="BoxName">
    <w:name w:val="BoxName"/>
    <w:basedOn w:val="BoxText"/>
    <w:rsid w:val="005929A3"/>
    <w:pPr>
      <w:keepNext/>
      <w:spacing w:before="180"/>
      <w:ind w:left="1080" w:hanging="1080"/>
    </w:pPr>
    <w:rPr>
      <w:b/>
      <w:bCs/>
    </w:rPr>
  </w:style>
  <w:style w:type="paragraph" w:customStyle="1" w:styleId="BoxHeading">
    <w:name w:val="BoxHeading"/>
    <w:basedOn w:val="BoxText"/>
    <w:rsid w:val="005929A3"/>
    <w:pPr>
      <w:keepNext/>
      <w:spacing w:before="120" w:after="60"/>
    </w:pPr>
    <w:rPr>
      <w:b/>
      <w:bCs/>
    </w:rPr>
  </w:style>
  <w:style w:type="paragraph" w:customStyle="1" w:styleId="BulletBeforeDash">
    <w:name w:val="BulletBeforeDash"/>
    <w:basedOn w:val="Normal"/>
    <w:rsid w:val="005929A3"/>
    <w:pPr>
      <w:numPr>
        <w:numId w:val="43"/>
      </w:numPr>
      <w:ind w:left="720"/>
    </w:pPr>
    <w:rPr>
      <w:color w:val="000000"/>
    </w:rPr>
  </w:style>
  <w:style w:type="paragraph" w:customStyle="1" w:styleId="Bullet">
    <w:name w:val="Bullet"/>
    <w:basedOn w:val="BulletBeforeDash"/>
    <w:qFormat/>
    <w:rsid w:val="005929A3"/>
    <w:pPr>
      <w:spacing w:after="120"/>
    </w:pPr>
  </w:style>
  <w:style w:type="paragraph" w:customStyle="1" w:styleId="BulletLast">
    <w:name w:val="BulletLast"/>
    <w:basedOn w:val="Bullet"/>
    <w:qFormat/>
    <w:rsid w:val="005929A3"/>
    <w:pPr>
      <w:spacing w:after="240"/>
    </w:pPr>
  </w:style>
  <w:style w:type="paragraph" w:customStyle="1" w:styleId="NormalBeforeBullet">
    <w:name w:val="NormalBeforeBullet"/>
    <w:basedOn w:val="Normal"/>
    <w:qFormat/>
    <w:rsid w:val="005929A3"/>
    <w:pPr>
      <w:keepNext/>
      <w:spacing w:after="120"/>
    </w:pPr>
    <w:rPr>
      <w:color w:val="000000"/>
    </w:rPr>
  </w:style>
  <w:style w:type="paragraph" w:customStyle="1" w:styleId="NumberList">
    <w:name w:val="NumberList"/>
    <w:basedOn w:val="Normal"/>
    <w:rsid w:val="005929A3"/>
    <w:pPr>
      <w:tabs>
        <w:tab w:val="left" w:pos="360"/>
      </w:tabs>
      <w:spacing w:after="240"/>
      <w:ind w:left="360" w:hanging="36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953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inicaltrials.gov/ct2/show/NCT03734536"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A2669-E932-4395-8B8D-B543FDF04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11995</Words>
  <Characters>69693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2020-09-08T00:56:00Z</dcterms:created>
  <dcterms:modified xsi:type="dcterms:W3CDTF">2020-10-16T05:37:00Z</dcterms:modified>
</cp:coreProperties>
</file>