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AF005" w14:textId="77777777" w:rsidR="00DB2224" w:rsidRDefault="00E44B80" w:rsidP="009379EB">
      <w:pPr>
        <w:jc w:val="center"/>
      </w:pPr>
      <w:r w:rsidRPr="00F637B3">
        <w:rPr>
          <w:b/>
          <w:noProof/>
          <w:szCs w:val="20"/>
          <w:lang w:eastAsia="en-AU"/>
        </w:rPr>
        <w:drawing>
          <wp:inline distT="0" distB="0" distL="0" distR="0" wp14:anchorId="6F122B8C" wp14:editId="271D7FB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4A1E7C1" w14:textId="77777777" w:rsidR="0056015F" w:rsidRDefault="0056015F" w:rsidP="0056015F"/>
    <w:p w14:paraId="786A48DB" w14:textId="12BC8EF3" w:rsidR="00944F58" w:rsidRPr="00944F58" w:rsidRDefault="00944F58" w:rsidP="009817A6">
      <w:pPr>
        <w:pStyle w:val="TitleBlue"/>
        <w:spacing w:after="840"/>
        <w:rPr>
          <w:color w:val="auto"/>
        </w:rPr>
      </w:pPr>
      <w:r>
        <w:rPr>
          <w:color w:val="auto"/>
        </w:rPr>
        <w:t>MSAC Application 1723</w:t>
      </w:r>
    </w:p>
    <w:p w14:paraId="450E0ECE" w14:textId="77777777" w:rsidR="0013236B" w:rsidRDefault="0013236B" w:rsidP="0013236B">
      <w:pPr>
        <w:spacing w:after="840"/>
        <w:jc w:val="center"/>
        <w:rPr>
          <w:rFonts w:ascii="Arial" w:hAnsi="Arial" w:cs="Arial"/>
          <w:b/>
          <w:color w:val="538DD3"/>
          <w:sz w:val="52"/>
          <w:szCs w:val="52"/>
        </w:rPr>
      </w:pPr>
      <w:proofErr w:type="spellStart"/>
      <w:r w:rsidRPr="0013236B">
        <w:rPr>
          <w:rFonts w:ascii="Arial" w:hAnsi="Arial" w:cs="Arial"/>
          <w:b/>
          <w:color w:val="538DD3"/>
          <w:sz w:val="52"/>
          <w:szCs w:val="52"/>
        </w:rPr>
        <w:t>Brexucabtagene</w:t>
      </w:r>
      <w:proofErr w:type="spellEnd"/>
      <w:r w:rsidRPr="0013236B">
        <w:rPr>
          <w:rFonts w:ascii="Arial" w:hAnsi="Arial" w:cs="Arial"/>
          <w:b/>
          <w:color w:val="538DD3"/>
          <w:sz w:val="52"/>
          <w:szCs w:val="52"/>
        </w:rPr>
        <w:t xml:space="preserve"> </w:t>
      </w:r>
      <w:proofErr w:type="spellStart"/>
      <w:r w:rsidRPr="0013236B">
        <w:rPr>
          <w:rFonts w:ascii="Arial" w:hAnsi="Arial" w:cs="Arial"/>
          <w:b/>
          <w:color w:val="538DD3"/>
          <w:sz w:val="52"/>
          <w:szCs w:val="52"/>
        </w:rPr>
        <w:t>autoleucel</w:t>
      </w:r>
      <w:proofErr w:type="spellEnd"/>
      <w:r w:rsidRPr="0013236B">
        <w:rPr>
          <w:rFonts w:ascii="Arial" w:hAnsi="Arial" w:cs="Arial"/>
          <w:b/>
          <w:color w:val="538DD3"/>
          <w:sz w:val="52"/>
          <w:szCs w:val="52"/>
        </w:rPr>
        <w:t xml:space="preserve"> for adult relapsed or refractory B-precursor acute lymphoblastic leukaemia</w:t>
      </w:r>
    </w:p>
    <w:p w14:paraId="4716158E" w14:textId="0FC9A00F" w:rsidR="00E44B80" w:rsidRPr="00154B00" w:rsidRDefault="00300EEB" w:rsidP="00E25935">
      <w:pPr>
        <w:jc w:val="left"/>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3545CECA" w14:textId="77777777" w:rsidR="008B2610" w:rsidRPr="00154B00" w:rsidRDefault="008B2610" w:rsidP="00E25935">
      <w:pPr>
        <w:jc w:val="left"/>
      </w:pPr>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521AEBEE" w14:textId="77777777" w:rsidR="008B2610" w:rsidRPr="00154B00" w:rsidRDefault="009F5758" w:rsidP="00E25935">
      <w:pPr>
        <w:jc w:val="left"/>
      </w:pPr>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6DD9ED6A" w14:textId="77777777" w:rsidR="009F5758" w:rsidRPr="00154B00" w:rsidRDefault="009F5758" w:rsidP="00E25935">
      <w:pPr>
        <w:spacing w:before="0" w:after="0"/>
        <w:jc w:val="left"/>
      </w:pPr>
    </w:p>
    <w:p w14:paraId="5C75E12F" w14:textId="4681CBAD" w:rsidR="009F5758" w:rsidRPr="00154B00" w:rsidRDefault="009F5758" w:rsidP="00E25935">
      <w:pPr>
        <w:spacing w:before="0" w:after="0"/>
        <w:jc w:val="left"/>
      </w:pPr>
      <w:r w:rsidRPr="00154B00">
        <w:t xml:space="preserve">Email:  </w:t>
      </w:r>
      <w:hyperlink r:id="rId9" w:tooltip="click here to email the Department of Health HTA Team" w:history="1">
        <w:r w:rsidRPr="00154B00">
          <w:rPr>
            <w:rStyle w:val="Hyperlink"/>
            <w:szCs w:val="20"/>
          </w:rPr>
          <w:t>hta@health.gov.au</w:t>
        </w:r>
      </w:hyperlink>
    </w:p>
    <w:p w14:paraId="314CB4A6" w14:textId="7C6F7640" w:rsidR="009F5758" w:rsidRPr="00154B00" w:rsidRDefault="009F5758" w:rsidP="00E25935">
      <w:pPr>
        <w:spacing w:before="0" w:after="0"/>
        <w:jc w:val="left"/>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6BAFF59"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EE2D844" w14:textId="77777777" w:rsidR="00392F00" w:rsidRPr="00944F58" w:rsidRDefault="00D57F88" w:rsidP="004A0BF4">
      <w:pPr>
        <w:pStyle w:val="Heading2"/>
      </w:pPr>
      <w:r w:rsidRPr="00A8732C">
        <w:t>Applicant d</w:t>
      </w:r>
      <w:r w:rsidR="00392F00" w:rsidRPr="00A8732C">
        <w:t>etails</w:t>
      </w:r>
      <w:r w:rsidR="000D066E" w:rsidRPr="00A8732C">
        <w:t xml:space="preserve"> (</w:t>
      </w:r>
      <w:r w:rsidR="000D066E" w:rsidRPr="00944F58">
        <w:t>primary and alternative contacts)</w:t>
      </w:r>
    </w:p>
    <w:p w14:paraId="4F8F87DD" w14:textId="4735C55D" w:rsidR="00C171FB" w:rsidRPr="00944F58" w:rsidRDefault="00C171FB" w:rsidP="00C171FB">
      <w:pPr>
        <w:pBdr>
          <w:top w:val="single" w:sz="4" w:space="1" w:color="auto"/>
          <w:left w:val="single" w:sz="4" w:space="4" w:color="auto"/>
          <w:bottom w:val="single" w:sz="4" w:space="1" w:color="auto"/>
          <w:right w:val="single" w:sz="4" w:space="4" w:color="auto"/>
        </w:pBdr>
      </w:pPr>
      <w:r w:rsidRPr="00944F58">
        <w:t xml:space="preserve">Corporation / partnership details (where relevant): </w:t>
      </w:r>
    </w:p>
    <w:p w14:paraId="505BF6FC" w14:textId="0ECA6221" w:rsidR="00C171FB" w:rsidRPr="00944F58" w:rsidRDefault="00C171FB" w:rsidP="00C171FB">
      <w:pPr>
        <w:pBdr>
          <w:top w:val="single" w:sz="4" w:space="1" w:color="auto"/>
          <w:left w:val="single" w:sz="4" w:space="4" w:color="auto"/>
          <w:bottom w:val="single" w:sz="4" w:space="1" w:color="auto"/>
          <w:right w:val="single" w:sz="4" w:space="4" w:color="auto"/>
        </w:pBdr>
      </w:pPr>
      <w:r w:rsidRPr="00944F58">
        <w:t xml:space="preserve">Corporation name: </w:t>
      </w:r>
      <w:r w:rsidR="00944F58">
        <w:t>Gilead Sciences Pty Ltd</w:t>
      </w:r>
    </w:p>
    <w:p w14:paraId="731F093F" w14:textId="35D21E09" w:rsidR="00C171FB" w:rsidRPr="00944F58" w:rsidRDefault="00C171FB" w:rsidP="00C171FB">
      <w:pPr>
        <w:pBdr>
          <w:top w:val="single" w:sz="4" w:space="1" w:color="auto"/>
          <w:left w:val="single" w:sz="4" w:space="4" w:color="auto"/>
          <w:bottom w:val="single" w:sz="4" w:space="1" w:color="auto"/>
          <w:right w:val="single" w:sz="4" w:space="4" w:color="auto"/>
        </w:pBdr>
      </w:pPr>
      <w:r w:rsidRPr="00944F58">
        <w:t xml:space="preserve">ABN: </w:t>
      </w:r>
      <w:r w:rsidR="00944F58" w:rsidRPr="00944F58">
        <w:rPr>
          <w:b/>
          <w:bCs/>
        </w:rPr>
        <w:t>REDACTED</w:t>
      </w:r>
    </w:p>
    <w:p w14:paraId="08B29EB7" w14:textId="034FC2CA" w:rsidR="00C171FB" w:rsidRPr="00944F58" w:rsidRDefault="00C171FB" w:rsidP="00C171FB">
      <w:pPr>
        <w:pBdr>
          <w:top w:val="single" w:sz="4" w:space="1" w:color="auto"/>
          <w:left w:val="single" w:sz="4" w:space="4" w:color="auto"/>
          <w:bottom w:val="single" w:sz="4" w:space="1" w:color="auto"/>
          <w:right w:val="single" w:sz="4" w:space="4" w:color="auto"/>
        </w:pBdr>
      </w:pPr>
      <w:r w:rsidRPr="00944F58">
        <w:t xml:space="preserve">Business trading name: </w:t>
      </w:r>
      <w:r w:rsidR="00944F58">
        <w:t>Gilead Sciences Pty Ltd</w:t>
      </w:r>
    </w:p>
    <w:p w14:paraId="477F8A74" w14:textId="77777777" w:rsidR="00C171FB" w:rsidRPr="00944F58" w:rsidRDefault="00C171FB" w:rsidP="00C171FB"/>
    <w:p w14:paraId="02EF51EC" w14:textId="6C45A050" w:rsidR="00C171FB" w:rsidRPr="00C171FB" w:rsidRDefault="00C171FB" w:rsidP="00C171FB">
      <w:pPr>
        <w:rPr>
          <w:b/>
        </w:rPr>
      </w:pPr>
      <w:r w:rsidRPr="00944F58">
        <w:rPr>
          <w:b/>
        </w:rPr>
        <w:t xml:space="preserve">Primary contact name: </w:t>
      </w:r>
      <w:r w:rsidR="00944F58" w:rsidRPr="00944F58">
        <w:rPr>
          <w:b/>
          <w:bCs/>
        </w:rPr>
        <w:t>REDACTED</w:t>
      </w:r>
    </w:p>
    <w:p w14:paraId="32266CA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7240D8F" w14:textId="366DD14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44F58" w:rsidRPr="00944F58">
        <w:rPr>
          <w:b/>
          <w:bCs/>
        </w:rPr>
        <w:t>REDACTED</w:t>
      </w:r>
    </w:p>
    <w:p w14:paraId="0D28CFDD" w14:textId="0B60F8C1"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944F58" w:rsidRPr="00944F58">
        <w:rPr>
          <w:b/>
          <w:bCs/>
        </w:rPr>
        <w:t>REDACTED</w:t>
      </w:r>
    </w:p>
    <w:p w14:paraId="71BB0B80" w14:textId="3B1458E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44F58" w:rsidRPr="00944F58">
        <w:rPr>
          <w:b/>
          <w:bCs/>
        </w:rPr>
        <w:t>REDACTED</w:t>
      </w:r>
    </w:p>
    <w:p w14:paraId="2FB532E0" w14:textId="77777777" w:rsidR="00C171FB" w:rsidRDefault="00C171FB" w:rsidP="00C171FB">
      <w:pPr>
        <w:rPr>
          <w:b/>
        </w:rPr>
      </w:pPr>
    </w:p>
    <w:p w14:paraId="556D7B23" w14:textId="66C66560" w:rsidR="00C171FB" w:rsidRPr="00C171FB" w:rsidRDefault="00C171FB" w:rsidP="00C171FB">
      <w:pPr>
        <w:rPr>
          <w:b/>
        </w:rPr>
      </w:pPr>
      <w:r>
        <w:rPr>
          <w:b/>
        </w:rPr>
        <w:t xml:space="preserve">Alternative contact name: </w:t>
      </w:r>
      <w:r w:rsidR="00944F58" w:rsidRPr="00944F58">
        <w:rPr>
          <w:b/>
          <w:bCs/>
        </w:rPr>
        <w:t>REDACTED</w:t>
      </w:r>
    </w:p>
    <w:p w14:paraId="6419DDA8"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F595E1B" w14:textId="40D06A0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44F58" w:rsidRPr="00944F58">
        <w:rPr>
          <w:b/>
          <w:bCs/>
        </w:rPr>
        <w:t>REDACTED</w:t>
      </w:r>
    </w:p>
    <w:p w14:paraId="327C171D" w14:textId="1D0547B9"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944F58" w:rsidRPr="00944F58">
        <w:rPr>
          <w:b/>
          <w:bCs/>
        </w:rPr>
        <w:t>REDACTED</w:t>
      </w:r>
    </w:p>
    <w:p w14:paraId="5D8F7D30" w14:textId="17C997A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44F58" w:rsidRPr="00944F58">
        <w:rPr>
          <w:b/>
          <w:bCs/>
        </w:rPr>
        <w:t>REDACTED</w:t>
      </w:r>
    </w:p>
    <w:p w14:paraId="64C2897B" w14:textId="77777777" w:rsidR="00C171FB" w:rsidRPr="00C171FB" w:rsidRDefault="00C171FB" w:rsidP="00C171FB"/>
    <w:p w14:paraId="162114DE" w14:textId="77777777" w:rsidR="00AD2E85" w:rsidRDefault="00AD2E85" w:rsidP="004A0BF4">
      <w:pPr>
        <w:pStyle w:val="Heading2"/>
      </w:pPr>
      <w:r>
        <w:t xml:space="preserve">(a) </w:t>
      </w:r>
      <w:r w:rsidRPr="00AD2E85">
        <w:t>Are you a consultant acting on behalf on an applicant?</w:t>
      </w:r>
    </w:p>
    <w:p w14:paraId="0E2A52AE"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w:t>
      </w:r>
    </w:p>
    <w:p w14:paraId="08B2A260" w14:textId="11442863" w:rsidR="00AD2E85" w:rsidRPr="00753C44" w:rsidRDefault="005C3989" w:rsidP="00AD2E8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AD2E85">
        <w:rPr>
          <w:szCs w:val="20"/>
        </w:rPr>
        <w:t xml:space="preserve"> No</w:t>
      </w:r>
      <w:r w:rsidR="00AD2E85" w:rsidRPr="00753C44">
        <w:rPr>
          <w:szCs w:val="20"/>
        </w:rPr>
        <w:t xml:space="preserve">  </w:t>
      </w:r>
    </w:p>
    <w:p w14:paraId="480BE317" w14:textId="77777777" w:rsidR="00AD2E85" w:rsidRPr="00AD2E85" w:rsidRDefault="00AD2E85" w:rsidP="00AD2E85">
      <w:pPr>
        <w:ind w:firstLine="360"/>
        <w:rPr>
          <w:b/>
        </w:rPr>
      </w:pPr>
      <w:r w:rsidRPr="00AD2E85">
        <w:rPr>
          <w:b/>
        </w:rPr>
        <w:t>(b) If yes what is the Applicant(s) name that you are acting on behalf of?</w:t>
      </w:r>
    </w:p>
    <w:p w14:paraId="0B13B543" w14:textId="77777777" w:rsidR="00AD2E85" w:rsidRPr="00AD2E85" w:rsidRDefault="00AD2E85" w:rsidP="00AD2E85"/>
    <w:p w14:paraId="0E1D7EE5" w14:textId="77777777" w:rsidR="00534C5F" w:rsidRPr="00154B00" w:rsidRDefault="00494011" w:rsidP="004A0BF4">
      <w:pPr>
        <w:pStyle w:val="Heading2"/>
      </w:pPr>
      <w:r>
        <w:t xml:space="preserve">(a) </w:t>
      </w:r>
      <w:r w:rsidR="00534C5F">
        <w:t>Are you a lobbyist acting on behalf of an Applicant?</w:t>
      </w:r>
    </w:p>
    <w:p w14:paraId="1C99C97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w:t>
      </w:r>
    </w:p>
    <w:p w14:paraId="52D2D5DC" w14:textId="3FDB4868" w:rsidR="00A6491A" w:rsidRPr="00753C44" w:rsidRDefault="00746D2E"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13236B">
        <w:rPr>
          <w:szCs w:val="20"/>
        </w:rPr>
      </w:r>
      <w:r w:rsidR="0013236B">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7D634DE2" w14:textId="77777777" w:rsidR="00534C5F" w:rsidRPr="00154B00" w:rsidRDefault="00534C5F" w:rsidP="00056F06">
      <w:pPr>
        <w:pStyle w:val="Heading2"/>
        <w:numPr>
          <w:ilvl w:val="0"/>
          <w:numId w:val="2"/>
        </w:numPr>
      </w:pPr>
      <w:r w:rsidRPr="00154B00">
        <w:t xml:space="preserve">If yes, </w:t>
      </w:r>
      <w:r>
        <w:t xml:space="preserve">are </w:t>
      </w:r>
      <w:r w:rsidRPr="00FE33A6">
        <w:t>you</w:t>
      </w:r>
      <w:r>
        <w:t xml:space="preserve"> listed on the Register of Lobbyists?</w:t>
      </w:r>
    </w:p>
    <w:p w14:paraId="65AFC5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w:t>
      </w:r>
    </w:p>
    <w:p w14:paraId="23401B67"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No</w:t>
      </w:r>
      <w:r w:rsidRPr="00753C44">
        <w:rPr>
          <w:szCs w:val="20"/>
        </w:rPr>
        <w:t xml:space="preserve">  </w:t>
      </w:r>
    </w:p>
    <w:p w14:paraId="6D67FACF" w14:textId="3EAA0DE6" w:rsidR="00CE0F9E" w:rsidRPr="00154B00" w:rsidRDefault="00CE0F9E" w:rsidP="00056F06">
      <w:pPr>
        <w:pStyle w:val="Heading2"/>
        <w:numPr>
          <w:ilvl w:val="0"/>
          <w:numId w:val="2"/>
        </w:numPr>
      </w:pPr>
      <w:r>
        <w:t>Have you engaged a consultant on your behalf?</w:t>
      </w:r>
      <w:r w:rsidR="00B5456E">
        <w:t xml:space="preserve"> </w:t>
      </w:r>
    </w:p>
    <w:p w14:paraId="490DC079"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 </w:t>
      </w:r>
    </w:p>
    <w:p w14:paraId="2F9DC3BD" w14:textId="551BF38A" w:rsidR="00CE0F9E" w:rsidRDefault="00DB2224"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CE0F9E">
        <w:rPr>
          <w:szCs w:val="20"/>
        </w:rPr>
        <w:t xml:space="preserve"> No</w:t>
      </w:r>
      <w:r w:rsidR="00CE0F9E" w:rsidRPr="00753C44">
        <w:rPr>
          <w:szCs w:val="20"/>
        </w:rPr>
        <w:t xml:space="preserve">  </w:t>
      </w:r>
    </w:p>
    <w:p w14:paraId="526B0512" w14:textId="77777777" w:rsidR="00CE0F9E" w:rsidRDefault="00CE0F9E" w:rsidP="00CE0F9E">
      <w:pPr>
        <w:spacing w:before="0" w:after="0"/>
        <w:ind w:left="426"/>
        <w:rPr>
          <w:szCs w:val="20"/>
        </w:rPr>
      </w:pPr>
    </w:p>
    <w:p w14:paraId="6EAE7474" w14:textId="77777777" w:rsidR="00CE0F9E" w:rsidRPr="00753C44" w:rsidRDefault="00CE0F9E" w:rsidP="00CE0F9E">
      <w:pPr>
        <w:spacing w:before="0" w:after="0"/>
        <w:ind w:left="426"/>
        <w:rPr>
          <w:szCs w:val="20"/>
        </w:rPr>
      </w:pPr>
    </w:p>
    <w:p w14:paraId="35B67C14" w14:textId="77777777" w:rsidR="00E04FB3" w:rsidRDefault="00E04FB3" w:rsidP="005C333E">
      <w:pPr>
        <w:spacing w:before="0" w:after="0"/>
        <w:ind w:left="426"/>
        <w:rPr>
          <w:b/>
          <w:szCs w:val="20"/>
        </w:rPr>
      </w:pPr>
      <w:r w:rsidRPr="00154B00">
        <w:rPr>
          <w:b/>
          <w:szCs w:val="20"/>
        </w:rPr>
        <w:br w:type="page"/>
      </w:r>
    </w:p>
    <w:p w14:paraId="34C2E182"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335214B0" w14:textId="77777777" w:rsidR="000B3CD0" w:rsidRDefault="000B3CD0" w:rsidP="00730C04">
      <w:pPr>
        <w:pStyle w:val="Heading2"/>
      </w:pPr>
      <w:r w:rsidRPr="00154B00">
        <w:t>Application title</w:t>
      </w:r>
      <w:r w:rsidR="00A8732C">
        <w:t xml:space="preserve"> </w:t>
      </w:r>
    </w:p>
    <w:p w14:paraId="6B141D26" w14:textId="135B853A" w:rsidR="00133CC7" w:rsidRDefault="00746D2E" w:rsidP="00E25935">
      <w:pPr>
        <w:ind w:left="360"/>
      </w:pPr>
      <w:r w:rsidRPr="00AA5DA6">
        <w:t xml:space="preserve">Brexucabtagene autoleucel for the treatment of </w:t>
      </w:r>
      <w:r>
        <w:t xml:space="preserve">adult </w:t>
      </w:r>
      <w:r w:rsidRPr="00AA5DA6">
        <w:t xml:space="preserve">patients </w:t>
      </w:r>
      <w:r w:rsidR="007E2BC5">
        <w:t xml:space="preserve">(≥ 18 years of age) </w:t>
      </w:r>
      <w:r w:rsidRPr="00AA5DA6">
        <w:t xml:space="preserve">with </w:t>
      </w:r>
      <w:r>
        <w:t xml:space="preserve">relapsed </w:t>
      </w:r>
      <w:r w:rsidRPr="00746D2E">
        <w:t>or refractory B-precursor acute lymphoblastic leukaemia</w:t>
      </w:r>
      <w:r w:rsidR="007E2BC5">
        <w:t xml:space="preserve"> (B-ALL)</w:t>
      </w:r>
      <w:r w:rsidR="00727401">
        <w:t xml:space="preserve">. </w:t>
      </w:r>
      <w:r w:rsidR="00727401" w:rsidRPr="00727401">
        <w:t xml:space="preserve">Relapsed or refractory disease </w:t>
      </w:r>
      <w:r w:rsidR="00133CC7">
        <w:t>is</w:t>
      </w:r>
      <w:r w:rsidR="00727401" w:rsidRPr="00727401">
        <w:t xml:space="preserve"> defined as </w:t>
      </w:r>
      <w:r w:rsidR="00133CC7">
        <w:t xml:space="preserve">one of the following: </w:t>
      </w:r>
    </w:p>
    <w:p w14:paraId="3ACF2590" w14:textId="238D7CA7" w:rsidR="00133CC7" w:rsidRDefault="00133CC7" w:rsidP="00E25935">
      <w:pPr>
        <w:pStyle w:val="ListParagraph"/>
        <w:numPr>
          <w:ilvl w:val="0"/>
          <w:numId w:val="20"/>
        </w:numPr>
        <w:ind w:left="1080"/>
      </w:pPr>
      <w:r>
        <w:t>P</w:t>
      </w:r>
      <w:r w:rsidR="00727401" w:rsidRPr="00727401">
        <w:t xml:space="preserve">rimary refractory </w:t>
      </w:r>
    </w:p>
    <w:p w14:paraId="47457F34" w14:textId="1C92C2D3" w:rsidR="00133CC7" w:rsidRDefault="00133CC7" w:rsidP="00E25935">
      <w:pPr>
        <w:pStyle w:val="ListParagraph"/>
        <w:numPr>
          <w:ilvl w:val="0"/>
          <w:numId w:val="20"/>
        </w:numPr>
        <w:ind w:left="1080"/>
      </w:pPr>
      <w:r>
        <w:t>F</w:t>
      </w:r>
      <w:r w:rsidR="00727401" w:rsidRPr="00727401">
        <w:t xml:space="preserve">irst relapse </w:t>
      </w:r>
      <w:r w:rsidR="000034E5">
        <w:t xml:space="preserve">if </w:t>
      </w:r>
      <w:r w:rsidR="00727401" w:rsidRPr="00727401">
        <w:t xml:space="preserve">remission </w:t>
      </w:r>
      <w:r w:rsidR="000034E5">
        <w:t>was</w:t>
      </w:r>
      <w:r w:rsidR="00727401" w:rsidRPr="00727401">
        <w:t xml:space="preserve"> 12 months or less </w:t>
      </w:r>
    </w:p>
    <w:p w14:paraId="08B89293" w14:textId="1755826F" w:rsidR="00133CC7" w:rsidRDefault="00133CC7" w:rsidP="00E25935">
      <w:pPr>
        <w:pStyle w:val="ListParagraph"/>
        <w:numPr>
          <w:ilvl w:val="0"/>
          <w:numId w:val="20"/>
        </w:numPr>
        <w:ind w:left="1080"/>
      </w:pPr>
      <w:r>
        <w:t>R</w:t>
      </w:r>
      <w:r w:rsidR="00727401" w:rsidRPr="00727401">
        <w:t xml:space="preserve">elapsed or refractory after two </w:t>
      </w:r>
      <w:r w:rsidR="000034E5">
        <w:t>or more</w:t>
      </w:r>
      <w:r w:rsidR="000034E5" w:rsidRPr="00727401">
        <w:t xml:space="preserve"> </w:t>
      </w:r>
      <w:r w:rsidR="00727401" w:rsidRPr="00727401">
        <w:t>lines of systemic therapy</w:t>
      </w:r>
    </w:p>
    <w:p w14:paraId="1A7EE0DA" w14:textId="5DDFE4F7" w:rsidR="00B87234" w:rsidRDefault="00133CC7" w:rsidP="00E25935">
      <w:pPr>
        <w:pStyle w:val="ListParagraph"/>
        <w:numPr>
          <w:ilvl w:val="0"/>
          <w:numId w:val="20"/>
        </w:numPr>
        <w:ind w:left="1080"/>
      </w:pPr>
      <w:r>
        <w:t>R</w:t>
      </w:r>
      <w:r w:rsidR="00727401" w:rsidRPr="00727401">
        <w:t xml:space="preserve">elapsed or refractory after </w:t>
      </w:r>
      <w:r w:rsidR="003F2DB4">
        <w:t>allogeneic stem-cell transplant</w:t>
      </w:r>
    </w:p>
    <w:p w14:paraId="1BEAC366"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A86DA0E" w14:textId="0A5521FE" w:rsidR="00492BCA" w:rsidRPr="008B77F7" w:rsidRDefault="007B0274" w:rsidP="00E25935">
      <w:pPr>
        <w:ind w:left="360"/>
        <w:jc w:val="left"/>
      </w:pPr>
      <w:r w:rsidRPr="00B570A1">
        <w:t>A</w:t>
      </w:r>
      <w:r w:rsidR="00185675" w:rsidRPr="00B570A1">
        <w:t>cute lymphoblastic leuk</w:t>
      </w:r>
      <w:r w:rsidR="00916434" w:rsidRPr="00B570A1">
        <w:t>a</w:t>
      </w:r>
      <w:r w:rsidR="00185675" w:rsidRPr="00B570A1">
        <w:t>emia (ALL) is a h</w:t>
      </w:r>
      <w:r w:rsidR="00FB3012" w:rsidRPr="00B570A1">
        <w:t>a</w:t>
      </w:r>
      <w:r w:rsidR="00185675" w:rsidRPr="00B570A1">
        <w:t>ematologic malignancy propagated by impaired differentiation, proliferation, and accumulation of lymphoid progenitor cells in the bone marrow and</w:t>
      </w:r>
      <w:r w:rsidR="00D33E32" w:rsidRPr="00B570A1">
        <w:t>/</w:t>
      </w:r>
      <w:r w:rsidR="00185675" w:rsidRPr="00B570A1">
        <w:t xml:space="preserve">or extramedullary sites (Paul </w:t>
      </w:r>
      <w:r w:rsidR="003771D3" w:rsidRPr="00B570A1">
        <w:t xml:space="preserve">et al., </w:t>
      </w:r>
      <w:r w:rsidR="00185675" w:rsidRPr="00B570A1">
        <w:t>2016</w: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 </w:instrTex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EN.CITE.DATA </w:instrText>
      </w:r>
      <w:r w:rsidR="008B77F7" w:rsidRPr="00B570A1">
        <w:fldChar w:fldCharType="end"/>
      </w:r>
      <w:r w:rsidR="008B77F7" w:rsidRPr="00B570A1">
        <w:fldChar w:fldCharType="separate"/>
      </w:r>
      <w:r w:rsidR="008B77F7" w:rsidRPr="00B570A1">
        <w:rPr>
          <w:noProof/>
          <w:vertAlign w:val="superscript"/>
        </w:rPr>
        <w:t>1</w:t>
      </w:r>
      <w:r w:rsidR="008B77F7" w:rsidRPr="00B570A1">
        <w:fldChar w:fldCharType="end"/>
      </w:r>
      <w:r w:rsidR="00185675" w:rsidRPr="00B570A1">
        <w:t>).</w:t>
      </w:r>
      <w:r w:rsidR="00661B0D" w:rsidRPr="00B570A1">
        <w:t xml:space="preserve"> </w:t>
      </w:r>
      <w:r w:rsidR="00816045" w:rsidRPr="00B570A1">
        <w:t xml:space="preserve">In Australia, approximately 446 people </w:t>
      </w:r>
      <w:r w:rsidR="00DB2224">
        <w:t xml:space="preserve">(children and adults) </w:t>
      </w:r>
      <w:r w:rsidR="00816045" w:rsidRPr="00B570A1">
        <w:t>diagnose</w:t>
      </w:r>
      <w:r w:rsidR="002C164B" w:rsidRPr="00B570A1">
        <w:t>d</w:t>
      </w:r>
      <w:r w:rsidR="00816045" w:rsidRPr="00B570A1">
        <w:t xml:space="preserve"> with</w:t>
      </w:r>
      <w:r w:rsidR="002C164B" w:rsidRPr="00B570A1">
        <w:t>,</w:t>
      </w:r>
      <w:r w:rsidR="00816045" w:rsidRPr="00B570A1">
        <w:t xml:space="preserve"> and 109 deaths from</w:t>
      </w:r>
      <w:r w:rsidR="002C164B" w:rsidRPr="00B570A1">
        <w:t>,</w:t>
      </w:r>
      <w:r w:rsidR="00816045" w:rsidRPr="00B570A1">
        <w:t xml:space="preserve"> ALL </w:t>
      </w:r>
      <w:r w:rsidR="003E2BC8" w:rsidRPr="00B570A1">
        <w:t xml:space="preserve">are expected </w:t>
      </w:r>
      <w:r w:rsidR="00816045" w:rsidRPr="00B570A1">
        <w:t xml:space="preserve">in 2021 </w:t>
      </w:r>
      <w:r w:rsidR="003771D3" w:rsidRPr="00B570A1">
        <w:t>(AIHW 2021</w:t>
      </w:r>
      <w:r w:rsidR="007C0AAE" w:rsidRPr="00B570A1">
        <w:fldChar w:fldCharType="begin"/>
      </w:r>
      <w:r w:rsidR="00B570A1" w:rsidRPr="00B570A1">
        <w:instrText xml:space="preserve"> ADDIN EN.CITE &lt;EndNote&gt;&lt;Cite ExcludeYear="1"&gt;&lt;Author&gt;AIHW Australian Institute of Health and Welfare&lt;/Author&gt;&lt;Year&gt;2021&lt;/Year&gt;&lt;RecNum&gt;9&lt;/RecNum&gt;&lt;DisplayText&gt;&lt;style face="superscript"&gt;2&lt;/style&gt;&lt;/DisplayText&gt;&lt;record&gt;&lt;rec-number&gt;9&lt;/rec-number&gt;&lt;foreign-keys&gt;&lt;key app="EN" db-id="taa2xz5tmwatawezss9vrteztavaxffdtd50" timestamp="1646779058"&gt;9&lt;/key&gt;&lt;/foreign-keys&gt;&lt;ref-type name="Web Page"&gt;12&lt;/ref-type&gt;&lt;contributors&gt;&lt;authors&gt;&lt;author&gt;AIHW Australian Institute of Health and Welfare,&lt;/author&gt;&lt;/authors&gt;&lt;secondary-authors&gt;&lt;author&gt;AIHW Australian Institute of Health and Welfare,&lt;/author&gt;&lt;/secondary-authors&gt;&lt;/contributors&gt;&lt;titles&gt;&lt;title&gt;Cancer data in Australia. Cancer summary data visualisation.&lt;/title&gt;&lt;/titles&gt;&lt;dates&gt;&lt;year&gt;2021&lt;/year&gt;&lt;/dates&gt;&lt;urls&gt;&lt;related-urls&gt;&lt;url&gt;https://www.aihw.gov.au/reports/cancer/cancer-data-in-australia/contents/cancer-summary-data-visualisation&lt;/url&gt;&lt;/related-urls&gt;&lt;/urls&gt;&lt;/record&gt;&lt;/Cite&gt;&lt;/EndNote&gt;</w:instrText>
      </w:r>
      <w:r w:rsidR="007C0AAE" w:rsidRPr="00B570A1">
        <w:fldChar w:fldCharType="separate"/>
      </w:r>
      <w:r w:rsidR="007C0AAE" w:rsidRPr="00B570A1">
        <w:rPr>
          <w:noProof/>
          <w:vertAlign w:val="superscript"/>
        </w:rPr>
        <w:t>2</w:t>
      </w:r>
      <w:r w:rsidR="007C0AAE" w:rsidRPr="00B570A1">
        <w:fldChar w:fldCharType="end"/>
      </w:r>
      <w:r w:rsidR="00816045" w:rsidRPr="00B570A1">
        <w:t xml:space="preserve">). </w:t>
      </w:r>
      <w:r w:rsidR="00DC70BE" w:rsidRPr="00B570A1">
        <w:t xml:space="preserve">ALL </w:t>
      </w:r>
      <w:r w:rsidR="009D0888" w:rsidRPr="00B570A1">
        <w:t xml:space="preserve">occurs with a bimodal age distribution and </w:t>
      </w:r>
      <w:r w:rsidR="00661B0D" w:rsidRPr="00B570A1">
        <w:t xml:space="preserve">is mainly considered a </w:t>
      </w:r>
      <w:r w:rsidR="00DC70BE" w:rsidRPr="00B570A1">
        <w:t>paediatric</w:t>
      </w:r>
      <w:r w:rsidR="00661B0D" w:rsidRPr="00B570A1">
        <w:t xml:space="preserve"> leuk</w:t>
      </w:r>
      <w:r w:rsidR="00D33E32" w:rsidRPr="00B570A1">
        <w:t>a</w:t>
      </w:r>
      <w:r w:rsidR="00661B0D" w:rsidRPr="00B570A1">
        <w:t>emia with 80% of cases occurring in children and 20% occurring in adults</w:t>
      </w:r>
      <w:r w:rsidR="0094574B" w:rsidRPr="00B570A1">
        <w:t xml:space="preserve"> (≥ 18 years of age</w:t>
      </w:r>
      <w:r w:rsidR="003771D3" w:rsidRPr="00B570A1">
        <w:t>; Paul et al., 2016</w: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 </w:instrTex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EN.CITE.DATA </w:instrText>
      </w:r>
      <w:r w:rsidR="008B77F7" w:rsidRPr="00B570A1">
        <w:fldChar w:fldCharType="end"/>
      </w:r>
      <w:r w:rsidR="008B77F7" w:rsidRPr="00B570A1">
        <w:fldChar w:fldCharType="separate"/>
      </w:r>
      <w:r w:rsidR="008B77F7" w:rsidRPr="00B570A1">
        <w:rPr>
          <w:noProof/>
          <w:vertAlign w:val="superscript"/>
        </w:rPr>
        <w:t>1</w:t>
      </w:r>
      <w:r w:rsidR="008B77F7" w:rsidRPr="00B570A1">
        <w:fldChar w:fldCharType="end"/>
      </w:r>
      <w:r w:rsidR="003771D3" w:rsidRPr="00B570A1">
        <w:t>).</w:t>
      </w:r>
      <w:r w:rsidR="00C42AB0" w:rsidRPr="00B570A1">
        <w:t xml:space="preserve"> </w:t>
      </w:r>
      <w:r w:rsidR="009E3EB1" w:rsidRPr="00B570A1">
        <w:t>While</w:t>
      </w:r>
      <w:r w:rsidR="00271BE4" w:rsidRPr="00B570A1">
        <w:t xml:space="preserve"> </w:t>
      </w:r>
      <w:r w:rsidR="006E110D" w:rsidRPr="00B570A1">
        <w:t xml:space="preserve">5-year overall survival (OS) is approximately 90% in children, </w:t>
      </w:r>
      <w:r w:rsidR="0028052F" w:rsidRPr="00B570A1">
        <w:t xml:space="preserve">the treatment success of paediatric ALL has not been </w:t>
      </w:r>
      <w:r w:rsidR="00CA6582" w:rsidRPr="00B570A1">
        <w:t xml:space="preserve">achieved </w:t>
      </w:r>
      <w:r w:rsidR="0028052F" w:rsidRPr="00B570A1">
        <w:t>in adult ALL</w:t>
      </w:r>
      <w:r w:rsidR="0028052F" w:rsidRPr="00B570A1">
        <w:rPr>
          <w:rFonts w:ascii="AdvOT561cdbbe" w:eastAsia="Times New Roman" w:hAnsi="AdvOT561cdbbe" w:cs="Times New Roman"/>
          <w:szCs w:val="20"/>
          <w:lang w:eastAsia="en-GB"/>
        </w:rPr>
        <w:t xml:space="preserve">, </w:t>
      </w:r>
      <w:r w:rsidR="0028052F" w:rsidRPr="00DB2224">
        <w:rPr>
          <w:rFonts w:eastAsia="Times New Roman" w:cstheme="minorHAnsi"/>
          <w:szCs w:val="20"/>
          <w:lang w:eastAsia="en-GB"/>
        </w:rPr>
        <w:t>with</w:t>
      </w:r>
      <w:r w:rsidR="00A721FD" w:rsidRPr="00DB2224">
        <w:rPr>
          <w:rFonts w:eastAsia="Times New Roman" w:cstheme="minorHAnsi"/>
          <w:szCs w:val="20"/>
          <w:lang w:eastAsia="en-GB"/>
        </w:rPr>
        <w:t xml:space="preserve"> 5-year</w:t>
      </w:r>
      <w:r w:rsidR="0028052F" w:rsidRPr="00DB2224">
        <w:rPr>
          <w:rFonts w:eastAsia="Times New Roman" w:cstheme="minorHAnsi"/>
          <w:szCs w:val="20"/>
          <w:lang w:eastAsia="en-GB"/>
        </w:rPr>
        <w:t xml:space="preserve"> </w:t>
      </w:r>
      <w:r w:rsidR="00B570A1">
        <w:t>survival</w:t>
      </w:r>
      <w:r w:rsidR="0028052F" w:rsidRPr="00B570A1">
        <w:t xml:space="preserve"> </w:t>
      </w:r>
      <w:r w:rsidR="006E110D" w:rsidRPr="00B570A1">
        <w:t>rates from 20% to 40% in adults and elderly patients (NCCN 2021</w:t>
      </w:r>
      <w:r w:rsidR="008B77F7" w:rsidRPr="00B570A1">
        <w:fldChar w:fldCharType="begin"/>
      </w:r>
      <w:r w:rsidR="007C0AAE" w:rsidRPr="00B570A1">
        <w:instrText xml:space="preserve"> ADDIN EN.CITE &lt;EndNote&gt;&lt;Cite ExcludeYear="1"&gt;&lt;Author&gt;NCCN&lt;/Author&gt;&lt;Year&gt;2021&lt;/Year&gt;&lt;RecNum&gt;7&lt;/RecNum&gt;&lt;DisplayText&gt;&lt;style face="superscript"&gt;3&lt;/style&gt;&lt;/DisplayText&gt;&lt;record&gt;&lt;rec-number&gt;7&lt;/rec-number&gt;&lt;foreign-keys&gt;&lt;key app="EN" db-id="taa2xz5tmwatawezss9vrteztavaxffdtd50" timestamp="1645682219"&gt;7&lt;/key&gt;&lt;/foreign-keys&gt;&lt;ref-type name="Journal Article"&gt;17&lt;/ref-type&gt;&lt;contributors&gt;&lt;authors&gt;&lt;author&gt;NCCN&lt;/author&gt;&lt;/authors&gt;&lt;/contributors&gt;&lt;titles&gt;&lt;title&gt;Acute Lymphoblastic Leukemia: NCCN Clinical Practice Guidelines in Oncology&lt;/title&gt;&lt;secondary-title&gt;National Comprehensive Cancer Network&lt;/secondary-title&gt;&lt;/titles&gt;&lt;periodical&gt;&lt;full-title&gt;National Comprehensive Cancer Network&lt;/full-title&gt;&lt;/periodical&gt;&lt;volume&gt;Version 4.2021&lt;/volume&gt;&lt;number&gt;January 7, 2022&lt;/number&gt;&lt;edition&gt;January 7, 2022&lt;/edition&gt;&lt;dates&gt;&lt;year&gt;2021&lt;/year&gt;&lt;/dates&gt;&lt;urls&gt;&lt;related-urls&gt;&lt;url&gt;https://www.nccn.org/professionals/physician_gls/pdf/all.pdf&lt;/url&gt;&lt;/related-urls&gt;&lt;/urls&gt;&lt;/record&gt;&lt;/Cite&gt;&lt;/EndNote&gt;</w:instrText>
      </w:r>
      <w:r w:rsidR="008B77F7" w:rsidRPr="00B570A1">
        <w:fldChar w:fldCharType="separate"/>
      </w:r>
      <w:r w:rsidR="007C0AAE" w:rsidRPr="00B570A1">
        <w:rPr>
          <w:noProof/>
          <w:vertAlign w:val="superscript"/>
        </w:rPr>
        <w:t>3</w:t>
      </w:r>
      <w:r w:rsidR="008B77F7" w:rsidRPr="00B570A1">
        <w:fldChar w:fldCharType="end"/>
      </w:r>
      <w:r w:rsidR="006E110D" w:rsidRPr="00B570A1">
        <w:t xml:space="preserve">; </w:t>
      </w:r>
      <w:r w:rsidR="003771D3" w:rsidRPr="00B570A1">
        <w:t>Paul et al., 2016</w: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 </w:instrText>
      </w:r>
      <w:r w:rsidR="008B77F7" w:rsidRPr="00B570A1">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B570A1">
        <w:instrText xml:space="preserve"> ADDIN EN.CITE.DATA </w:instrText>
      </w:r>
      <w:r w:rsidR="008B77F7" w:rsidRPr="00B570A1">
        <w:fldChar w:fldCharType="end"/>
      </w:r>
      <w:r w:rsidR="008B77F7" w:rsidRPr="00B570A1">
        <w:fldChar w:fldCharType="separate"/>
      </w:r>
      <w:r w:rsidR="008B77F7" w:rsidRPr="00B570A1">
        <w:rPr>
          <w:noProof/>
          <w:vertAlign w:val="superscript"/>
        </w:rPr>
        <w:t>1</w:t>
      </w:r>
      <w:r w:rsidR="008B77F7" w:rsidRPr="00B570A1">
        <w:fldChar w:fldCharType="end"/>
      </w:r>
      <w:r w:rsidR="003771D3" w:rsidRPr="00B570A1">
        <w:t>).</w:t>
      </w:r>
      <w:r w:rsidR="006E110D" w:rsidRPr="00B570A1">
        <w:t xml:space="preserve">  Therefore, prognosis and s</w:t>
      </w:r>
      <w:r w:rsidR="00661B0D" w:rsidRPr="00B570A1">
        <w:t xml:space="preserve">urvival </w:t>
      </w:r>
      <w:r w:rsidR="006E110D" w:rsidRPr="00B570A1">
        <w:t xml:space="preserve">are </w:t>
      </w:r>
      <w:r w:rsidR="00661B0D" w:rsidRPr="00B570A1">
        <w:t>particularly poor among adults</w:t>
      </w:r>
      <w:r w:rsidR="00DC70BE" w:rsidRPr="00B570A1">
        <w:t xml:space="preserve"> (Katz 2015)</w:t>
      </w:r>
      <w:r w:rsidR="00BE1FE9" w:rsidRPr="00B570A1">
        <w:t xml:space="preserve"> and represents a devastating disease when it occurs in adults </w:t>
      </w:r>
      <w:r w:rsidR="003771D3" w:rsidRPr="00B570A1">
        <w:t>(</w:t>
      </w:r>
      <w:proofErr w:type="spellStart"/>
      <w:r w:rsidR="003771D3" w:rsidRPr="00B570A1">
        <w:t>Terwiliger</w:t>
      </w:r>
      <w:proofErr w:type="spellEnd"/>
      <w:r w:rsidR="003771D3" w:rsidRPr="00B570A1">
        <w:t xml:space="preserve"> et. al., 2017</w:t>
      </w:r>
      <w:r w:rsidR="008B77F7" w:rsidRPr="00B570A1">
        <w:fldChar w:fldCharType="begin"/>
      </w:r>
      <w:r w:rsidR="007C0AAE" w:rsidRPr="00B570A1">
        <w:instrText xml:space="preserve"> ADDIN EN.CITE &lt;EndNote&gt;&lt;Cite ExcludeYear="1"&gt;&lt;Author&gt;Terwilliger&lt;/Author&gt;&lt;Year&gt;2017&lt;/Year&gt;&lt;RecNum&gt;2&lt;/RecNum&gt;&lt;DisplayText&gt;&lt;style face="superscript"&gt;4&lt;/style&gt;&lt;/DisplayText&gt;&lt;record&gt;&lt;rec-number&gt;2&lt;/rec-number&gt;&lt;foreign-keys&gt;&lt;key app="EN" db-id="taa2xz5tmwatawezss9vrteztavaxffdtd50" timestamp="1645681179"&gt;2&lt;/key&gt;&lt;/foreign-keys&gt;&lt;ref-type name="Journal Article"&gt;17&lt;/ref-type&gt;&lt;contributors&gt;&lt;authors&gt;&lt;author&gt;Terwilliger, T.&lt;/author&gt;&lt;author&gt;Abdul-Hay, M.&lt;/author&gt;&lt;/authors&gt;&lt;/contributors&gt;&lt;auth-address&gt;New York University School of Medicine, New York, USA.&amp;#xD;Department of Hematology, New York University Perlmutter Cancer Center, New York, USA.&lt;/auth-address&gt;&lt;titles&gt;&lt;title&gt;Acute lymphoblastic leukemia: a comprehensive review and 2017 update&lt;/title&gt;&lt;secondary-title&gt;Blood Cancer J&lt;/secondary-title&gt;&lt;/titles&gt;&lt;pages&gt;e577&lt;/pages&gt;&lt;volume&gt;7&lt;/volume&gt;&lt;number&gt;6&lt;/number&gt;&lt;edition&gt;20170630&lt;/edition&gt;&lt;keywords&gt;&lt;keyword&gt;Female&lt;/keyword&gt;&lt;keyword&gt;History, 21st Century&lt;/keyword&gt;&lt;keyword&gt;Humans&lt;/keyword&gt;&lt;keyword&gt;Male&lt;/keyword&gt;&lt;keyword&gt;*Precursor Cell Lymphoblastic Leukemia-Lymphoma&lt;/keyword&gt;&lt;/keywords&gt;&lt;dates&gt;&lt;year&gt;2017&lt;/year&gt;&lt;pub-dates&gt;&lt;date&gt;Jun 30&lt;/date&gt;&lt;/pub-dates&gt;&lt;/dates&gt;&lt;isbn&gt;2044-5385 (Electronic)&amp;#xD;2044-5385 (Linking)&lt;/isbn&gt;&lt;accession-num&gt;28665419&lt;/accession-num&gt;&lt;urls&gt;&lt;related-urls&gt;&lt;url&gt;https://www.ncbi.nlm.nih.gov/pubmed/28665419&lt;/url&gt;&lt;/related-urls&gt;&lt;/urls&gt;&lt;custom2&gt;PMC5520400&lt;/custom2&gt;&lt;electronic-resource-num&gt;10.1038/bcj.2017.53&lt;/electronic-resource-num&gt;&lt;/record&gt;&lt;/Cite&gt;&lt;/EndNote&gt;</w:instrText>
      </w:r>
      <w:r w:rsidR="008B77F7" w:rsidRPr="00B570A1">
        <w:fldChar w:fldCharType="separate"/>
      </w:r>
      <w:r w:rsidR="007C0AAE" w:rsidRPr="00B570A1">
        <w:rPr>
          <w:noProof/>
          <w:vertAlign w:val="superscript"/>
        </w:rPr>
        <w:t>4</w:t>
      </w:r>
      <w:r w:rsidR="008B77F7" w:rsidRPr="00B570A1">
        <w:fldChar w:fldCharType="end"/>
      </w:r>
      <w:r w:rsidR="00BE1FE9" w:rsidRPr="00B570A1">
        <w:t>)</w:t>
      </w:r>
      <w:r w:rsidR="006E110D" w:rsidRPr="00B570A1">
        <w:t xml:space="preserve"> compared to children</w:t>
      </w:r>
      <w:r w:rsidR="00661B0D" w:rsidRPr="00B570A1">
        <w:t>.</w:t>
      </w:r>
      <w:r w:rsidR="00492BCA" w:rsidRPr="008B77F7">
        <w:t xml:space="preserve"> </w:t>
      </w:r>
    </w:p>
    <w:p w14:paraId="5328A067" w14:textId="715FC57F" w:rsidR="00B87234" w:rsidRDefault="00BE1FE9" w:rsidP="00E25935">
      <w:pPr>
        <w:ind w:left="360"/>
        <w:jc w:val="left"/>
      </w:pPr>
      <w:r w:rsidRPr="008B77F7">
        <w:t xml:space="preserve">Precursor B-cell ALL (B-ALL) is the most common type in adults </w:t>
      </w:r>
      <w:r w:rsidR="003771D3" w:rsidRPr="008B77F7">
        <w:t>(</w:t>
      </w:r>
      <w:proofErr w:type="spellStart"/>
      <w:r w:rsidR="003771D3" w:rsidRPr="008B77F7">
        <w:t>Bassan</w:t>
      </w:r>
      <w:proofErr w:type="spellEnd"/>
      <w:r w:rsidR="003771D3" w:rsidRPr="008B77F7">
        <w:t xml:space="preserve"> et. al., 2019</w:t>
      </w:r>
      <w:r w:rsidR="008B77F7" w:rsidRPr="008B77F7">
        <w:fldChar w:fldCharType="begin"/>
      </w:r>
      <w:r w:rsidR="007C0AAE">
        <w:instrText xml:space="preserve"> ADDIN EN.CITE &lt;EndNote&gt;&lt;Cite ExcludeYear="1"&gt;&lt;Author&gt;Bassan&lt;/Author&gt;&lt;Year&gt;2019&lt;/Year&gt;&lt;RecNum&gt;1&lt;/RecNum&gt;&lt;DisplayText&gt;&lt;style face="superscript"&gt;5&lt;/style&gt;&lt;/DisplayText&gt;&lt;record&gt;&lt;rec-number&gt;1&lt;/rec-number&gt;&lt;foreign-keys&gt;&lt;key app="EN" db-id="taa2xz5tmwatawezss9vrteztavaxffdtd50" timestamp="1645680983"&gt;1&lt;/key&gt;&lt;/foreign-keys&gt;&lt;ref-type name="Journal Article"&gt;17&lt;/ref-type&gt;&lt;contributors&gt;&lt;authors&gt;&lt;author&gt;Bassan, R.&lt;/author&gt;&lt;author&gt;Bruggemann, M.&lt;/author&gt;&lt;author&gt;Radcliffe, H. S.&lt;/author&gt;&lt;author&gt;Hartfield, E.&lt;/author&gt;&lt;author&gt;Kreuzbauer, G.&lt;/author&gt;&lt;author&gt;Wetten, S.&lt;/author&gt;&lt;/authors&gt;&lt;/contributors&gt;&lt;auth-address&gt;Complex Operative Unit of Haematology, dell&amp;apos;Angelo Hospital and Santissimi Giovanni and Paolo Hospital, Mestre and Venice, Italy renato.bassan@aulss3.veneto.it.&amp;#xD;Department of Medicine II, Schleswig-Holstein University Hospital, Kiel, Germany.&amp;#xD;Amgen Ltd, Uxbridge, UK.&amp;#xD;Oxford PharmaGenesis, Oxford, UK and.&amp;#xD;Amgen (Europe) GmbH, Zug, Switzerland.&lt;/auth-address&gt;&lt;titles&gt;&lt;title&gt;A systematic literature review and meta-analysis of minimal residual disease as a prognostic indicator in adult B-cell acute lymphoblastic leukemia&lt;/title&gt;&lt;secondary-title&gt;Haematologica&lt;/secondary-title&gt;&lt;/titles&gt;&lt;pages&gt;2028-2039&lt;/pages&gt;&lt;volume&gt;104&lt;/volume&gt;&lt;number&gt;10&lt;/number&gt;&lt;edition&gt;20190319&lt;/edition&gt;&lt;keywords&gt;&lt;keyword&gt;Adult&lt;/keyword&gt;&lt;keyword&gt;Humans&lt;/keyword&gt;&lt;keyword&gt;Neoplasm, Residual&lt;/keyword&gt;&lt;keyword&gt;Precursor B-Cell Lymphoblastic Leukemia-Lymphoma/*blood/*diagnosis/*therapy&lt;/keyword&gt;&lt;keyword&gt;Prognosis&lt;/keyword&gt;&lt;keyword&gt;Remission Induction&lt;/keyword&gt;&lt;/keywords&gt;&lt;dates&gt;&lt;year&gt;2019&lt;/year&gt;&lt;pub-dates&gt;&lt;date&gt;Oct&lt;/date&gt;&lt;/pub-dates&gt;&lt;/dates&gt;&lt;isbn&gt;1592-8721 (Electronic)&amp;#xD;0390-6078 (Linking)&lt;/isbn&gt;&lt;accession-num&gt;30890593&lt;/accession-num&gt;&lt;urls&gt;&lt;related-urls&gt;&lt;url&gt;https://www.ncbi.nlm.nih.gov/pubmed/30890593&lt;/url&gt;&lt;/related-urls&gt;&lt;/urls&gt;&lt;custom2&gt;PMC6886415&lt;/custom2&gt;&lt;electronic-resource-num&gt;10.3324/haematol.2018.201053&lt;/electronic-resource-num&gt;&lt;/record&gt;&lt;/Cite&gt;&lt;/EndNote&gt;</w:instrText>
      </w:r>
      <w:r w:rsidR="008B77F7" w:rsidRPr="008B77F7">
        <w:fldChar w:fldCharType="separate"/>
      </w:r>
      <w:r w:rsidR="007C0AAE" w:rsidRPr="007C0AAE">
        <w:rPr>
          <w:noProof/>
          <w:vertAlign w:val="superscript"/>
        </w:rPr>
        <w:t>5</w:t>
      </w:r>
      <w:r w:rsidR="008B77F7" w:rsidRPr="008B77F7">
        <w:fldChar w:fldCharType="end"/>
      </w:r>
      <w:r w:rsidRPr="008B77F7">
        <w:t>)</w:t>
      </w:r>
      <w:r w:rsidR="008F6B83" w:rsidRPr="008B77F7">
        <w:t xml:space="preserve"> </w:t>
      </w:r>
      <w:r w:rsidR="002C164B" w:rsidRPr="008B77F7">
        <w:t xml:space="preserve">representing </w:t>
      </w:r>
      <w:r w:rsidR="00661B0D" w:rsidRPr="008B77F7">
        <w:t>75%</w:t>
      </w:r>
      <w:r w:rsidR="00C42AB0" w:rsidRPr="008B77F7">
        <w:t>-80%</w:t>
      </w:r>
      <w:r w:rsidR="00661B0D" w:rsidRPr="008B77F7">
        <w:t xml:space="preserve"> of </w:t>
      </w:r>
      <w:r w:rsidR="002C164B" w:rsidRPr="008B77F7">
        <w:t xml:space="preserve">adult </w:t>
      </w:r>
      <w:r w:rsidR="00661B0D" w:rsidRPr="008B77F7">
        <w:t>cases, and the accumulation of lymphoblasts can spread to the bloodstream, affecting various organs</w:t>
      </w:r>
      <w:r w:rsidRPr="008B77F7">
        <w:t xml:space="preserve"> (</w:t>
      </w:r>
      <w:proofErr w:type="spellStart"/>
      <w:r w:rsidR="003771D3" w:rsidRPr="008B77F7">
        <w:t>Terwiliger</w:t>
      </w:r>
      <w:proofErr w:type="spellEnd"/>
      <w:r w:rsidR="003771D3" w:rsidRPr="008B77F7">
        <w:t xml:space="preserve"> et. al., 2017</w:t>
      </w:r>
      <w:r w:rsidR="008B77F7" w:rsidRPr="008B77F7">
        <w:fldChar w:fldCharType="begin"/>
      </w:r>
      <w:r w:rsidR="007C0AAE">
        <w:instrText xml:space="preserve"> ADDIN EN.CITE &lt;EndNote&gt;&lt;Cite ExcludeYear="1"&gt;&lt;Author&gt;Terwilliger&lt;/Author&gt;&lt;Year&gt;2017&lt;/Year&gt;&lt;RecNum&gt;2&lt;/RecNum&gt;&lt;DisplayText&gt;&lt;style face="superscript"&gt;4&lt;/style&gt;&lt;/DisplayText&gt;&lt;record&gt;&lt;rec-number&gt;2&lt;/rec-number&gt;&lt;foreign-keys&gt;&lt;key app="EN" db-id="taa2xz5tmwatawezss9vrteztavaxffdtd50" timestamp="1645681179"&gt;2&lt;/key&gt;&lt;/foreign-keys&gt;&lt;ref-type name="Journal Article"&gt;17&lt;/ref-type&gt;&lt;contributors&gt;&lt;authors&gt;&lt;author&gt;Terwilliger, T.&lt;/author&gt;&lt;author&gt;Abdul-Hay, M.&lt;/author&gt;&lt;/authors&gt;&lt;/contributors&gt;&lt;auth-address&gt;New York University School of Medicine, New York, USA.&amp;#xD;Department of Hematology, New York University Perlmutter Cancer Center, New York, USA.&lt;/auth-address&gt;&lt;titles&gt;&lt;title&gt;Acute lymphoblastic leukemia: a comprehensive review and 2017 update&lt;/title&gt;&lt;secondary-title&gt;Blood Cancer J&lt;/secondary-title&gt;&lt;/titles&gt;&lt;pages&gt;e577&lt;/pages&gt;&lt;volume&gt;7&lt;/volume&gt;&lt;number&gt;6&lt;/number&gt;&lt;edition&gt;20170630&lt;/edition&gt;&lt;keywords&gt;&lt;keyword&gt;Female&lt;/keyword&gt;&lt;keyword&gt;History, 21st Century&lt;/keyword&gt;&lt;keyword&gt;Humans&lt;/keyword&gt;&lt;keyword&gt;Male&lt;/keyword&gt;&lt;keyword&gt;*Precursor Cell Lymphoblastic Leukemia-Lymphoma&lt;/keyword&gt;&lt;/keywords&gt;&lt;dates&gt;&lt;year&gt;2017&lt;/year&gt;&lt;pub-dates&gt;&lt;date&gt;Jun 30&lt;/date&gt;&lt;/pub-dates&gt;&lt;/dates&gt;&lt;isbn&gt;2044-5385 (Electronic)&amp;#xD;2044-5385 (Linking)&lt;/isbn&gt;&lt;accession-num&gt;28665419&lt;/accession-num&gt;&lt;urls&gt;&lt;related-urls&gt;&lt;url&gt;https://www.ncbi.nlm.nih.gov/pubmed/28665419&lt;/url&gt;&lt;/related-urls&gt;&lt;/urls&gt;&lt;custom2&gt;PMC5520400&lt;/custom2&gt;&lt;electronic-resource-num&gt;10.1038/bcj.2017.53&lt;/electronic-resource-num&gt;&lt;/record&gt;&lt;/Cite&gt;&lt;/EndNote&gt;</w:instrText>
      </w:r>
      <w:r w:rsidR="008B77F7" w:rsidRPr="008B77F7">
        <w:fldChar w:fldCharType="separate"/>
      </w:r>
      <w:r w:rsidR="007C0AAE" w:rsidRPr="007C0AAE">
        <w:rPr>
          <w:noProof/>
          <w:vertAlign w:val="superscript"/>
        </w:rPr>
        <w:t>4</w:t>
      </w:r>
      <w:r w:rsidR="008B77F7" w:rsidRPr="008B77F7">
        <w:fldChar w:fldCharType="end"/>
      </w:r>
      <w:r w:rsidR="00C42AB0" w:rsidRPr="008B77F7">
        <w:t>; Leukaemia Foundation 2020</w:t>
      </w:r>
      <w:r w:rsidR="007C0AAE">
        <w:fldChar w:fldCharType="begin"/>
      </w:r>
      <w:r w:rsidR="007C0AAE">
        <w:instrText xml:space="preserve"> ADDIN EN.CITE &lt;EndNote&gt;&lt;Cite ExcludeYear="1"&gt;&lt;Author&gt;Leukaemia Foundation&lt;/Author&gt;&lt;Year&gt;2020&lt;/Year&gt;&lt;RecNum&gt;8&lt;/RecNum&gt;&lt;DisplayText&gt;&lt;style face="superscript"&gt;6&lt;/style&gt;&lt;/DisplayText&gt;&lt;record&gt;&lt;rec-number&gt;8&lt;/rec-number&gt;&lt;foreign-keys&gt;&lt;key app="EN" db-id="taa2xz5tmwatawezss9vrteztavaxffdtd50" timestamp="1646778966"&gt;8&lt;/key&gt;&lt;/foreign-keys&gt;&lt;ref-type name="Web Page"&gt;12&lt;/ref-type&gt;&lt;contributors&gt;&lt;authors&gt;&lt;author&gt;Leukaemia Foundation,&lt;/author&gt;&lt;/authors&gt;&lt;/contributors&gt;&lt;titles&gt;&lt;title&gt;Acute Lymphoblastic Leukaemia&lt;/title&gt;&lt;/titles&gt;&lt;dates&gt;&lt;year&gt;2020&lt;/year&gt;&lt;/dates&gt;&lt;urls&gt;&lt;related-urls&gt;&lt;url&gt;https://www.leukaemia.org.au/blood-cancer-information/types-of-blood-cancer/leukaemia/acute-lymphoblastic-leukaemia/&lt;/url&gt;&lt;/related-urls&gt;&lt;/urls&gt;&lt;/record&gt;&lt;/Cite&gt;&lt;/EndNote&gt;</w:instrText>
      </w:r>
      <w:r w:rsidR="007C0AAE">
        <w:fldChar w:fldCharType="separate"/>
      </w:r>
      <w:r w:rsidR="007C0AAE" w:rsidRPr="007C0AAE">
        <w:rPr>
          <w:noProof/>
          <w:vertAlign w:val="superscript"/>
        </w:rPr>
        <w:t>6</w:t>
      </w:r>
      <w:r w:rsidR="007C0AAE">
        <w:fldChar w:fldCharType="end"/>
      </w:r>
      <w:r w:rsidR="00C42AB0" w:rsidRPr="008B77F7">
        <w:t>)</w:t>
      </w:r>
      <w:r w:rsidRPr="008B77F7">
        <w:t xml:space="preserve">. </w:t>
      </w:r>
      <w:r w:rsidR="00022978" w:rsidRPr="008B77F7">
        <w:t xml:space="preserve">The </w:t>
      </w:r>
      <w:r w:rsidR="00DC70BE" w:rsidRPr="008B77F7">
        <w:t xml:space="preserve">mainstay treatment for </w:t>
      </w:r>
      <w:r w:rsidR="00022978" w:rsidRPr="008B77F7">
        <w:t xml:space="preserve">adult ALL </w:t>
      </w:r>
      <w:r w:rsidR="00DC70BE" w:rsidRPr="008B77F7">
        <w:t>patients with B-ALL</w:t>
      </w:r>
      <w:r w:rsidR="00022978" w:rsidRPr="008B77F7">
        <w:t xml:space="preserve"> is </w:t>
      </w:r>
      <w:r w:rsidR="00DC70BE" w:rsidRPr="008B77F7">
        <w:t xml:space="preserve">induction </w:t>
      </w:r>
      <w:r w:rsidR="00022978" w:rsidRPr="008B77F7">
        <w:t>chemotherapy</w:t>
      </w:r>
      <w:r w:rsidR="00DC70BE" w:rsidRPr="008B77F7">
        <w:t xml:space="preserve">, followed by </w:t>
      </w:r>
      <w:r w:rsidR="00022978" w:rsidRPr="008B77F7">
        <w:t>consolidation, and long-term maintenance therapy (</w:t>
      </w:r>
      <w:r w:rsidR="003771D3" w:rsidRPr="008B77F7">
        <w:t>Paul et al., 2016</w: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 </w:instrTex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EN.CITE.DATA </w:instrText>
      </w:r>
      <w:r w:rsidR="008B77F7" w:rsidRPr="008B77F7">
        <w:fldChar w:fldCharType="end"/>
      </w:r>
      <w:r w:rsidR="008B77F7" w:rsidRPr="008B77F7">
        <w:fldChar w:fldCharType="separate"/>
      </w:r>
      <w:r w:rsidR="008B77F7" w:rsidRPr="008B77F7">
        <w:rPr>
          <w:noProof/>
          <w:vertAlign w:val="superscript"/>
        </w:rPr>
        <w:t>1</w:t>
      </w:r>
      <w:r w:rsidR="008B77F7" w:rsidRPr="008B77F7">
        <w:fldChar w:fldCharType="end"/>
      </w:r>
      <w:r w:rsidR="003771D3" w:rsidRPr="008B77F7">
        <w:t xml:space="preserve">). </w:t>
      </w:r>
      <w:r w:rsidR="008F6B83" w:rsidRPr="008B77F7">
        <w:t>Allogeneic stem-cell transplant (</w:t>
      </w:r>
      <w:proofErr w:type="spellStart"/>
      <w:r w:rsidR="008F6B83" w:rsidRPr="008B77F7">
        <w:t>allo</w:t>
      </w:r>
      <w:proofErr w:type="spellEnd"/>
      <w:r w:rsidR="008F6B83" w:rsidRPr="008B77F7">
        <w:t xml:space="preserve">-SCT) is recommended following consolidation in selected high-risk groups </w:t>
      </w:r>
      <w:r w:rsidR="003771D3" w:rsidRPr="008B77F7">
        <w:t>(</w:t>
      </w:r>
      <w:proofErr w:type="spellStart"/>
      <w:r w:rsidR="003771D3" w:rsidRPr="008B77F7">
        <w:t>Bassan</w:t>
      </w:r>
      <w:proofErr w:type="spellEnd"/>
      <w:r w:rsidR="003771D3" w:rsidRPr="008B77F7">
        <w:t xml:space="preserve"> et. al., 2019</w:t>
      </w:r>
      <w:r w:rsidR="008B77F7" w:rsidRPr="008B77F7">
        <w:fldChar w:fldCharType="begin"/>
      </w:r>
      <w:r w:rsidR="007C0AAE">
        <w:instrText xml:space="preserve"> ADDIN EN.CITE &lt;EndNote&gt;&lt;Cite ExcludeYear="1"&gt;&lt;Author&gt;Bassan&lt;/Author&gt;&lt;Year&gt;2019&lt;/Year&gt;&lt;RecNum&gt;1&lt;/RecNum&gt;&lt;DisplayText&gt;&lt;style face="superscript"&gt;5&lt;/style&gt;&lt;/DisplayText&gt;&lt;record&gt;&lt;rec-number&gt;1&lt;/rec-number&gt;&lt;foreign-keys&gt;&lt;key app="EN" db-id="taa2xz5tmwatawezss9vrteztavaxffdtd50" timestamp="1645680983"&gt;1&lt;/key&gt;&lt;/foreign-keys&gt;&lt;ref-type name="Journal Article"&gt;17&lt;/ref-type&gt;&lt;contributors&gt;&lt;authors&gt;&lt;author&gt;Bassan, R.&lt;/author&gt;&lt;author&gt;Bruggemann, M.&lt;/author&gt;&lt;author&gt;Radcliffe, H. S.&lt;/author&gt;&lt;author&gt;Hartfield, E.&lt;/author&gt;&lt;author&gt;Kreuzbauer, G.&lt;/author&gt;&lt;author&gt;Wetten, S.&lt;/author&gt;&lt;/authors&gt;&lt;/contributors&gt;&lt;auth-address&gt;Complex Operative Unit of Haematology, dell&amp;apos;Angelo Hospital and Santissimi Giovanni and Paolo Hospital, Mestre and Venice, Italy renato.bassan@aulss3.veneto.it.&amp;#xD;Department of Medicine II, Schleswig-Holstein University Hospital, Kiel, Germany.&amp;#xD;Amgen Ltd, Uxbridge, UK.&amp;#xD;Oxford PharmaGenesis, Oxford, UK and.&amp;#xD;Amgen (Europe) GmbH, Zug, Switzerland.&lt;/auth-address&gt;&lt;titles&gt;&lt;title&gt;A systematic literature review and meta-analysis of minimal residual disease as a prognostic indicator in adult B-cell acute lymphoblastic leukemia&lt;/title&gt;&lt;secondary-title&gt;Haematologica&lt;/secondary-title&gt;&lt;/titles&gt;&lt;pages&gt;2028-2039&lt;/pages&gt;&lt;volume&gt;104&lt;/volume&gt;&lt;number&gt;10&lt;/number&gt;&lt;edition&gt;20190319&lt;/edition&gt;&lt;keywords&gt;&lt;keyword&gt;Adult&lt;/keyword&gt;&lt;keyword&gt;Humans&lt;/keyword&gt;&lt;keyword&gt;Neoplasm, Residual&lt;/keyword&gt;&lt;keyword&gt;Precursor B-Cell Lymphoblastic Leukemia-Lymphoma/*blood/*diagnosis/*therapy&lt;/keyword&gt;&lt;keyword&gt;Prognosis&lt;/keyword&gt;&lt;keyword&gt;Remission Induction&lt;/keyword&gt;&lt;/keywords&gt;&lt;dates&gt;&lt;year&gt;2019&lt;/year&gt;&lt;pub-dates&gt;&lt;date&gt;Oct&lt;/date&gt;&lt;/pub-dates&gt;&lt;/dates&gt;&lt;isbn&gt;1592-8721 (Electronic)&amp;#xD;0390-6078 (Linking)&lt;/isbn&gt;&lt;accession-num&gt;30890593&lt;/accession-num&gt;&lt;urls&gt;&lt;related-urls&gt;&lt;url&gt;https://www.ncbi.nlm.nih.gov/pubmed/30890593&lt;/url&gt;&lt;/related-urls&gt;&lt;/urls&gt;&lt;custom2&gt;PMC6886415&lt;/custom2&gt;&lt;electronic-resource-num&gt;10.3324/haematol.2018.201053&lt;/electronic-resource-num&gt;&lt;/record&gt;&lt;/Cite&gt;&lt;/EndNote&gt;</w:instrText>
      </w:r>
      <w:r w:rsidR="008B77F7" w:rsidRPr="008B77F7">
        <w:fldChar w:fldCharType="separate"/>
      </w:r>
      <w:r w:rsidR="007C0AAE" w:rsidRPr="007C0AAE">
        <w:rPr>
          <w:noProof/>
          <w:vertAlign w:val="superscript"/>
        </w:rPr>
        <w:t>5</w:t>
      </w:r>
      <w:r w:rsidR="008B77F7" w:rsidRPr="008B77F7">
        <w:fldChar w:fldCharType="end"/>
      </w:r>
      <w:r w:rsidR="003771D3" w:rsidRPr="008B77F7">
        <w:t xml:space="preserve">). </w:t>
      </w:r>
      <w:r w:rsidR="00BD3FCD" w:rsidRPr="008B77F7">
        <w:t xml:space="preserve">After initial treatment, </w:t>
      </w:r>
      <w:r w:rsidR="007B0274" w:rsidRPr="008B77F7">
        <w:t xml:space="preserve">40–50% of </w:t>
      </w:r>
      <w:r w:rsidR="00BD3FCD" w:rsidRPr="008B77F7">
        <w:t xml:space="preserve">adults with B-ALL </w:t>
      </w:r>
      <w:r w:rsidR="007B0274" w:rsidRPr="008B77F7">
        <w:t xml:space="preserve">relapse </w:t>
      </w:r>
      <w:r w:rsidR="00BD3FCD" w:rsidRPr="008B77F7">
        <w:t xml:space="preserve">and have </w:t>
      </w:r>
      <w:r w:rsidR="007B0274" w:rsidRPr="008B77F7">
        <w:t xml:space="preserve">poor prognosis </w:t>
      </w:r>
      <w:r w:rsidR="003771D3" w:rsidRPr="008B77F7">
        <w:t>(Paul et al., 2016</w: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 </w:instrTex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EN.CITE.DATA </w:instrText>
      </w:r>
      <w:r w:rsidR="008B77F7" w:rsidRPr="008B77F7">
        <w:fldChar w:fldCharType="end"/>
      </w:r>
      <w:r w:rsidR="008B77F7" w:rsidRPr="008B77F7">
        <w:fldChar w:fldCharType="separate"/>
      </w:r>
      <w:r w:rsidR="008B77F7" w:rsidRPr="008B77F7">
        <w:rPr>
          <w:noProof/>
          <w:vertAlign w:val="superscript"/>
        </w:rPr>
        <w:t>1</w:t>
      </w:r>
      <w:r w:rsidR="008B77F7" w:rsidRPr="008B77F7">
        <w:fldChar w:fldCharType="end"/>
      </w:r>
      <w:r w:rsidR="003771D3" w:rsidRPr="008B77F7">
        <w:t>).</w:t>
      </w:r>
      <w:r w:rsidR="006A3FFA" w:rsidRPr="008B77F7">
        <w:t xml:space="preserve"> The 1-year overall survival rate is </w:t>
      </w:r>
      <w:r w:rsidR="00CA6582" w:rsidRPr="008B77F7">
        <w:t xml:space="preserve">low and has been reported as </w:t>
      </w:r>
      <w:r w:rsidR="006A3FFA" w:rsidRPr="008B77F7">
        <w:t>26% after first salvage therapy</w:t>
      </w:r>
      <w:r w:rsidR="00CA6582" w:rsidRPr="008B77F7">
        <w:t>,</w:t>
      </w:r>
      <w:r w:rsidR="006A3FFA" w:rsidRPr="008B77F7">
        <w:t xml:space="preserve"> decreas</w:t>
      </w:r>
      <w:r w:rsidR="00CA6582" w:rsidRPr="008B77F7">
        <w:t>ing</w:t>
      </w:r>
      <w:r w:rsidR="006A3FFA" w:rsidRPr="008B77F7">
        <w:t xml:space="preserve"> with subsequent relapses</w:t>
      </w:r>
      <w:r w:rsidR="003C1C5A" w:rsidRPr="008B77F7">
        <w:t xml:space="preserve"> (</w:t>
      </w:r>
      <w:proofErr w:type="spellStart"/>
      <w:r w:rsidR="003771D3" w:rsidRPr="008B77F7">
        <w:t>Gokbuget</w:t>
      </w:r>
      <w:proofErr w:type="spellEnd"/>
      <w:r w:rsidR="003771D3" w:rsidRPr="008B77F7">
        <w:t xml:space="preserve"> et. al., 2016</w:t>
      </w:r>
      <w:r w:rsidR="008B77F7" w:rsidRPr="008B77F7">
        <w:fldChar w:fldCharType="begin">
          <w:fldData xml:space="preserve">PEVuZE5vdGU+PENpdGUgRXhjbHVkZVllYXI9IjEiPjxBdXRob3I+R29rYnVnZXQ8L0F1dGhvcj48
WWVhcj4yMDE2PC9ZZWFyPjxSZWNOdW0+MzwvUmVjTnVtPjxEaXNwbGF5VGV4dD48c3R5bGUgZmFj
ZT0ic3VwZXJzY3JpcHQiPjc8L3N0eWxlPjwvRGlzcGxheVRleHQ+PHJlY29yZD48cmVjLW51bWJl
cj4zPC9yZWMtbnVtYmVyPjxmb3JlaWduLWtleXM+PGtleSBhcHA9IkVOIiBkYi1pZD0idGFhMnh6
NXRtd2F0YXdlenNzOXZydGV6dGF2YXhmZmR0ZDUwIiB0aW1lc3RhbXA9IjE2NDU2ODEyNDAiPjM8
L2tleT48L2ZvcmVpZ24ta2V5cz48cmVmLXR5cGUgbmFtZT0iSm91cm5hbCBBcnRpY2xlIj4xNzwv
cmVmLXR5cGU+PGNvbnRyaWJ1dG9ycz48YXV0aG9ycz48YXV0aG9yPkdva2J1Z2V0LCBOLjwvYXV0
aG9yPjxhdXRob3I+RG9tYnJldCwgSC48L2F1dGhvcj48YXV0aG9yPlJpYmVyYSwgSi4gTS48L2F1
dGhvcj48YXV0aG9yPkZpZWxkaW5nLCBBLiBLLjwvYXV0aG9yPjxhdXRob3I+QWR2YW5pLCBBLjwv
YXV0aG9yPjxhdXRob3I+QmFzc2FuLCBSLjwvYXV0aG9yPjxhdXRob3I+Q2hpYSwgVi48L2F1dGhv
cj48YXV0aG9yPkRvdWJlaywgTS48L2F1dGhvcj48YXV0aG9yPkdpZWJlbCwgUy48L2F1dGhvcj48
YXV0aG9yPkhvZWx6ZXIsIEQuPC9hdXRob3I+PGF1dGhvcj5JZnJhaCwgTi48L2F1dGhvcj48YXV0
aG9yPkthdHosIEEuPC9hdXRob3I+PGF1dGhvcj5LZWxzaCwgTS48L2F1dGhvcj48YXV0aG9yPk1h
cnRpbmVsbGksIEcuPC9hdXRob3I+PGF1dGhvcj5Nb3JnYWRlcywgTS48L2F1dGhvcj48YXV0aG9y
Pk8mYXBvcztCcmllbiwgUy48L2F1dGhvcj48YXV0aG9yPlJvd2UsIEouIE0uPC9hdXRob3I+PGF1
dGhvcj5TdGllZ2xtYWllciwgSi48L2F1dGhvcj48YXV0aG9yPldhZGxlaWdoLCBNLjwvYXV0aG9y
PjxhdXRob3I+S2FudGFyamlhbiwgSC48L2F1dGhvcj48L2F1dGhvcnM+PC9jb250cmlidXRvcnM+
PGF1dGgtYWRkcmVzcz5Vbml2ZXJzaXR5IEhvc3BpdGFsLCBHb2V0aGUgVW5pdmVyc2l0eSwgRnJh
bmtmdXJ0LCBHZXJtYW55IGdvZWtidWdldEBlbS51bmktZnJhbmtmdXJ0LmRlLiYjeEQ7SG9waXRh
bCBTYWludC1Mb3VpcywgUGFyaXMsIEZyYW5jZS4mI3hEO0lDTy1Ib3NwaXRhbCBHZXJtYW5zIFRy
aWFzIEkgUHVqb2wsIEpvc2UgQ2FycmVyYXMgUmVzZWFyY2ggSW5zdGl0dXRlLCBCYXJjZWxvbmEs
IFNwYWluLiYjeEQ7VUNMIENhbmNlciBJbnN0aXR1dGUsIExvbmRvbiwgVUsuJiN4RDtDbGV2ZWxh
bmQgQ2xpbmljLCBPaGlvLCBVU0EuJiN4RDtVT0MgRW1hdG9sb2dpYSwgT3NwZWRhbGUgZGVsbCZh
cG9zO0FuZ2VsbywgTWVzdHJlLVZlbmV6aWEsIEl0YWx5LiYjeEQ7Q2VudGVyIGZvciBPYnNlcnZh
dGlvbmFsIFJlc2VhcmNoLCBBbWdlbiwgVVNBLiYjeEQ7VW5pdmVyc2l0eSBIb3NwaXRhbCwgQnJu
bywgQ3plY2ggUmVwdWJsaWMuJiN4RDtNYXJpYSBTa2xvZG93c2thIEN1cmllIE1lbW9yaWFsIENh
bmNlciBDZW50ZXIgYW5kIEluc3RpdHV0ZSBvZiBPbmNvbG9neSwgR2xpd2ljZSwgUG9sYW5kLiYj
eEQ7VW5pdmVyc2l0eSBIb3NwaXRhbCwgR29ldGhlIFVuaXZlcnNpdHksIEZyYW5rZnVydCwgR2Vy
bWFueS4mI3hEO0NlbnRlciBIb3NwaXRhbGllciBVbml2ZXJzaXRhaXJlLCBBbmdlcnMsIEZyYW5j
ZS4mI3hEO1BvbGljbGluaWNvIFNhbnQmYXBvcztPcnNvbGEsIElzdGl0dXRvIFNlcmFnbm9saSwg
Qm9sb2duYSwgSXRhbHkuJiN4RDtVbml2ZXJzaXR5IG9mIFRleGFzLCBNRCBBbmRlcnNvbiBDYW5j
ZXIgQ2VudGVyLCBIb3VzdG9uLCBVU0EuJiN4RDtSYW1iYW0gTWVkaWNhbCBDZW50ZXIsIEhhaWZh
LCBJc3JhZWwuJiN4RDtDbGluaWNhbCBEZXZlbG9wbWVudCwgQW1nZW4sIEdlcm1hbnkuJiN4RDtE
YW5hIEZhcmJlciBDYW5jZXIgSW5zdGl0dXRlLCBCb3N0b24sIE1hc3NhY2h1c2V0dHMsIFVTQS48
L2F1dGgtYWRkcmVzcz48dGl0bGVzPjx0aXRsZT5JbnRlcm5hdGlvbmFsIHJlZmVyZW5jZSBhbmFs
eXNpcyBvZiBvdXRjb21lcyBpbiBhZHVsdHMgd2l0aCBCLXByZWN1cnNvciBQaC1uZWdhdGl2ZSBy
ZWxhcHNlZC9yZWZyYWN0b3J5IGFjdXRlIGx5bXBob2JsYXN0aWMgbGV1a2VtaWE8L3RpdGxlPjxz
ZWNvbmRhcnktdGl0bGU+SGFlbWF0b2xvZ2ljYTwvc2Vjb25kYXJ5LXRpdGxlPjwvdGl0bGVzPjxw
YWdlcz4xNTI0LTE1MzM8L3BhZ2VzPjx2b2x1bWU+MTAxPC92b2x1bWU+PG51bWJlcj4xMjwvbnVt
YmVyPjxlZGl0aW9uPjIwMTYwOTAxPC9lZGl0aW9uPjxrZXl3b3Jkcz48a2V5d29yZD5BZG9sZXNj
ZW50PC9rZXl3b3JkPjxrZXl3b3JkPkFkdWx0PC9rZXl3b3JkPjxrZXl3b3JkPkFnZWQ8L2tleXdv
cmQ+PGtleXdvcmQ+QWdlZCwgODAgYW5kIG92ZXI8L2tleXdvcmQ+PGtleXdvcmQ+Q29tYmluZWQg
TW9kYWxpdHkgVGhlcmFweTwva2V5d29yZD48a2V5d29yZD5EcnVnIFJlc2lzdGFuY2UsIE5lb3Bs
YXNtPC9rZXl3b3JkPjxrZXl3b3JkPkZlbWFsZTwva2V5d29yZD48a2V5d29yZD5IZWFsdGggQ2Fy
ZSBTdXJ2ZXlzPC9rZXl3b3JkPjxrZXl3b3JkPkh1bWFuczwva2V5d29yZD48a2V5d29yZD5NYWxl
PC9rZXl3b3JkPjxrZXl3b3JkPk1pZGRsZSBBZ2VkPC9rZXl3b3JkPjxrZXl3b3JkPipQaGlsYWRl
bHBoaWEgQ2hyb21vc29tZTwva2V5d29yZD48a2V5d29yZD5QcmVjdXJzb3IgQi1DZWxsIEx5bXBo
b2JsYXN0aWM8L2tleXdvcmQ+PGtleXdvcmQ+TGV1a2VtaWEtTHltcGhvbWEvZGlhZ25vc2lzLypn
ZW5ldGljcy8qbW9ydGFsaXR5L3RoZXJhcHk8L2tleXdvcmQ+PGtleXdvcmQ+UHJvZ25vc2lzPC9r
ZXl3b3JkPjxrZXl3b3JkPlJlY3VycmVuY2U8L2tleXdvcmQ+PGtleXdvcmQ+UmVtaXNzaW9uIElu
ZHVjdGlvbjwva2V5d29yZD48a2V5d29yZD5SZXRyZWF0bWVudDwva2V5d29yZD48a2V5d29yZD5S
ZXRyb3NwZWN0aXZlIFN0dWRpZXM8L2tleXdvcmQ+PGtleXdvcmQ+U3Vydml2YWwgQW5hbHlzaXM8
L2tleXdvcmQ+PGtleXdvcmQ+VHJlYXRtZW50IE91dGNvbWU8L2tleXdvcmQ+PGtleXdvcmQ+WW91
bmcgQWR1bHQ8L2tleXdvcmQ+PC9rZXl3b3Jkcz48ZGF0ZXM+PHllYXI+MjAxNjwveWVhcj48cHVi
LWRhdGVzPjxkYXRlPkRlYzwvZGF0ZT48L3B1Yi1kYXRlcz48L2RhdGVzPjxpc2JuPjE1OTItODcy
MSAoRWxlY3Ryb25pYykmI3hEOzAzOTAtNjA3OCAoTGlua2luZyk8L2lzYm4+PGFjY2Vzc2lvbi1u
dW0+Mjc1ODczODA8L2FjY2Vzc2lvbi1udW0+PHVybHM+PHJlbGF0ZWQtdXJscz48dXJsPmh0dHBz
Oi8vd3d3Lm5jYmkubmxtLm5paC5nb3YvcHVibWVkLzI3NTg3MzgwPC91cmw+PC9yZWxhdGVkLXVy
bHM+PC91cmxzPjxjdXN0b20yPlBNQzU0Nzk2MDU8L2N1c3RvbTI+PGVsZWN0cm9uaWMtcmVzb3Vy
Y2UtbnVtPjEwLjMzMjQvaGFlbWF0b2wuMjAxNi4xNDQzMTE8L2VsZWN0cm9uaWMtcmVzb3VyY2Ut
bnVtPjwvcmVjb3JkPjwvQ2l0ZT48L0VuZE5vdGU+
</w:fldData>
        </w:fldChar>
      </w:r>
      <w:r w:rsidR="007C0AAE">
        <w:instrText xml:space="preserve"> ADDIN EN.CITE </w:instrText>
      </w:r>
      <w:r w:rsidR="007C0AAE">
        <w:fldChar w:fldCharType="begin">
          <w:fldData xml:space="preserve">PEVuZE5vdGU+PENpdGUgRXhjbHVkZVllYXI9IjEiPjxBdXRob3I+R29rYnVnZXQ8L0F1dGhvcj48
WWVhcj4yMDE2PC9ZZWFyPjxSZWNOdW0+MzwvUmVjTnVtPjxEaXNwbGF5VGV4dD48c3R5bGUgZmFj
ZT0ic3VwZXJzY3JpcHQiPjc8L3N0eWxlPjwvRGlzcGxheVRleHQ+PHJlY29yZD48cmVjLW51bWJl
cj4zPC9yZWMtbnVtYmVyPjxmb3JlaWduLWtleXM+PGtleSBhcHA9IkVOIiBkYi1pZD0idGFhMnh6
NXRtd2F0YXdlenNzOXZydGV6dGF2YXhmZmR0ZDUwIiB0aW1lc3RhbXA9IjE2NDU2ODEyNDAiPjM8
L2tleT48L2ZvcmVpZ24ta2V5cz48cmVmLXR5cGUgbmFtZT0iSm91cm5hbCBBcnRpY2xlIj4xNzwv
cmVmLXR5cGU+PGNvbnRyaWJ1dG9ycz48YXV0aG9ycz48YXV0aG9yPkdva2J1Z2V0LCBOLjwvYXV0
aG9yPjxhdXRob3I+RG9tYnJldCwgSC48L2F1dGhvcj48YXV0aG9yPlJpYmVyYSwgSi4gTS48L2F1
dGhvcj48YXV0aG9yPkZpZWxkaW5nLCBBLiBLLjwvYXV0aG9yPjxhdXRob3I+QWR2YW5pLCBBLjwv
YXV0aG9yPjxhdXRob3I+QmFzc2FuLCBSLjwvYXV0aG9yPjxhdXRob3I+Q2hpYSwgVi48L2F1dGhv
cj48YXV0aG9yPkRvdWJlaywgTS48L2F1dGhvcj48YXV0aG9yPkdpZWJlbCwgUy48L2F1dGhvcj48
YXV0aG9yPkhvZWx6ZXIsIEQuPC9hdXRob3I+PGF1dGhvcj5JZnJhaCwgTi48L2F1dGhvcj48YXV0
aG9yPkthdHosIEEuPC9hdXRob3I+PGF1dGhvcj5LZWxzaCwgTS48L2F1dGhvcj48YXV0aG9yPk1h
cnRpbmVsbGksIEcuPC9hdXRob3I+PGF1dGhvcj5Nb3JnYWRlcywgTS48L2F1dGhvcj48YXV0aG9y
Pk8mYXBvcztCcmllbiwgUy48L2F1dGhvcj48YXV0aG9yPlJvd2UsIEouIE0uPC9hdXRob3I+PGF1
dGhvcj5TdGllZ2xtYWllciwgSi48L2F1dGhvcj48YXV0aG9yPldhZGxlaWdoLCBNLjwvYXV0aG9y
PjxhdXRob3I+S2FudGFyamlhbiwgSC48L2F1dGhvcj48L2F1dGhvcnM+PC9jb250cmlidXRvcnM+
PGF1dGgtYWRkcmVzcz5Vbml2ZXJzaXR5IEhvc3BpdGFsLCBHb2V0aGUgVW5pdmVyc2l0eSwgRnJh
bmtmdXJ0LCBHZXJtYW55IGdvZWtidWdldEBlbS51bmktZnJhbmtmdXJ0LmRlLiYjeEQ7SG9waXRh
bCBTYWludC1Mb3VpcywgUGFyaXMsIEZyYW5jZS4mI3hEO0lDTy1Ib3NwaXRhbCBHZXJtYW5zIFRy
aWFzIEkgUHVqb2wsIEpvc2UgQ2FycmVyYXMgUmVzZWFyY2ggSW5zdGl0dXRlLCBCYXJjZWxvbmEs
IFNwYWluLiYjeEQ7VUNMIENhbmNlciBJbnN0aXR1dGUsIExvbmRvbiwgVUsuJiN4RDtDbGV2ZWxh
bmQgQ2xpbmljLCBPaGlvLCBVU0EuJiN4RDtVT0MgRW1hdG9sb2dpYSwgT3NwZWRhbGUgZGVsbCZh
cG9zO0FuZ2VsbywgTWVzdHJlLVZlbmV6aWEsIEl0YWx5LiYjeEQ7Q2VudGVyIGZvciBPYnNlcnZh
dGlvbmFsIFJlc2VhcmNoLCBBbWdlbiwgVVNBLiYjeEQ7VW5pdmVyc2l0eSBIb3NwaXRhbCwgQnJu
bywgQ3plY2ggUmVwdWJsaWMuJiN4RDtNYXJpYSBTa2xvZG93c2thIEN1cmllIE1lbW9yaWFsIENh
bmNlciBDZW50ZXIgYW5kIEluc3RpdHV0ZSBvZiBPbmNvbG9neSwgR2xpd2ljZSwgUG9sYW5kLiYj
eEQ7VW5pdmVyc2l0eSBIb3NwaXRhbCwgR29ldGhlIFVuaXZlcnNpdHksIEZyYW5rZnVydCwgR2Vy
bWFueS4mI3hEO0NlbnRlciBIb3NwaXRhbGllciBVbml2ZXJzaXRhaXJlLCBBbmdlcnMsIEZyYW5j
ZS4mI3hEO1BvbGljbGluaWNvIFNhbnQmYXBvcztPcnNvbGEsIElzdGl0dXRvIFNlcmFnbm9saSwg
Qm9sb2duYSwgSXRhbHkuJiN4RDtVbml2ZXJzaXR5IG9mIFRleGFzLCBNRCBBbmRlcnNvbiBDYW5j
ZXIgQ2VudGVyLCBIb3VzdG9uLCBVU0EuJiN4RDtSYW1iYW0gTWVkaWNhbCBDZW50ZXIsIEhhaWZh
LCBJc3JhZWwuJiN4RDtDbGluaWNhbCBEZXZlbG9wbWVudCwgQW1nZW4sIEdlcm1hbnkuJiN4RDtE
YW5hIEZhcmJlciBDYW5jZXIgSW5zdGl0dXRlLCBCb3N0b24sIE1hc3NhY2h1c2V0dHMsIFVTQS48
L2F1dGgtYWRkcmVzcz48dGl0bGVzPjx0aXRsZT5JbnRlcm5hdGlvbmFsIHJlZmVyZW5jZSBhbmFs
eXNpcyBvZiBvdXRjb21lcyBpbiBhZHVsdHMgd2l0aCBCLXByZWN1cnNvciBQaC1uZWdhdGl2ZSBy
ZWxhcHNlZC9yZWZyYWN0b3J5IGFjdXRlIGx5bXBob2JsYXN0aWMgbGV1a2VtaWE8L3RpdGxlPjxz
ZWNvbmRhcnktdGl0bGU+SGFlbWF0b2xvZ2ljYTwvc2Vjb25kYXJ5LXRpdGxlPjwvdGl0bGVzPjxw
YWdlcz4xNTI0LTE1MzM8L3BhZ2VzPjx2b2x1bWU+MTAxPC92b2x1bWU+PG51bWJlcj4xMjwvbnVt
YmVyPjxlZGl0aW9uPjIwMTYwOTAxPC9lZGl0aW9uPjxrZXl3b3Jkcz48a2V5d29yZD5BZG9sZXNj
ZW50PC9rZXl3b3JkPjxrZXl3b3JkPkFkdWx0PC9rZXl3b3JkPjxrZXl3b3JkPkFnZWQ8L2tleXdv
cmQ+PGtleXdvcmQ+QWdlZCwgODAgYW5kIG92ZXI8L2tleXdvcmQ+PGtleXdvcmQ+Q29tYmluZWQg
TW9kYWxpdHkgVGhlcmFweTwva2V5d29yZD48a2V5d29yZD5EcnVnIFJlc2lzdGFuY2UsIE5lb3Bs
YXNtPC9rZXl3b3JkPjxrZXl3b3JkPkZlbWFsZTwva2V5d29yZD48a2V5d29yZD5IZWFsdGggQ2Fy
ZSBTdXJ2ZXlzPC9rZXl3b3JkPjxrZXl3b3JkPkh1bWFuczwva2V5d29yZD48a2V5d29yZD5NYWxl
PC9rZXl3b3JkPjxrZXl3b3JkPk1pZGRsZSBBZ2VkPC9rZXl3b3JkPjxrZXl3b3JkPipQaGlsYWRl
bHBoaWEgQ2hyb21vc29tZTwva2V5d29yZD48a2V5d29yZD5QcmVjdXJzb3IgQi1DZWxsIEx5bXBo
b2JsYXN0aWM8L2tleXdvcmQ+PGtleXdvcmQ+TGV1a2VtaWEtTHltcGhvbWEvZGlhZ25vc2lzLypn
ZW5ldGljcy8qbW9ydGFsaXR5L3RoZXJhcHk8L2tleXdvcmQ+PGtleXdvcmQ+UHJvZ25vc2lzPC9r
ZXl3b3JkPjxrZXl3b3JkPlJlY3VycmVuY2U8L2tleXdvcmQ+PGtleXdvcmQ+UmVtaXNzaW9uIElu
ZHVjdGlvbjwva2V5d29yZD48a2V5d29yZD5SZXRyZWF0bWVudDwva2V5d29yZD48a2V5d29yZD5S
ZXRyb3NwZWN0aXZlIFN0dWRpZXM8L2tleXdvcmQ+PGtleXdvcmQ+U3Vydml2YWwgQW5hbHlzaXM8
L2tleXdvcmQ+PGtleXdvcmQ+VHJlYXRtZW50IE91dGNvbWU8L2tleXdvcmQ+PGtleXdvcmQ+WW91
bmcgQWR1bHQ8L2tleXdvcmQ+PC9rZXl3b3Jkcz48ZGF0ZXM+PHllYXI+MjAxNjwveWVhcj48cHVi
LWRhdGVzPjxkYXRlPkRlYzwvZGF0ZT48L3B1Yi1kYXRlcz48L2RhdGVzPjxpc2JuPjE1OTItODcy
MSAoRWxlY3Ryb25pYykmI3hEOzAzOTAtNjA3OCAoTGlua2luZyk8L2lzYm4+PGFjY2Vzc2lvbi1u
dW0+Mjc1ODczODA8L2FjY2Vzc2lvbi1udW0+PHVybHM+PHJlbGF0ZWQtdXJscz48dXJsPmh0dHBz
Oi8vd3d3Lm5jYmkubmxtLm5paC5nb3YvcHVibWVkLzI3NTg3MzgwPC91cmw+PC9yZWxhdGVkLXVy
bHM+PC91cmxzPjxjdXN0b20yPlBNQzU0Nzk2MDU8L2N1c3RvbTI+PGVsZWN0cm9uaWMtcmVzb3Vy
Y2UtbnVtPjEwLjMzMjQvaGFlbWF0b2wuMjAxNi4xNDQzMTE8L2VsZWN0cm9uaWMtcmVzb3VyY2Ut
bnVtPjwvcmVjb3JkPjwvQ2l0ZT48L0VuZE5vdGU+
</w:fldData>
        </w:fldChar>
      </w:r>
      <w:r w:rsidR="007C0AAE">
        <w:instrText xml:space="preserve"> ADDIN EN.CITE.DATA </w:instrText>
      </w:r>
      <w:r w:rsidR="007C0AAE">
        <w:fldChar w:fldCharType="end"/>
      </w:r>
      <w:r w:rsidR="008B77F7" w:rsidRPr="008B77F7">
        <w:fldChar w:fldCharType="separate"/>
      </w:r>
      <w:r w:rsidR="007C0AAE" w:rsidRPr="007C0AAE">
        <w:rPr>
          <w:noProof/>
          <w:vertAlign w:val="superscript"/>
        </w:rPr>
        <w:t>7</w:t>
      </w:r>
      <w:r w:rsidR="008B77F7" w:rsidRPr="008B77F7">
        <w:fldChar w:fldCharType="end"/>
      </w:r>
      <w:r w:rsidR="003C1C5A" w:rsidRPr="008B77F7">
        <w:t xml:space="preserve">; </w:t>
      </w:r>
      <w:r w:rsidR="003771D3" w:rsidRPr="008B77F7">
        <w:t>Paul et al., 2016</w: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 </w:instrText>
      </w:r>
      <w:r w:rsidR="008B77F7" w:rsidRPr="008B77F7">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8B77F7">
        <w:instrText xml:space="preserve"> ADDIN EN.CITE.DATA </w:instrText>
      </w:r>
      <w:r w:rsidR="008B77F7" w:rsidRPr="008B77F7">
        <w:fldChar w:fldCharType="end"/>
      </w:r>
      <w:r w:rsidR="008B77F7" w:rsidRPr="008B77F7">
        <w:fldChar w:fldCharType="separate"/>
      </w:r>
      <w:r w:rsidR="008B77F7" w:rsidRPr="008B77F7">
        <w:rPr>
          <w:noProof/>
          <w:vertAlign w:val="superscript"/>
        </w:rPr>
        <w:t>1</w:t>
      </w:r>
      <w:r w:rsidR="008B77F7" w:rsidRPr="008B77F7">
        <w:fldChar w:fldCharType="end"/>
      </w:r>
      <w:r w:rsidR="003771D3" w:rsidRPr="008B77F7">
        <w:t>).</w:t>
      </w:r>
      <w:r w:rsidR="003C1C5A" w:rsidRPr="006A3FFA">
        <w:t xml:space="preserve"> </w:t>
      </w:r>
      <w:r w:rsidR="006A3FFA" w:rsidRPr="006A3FFA">
        <w:t xml:space="preserve"> </w:t>
      </w:r>
    </w:p>
    <w:p w14:paraId="5637577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98049C5" w14:textId="2CD9F809" w:rsidR="00CC15B3" w:rsidRDefault="00CC15B3" w:rsidP="00E25935">
      <w:pPr>
        <w:ind w:left="360"/>
        <w:jc w:val="left"/>
      </w:pPr>
      <w:r>
        <w:t>Brexucabtagene autoleucel</w:t>
      </w:r>
      <w:r w:rsidR="002E0843">
        <w:t xml:space="preserve"> (TECARTUS</w:t>
      </w:r>
      <w:r w:rsidR="00595764">
        <w:t>®</w:t>
      </w:r>
      <w:r w:rsidR="002E0843">
        <w:t>)</w:t>
      </w:r>
      <w:r>
        <w:t xml:space="preserve"> is</w:t>
      </w:r>
      <w:r w:rsidRPr="003C7B9E">
        <w:t xml:space="preserve"> an </w:t>
      </w:r>
      <w:r>
        <w:t xml:space="preserve">autologous </w:t>
      </w:r>
      <w:r w:rsidRPr="003C7B9E">
        <w:t>anti-CD19 chimeric antigen receptor (CAR) T-cell</w:t>
      </w:r>
      <w:r>
        <w:t xml:space="preserve"> product.</w:t>
      </w:r>
    </w:p>
    <w:p w14:paraId="18673B31" w14:textId="6DE5B854" w:rsidR="004A63C9" w:rsidRDefault="00CC15B3" w:rsidP="00E25935">
      <w:pPr>
        <w:ind w:left="360"/>
        <w:jc w:val="left"/>
      </w:pPr>
      <w:r>
        <w:t>CAR T-cell</w:t>
      </w:r>
      <w:r w:rsidRPr="00F2705A">
        <w:t xml:space="preserve"> therapy is a type of immunotherapy in which a patient’s T-cells </w:t>
      </w:r>
      <w:r>
        <w:t>(</w:t>
      </w:r>
      <w:r w:rsidRPr="00F2705A">
        <w:t>immune cells with anti</w:t>
      </w:r>
      <w:r>
        <w:t>cancer</w:t>
      </w:r>
      <w:r w:rsidRPr="00F2705A">
        <w:t xml:space="preserve"> activity</w:t>
      </w:r>
      <w:r>
        <w:t>)</w:t>
      </w:r>
      <w:r w:rsidRPr="00F2705A">
        <w:t xml:space="preserve"> are collected and </w:t>
      </w:r>
      <w:r w:rsidRPr="00BF5D41">
        <w:t>genetically modified</w:t>
      </w:r>
      <w:r w:rsidRPr="00F2705A">
        <w:t xml:space="preserve"> in </w:t>
      </w:r>
      <w:r w:rsidR="00CA6582">
        <w:t xml:space="preserve">a </w:t>
      </w:r>
      <w:r w:rsidRPr="00F2705A">
        <w:t>lab</w:t>
      </w:r>
      <w:r>
        <w:t>oratory</w:t>
      </w:r>
      <w:r w:rsidRPr="00F2705A">
        <w:t xml:space="preserve"> </w:t>
      </w:r>
      <w:r w:rsidR="00CA6582">
        <w:t xml:space="preserve">process </w:t>
      </w:r>
      <w:r w:rsidRPr="00F2705A">
        <w:t>to recogni</w:t>
      </w:r>
      <w:r>
        <w:t>s</w:t>
      </w:r>
      <w:r w:rsidRPr="00F2705A">
        <w:t xml:space="preserve">e cancer </w:t>
      </w:r>
      <w:r>
        <w:t>cells that express CD19 on their surface</w:t>
      </w:r>
      <w:r w:rsidR="004A63C9">
        <w:t xml:space="preserve"> l</w:t>
      </w:r>
      <w:r w:rsidR="004A63C9" w:rsidRPr="004A63C9">
        <w:t>inked to CD3ζ and CD28 T-cell activation and signalling domains that result in elimination of CD19-expressing cells</w:t>
      </w:r>
      <w:r w:rsidRPr="00F2705A">
        <w:t xml:space="preserve">. </w:t>
      </w:r>
      <w:r>
        <w:t xml:space="preserve">The modified T-cells are </w:t>
      </w:r>
      <w:r w:rsidRPr="00F2705A">
        <w:t xml:space="preserve">expanded to several million </w:t>
      </w:r>
      <w:r>
        <w:t xml:space="preserve">and </w:t>
      </w:r>
      <w:r w:rsidRPr="00F2705A">
        <w:t>the</w:t>
      </w:r>
      <w:r w:rsidR="00CA6582">
        <w:t>se</w:t>
      </w:r>
      <w:r w:rsidRPr="00F2705A">
        <w:t xml:space="preserve"> modified cells are </w:t>
      </w:r>
      <w:r>
        <w:t xml:space="preserve">then </w:t>
      </w:r>
      <w:r w:rsidRPr="00F2705A">
        <w:t>infused back into the patient, where they target and kill cancer cells.</w:t>
      </w:r>
    </w:p>
    <w:p w14:paraId="1AE8B623" w14:textId="68CD5364" w:rsidR="001E6381" w:rsidRDefault="004A63C9" w:rsidP="00E25935">
      <w:pPr>
        <w:ind w:left="360"/>
        <w:jc w:val="left"/>
      </w:pPr>
      <w:r w:rsidRPr="004A63C9">
        <w:t xml:space="preserve">Following CAR engagement with CD19+ target cells, the CD3ζ domain activates the downstream signalling cascade that leads to T-cell activation, proliferation, and acquisition of effector functions, such as cytotoxicity. The intracellular signalling domain of CD28 provides a costimulatory signal that works in concert with the primary CD3ζ signal to augment T-cell function, including interleukin (IL)-2 production. Together, these signals stimulate proliferation of the CAR T cells and direct killing of target cells. In addition, activated T cells secrete cytokines, chemokines, and other molecules that can recruit and activate additional antitumor immune cells. </w:t>
      </w:r>
    </w:p>
    <w:p w14:paraId="226CBBC9" w14:textId="7BB5B6BC" w:rsidR="00847662" w:rsidRPr="00B570A1" w:rsidRDefault="002E0843" w:rsidP="00E25935">
      <w:pPr>
        <w:ind w:left="360"/>
        <w:jc w:val="left"/>
      </w:pPr>
      <w:r>
        <w:lastRenderedPageBreak/>
        <w:t>An application (</w:t>
      </w:r>
      <w:hyperlink r:id="rId11" w:history="1">
        <w:r w:rsidRPr="002E0843">
          <w:rPr>
            <w:rStyle w:val="Hyperlink"/>
          </w:rPr>
          <w:t>MSAC Application 1647</w:t>
        </w:r>
      </w:hyperlink>
      <w:r>
        <w:t xml:space="preserve">) requesting joint public funding by the Commonwealth and the States and Territories under the National Health Reform Agreement (NHRA) of brexucabtagene autoleucel </w:t>
      </w:r>
      <w:r w:rsidRPr="00B570A1">
        <w:t>(</w:t>
      </w:r>
      <w:r w:rsidR="00595764" w:rsidRPr="00B570A1">
        <w:t>TECARTUS</w:t>
      </w:r>
      <w:r w:rsidRPr="00B570A1">
        <w:t>®) for the treatment of patients with relapsed or refractory mantle cell lymphoma (R/R MCL) was reviewed by MSAC at the 82nd MSAC Meeting, 29-30 July 2021</w:t>
      </w:r>
      <w:r w:rsidR="00537757" w:rsidRPr="00B570A1">
        <w:t>,</w:t>
      </w:r>
      <w:r w:rsidRPr="00B570A1">
        <w:t xml:space="preserve"> and </w:t>
      </w:r>
      <w:r w:rsidR="002D4E54" w:rsidRPr="00B570A1">
        <w:t xml:space="preserve">the committee </w:t>
      </w:r>
      <w:r w:rsidR="00595764" w:rsidRPr="00B570A1">
        <w:t xml:space="preserve">supported public funding (see redacted </w:t>
      </w:r>
      <w:hyperlink r:id="rId12" w:history="1">
        <w:r w:rsidR="00595764" w:rsidRPr="00B570A1">
          <w:rPr>
            <w:rStyle w:val="Hyperlink"/>
          </w:rPr>
          <w:t>Public Summary Document</w:t>
        </w:r>
      </w:hyperlink>
      <w:r w:rsidR="00595764" w:rsidRPr="00B570A1">
        <w:rPr>
          <w:rStyle w:val="FootnoteReference"/>
        </w:rPr>
        <w:footnoteReference w:id="1"/>
      </w:r>
      <w:r w:rsidR="00595764" w:rsidRPr="00B570A1">
        <w:t>).</w:t>
      </w:r>
    </w:p>
    <w:p w14:paraId="65A1CD60" w14:textId="0563EC6D" w:rsidR="008D59CE" w:rsidRPr="002069EF" w:rsidRDefault="00C40993" w:rsidP="00E25935">
      <w:pPr>
        <w:ind w:left="360"/>
        <w:jc w:val="left"/>
      </w:pPr>
      <w:bookmarkStart w:id="2" w:name="_Hlk97724394"/>
      <w:r w:rsidRPr="002069EF">
        <w:t>Gilead would like to request</w:t>
      </w:r>
      <w:r w:rsidR="00AA29E8" w:rsidRPr="002069EF">
        <w:t xml:space="preserve"> the application</w:t>
      </w:r>
      <w:r w:rsidRPr="002069EF">
        <w:t xml:space="preserve"> to bypass </w:t>
      </w:r>
      <w:r w:rsidR="008652AF" w:rsidRPr="002069EF">
        <w:t xml:space="preserve">the </w:t>
      </w:r>
      <w:r w:rsidRPr="002069EF">
        <w:t>PASC</w:t>
      </w:r>
      <w:r w:rsidR="008D59CE" w:rsidRPr="002069EF">
        <w:t>,</w:t>
      </w:r>
      <w:r w:rsidRPr="002069EF">
        <w:t xml:space="preserve"> considering</w:t>
      </w:r>
      <w:r w:rsidR="008D59CE" w:rsidRPr="002069EF">
        <w:t>:</w:t>
      </w:r>
    </w:p>
    <w:p w14:paraId="409C5103" w14:textId="77777777" w:rsidR="008D59CE" w:rsidRPr="002069EF" w:rsidRDefault="00C40993" w:rsidP="00E25935">
      <w:pPr>
        <w:pStyle w:val="ListParagraph"/>
        <w:numPr>
          <w:ilvl w:val="0"/>
          <w:numId w:val="31"/>
        </w:numPr>
        <w:ind w:left="1080"/>
        <w:jc w:val="left"/>
      </w:pPr>
      <w:r w:rsidRPr="002069EF">
        <w:t xml:space="preserve">previous application for brexucabtagene autoleucel </w:t>
      </w:r>
      <w:r w:rsidR="008D59CE" w:rsidRPr="002069EF">
        <w:t xml:space="preserve">(TECARTUS) </w:t>
      </w:r>
      <w:r w:rsidRPr="002069EF">
        <w:t>in refractory/replaced mantle cell lymphoma (R/R MCL) was recently expedited bypassing PASC</w:t>
      </w:r>
      <w:r w:rsidR="008D59CE" w:rsidRPr="002069EF">
        <w:t xml:space="preserve"> and </w:t>
      </w:r>
    </w:p>
    <w:p w14:paraId="4C74BD61" w14:textId="65E5AAD0" w:rsidR="008D59CE" w:rsidRPr="002069EF" w:rsidRDefault="008D59CE" w:rsidP="00E25935">
      <w:pPr>
        <w:pStyle w:val="ListParagraph"/>
        <w:numPr>
          <w:ilvl w:val="0"/>
          <w:numId w:val="31"/>
        </w:numPr>
        <w:ind w:left="1080"/>
        <w:jc w:val="left"/>
      </w:pPr>
      <w:r w:rsidRPr="002069EF">
        <w:t xml:space="preserve">the ratified PICO for </w:t>
      </w:r>
      <w:proofErr w:type="spellStart"/>
      <w:r w:rsidRPr="002069EF">
        <w:t>tisagenlecleucel</w:t>
      </w:r>
      <w:proofErr w:type="spellEnd"/>
      <w:r w:rsidRPr="002069EF">
        <w:t xml:space="preserve"> (Kymriah) for treatment of confirmed </w:t>
      </w:r>
      <w:r w:rsidR="00C64596" w:rsidRPr="002069EF">
        <w:t>for R/R ALL</w:t>
      </w:r>
      <w:r w:rsidRPr="002069EF">
        <w:t xml:space="preserve"> up</w:t>
      </w:r>
      <w:r w:rsidR="00463FCA" w:rsidRPr="002069EF">
        <w:t xml:space="preserve"> </w:t>
      </w:r>
      <w:r w:rsidRPr="002069EF">
        <w:t>to age 25</w:t>
      </w:r>
      <w:r w:rsidR="00C64596" w:rsidRPr="002069EF">
        <w:t xml:space="preserve"> </w:t>
      </w:r>
      <w:r w:rsidRPr="002069EF">
        <w:t xml:space="preserve">is available.  </w:t>
      </w:r>
    </w:p>
    <w:bookmarkEnd w:id="2"/>
    <w:p w14:paraId="50CFC3D2" w14:textId="7908C4EE" w:rsidR="00B87234" w:rsidRPr="004A63C9" w:rsidRDefault="008D59CE" w:rsidP="00E25935">
      <w:pPr>
        <w:ind w:left="360"/>
        <w:jc w:val="left"/>
      </w:pPr>
      <w:r w:rsidRPr="002069EF">
        <w:fldChar w:fldCharType="begin"/>
      </w:r>
      <w:r w:rsidRPr="002069EF">
        <w:instrText xml:space="preserve"> REF _Ref45295170 \h </w:instrText>
      </w:r>
      <w:r w:rsidR="00B570A1" w:rsidRPr="002069EF">
        <w:instrText xml:space="preserve"> \* MERGEFORMAT </w:instrText>
      </w:r>
      <w:r w:rsidRPr="002069EF">
        <w:fldChar w:fldCharType="separate"/>
      </w:r>
      <w:r w:rsidRPr="002069EF">
        <w:t xml:space="preserve">Table </w:t>
      </w:r>
      <w:r w:rsidRPr="002069EF">
        <w:rPr>
          <w:noProof/>
        </w:rPr>
        <w:t>8</w:t>
      </w:r>
      <w:r w:rsidRPr="002069EF">
        <w:fldChar w:fldCharType="end"/>
      </w:r>
      <w:r w:rsidRPr="002069EF">
        <w:t>, in Section 8 of this application, summarises the proposed key components of the PICO criteria to be addressed in a submission</w:t>
      </w:r>
      <w:r w:rsidR="0059684D" w:rsidRPr="002069EF">
        <w:t>.  The application is requested to be expedited (bypassing</w:t>
      </w:r>
      <w:r w:rsidR="00935ED0" w:rsidRPr="002069EF">
        <w:t xml:space="preserve"> the</w:t>
      </w:r>
      <w:r w:rsidR="0059684D" w:rsidRPr="002069EF">
        <w:t xml:space="preserve"> PASC) as the </w:t>
      </w:r>
      <w:r w:rsidR="00B56382" w:rsidRPr="002069EF">
        <w:t>proposed</w:t>
      </w:r>
      <w:r w:rsidR="0059684D" w:rsidRPr="002069EF">
        <w:t xml:space="preserve"> PICO is based on </w:t>
      </w:r>
      <w:hyperlink r:id="rId13" w:history="1">
        <w:r w:rsidR="00B56382" w:rsidRPr="002069EF">
          <w:rPr>
            <w:rStyle w:val="Hyperlink"/>
          </w:rPr>
          <w:t>A</w:t>
        </w:r>
        <w:r w:rsidR="0059684D" w:rsidRPr="002069EF">
          <w:rPr>
            <w:rStyle w:val="Hyperlink"/>
          </w:rPr>
          <w:t xml:space="preserve">pplication </w:t>
        </w:r>
        <w:r w:rsidR="00B56382" w:rsidRPr="002069EF">
          <w:rPr>
            <w:rStyle w:val="Hyperlink"/>
          </w:rPr>
          <w:t>1519</w:t>
        </w:r>
      </w:hyperlink>
      <w:r w:rsidR="0059684D" w:rsidRPr="002069EF">
        <w:t xml:space="preserve"> </w:t>
      </w:r>
      <w:r w:rsidR="00B56382" w:rsidRPr="002069EF">
        <w:t xml:space="preserve">(and accompanying Ratified PICO) </w:t>
      </w:r>
      <w:r w:rsidR="0059684D" w:rsidRPr="002069EF">
        <w:t xml:space="preserve">for </w:t>
      </w:r>
      <w:proofErr w:type="spellStart"/>
      <w:r w:rsidR="00B56382" w:rsidRPr="002069EF">
        <w:t>tisagenlecleucel</w:t>
      </w:r>
      <w:proofErr w:type="spellEnd"/>
      <w:r w:rsidR="00B56382" w:rsidRPr="002069EF">
        <w:t xml:space="preserve"> (Kymriah) </w:t>
      </w:r>
      <w:r w:rsidR="0059684D" w:rsidRPr="002069EF">
        <w:t xml:space="preserve">which MSAC recommended for funding to treat </w:t>
      </w:r>
      <w:r w:rsidR="00B56382" w:rsidRPr="002069EF">
        <w:t>relapsed/refractory CD19-positive ALL in children and young adults up to 25 years old; a very similar and overlapping indication for this application.</w:t>
      </w:r>
      <w:r w:rsidR="00610782">
        <w:t xml:space="preserve">   </w:t>
      </w:r>
    </w:p>
    <w:p w14:paraId="202FE150"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7E38C1B" w14:textId="77777777" w:rsidR="00753C44" w:rsidRDefault="006B6390" w:rsidP="009817A6">
      <w:pPr>
        <w:spacing w:before="0" w:after="0"/>
        <w:ind w:left="360"/>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w:t>
      </w:r>
    </w:p>
    <w:p w14:paraId="1F82E40B" w14:textId="1CCFD7C1" w:rsidR="00753C44" w:rsidRDefault="005970C3" w:rsidP="009817A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6B6390">
        <w:rPr>
          <w:szCs w:val="20"/>
        </w:rPr>
        <w:t xml:space="preserve"> No</w:t>
      </w:r>
      <w:r w:rsidR="00753C44" w:rsidRPr="00753C44">
        <w:rPr>
          <w:szCs w:val="20"/>
        </w:rPr>
        <w:t xml:space="preserve">  </w:t>
      </w:r>
    </w:p>
    <w:p w14:paraId="6C94C05B" w14:textId="21A45A92" w:rsidR="00C54610" w:rsidRDefault="00C54610" w:rsidP="00A6491A">
      <w:pPr>
        <w:spacing w:before="0" w:after="0"/>
        <w:ind w:left="284"/>
        <w:rPr>
          <w:szCs w:val="20"/>
        </w:rPr>
      </w:pPr>
    </w:p>
    <w:p w14:paraId="39336217" w14:textId="22FFBA3C" w:rsidR="00C54610" w:rsidRPr="00753C44" w:rsidRDefault="00C54610" w:rsidP="00E25935">
      <w:pPr>
        <w:spacing w:before="0" w:after="0"/>
        <w:ind w:left="284" w:firstLine="76"/>
        <w:rPr>
          <w:szCs w:val="20"/>
        </w:rPr>
      </w:pPr>
      <w:r w:rsidRPr="00C54610">
        <w:rPr>
          <w:szCs w:val="20"/>
        </w:rPr>
        <w:t xml:space="preserve">Brexucabtagene autoleucel </w:t>
      </w:r>
      <w:r w:rsidR="002D4E54">
        <w:rPr>
          <w:szCs w:val="20"/>
        </w:rPr>
        <w:t xml:space="preserve">is </w:t>
      </w:r>
      <w:r w:rsidRPr="00C54610">
        <w:rPr>
          <w:szCs w:val="20"/>
        </w:rPr>
        <w:t xml:space="preserve">not eligible for funding through the MBS or PBS. </w:t>
      </w:r>
    </w:p>
    <w:p w14:paraId="7B73339D" w14:textId="77777777" w:rsidR="000B3CD0" w:rsidRPr="0011036E" w:rsidRDefault="000B3CD0"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8AA80E9" w14:textId="4C69A5F8" w:rsidR="00753C44" w:rsidRPr="00753C44" w:rsidRDefault="009817A6" w:rsidP="009817A6">
      <w:pPr>
        <w:spacing w:before="0" w:after="0"/>
        <w:ind w:left="360"/>
        <w:rPr>
          <w:szCs w:val="20"/>
        </w:rPr>
      </w:pPr>
      <w:r>
        <w:rPr>
          <w:szCs w:val="20"/>
        </w:rPr>
        <w:t>N/A</w:t>
      </w:r>
    </w:p>
    <w:p w14:paraId="70205796" w14:textId="77777777" w:rsidR="000B3CD0" w:rsidRPr="0011036E" w:rsidRDefault="000B3CD0"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5F28EF0" w14:textId="2302D07E" w:rsidR="00AE7431" w:rsidRPr="00CB12EC" w:rsidRDefault="009817A6" w:rsidP="00671A37">
      <w:pPr>
        <w:ind w:left="284"/>
      </w:pPr>
      <w:r>
        <w:t>N/A</w:t>
      </w:r>
    </w:p>
    <w:p w14:paraId="0E61586E" w14:textId="77777777" w:rsidR="006C0843" w:rsidRPr="0011036E" w:rsidRDefault="006C0843"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F0ACA5A" w14:textId="6BE65869" w:rsidR="00AE7431" w:rsidRPr="00CB12EC" w:rsidRDefault="00AE7431" w:rsidP="00671A37">
      <w:pPr>
        <w:ind w:left="284"/>
      </w:pPr>
      <w:r>
        <w:t>Not applicable</w:t>
      </w:r>
    </w:p>
    <w:p w14:paraId="43257DEF" w14:textId="77777777" w:rsidR="00534C5F" w:rsidRPr="007E39E4" w:rsidRDefault="000770BA"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05D1F81" w14:textId="77777777" w:rsidR="006B6390" w:rsidRPr="009817A6" w:rsidRDefault="006B6390" w:rsidP="009817A6">
      <w:pPr>
        <w:spacing w:before="0" w:after="0"/>
        <w:ind w:firstLine="360"/>
        <w:rPr>
          <w:rStyle w:val="Strong"/>
          <w:b w:val="0"/>
        </w:rPr>
      </w:pPr>
      <w:r w:rsidRPr="009817A6">
        <w:rPr>
          <w:b/>
          <w:szCs w:val="20"/>
        </w:rPr>
        <w:fldChar w:fldCharType="begin">
          <w:ffData>
            <w:name w:val="Check2"/>
            <w:enabled/>
            <w:calcOnExit w:val="0"/>
            <w:checkBox>
              <w:sizeAuto/>
              <w:default w:val="0"/>
            </w:checkBox>
          </w:ffData>
        </w:fldChar>
      </w:r>
      <w:r w:rsidRPr="009817A6">
        <w:rPr>
          <w:b/>
          <w:szCs w:val="20"/>
        </w:rPr>
        <w:instrText xml:space="preserve"> FORMCHECKBOX </w:instrText>
      </w:r>
      <w:r w:rsidR="0013236B">
        <w:rPr>
          <w:b/>
          <w:szCs w:val="20"/>
        </w:rPr>
      </w:r>
      <w:r w:rsidR="0013236B">
        <w:rPr>
          <w:b/>
          <w:szCs w:val="20"/>
        </w:rPr>
        <w:fldChar w:fldCharType="separate"/>
      </w:r>
      <w:r w:rsidRPr="009817A6">
        <w:rPr>
          <w:b/>
          <w:szCs w:val="20"/>
        </w:rPr>
        <w:fldChar w:fldCharType="end"/>
      </w:r>
      <w:r w:rsidRPr="009817A6">
        <w:rPr>
          <w:b/>
          <w:szCs w:val="20"/>
        </w:rPr>
        <w:t xml:space="preserve"> </w:t>
      </w:r>
      <w:r w:rsidRPr="009817A6">
        <w:rPr>
          <w:rStyle w:val="Strong"/>
          <w:b w:val="0"/>
        </w:rPr>
        <w:t>A new item which also seeks to allow access to the MBS for a specific health practitioner group</w:t>
      </w:r>
    </w:p>
    <w:p w14:paraId="5F8E5DFF" w14:textId="77777777" w:rsidR="006B6390" w:rsidRPr="009817A6" w:rsidRDefault="006B6390" w:rsidP="009817A6">
      <w:pPr>
        <w:spacing w:before="0" w:after="0"/>
        <w:ind w:left="567" w:hanging="207"/>
        <w:rPr>
          <w:rStyle w:val="Strong"/>
          <w:b w:val="0"/>
        </w:rPr>
      </w:pPr>
      <w:r w:rsidRPr="009817A6">
        <w:rPr>
          <w:b/>
          <w:szCs w:val="20"/>
        </w:rPr>
        <w:fldChar w:fldCharType="begin">
          <w:ffData>
            <w:name w:val="Check2"/>
            <w:enabled/>
            <w:calcOnExit w:val="0"/>
            <w:checkBox>
              <w:sizeAuto/>
              <w:default w:val="0"/>
            </w:checkBox>
          </w:ffData>
        </w:fldChar>
      </w:r>
      <w:r w:rsidRPr="009817A6">
        <w:rPr>
          <w:b/>
          <w:szCs w:val="20"/>
        </w:rPr>
        <w:instrText xml:space="preserve"> FORMCHECKBOX </w:instrText>
      </w:r>
      <w:r w:rsidR="0013236B">
        <w:rPr>
          <w:b/>
          <w:szCs w:val="20"/>
        </w:rPr>
      </w:r>
      <w:r w:rsidR="0013236B">
        <w:rPr>
          <w:b/>
          <w:szCs w:val="20"/>
        </w:rPr>
        <w:fldChar w:fldCharType="separate"/>
      </w:r>
      <w:r w:rsidRPr="009817A6">
        <w:rPr>
          <w:b/>
          <w:szCs w:val="20"/>
        </w:rPr>
        <w:fldChar w:fldCharType="end"/>
      </w:r>
      <w:r w:rsidRPr="009817A6">
        <w:rPr>
          <w:b/>
          <w:szCs w:val="20"/>
        </w:rPr>
        <w:t xml:space="preserve"> </w:t>
      </w:r>
      <w:r w:rsidRPr="009817A6">
        <w:rPr>
          <w:rStyle w:val="Strong"/>
          <w:b w:val="0"/>
        </w:rPr>
        <w:t>A new item that is proposing a way of clinically delivering a service that is new to the MBS (in terms of new technology and / or population)</w:t>
      </w:r>
    </w:p>
    <w:p w14:paraId="73B8DA13" w14:textId="77777777" w:rsidR="006B6390" w:rsidRPr="009817A6" w:rsidRDefault="006B6390" w:rsidP="009817A6">
      <w:pPr>
        <w:spacing w:before="0" w:after="0"/>
        <w:ind w:firstLine="360"/>
        <w:rPr>
          <w:rStyle w:val="Strong"/>
          <w:b w:val="0"/>
        </w:rPr>
      </w:pPr>
      <w:r w:rsidRPr="009817A6">
        <w:rPr>
          <w:b/>
          <w:szCs w:val="20"/>
        </w:rPr>
        <w:fldChar w:fldCharType="begin">
          <w:ffData>
            <w:name w:val="Check2"/>
            <w:enabled/>
            <w:calcOnExit w:val="0"/>
            <w:checkBox>
              <w:sizeAuto/>
              <w:default w:val="0"/>
            </w:checkBox>
          </w:ffData>
        </w:fldChar>
      </w:r>
      <w:r w:rsidRPr="009817A6">
        <w:rPr>
          <w:b/>
          <w:szCs w:val="20"/>
        </w:rPr>
        <w:instrText xml:space="preserve"> FORMCHECKBOX </w:instrText>
      </w:r>
      <w:r w:rsidR="0013236B">
        <w:rPr>
          <w:b/>
          <w:szCs w:val="20"/>
        </w:rPr>
      </w:r>
      <w:r w:rsidR="0013236B">
        <w:rPr>
          <w:b/>
          <w:szCs w:val="20"/>
        </w:rPr>
        <w:fldChar w:fldCharType="separate"/>
      </w:r>
      <w:r w:rsidRPr="009817A6">
        <w:rPr>
          <w:b/>
          <w:szCs w:val="20"/>
        </w:rPr>
        <w:fldChar w:fldCharType="end"/>
      </w:r>
      <w:r w:rsidRPr="009817A6">
        <w:rPr>
          <w:b/>
          <w:szCs w:val="20"/>
        </w:rPr>
        <w:t xml:space="preserve"> </w:t>
      </w:r>
      <w:r w:rsidRPr="009817A6">
        <w:rPr>
          <w:rStyle w:val="Strong"/>
          <w:b w:val="0"/>
        </w:rPr>
        <w:t>A new item for a specific single consultation item</w:t>
      </w:r>
    </w:p>
    <w:p w14:paraId="1592EDF6" w14:textId="77777777" w:rsidR="006B6390" w:rsidRPr="009817A6" w:rsidRDefault="006B6390" w:rsidP="009817A6">
      <w:pPr>
        <w:spacing w:before="0" w:after="0"/>
        <w:ind w:firstLine="360"/>
        <w:rPr>
          <w:rStyle w:val="Strong"/>
          <w:b w:val="0"/>
        </w:rPr>
      </w:pPr>
      <w:r w:rsidRPr="009817A6">
        <w:rPr>
          <w:b/>
          <w:szCs w:val="20"/>
        </w:rPr>
        <w:fldChar w:fldCharType="begin">
          <w:ffData>
            <w:name w:val="Check2"/>
            <w:enabled/>
            <w:calcOnExit w:val="0"/>
            <w:checkBox>
              <w:sizeAuto/>
              <w:default w:val="0"/>
            </w:checkBox>
          </w:ffData>
        </w:fldChar>
      </w:r>
      <w:r w:rsidRPr="009817A6">
        <w:rPr>
          <w:b/>
          <w:szCs w:val="20"/>
        </w:rPr>
        <w:instrText xml:space="preserve"> FORMCHECKBOX </w:instrText>
      </w:r>
      <w:r w:rsidR="0013236B">
        <w:rPr>
          <w:b/>
          <w:szCs w:val="20"/>
        </w:rPr>
      </w:r>
      <w:r w:rsidR="0013236B">
        <w:rPr>
          <w:b/>
          <w:szCs w:val="20"/>
        </w:rPr>
        <w:fldChar w:fldCharType="separate"/>
      </w:r>
      <w:r w:rsidRPr="009817A6">
        <w:rPr>
          <w:b/>
          <w:szCs w:val="20"/>
        </w:rPr>
        <w:fldChar w:fldCharType="end"/>
      </w:r>
      <w:r w:rsidRPr="009817A6">
        <w:rPr>
          <w:b/>
          <w:szCs w:val="20"/>
        </w:rPr>
        <w:t xml:space="preserve"> </w:t>
      </w:r>
      <w:r w:rsidRPr="009817A6">
        <w:rPr>
          <w:rStyle w:val="Strong"/>
          <w:b w:val="0"/>
        </w:rPr>
        <w:t>A new item for a global consultation item(s)</w:t>
      </w:r>
    </w:p>
    <w:p w14:paraId="40BFAEF0" w14:textId="77777777" w:rsidR="003027BB" w:rsidRPr="007E39E4" w:rsidRDefault="00F30C22"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4A70C59" w14:textId="6FC3CB8F" w:rsidR="000A5B32" w:rsidRDefault="005970C3" w:rsidP="00E25935">
      <w:pPr>
        <w:spacing w:before="0" w:after="0"/>
        <w:ind w:left="360"/>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13236B">
        <w:rPr>
          <w:szCs w:val="20"/>
        </w:rPr>
      </w:r>
      <w:r w:rsidR="0013236B">
        <w:rPr>
          <w:szCs w:val="20"/>
        </w:rPr>
        <w:fldChar w:fldCharType="separate"/>
      </w:r>
      <w:r>
        <w:rPr>
          <w:szCs w:val="20"/>
        </w:rPr>
        <w:fldChar w:fldCharType="end"/>
      </w:r>
      <w:bookmarkEnd w:id="3"/>
      <w:r w:rsidR="000A5B32" w:rsidRPr="000A5B32">
        <w:rPr>
          <w:szCs w:val="20"/>
        </w:rPr>
        <w:t xml:space="preserve"> Yes</w:t>
      </w:r>
    </w:p>
    <w:p w14:paraId="43DD1522" w14:textId="2D1680A6" w:rsidR="00626365" w:rsidRPr="00626365" w:rsidRDefault="000A5B32" w:rsidP="00E25935">
      <w:pPr>
        <w:spacing w:before="0" w:after="0"/>
        <w:ind w:left="360"/>
        <w:rPr>
          <w:rStyle w:val="Strong"/>
          <w:rFonts w:asciiTheme="minorHAnsi" w:eastAsiaTheme="minorHAnsi" w:hAnsiTheme="minorHAnsi" w:cstheme="minorBidi"/>
          <w:b w:val="0"/>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sidRPr="000A5B32">
        <w:rPr>
          <w:szCs w:val="20"/>
        </w:rPr>
        <w:t xml:space="preserve"> No</w:t>
      </w:r>
    </w:p>
    <w:p w14:paraId="1380979D" w14:textId="77777777" w:rsidR="003027BB" w:rsidRPr="007E39E4" w:rsidRDefault="003027BB"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29EF7C30" w14:textId="2B652018" w:rsidR="00C54610" w:rsidRDefault="0030475F" w:rsidP="00AE7431">
      <w:pPr>
        <w:pStyle w:val="BodyText"/>
        <w:spacing w:before="119"/>
        <w:ind w:left="360" w:right="422"/>
      </w:pPr>
      <w:r w:rsidRPr="00004B96">
        <w:t>The</w:t>
      </w:r>
      <w:r>
        <w:t xml:space="preserve"> </w:t>
      </w:r>
      <w:r w:rsidRPr="00004B96">
        <w:t>Commonwealth and the States currently jointly fund</w:t>
      </w:r>
      <w:r>
        <w:t xml:space="preserve"> various CAR T-cell therapies as Highly </w:t>
      </w:r>
      <w:proofErr w:type="spellStart"/>
      <w:r>
        <w:t>Specialised</w:t>
      </w:r>
      <w:proofErr w:type="spellEnd"/>
      <w:r>
        <w:t xml:space="preserve"> Therapies under the Addendum to the </w:t>
      </w:r>
      <w:r w:rsidRPr="00004B96">
        <w:t>National Health Reform</w:t>
      </w:r>
      <w:r>
        <w:t xml:space="preserve"> Agreement</w:t>
      </w:r>
      <w:r w:rsidRPr="00004B96">
        <w:t xml:space="preserve"> </w:t>
      </w:r>
      <w:r>
        <w:t xml:space="preserve">2020-2025 </w:t>
      </w:r>
      <w:r w:rsidRPr="00004B96">
        <w:t>(NHRA)</w:t>
      </w:r>
      <w:r>
        <w:t>. This application proposes that the same funding mechanism be used to fund brexu</w:t>
      </w:r>
      <w:r w:rsidRPr="00296913">
        <w:t xml:space="preserve">cabtagene </w:t>
      </w:r>
      <w:r>
        <w:t>auto</w:t>
      </w:r>
      <w:r w:rsidRPr="00296913">
        <w:t>leucel</w:t>
      </w:r>
      <w:r>
        <w:t xml:space="preserve"> when used in adult patients </w:t>
      </w:r>
      <w:r w:rsidRPr="00C54610">
        <w:rPr>
          <w:lang w:val="en-AU"/>
        </w:rPr>
        <w:t>(≥ 18 years of age) with relapsed or refractory B-precursor acute lymphoblastic leukaemia (B-ALL</w:t>
      </w:r>
      <w:r>
        <w:rPr>
          <w:lang w:val="en-AU"/>
        </w:rPr>
        <w:t>)</w:t>
      </w:r>
      <w:r>
        <w:t>.</w:t>
      </w:r>
    </w:p>
    <w:p w14:paraId="130D83CC" w14:textId="77777777" w:rsidR="0030475F" w:rsidRDefault="0030475F" w:rsidP="00AE7431">
      <w:pPr>
        <w:pStyle w:val="BodyText"/>
        <w:spacing w:before="119"/>
        <w:ind w:left="360" w:right="422"/>
      </w:pPr>
    </w:p>
    <w:p w14:paraId="433CB2E5" w14:textId="77777777" w:rsidR="000B3CD0" w:rsidRDefault="000B3CD0" w:rsidP="00730C04">
      <w:pPr>
        <w:pStyle w:val="Heading2"/>
      </w:pPr>
      <w:r w:rsidRPr="00154B00">
        <w:lastRenderedPageBreak/>
        <w:t xml:space="preserve">What is the type of </w:t>
      </w:r>
      <w:r w:rsidR="00B45CA5">
        <w:t xml:space="preserve">medical </w:t>
      </w:r>
      <w:r w:rsidRPr="00154B00">
        <w:t>service</w:t>
      </w:r>
      <w:r w:rsidR="00B45CA5">
        <w:t>/technology?</w:t>
      </w:r>
    </w:p>
    <w:p w14:paraId="0AA7DF8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Therapeutic medical service</w:t>
      </w:r>
    </w:p>
    <w:p w14:paraId="6536D37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Investigative medical service</w:t>
      </w:r>
    </w:p>
    <w:p w14:paraId="035BA0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Single consultation medical service</w:t>
      </w:r>
    </w:p>
    <w:p w14:paraId="6D36812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Global consultation medical service</w:t>
      </w:r>
    </w:p>
    <w:p w14:paraId="5F0539E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Allied health service</w:t>
      </w:r>
    </w:p>
    <w:p w14:paraId="668AA46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Co-dependent technology</w:t>
      </w:r>
    </w:p>
    <w:p w14:paraId="62EA1796" w14:textId="3BCA90B9" w:rsidR="00B87234" w:rsidRPr="00A6594E" w:rsidRDefault="00F81206" w:rsidP="00E25935">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3236B">
        <w:rPr>
          <w:b/>
          <w:szCs w:val="20"/>
        </w:rPr>
      </w:r>
      <w:r w:rsidR="0013236B">
        <w:rPr>
          <w:b/>
          <w:szCs w:val="20"/>
        </w:rPr>
        <w:fldChar w:fldCharType="separate"/>
      </w:r>
      <w:r>
        <w:rPr>
          <w:b/>
          <w:szCs w:val="20"/>
        </w:rPr>
        <w:fldChar w:fldCharType="end"/>
      </w:r>
      <w:r w:rsidR="00A6594E" w:rsidRPr="0027105F">
        <w:rPr>
          <w:b/>
          <w:szCs w:val="20"/>
        </w:rPr>
        <w:t xml:space="preserve"> </w:t>
      </w:r>
      <w:r w:rsidR="00A6594E">
        <w:t>Hybrid health technology</w:t>
      </w:r>
    </w:p>
    <w:p w14:paraId="4B4B1A3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B387A6F" w14:textId="77777777" w:rsidR="00A6594E" w:rsidRDefault="00A6594E" w:rsidP="009817A6">
      <w:pPr>
        <w:pStyle w:val="ListParagraph"/>
        <w:spacing w:before="0" w:after="0"/>
        <w:ind w:left="851" w:hanging="567"/>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3236B">
        <w:rPr>
          <w:b/>
          <w:szCs w:val="20"/>
        </w:rPr>
      </w:r>
      <w:r w:rsidR="0013236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0BDA361" w14:textId="77777777" w:rsidR="00A6594E" w:rsidRDefault="00A6594E" w:rsidP="009817A6">
      <w:pPr>
        <w:pStyle w:val="ListParagraph"/>
        <w:spacing w:before="0" w:after="0"/>
        <w:ind w:left="851" w:hanging="567"/>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3236B">
        <w:rPr>
          <w:b/>
          <w:szCs w:val="20"/>
        </w:rPr>
      </w:r>
      <w:r w:rsidR="0013236B">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6319CC6" w14:textId="77777777" w:rsidR="00A6594E" w:rsidRDefault="00A6594E" w:rsidP="009817A6">
      <w:pPr>
        <w:pStyle w:val="ListParagraph"/>
        <w:spacing w:before="0" w:after="0"/>
        <w:ind w:left="851" w:hanging="567"/>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3236B">
        <w:rPr>
          <w:b/>
          <w:szCs w:val="20"/>
        </w:rPr>
      </w:r>
      <w:r w:rsidR="0013236B">
        <w:rPr>
          <w:b/>
          <w:szCs w:val="20"/>
        </w:rPr>
        <w:fldChar w:fldCharType="separate"/>
      </w:r>
      <w:r w:rsidRPr="00AF4466">
        <w:rPr>
          <w:b/>
          <w:szCs w:val="20"/>
        </w:rPr>
        <w:fldChar w:fldCharType="end"/>
      </w:r>
      <w:r w:rsidRPr="00AF4466">
        <w:rPr>
          <w:b/>
          <w:szCs w:val="20"/>
        </w:rPr>
        <w:t xml:space="preserve"> </w:t>
      </w:r>
      <w:r>
        <w:t>Provides information about prognosis</w:t>
      </w:r>
    </w:p>
    <w:p w14:paraId="18583E49" w14:textId="77777777" w:rsidR="00A6594E" w:rsidRDefault="00A6594E" w:rsidP="009817A6">
      <w:pPr>
        <w:pStyle w:val="ListParagraph"/>
        <w:spacing w:before="0" w:after="0"/>
        <w:ind w:left="851" w:hanging="567"/>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3236B">
        <w:rPr>
          <w:b/>
          <w:szCs w:val="20"/>
        </w:rPr>
      </w:r>
      <w:r w:rsidR="0013236B">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5FD42C02" w14:textId="10A32BD9" w:rsidR="00B87234" w:rsidRPr="00A6594E" w:rsidRDefault="00A6594E" w:rsidP="00E25935">
      <w:pPr>
        <w:pStyle w:val="ListParagraph"/>
        <w:spacing w:before="0" w:after="0"/>
        <w:ind w:left="851" w:hanging="567"/>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3236B">
        <w:rPr>
          <w:b/>
          <w:szCs w:val="20"/>
        </w:rPr>
      </w:r>
      <w:r w:rsidR="0013236B">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ABC254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EEF6E50" w14:textId="2FF5E860" w:rsidR="00FE16C1" w:rsidRDefault="00F8120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3236B">
        <w:rPr>
          <w:b/>
          <w:szCs w:val="20"/>
        </w:rPr>
      </w:r>
      <w:r w:rsidR="0013236B">
        <w:rPr>
          <w:b/>
          <w:szCs w:val="20"/>
        </w:rPr>
        <w:fldChar w:fldCharType="separate"/>
      </w:r>
      <w:r>
        <w:rPr>
          <w:b/>
          <w:szCs w:val="20"/>
        </w:rPr>
        <w:fldChar w:fldCharType="end"/>
      </w:r>
      <w:r w:rsidR="00FE16C1" w:rsidRPr="0027105F">
        <w:rPr>
          <w:b/>
          <w:szCs w:val="20"/>
        </w:rPr>
        <w:t xml:space="preserve"> </w:t>
      </w:r>
      <w:r w:rsidR="00FE16C1">
        <w:t>Pharmaceutical / Biological</w:t>
      </w:r>
    </w:p>
    <w:p w14:paraId="6267B23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Prosthesis or device</w:t>
      </w:r>
    </w:p>
    <w:p w14:paraId="1B96C435" w14:textId="5ED5EADD" w:rsidR="00B87234" w:rsidRPr="00FE16C1" w:rsidRDefault="00FE16C1" w:rsidP="00E25935">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3236B">
        <w:rPr>
          <w:b/>
          <w:szCs w:val="20"/>
        </w:rPr>
      </w:r>
      <w:r w:rsidR="0013236B">
        <w:rPr>
          <w:b/>
          <w:szCs w:val="20"/>
        </w:rPr>
        <w:fldChar w:fldCharType="separate"/>
      </w:r>
      <w:r w:rsidRPr="0027105F">
        <w:rPr>
          <w:b/>
          <w:szCs w:val="20"/>
        </w:rPr>
        <w:fldChar w:fldCharType="end"/>
      </w:r>
      <w:r w:rsidRPr="0027105F">
        <w:rPr>
          <w:b/>
          <w:szCs w:val="20"/>
        </w:rPr>
        <w:t xml:space="preserve"> </w:t>
      </w:r>
      <w:r>
        <w:t>No</w:t>
      </w:r>
    </w:p>
    <w:p w14:paraId="4508B82B"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A8E2BEC" w14:textId="1E3016AB" w:rsidR="00FE16C1" w:rsidRDefault="00833DB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FE16C1" w:rsidRPr="000A5B32">
        <w:rPr>
          <w:szCs w:val="20"/>
        </w:rPr>
        <w:t xml:space="preserve"> Yes</w:t>
      </w:r>
    </w:p>
    <w:p w14:paraId="3DCEBE74" w14:textId="53521C06" w:rsidR="00CE23B0" w:rsidRDefault="00FE16C1" w:rsidP="001C7E5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No  </w:t>
      </w:r>
    </w:p>
    <w:p w14:paraId="028C3932" w14:textId="77777777" w:rsidR="0030475F" w:rsidRPr="008007DF" w:rsidRDefault="0030475F" w:rsidP="0030475F">
      <w:pPr>
        <w:ind w:left="284"/>
        <w:rPr>
          <w:b/>
          <w:bCs/>
        </w:rPr>
      </w:pPr>
      <w:r w:rsidRPr="008007DF">
        <w:rPr>
          <w:b/>
          <w:bCs/>
        </w:rPr>
        <w:t>Bridging therapy</w:t>
      </w:r>
    </w:p>
    <w:p w14:paraId="587AE37E" w14:textId="00ECCBF0" w:rsidR="0030475F" w:rsidRDefault="0030475F" w:rsidP="009817A6">
      <w:pPr>
        <w:ind w:left="284"/>
        <w:jc w:val="left"/>
      </w:pPr>
      <w:r w:rsidRPr="00833DBA">
        <w:t xml:space="preserve">Prespecified bridging chemotherapy to stabilise the patient’s condition during </w:t>
      </w:r>
      <w:r>
        <w:t>brexucabtagene autoleucel</w:t>
      </w:r>
      <w:r w:rsidRPr="00833DBA">
        <w:t xml:space="preserve"> manufacturing </w:t>
      </w:r>
      <w:r>
        <w:t>is</w:t>
      </w:r>
      <w:r w:rsidRPr="00833DBA">
        <w:t xml:space="preserve"> allowed at the physician’s discretion.</w:t>
      </w:r>
    </w:p>
    <w:p w14:paraId="56DD2CBC" w14:textId="340A0EF6" w:rsidR="0030475F" w:rsidRPr="009817A6" w:rsidRDefault="0030475F" w:rsidP="009817A6">
      <w:pPr>
        <w:ind w:left="284"/>
        <w:jc w:val="left"/>
      </w:pPr>
      <w:r>
        <w:t>In the pivotal ZUMA-3 study, b</w:t>
      </w:r>
      <w:r w:rsidRPr="008007DF">
        <w:t xml:space="preserve">ridging therapy </w:t>
      </w:r>
      <w:r>
        <w:t>was</w:t>
      </w:r>
      <w:r w:rsidRPr="008007DF">
        <w:t xml:space="preserve"> administered after leukapheresis and prior to lymphodepleting chemotherapy</w:t>
      </w:r>
      <w:r>
        <w:t>.</w:t>
      </w:r>
      <w:r w:rsidRPr="008007DF">
        <w:t xml:space="preserve"> </w:t>
      </w:r>
      <w:r>
        <w:t>B</w:t>
      </w:r>
      <w:r w:rsidRPr="008007DF">
        <w:t>ridging chemotherapy was recommended for all subjects, particularly those subjects with high disease burden at baseline (M3 marrow</w:t>
      </w:r>
      <w:r>
        <w:t xml:space="preserve"> </w:t>
      </w:r>
      <w:r w:rsidRPr="008007DF">
        <w:t>[&gt; 25% leukemic blasts] or ≥ 1,000 blasts/mm</w:t>
      </w:r>
      <w:r w:rsidRPr="00F67A83">
        <w:rPr>
          <w:vertAlign w:val="superscript"/>
        </w:rPr>
        <w:t>3</w:t>
      </w:r>
      <w:r w:rsidRPr="008007DF">
        <w:t xml:space="preserve"> in the peripheral circulation). If prescribed, bridging chemotherapy was administered after leukapheresis and completed at least 7 days or 5 half-lives, whichever was shorter, prior to initiating lymphodepleting chemotherapy. </w:t>
      </w:r>
      <w:r>
        <w:t>The most commonly administered bridging therapy administered in the pivotal study was</w:t>
      </w:r>
      <w:r>
        <w:rPr>
          <w:spacing w:val="1"/>
        </w:rPr>
        <w:t xml:space="preserve"> </w:t>
      </w:r>
      <w:r>
        <w:t>dexamethasone, which is listed on the PBS as an unrestricted benefit.</w:t>
      </w:r>
    </w:p>
    <w:p w14:paraId="6B0A3FA9" w14:textId="17585E21" w:rsidR="008007DF" w:rsidRPr="008007DF" w:rsidRDefault="008007DF" w:rsidP="009817A6">
      <w:pPr>
        <w:ind w:left="284"/>
        <w:jc w:val="left"/>
        <w:rPr>
          <w:b/>
          <w:bCs/>
        </w:rPr>
      </w:pPr>
      <w:r w:rsidRPr="008007DF">
        <w:rPr>
          <w:b/>
          <w:bCs/>
        </w:rPr>
        <w:t>Lymphodepleting chemotherapy</w:t>
      </w:r>
    </w:p>
    <w:p w14:paraId="10ECB910" w14:textId="50E059B7" w:rsidR="00CE23B0" w:rsidRDefault="00CE23B0" w:rsidP="009817A6">
      <w:pPr>
        <w:ind w:left="284"/>
        <w:jc w:val="left"/>
      </w:pPr>
      <w:r>
        <w:t>Conditioning chemotherapy is required to be administered prior to infusion of brexucabtagene autoleucel.</w:t>
      </w:r>
      <w:r>
        <w:rPr>
          <w:spacing w:val="-43"/>
        </w:rPr>
        <w:t xml:space="preserve"> </w:t>
      </w:r>
      <w:r>
        <w:t xml:space="preserve">The lymphodepleting chemotherapy regimen administered in the </w:t>
      </w:r>
      <w:r w:rsidR="005E7024">
        <w:t xml:space="preserve">pivotal </w:t>
      </w:r>
      <w:r>
        <w:t>ZUMA-3 study consisted of:</w:t>
      </w:r>
      <w:r>
        <w:rPr>
          <w:spacing w:val="1"/>
        </w:rPr>
        <w:t xml:space="preserve"> </w:t>
      </w:r>
      <w:r>
        <w:t>fludarabine 25 mg/m</w:t>
      </w:r>
      <w:r>
        <w:rPr>
          <w:vertAlign w:val="superscript"/>
        </w:rPr>
        <w:t>2</w:t>
      </w:r>
      <w:r>
        <w:t xml:space="preserve"> intravenous (IV) administered on the</w:t>
      </w:r>
      <w:r>
        <w:rPr>
          <w:spacing w:val="1"/>
        </w:rPr>
        <w:t xml:space="preserve"> </w:t>
      </w:r>
      <w:r>
        <w:t>fourth, third and second day prior to infusion of brexucabtagene autoleucel and cyclophosphamide 900 mg/m</w:t>
      </w:r>
      <w:r>
        <w:rPr>
          <w:vertAlign w:val="superscript"/>
        </w:rPr>
        <w:t>2</w:t>
      </w:r>
      <w:r>
        <w:t xml:space="preserve"> IV administered on the</w:t>
      </w:r>
      <w:r>
        <w:rPr>
          <w:spacing w:val="1"/>
        </w:rPr>
        <w:t xml:space="preserve"> </w:t>
      </w:r>
      <w:r>
        <w:t>second day prior to infusion of brexucabtagene autoleucel. Both of these therapies are</w:t>
      </w:r>
      <w:r>
        <w:rPr>
          <w:spacing w:val="1"/>
        </w:rPr>
        <w:t xml:space="preserve"> </w:t>
      </w:r>
      <w:r>
        <w:t>available</w:t>
      </w:r>
      <w:r>
        <w:rPr>
          <w:spacing w:val="-1"/>
        </w:rPr>
        <w:t xml:space="preserve"> </w:t>
      </w:r>
      <w:r>
        <w:t>as unrestricted</w:t>
      </w:r>
      <w:r>
        <w:rPr>
          <w:spacing w:val="-1"/>
        </w:rPr>
        <w:t xml:space="preserve"> </w:t>
      </w:r>
      <w:r>
        <w:t>benefits</w:t>
      </w:r>
      <w:r>
        <w:rPr>
          <w:spacing w:val="-1"/>
        </w:rPr>
        <w:t xml:space="preserve"> </w:t>
      </w:r>
      <w:r>
        <w:t>on the PBS.</w:t>
      </w:r>
    </w:p>
    <w:p w14:paraId="49FFEF8A" w14:textId="3C76FA39" w:rsidR="008007DF" w:rsidRPr="008007DF" w:rsidRDefault="008007DF" w:rsidP="009817A6">
      <w:pPr>
        <w:ind w:left="284"/>
        <w:jc w:val="left"/>
        <w:rPr>
          <w:b/>
          <w:bCs/>
        </w:rPr>
      </w:pPr>
      <w:r>
        <w:rPr>
          <w:b/>
          <w:bCs/>
        </w:rPr>
        <w:t>Cerebrospinal fluid (</w:t>
      </w:r>
      <w:r w:rsidRPr="008007DF">
        <w:rPr>
          <w:b/>
          <w:bCs/>
        </w:rPr>
        <w:t>C</w:t>
      </w:r>
      <w:r>
        <w:rPr>
          <w:b/>
          <w:bCs/>
        </w:rPr>
        <w:t>SF)</w:t>
      </w:r>
      <w:r w:rsidRPr="008007DF">
        <w:rPr>
          <w:b/>
          <w:bCs/>
        </w:rPr>
        <w:t xml:space="preserve"> prophylaxis</w:t>
      </w:r>
    </w:p>
    <w:p w14:paraId="0FC282C4" w14:textId="341FC459" w:rsidR="008007DF" w:rsidRDefault="008007DF" w:rsidP="009817A6">
      <w:pPr>
        <w:ind w:left="284"/>
        <w:jc w:val="left"/>
      </w:pPr>
      <w:r w:rsidRPr="008007DF">
        <w:t xml:space="preserve">All subjects </w:t>
      </w:r>
      <w:r w:rsidR="006A74CB">
        <w:t>in the ZUMA-3 study</w:t>
      </w:r>
      <w:r w:rsidR="006A74CB" w:rsidRPr="008007DF">
        <w:t xml:space="preserve"> </w:t>
      </w:r>
      <w:r w:rsidRPr="008007DF">
        <w:t>receive</w:t>
      </w:r>
      <w:r w:rsidR="006A74CB">
        <w:t>d</w:t>
      </w:r>
      <w:r w:rsidRPr="008007DF">
        <w:t xml:space="preserve"> CSF prophylaxis, consisting of an intrathecal regimen (e</w:t>
      </w:r>
      <w:r w:rsidR="0089736D">
        <w:t>.</w:t>
      </w:r>
      <w:r w:rsidRPr="008007DF">
        <w:t>g</w:t>
      </w:r>
      <w:r w:rsidR="0089736D">
        <w:t>.</w:t>
      </w:r>
      <w:r w:rsidRPr="008007DF">
        <w:t xml:space="preserve"> methotrexate 12 to 15 mg, cytosine arabinoside 40 mg, or dexamethasone 4 mg or equivalent steroid dose). CSF prophylaxis was supplied by the investigative site and administered any time during screening (</w:t>
      </w:r>
      <w:proofErr w:type="gramStart"/>
      <w:r w:rsidRPr="008007DF">
        <w:t>e</w:t>
      </w:r>
      <w:r w:rsidR="0089736D">
        <w:t>.</w:t>
      </w:r>
      <w:r w:rsidRPr="008007DF">
        <w:t>g</w:t>
      </w:r>
      <w:r w:rsidR="0089736D">
        <w:t>.</w:t>
      </w:r>
      <w:proofErr w:type="gramEnd"/>
      <w:r w:rsidRPr="008007DF">
        <w:t xml:space="preserve"> at the time of the screening lumbar puncture) through 7 days prior to </w:t>
      </w:r>
      <w:r w:rsidR="006A74CB">
        <w:t>CAR-T</w:t>
      </w:r>
      <w:r w:rsidRPr="008007DF">
        <w:t xml:space="preserve"> infusion.</w:t>
      </w:r>
      <w:r w:rsidR="00C113CB">
        <w:t xml:space="preserve">  Both cytosine arabinoside (</w:t>
      </w:r>
      <w:r w:rsidR="00547180">
        <w:t xml:space="preserve">i.e. </w:t>
      </w:r>
      <w:r w:rsidR="00C113CB">
        <w:t>cytarabine) and dexamethasone are listed on the PBS as unrestricted benefits.</w:t>
      </w:r>
    </w:p>
    <w:p w14:paraId="486AE25D" w14:textId="77777777" w:rsidR="00E25935" w:rsidRDefault="00E25935">
      <w:pPr>
        <w:spacing w:before="0" w:after="200" w:line="276" w:lineRule="auto"/>
        <w:jc w:val="left"/>
        <w:rPr>
          <w:b/>
          <w:bCs/>
        </w:rPr>
      </w:pPr>
      <w:r>
        <w:rPr>
          <w:b/>
          <w:bCs/>
        </w:rPr>
        <w:br w:type="page"/>
      </w:r>
    </w:p>
    <w:p w14:paraId="30C7CBFF" w14:textId="4FA0019E" w:rsidR="00F67A83" w:rsidRDefault="00F67A83" w:rsidP="00E25935">
      <w:pPr>
        <w:ind w:firstLine="284"/>
        <w:rPr>
          <w:b/>
          <w:bCs/>
        </w:rPr>
      </w:pPr>
      <w:r>
        <w:rPr>
          <w:b/>
          <w:bCs/>
        </w:rPr>
        <w:lastRenderedPageBreak/>
        <w:t>Concomitant therapies</w:t>
      </w:r>
    </w:p>
    <w:p w14:paraId="16893703" w14:textId="7968490F" w:rsidR="0089736D" w:rsidRDefault="0089736D" w:rsidP="00E25935">
      <w:pPr>
        <w:ind w:left="284"/>
      </w:pPr>
      <w:r>
        <w:t>As with the other CAR T-cell therapies, corticosteroids and tocilizumab may be administered to patients</w:t>
      </w:r>
      <w:r w:rsidRPr="0089736D">
        <w:t xml:space="preserve"> </w:t>
      </w:r>
      <w:r>
        <w:t>requiring management of cytokine release syndrome (CRS). Although tocilizumab is PBS-listed, it is not</w:t>
      </w:r>
      <w:r w:rsidRPr="0089736D">
        <w:t xml:space="preserve"> </w:t>
      </w:r>
      <w:r>
        <w:t>reimbursed</w:t>
      </w:r>
      <w:r w:rsidRPr="0089736D">
        <w:t xml:space="preserve"> </w:t>
      </w:r>
      <w:r>
        <w:t>for</w:t>
      </w:r>
      <w:r w:rsidRPr="0089736D">
        <w:t xml:space="preserve"> </w:t>
      </w:r>
      <w:r>
        <w:t>the management of</w:t>
      </w:r>
      <w:r w:rsidRPr="0089736D">
        <w:t xml:space="preserve"> </w:t>
      </w:r>
      <w:r>
        <w:t>CRS.</w:t>
      </w:r>
    </w:p>
    <w:p w14:paraId="6E078F88" w14:textId="5DF1E7BF" w:rsidR="00AE7431" w:rsidRPr="00CE23B0" w:rsidRDefault="0089736D" w:rsidP="00E25935">
      <w:pPr>
        <w:ind w:left="284"/>
      </w:pPr>
      <w:r>
        <w:t>As with the other CAR T-cell therapies, immunoglobulin was administered to some patients in the ZUMA-</w:t>
      </w:r>
      <w:r w:rsidR="006A74CB">
        <w:t>3</w:t>
      </w:r>
      <w:r w:rsidRPr="0089736D">
        <w:t xml:space="preserve"> </w:t>
      </w:r>
      <w:r>
        <w:t>study.</w:t>
      </w:r>
      <w:r w:rsidRPr="0089736D">
        <w:t xml:space="preserve"> </w:t>
      </w:r>
      <w:r>
        <w:t>Immunoglobulin</w:t>
      </w:r>
      <w:r w:rsidRPr="0089736D">
        <w:t xml:space="preserve"> </w:t>
      </w:r>
      <w:r>
        <w:t>is funded</w:t>
      </w:r>
      <w:r w:rsidRPr="0089736D">
        <w:t xml:space="preserve"> </w:t>
      </w:r>
      <w:r>
        <w:t>via the</w:t>
      </w:r>
      <w:r w:rsidRPr="0089736D">
        <w:t xml:space="preserve"> </w:t>
      </w:r>
      <w:r>
        <w:t>National</w:t>
      </w:r>
      <w:r w:rsidRPr="0089736D">
        <w:t xml:space="preserve"> </w:t>
      </w:r>
      <w:r>
        <w:t>Blood</w:t>
      </w:r>
      <w:r w:rsidRPr="0089736D">
        <w:t xml:space="preserve"> </w:t>
      </w:r>
      <w:r>
        <w:t>Authority.</w:t>
      </w:r>
    </w:p>
    <w:p w14:paraId="6FBB403D" w14:textId="77777777" w:rsidR="00EC127A" w:rsidRPr="001E6958" w:rsidRDefault="000E5439" w:rsidP="00056F06">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02AD654" w14:textId="01451A63" w:rsidR="00E64A93" w:rsidRDefault="00CB177B" w:rsidP="009817A6">
      <w:pPr>
        <w:spacing w:before="0" w:after="0"/>
        <w:ind w:left="360"/>
        <w:jc w:val="left"/>
      </w:pPr>
      <w:r>
        <w:t xml:space="preserve">Dexamethasone: </w:t>
      </w:r>
      <w:r w:rsidR="00045480">
        <w:tab/>
      </w:r>
      <w:r>
        <w:t>1292B,</w:t>
      </w:r>
      <w:r w:rsidRPr="00CB177B">
        <w:t xml:space="preserve"> </w:t>
      </w:r>
      <w:r>
        <w:t>2507Y,</w:t>
      </w:r>
      <w:r w:rsidRPr="00CB177B">
        <w:t xml:space="preserve"> </w:t>
      </w:r>
      <w:r>
        <w:t>1291Y,</w:t>
      </w:r>
      <w:r w:rsidRPr="00CB177B">
        <w:t xml:space="preserve"> </w:t>
      </w:r>
      <w:r>
        <w:t>2509C,</w:t>
      </w:r>
      <w:r w:rsidRPr="00CB177B">
        <w:t xml:space="preserve"> </w:t>
      </w:r>
      <w:r>
        <w:t>3472R</w:t>
      </w:r>
    </w:p>
    <w:p w14:paraId="4331510E" w14:textId="74DC44BA" w:rsidR="00E64A93" w:rsidRDefault="00A7513F" w:rsidP="009817A6">
      <w:pPr>
        <w:spacing w:before="0" w:after="0"/>
        <w:ind w:left="360"/>
        <w:jc w:val="left"/>
      </w:pPr>
      <w:r>
        <w:t xml:space="preserve">Fludarabine: </w:t>
      </w:r>
      <w:r w:rsidR="00045480">
        <w:tab/>
      </w:r>
      <w:r w:rsidR="00045480">
        <w:tab/>
      </w:r>
      <w:r>
        <w:t>4393F</w:t>
      </w:r>
    </w:p>
    <w:p w14:paraId="6B9AE0AA" w14:textId="414599C4" w:rsidR="00D37070" w:rsidRDefault="00A7513F" w:rsidP="009817A6">
      <w:pPr>
        <w:spacing w:before="0" w:after="0"/>
        <w:ind w:left="360"/>
        <w:jc w:val="left"/>
      </w:pPr>
      <w:r>
        <w:t xml:space="preserve">Cyclophosphamide: </w:t>
      </w:r>
      <w:r w:rsidR="00045480">
        <w:tab/>
      </w:r>
      <w:r>
        <w:t>4327R</w:t>
      </w:r>
    </w:p>
    <w:p w14:paraId="76C682B1" w14:textId="2628DA55" w:rsidR="00A121D2" w:rsidRDefault="00E64A93" w:rsidP="009817A6">
      <w:pPr>
        <w:spacing w:before="0" w:after="0"/>
        <w:ind w:left="360"/>
        <w:jc w:val="left"/>
      </w:pPr>
      <w:r>
        <w:t xml:space="preserve">Methotrexate: </w:t>
      </w:r>
      <w:r w:rsidR="00045480">
        <w:tab/>
      </w:r>
      <w:r>
        <w:t>4502Y, 4512L, 7250N, 7251P</w:t>
      </w:r>
    </w:p>
    <w:p w14:paraId="04F43F9B" w14:textId="024D4895" w:rsidR="00E64A93" w:rsidRDefault="00A121D2" w:rsidP="009817A6">
      <w:pPr>
        <w:spacing w:before="0" w:after="0"/>
        <w:ind w:left="360"/>
        <w:jc w:val="left"/>
      </w:pPr>
      <w:r>
        <w:t xml:space="preserve">Cytarabine: </w:t>
      </w:r>
      <w:r w:rsidR="00045480">
        <w:tab/>
      </w:r>
      <w:r w:rsidR="00045480">
        <w:tab/>
      </w:r>
      <w:r>
        <w:t>4357H, 7227J</w:t>
      </w:r>
      <w:r w:rsidR="00E64A93">
        <w:t xml:space="preserve"> </w:t>
      </w:r>
    </w:p>
    <w:p w14:paraId="79D13DAF" w14:textId="69E63B11" w:rsidR="0089736D" w:rsidRPr="0089736D" w:rsidRDefault="0089736D" w:rsidP="009817A6">
      <w:pPr>
        <w:spacing w:before="0" w:after="0"/>
        <w:ind w:left="360"/>
        <w:jc w:val="left"/>
      </w:pPr>
      <w:r>
        <w:t>Tocilizumab:</w:t>
      </w:r>
      <w:r>
        <w:tab/>
      </w:r>
      <w:r w:rsidR="00045480">
        <w:tab/>
      </w:r>
      <w:r>
        <w:t>not reimbursed for the CRS indication</w:t>
      </w:r>
      <w:r w:rsidRPr="0089736D">
        <w:t xml:space="preserve"> </w:t>
      </w:r>
    </w:p>
    <w:p w14:paraId="2FA9820C" w14:textId="7315E0A7" w:rsidR="00045480" w:rsidRDefault="0089736D" w:rsidP="009817A6">
      <w:pPr>
        <w:spacing w:before="0" w:after="0"/>
        <w:ind w:left="2127" w:hanging="1767"/>
        <w:jc w:val="left"/>
        <w:rPr>
          <w:lang w:val="en-US"/>
        </w:rPr>
      </w:pPr>
      <w:r>
        <w:t xml:space="preserve">Immunoglobulin: </w:t>
      </w:r>
      <w:r w:rsidR="00045480">
        <w:tab/>
      </w:r>
      <w:r w:rsidR="00045480" w:rsidRPr="00045480">
        <w:rPr>
          <w:lang w:val="en-US"/>
        </w:rPr>
        <w:t>funded through the National Blood Authority (see</w:t>
      </w:r>
      <w:bookmarkStart w:id="4" w:name="(c)_If_no,_is_an_application_(submission"/>
      <w:bookmarkEnd w:id="4"/>
      <w:r w:rsidR="00045480">
        <w:rPr>
          <w:lang w:val="en-US"/>
        </w:rPr>
        <w:t xml:space="preserve"> </w:t>
      </w:r>
      <w:hyperlink r:id="rId14">
        <w:r w:rsidR="00045480" w:rsidRPr="00045480">
          <w:rPr>
            <w:rStyle w:val="Hyperlink"/>
            <w:lang w:val="en-US"/>
          </w:rPr>
          <w:t xml:space="preserve">https://www.blood.gov.au/national-product-list </w:t>
        </w:r>
      </w:hyperlink>
      <w:r w:rsidR="00045480" w:rsidRPr="00045480">
        <w:rPr>
          <w:lang w:val="en-US"/>
        </w:rPr>
        <w:t xml:space="preserve">[Last accessed: </w:t>
      </w:r>
      <w:r w:rsidR="00045480">
        <w:rPr>
          <w:lang w:val="en-US"/>
        </w:rPr>
        <w:t xml:space="preserve">24 Oct </w:t>
      </w:r>
      <w:r w:rsidR="00045480" w:rsidRPr="00045480">
        <w:rPr>
          <w:lang w:val="en-US"/>
        </w:rPr>
        <w:t>202</w:t>
      </w:r>
      <w:r w:rsidR="00045480">
        <w:rPr>
          <w:lang w:val="en-US"/>
        </w:rPr>
        <w:t>1</w:t>
      </w:r>
      <w:r w:rsidR="00045480" w:rsidRPr="00045480">
        <w:rPr>
          <w:lang w:val="en-US"/>
        </w:rPr>
        <w:t>])</w:t>
      </w:r>
    </w:p>
    <w:p w14:paraId="73A936C5" w14:textId="77777777" w:rsidR="00411735" w:rsidRPr="001E6958" w:rsidRDefault="00411735" w:rsidP="00056F06">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DA709B2"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0FEE274F" w14:textId="41BC5DB1" w:rsidR="00AE7431" w:rsidRDefault="006A74CB" w:rsidP="009817A6">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1E6919">
        <w:rPr>
          <w:szCs w:val="20"/>
        </w:rPr>
        <w:t xml:space="preserve"> No</w:t>
      </w:r>
    </w:p>
    <w:p w14:paraId="484B39C7" w14:textId="77777777" w:rsidR="000E5439" w:rsidRDefault="000E5439" w:rsidP="00056F06">
      <w:pPr>
        <w:pStyle w:val="Heading2"/>
        <w:numPr>
          <w:ilvl w:val="0"/>
          <w:numId w:val="4"/>
        </w:numPr>
      </w:pPr>
      <w:r w:rsidRPr="007E39E4">
        <w:t>If you are seeking both MBS and PBS listing</w:t>
      </w:r>
      <w:r w:rsidR="00B75965" w:rsidRPr="007E39E4">
        <w:t>, what is the trade name and generic name of the pharmaceutical?</w:t>
      </w:r>
    </w:p>
    <w:p w14:paraId="08F45153" w14:textId="303E72FF" w:rsidR="001E6958" w:rsidRDefault="001E6958" w:rsidP="00A6491A">
      <w:pPr>
        <w:spacing w:before="0" w:after="0"/>
        <w:ind w:left="284"/>
      </w:pPr>
      <w:r>
        <w:t xml:space="preserve">Trade name: </w:t>
      </w:r>
      <w:r w:rsidR="0047484A">
        <w:t>N</w:t>
      </w:r>
      <w:r w:rsidR="00AE7431">
        <w:t>ot applicable</w:t>
      </w:r>
    </w:p>
    <w:p w14:paraId="03F6BFE5" w14:textId="726318D7" w:rsidR="00AE7431" w:rsidRPr="001E6958" w:rsidRDefault="001E6958" w:rsidP="009817A6">
      <w:pPr>
        <w:spacing w:before="0" w:after="0"/>
        <w:ind w:left="284"/>
      </w:pPr>
      <w:r>
        <w:t xml:space="preserve">Generic name: </w:t>
      </w:r>
      <w:r w:rsidR="00AE7431">
        <w:t>Not applicable</w:t>
      </w:r>
    </w:p>
    <w:p w14:paraId="0BC59B35" w14:textId="4F909873" w:rsidR="00AE7431" w:rsidRPr="009817A6" w:rsidRDefault="00530204" w:rsidP="009817A6">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6D6A986" w14:textId="5CE1CFE8" w:rsidR="00AE7431" w:rsidRPr="009817A6" w:rsidRDefault="009817A6" w:rsidP="009817A6">
      <w:pPr>
        <w:spacing w:before="0" w:after="0"/>
        <w:ind w:left="284"/>
      </w:pPr>
      <w:r>
        <w:t>N/A</w:t>
      </w:r>
    </w:p>
    <w:p w14:paraId="250A1C6C" w14:textId="77777777" w:rsidR="00B75965" w:rsidRDefault="00B75965" w:rsidP="00056F06">
      <w:pPr>
        <w:pStyle w:val="Heading2"/>
        <w:numPr>
          <w:ilvl w:val="0"/>
          <w:numId w:val="5"/>
        </w:numPr>
      </w:pPr>
      <w:r w:rsidRPr="001E6958">
        <w:t xml:space="preserve">If yes, </w:t>
      </w:r>
      <w:r w:rsidR="00C73B62" w:rsidRPr="001E6958">
        <w:t xml:space="preserve">please provide the following information (where relevant): </w:t>
      </w:r>
    </w:p>
    <w:p w14:paraId="4E7F5523" w14:textId="216AFCFF" w:rsidR="0047484A" w:rsidRDefault="009817A6" w:rsidP="0047484A">
      <w:pPr>
        <w:spacing w:before="0" w:after="0"/>
        <w:ind w:left="284"/>
      </w:pPr>
      <w:r>
        <w:t>N/A</w:t>
      </w:r>
    </w:p>
    <w:p w14:paraId="32AEA095" w14:textId="77777777" w:rsidR="00411735" w:rsidRDefault="00411735" w:rsidP="00056F06">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A6683B8" w14:textId="77777777" w:rsidR="00E25935" w:rsidRDefault="00E25935" w:rsidP="00E25935">
      <w:pPr>
        <w:spacing w:before="0" w:after="0"/>
        <w:ind w:left="360"/>
      </w:pPr>
      <w:r>
        <w:t>N/A</w:t>
      </w:r>
    </w:p>
    <w:p w14:paraId="5CD93AF5" w14:textId="77777777" w:rsidR="00016B6E" w:rsidRPr="009939DC" w:rsidRDefault="00016B6E" w:rsidP="00056F06">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50FA5A7E" w14:textId="77777777" w:rsidR="00E25935" w:rsidRDefault="00E25935" w:rsidP="00E25935">
      <w:pPr>
        <w:spacing w:before="0" w:after="0"/>
        <w:ind w:left="360"/>
      </w:pPr>
      <w:r>
        <w:t>N/A</w:t>
      </w:r>
    </w:p>
    <w:p w14:paraId="5E14A2BD" w14:textId="77777777" w:rsidR="009939DC" w:rsidRDefault="00016B6E" w:rsidP="00056F06">
      <w:pPr>
        <w:pStyle w:val="Heading2"/>
        <w:numPr>
          <w:ilvl w:val="0"/>
          <w:numId w:val="5"/>
        </w:numPr>
      </w:pPr>
      <w:r w:rsidRPr="009939DC">
        <w:t>If yes, please provide the name(s) of the spon</w:t>
      </w:r>
      <w:r w:rsidR="009939DC">
        <w:t>sor(s) and / or manufacturer(s):</w:t>
      </w:r>
    </w:p>
    <w:p w14:paraId="093CC6ED" w14:textId="405E42D8" w:rsidR="0047484A" w:rsidRDefault="0047484A" w:rsidP="00E25935">
      <w:pPr>
        <w:ind w:left="284" w:firstLine="76"/>
      </w:pPr>
      <w:r>
        <w:t>N</w:t>
      </w:r>
      <w:r w:rsidR="009817A6">
        <w:t>/A</w:t>
      </w:r>
    </w:p>
    <w:p w14:paraId="121BB81E" w14:textId="7B373BF8"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18C1F06" w14:textId="678F0A36" w:rsidR="00E25935" w:rsidRDefault="0047484A" w:rsidP="00E25935">
      <w:pPr>
        <w:spacing w:before="0"/>
        <w:ind w:left="284"/>
        <w:jc w:val="left"/>
      </w:pPr>
      <w:r>
        <w:t>There are a number of stages in the process of delivering brexucabtagene autoleucel that require the use</w:t>
      </w:r>
      <w:r>
        <w:rPr>
          <w:spacing w:val="1"/>
        </w:rPr>
        <w:t xml:space="preserve"> </w:t>
      </w:r>
      <w:r>
        <w:t>of consumables e.g. collection of leucocytes from the patient by leukapheresis; administration of bridging</w:t>
      </w:r>
      <w:r>
        <w:rPr>
          <w:spacing w:val="-43"/>
        </w:rPr>
        <w:t xml:space="preserve"> </w:t>
      </w:r>
      <w:r>
        <w:t>therapy,</w:t>
      </w:r>
      <w:r w:rsidR="00723BEF">
        <w:t xml:space="preserve"> administration of intrathecal CSF prophylaxis, </w:t>
      </w:r>
      <w:r>
        <w:t>administration</w:t>
      </w:r>
      <w:r>
        <w:rPr>
          <w:spacing w:val="-1"/>
        </w:rPr>
        <w:t xml:space="preserve"> </w:t>
      </w:r>
      <w:r>
        <w:t>of</w:t>
      </w:r>
      <w:r>
        <w:rPr>
          <w:spacing w:val="-2"/>
        </w:rPr>
        <w:t xml:space="preserve"> </w:t>
      </w:r>
      <w:r>
        <w:t>conditioning</w:t>
      </w:r>
      <w:r>
        <w:rPr>
          <w:spacing w:val="-2"/>
        </w:rPr>
        <w:t xml:space="preserve"> </w:t>
      </w:r>
      <w:r>
        <w:t>chemotherapy</w:t>
      </w:r>
      <w:r w:rsidR="00C113CB">
        <w:t xml:space="preserve"> and</w:t>
      </w:r>
      <w:r>
        <w:rPr>
          <w:spacing w:val="-2"/>
        </w:rPr>
        <w:t xml:space="preserve"> </w:t>
      </w:r>
      <w:r>
        <w:t>infusion</w:t>
      </w:r>
      <w:r>
        <w:rPr>
          <w:spacing w:val="-2"/>
        </w:rPr>
        <w:t xml:space="preserve"> </w:t>
      </w:r>
      <w:r>
        <w:t>of</w:t>
      </w:r>
      <w:r>
        <w:rPr>
          <w:spacing w:val="-1"/>
        </w:rPr>
        <w:t xml:space="preserve"> </w:t>
      </w:r>
      <w:proofErr w:type="spellStart"/>
      <w:r>
        <w:t>brexucabtagene</w:t>
      </w:r>
      <w:proofErr w:type="spellEnd"/>
      <w:r>
        <w:rPr>
          <w:spacing w:val="-2"/>
        </w:rPr>
        <w:t xml:space="preserve"> </w:t>
      </w:r>
      <w:proofErr w:type="spellStart"/>
      <w:r>
        <w:t>autoleucel</w:t>
      </w:r>
      <w:proofErr w:type="spellEnd"/>
      <w:r>
        <w:t>.</w:t>
      </w:r>
    </w:p>
    <w:p w14:paraId="74E050DB" w14:textId="37D0D7A6" w:rsidR="00F301F1" w:rsidRPr="00855944" w:rsidRDefault="0047484A" w:rsidP="00E25935">
      <w:pPr>
        <w:spacing w:before="0"/>
        <w:ind w:left="284"/>
        <w:jc w:val="left"/>
      </w:pPr>
      <w:r>
        <w:t>Consumables that are likely to be required include: gloves, masks, sterile alcohol wipes, sterile field</w:t>
      </w:r>
      <w:r>
        <w:rPr>
          <w:spacing w:val="1"/>
        </w:rPr>
        <w:t xml:space="preserve"> </w:t>
      </w:r>
      <w:r>
        <w:t>procedural mats, spill kits, labels, syringes, needles, gauze, plasma collection sets, collection containers,</w:t>
      </w:r>
      <w:r>
        <w:rPr>
          <w:spacing w:val="-43"/>
        </w:rPr>
        <w:t xml:space="preserve"> </w:t>
      </w:r>
      <w:r>
        <w:t>adhesive</w:t>
      </w:r>
      <w:r>
        <w:rPr>
          <w:spacing w:val="-1"/>
        </w:rPr>
        <w:t xml:space="preserve"> </w:t>
      </w:r>
      <w:r>
        <w:t>tapes,</w:t>
      </w:r>
      <w:r>
        <w:rPr>
          <w:spacing w:val="-1"/>
        </w:rPr>
        <w:t xml:space="preserve"> </w:t>
      </w:r>
      <w:r>
        <w:t>IV</w:t>
      </w:r>
      <w:r>
        <w:rPr>
          <w:spacing w:val="-1"/>
        </w:rPr>
        <w:t xml:space="preserve"> </w:t>
      </w:r>
      <w:r>
        <w:t>administration sets,</w:t>
      </w:r>
      <w:r>
        <w:rPr>
          <w:spacing w:val="-1"/>
        </w:rPr>
        <w:t xml:space="preserve"> </w:t>
      </w:r>
      <w:r>
        <w:t>filters, IV fluids</w:t>
      </w:r>
      <w:r>
        <w:rPr>
          <w:spacing w:val="-2"/>
        </w:rPr>
        <w:t xml:space="preserve"> </w:t>
      </w:r>
      <w:r>
        <w:t xml:space="preserve">(e.g. </w:t>
      </w:r>
      <w:r w:rsidR="00447928">
        <w:t>standard</w:t>
      </w:r>
      <w:r>
        <w:rPr>
          <w:spacing w:val="-1"/>
        </w:rPr>
        <w:t xml:space="preserve"> </w:t>
      </w:r>
      <w:r>
        <w:t>saline).</w:t>
      </w:r>
      <w:r w:rsidR="00F301F1" w:rsidRPr="00855944">
        <w:br w:type="page"/>
      </w:r>
    </w:p>
    <w:p w14:paraId="5C8AC570"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2C53879"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73144B2D" w14:textId="5BD1BFDF" w:rsidR="00A26343" w:rsidRPr="00A26343" w:rsidRDefault="004D3846" w:rsidP="001C579F">
      <w:pPr>
        <w:spacing w:before="0" w:after="0"/>
        <w:rPr>
          <w:szCs w:val="20"/>
        </w:rPr>
      </w:pPr>
      <w:r>
        <w:rPr>
          <w:szCs w:val="20"/>
        </w:rPr>
        <w:t xml:space="preserve">        </w:t>
      </w:r>
      <w:r w:rsidR="00A26343" w:rsidRPr="00A26343">
        <w:rPr>
          <w:szCs w:val="20"/>
        </w:rPr>
        <w:t>Type of therapeutic good</w:t>
      </w:r>
      <w:r w:rsidR="00A26343">
        <w:rPr>
          <w:szCs w:val="20"/>
        </w:rPr>
        <w:t xml:space="preserve">: </w:t>
      </w:r>
      <w:r w:rsidR="00045480">
        <w:rPr>
          <w:szCs w:val="20"/>
        </w:rPr>
        <w:tab/>
      </w:r>
      <w:r>
        <w:t>Class 4 biological product</w:t>
      </w:r>
    </w:p>
    <w:p w14:paraId="6C94F9A7" w14:textId="18BABC89" w:rsidR="00A26343" w:rsidRPr="00A26343" w:rsidRDefault="004D3846" w:rsidP="001C579F">
      <w:pPr>
        <w:spacing w:before="0" w:after="0"/>
        <w:rPr>
          <w:szCs w:val="20"/>
        </w:rPr>
      </w:pPr>
      <w:r>
        <w:rPr>
          <w:szCs w:val="20"/>
        </w:rPr>
        <w:t xml:space="preserve">        </w:t>
      </w:r>
      <w:r w:rsidR="00A26343" w:rsidRPr="00A26343">
        <w:rPr>
          <w:szCs w:val="20"/>
        </w:rPr>
        <w:t>Manufacturer’s name</w:t>
      </w:r>
      <w:r w:rsidR="00A26343">
        <w:rPr>
          <w:szCs w:val="20"/>
        </w:rPr>
        <w:t xml:space="preserve">: </w:t>
      </w:r>
      <w:r w:rsidR="00045480">
        <w:rPr>
          <w:szCs w:val="20"/>
        </w:rPr>
        <w:tab/>
      </w:r>
      <w:r>
        <w:t>Kite Pharma, a Gilead Company</w:t>
      </w:r>
    </w:p>
    <w:p w14:paraId="1CE91737" w14:textId="3241DA1E" w:rsidR="000E2E02" w:rsidRPr="00E25935" w:rsidRDefault="004D3846" w:rsidP="00A75D46">
      <w:pPr>
        <w:spacing w:before="0" w:after="0"/>
      </w:pPr>
      <w:r>
        <w:rPr>
          <w:szCs w:val="20"/>
        </w:rPr>
        <w:t xml:space="preserve">        </w:t>
      </w:r>
      <w:r w:rsidR="00A26343" w:rsidRPr="00A26343">
        <w:rPr>
          <w:szCs w:val="20"/>
        </w:rPr>
        <w:t>Sponsor’s name</w:t>
      </w:r>
      <w:r w:rsidR="00A26343">
        <w:rPr>
          <w:szCs w:val="20"/>
        </w:rPr>
        <w:t xml:space="preserve">: </w:t>
      </w:r>
      <w:r w:rsidR="00045480">
        <w:rPr>
          <w:szCs w:val="20"/>
        </w:rPr>
        <w:tab/>
      </w:r>
      <w:r w:rsidR="00045480">
        <w:rPr>
          <w:szCs w:val="20"/>
        </w:rPr>
        <w:tab/>
      </w:r>
      <w:r>
        <w:t>Gilead</w:t>
      </w:r>
      <w:r>
        <w:rPr>
          <w:spacing w:val="-1"/>
        </w:rPr>
        <w:t xml:space="preserve"> </w:t>
      </w:r>
      <w:r>
        <w:t>Sciences</w:t>
      </w:r>
      <w:r>
        <w:rPr>
          <w:spacing w:val="-1"/>
        </w:rPr>
        <w:t xml:space="preserve"> </w:t>
      </w:r>
      <w:r>
        <w:t>Pty</w:t>
      </w:r>
      <w:r>
        <w:rPr>
          <w:spacing w:val="-1"/>
        </w:rPr>
        <w:t xml:space="preserve"> </w:t>
      </w:r>
      <w:r>
        <w:t>Ltd</w:t>
      </w:r>
    </w:p>
    <w:p w14:paraId="010204B9" w14:textId="25CCB2F8" w:rsidR="00704082" w:rsidRDefault="000E2E02" w:rsidP="00056F06">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0B4D3A8E" w14:textId="2CCC1036" w:rsidR="00E25935" w:rsidRDefault="00547180" w:rsidP="00E25935">
      <w:pPr>
        <w:spacing w:before="0"/>
        <w:ind w:left="360"/>
      </w:pPr>
      <w:proofErr w:type="spellStart"/>
      <w:r>
        <w:t>Brexucabtagene</w:t>
      </w:r>
      <w:proofErr w:type="spellEnd"/>
      <w:r>
        <w:t xml:space="preserve"> </w:t>
      </w:r>
      <w:proofErr w:type="spellStart"/>
      <w:r>
        <w:t>autoleucel</w:t>
      </w:r>
      <w:proofErr w:type="spellEnd"/>
      <w:r>
        <w:t xml:space="preserve"> was listed on the ARTG on 21</w:t>
      </w:r>
      <w:r w:rsidRPr="001E4482">
        <w:rPr>
          <w:vertAlign w:val="superscript"/>
        </w:rPr>
        <w:t>st</w:t>
      </w:r>
      <w:r>
        <w:t xml:space="preserve"> July 2021.  Details of the registration are</w:t>
      </w:r>
      <w:r w:rsidR="00841BBC">
        <w:t xml:space="preserve"> </w:t>
      </w:r>
      <w:r>
        <w:t>provided</w:t>
      </w:r>
      <w:r w:rsidR="007B67C5">
        <w:t xml:space="preserve"> </w:t>
      </w:r>
      <w:r>
        <w:t>below:</w:t>
      </w:r>
    </w:p>
    <w:p w14:paraId="4C52A9D1" w14:textId="7631B9A3" w:rsidR="007B67C5" w:rsidRPr="001E4482" w:rsidRDefault="008C251B" w:rsidP="00E25935">
      <w:pPr>
        <w:spacing w:before="0"/>
        <w:ind w:left="360"/>
        <w:rPr>
          <w:szCs w:val="20"/>
        </w:rPr>
      </w:pPr>
      <w:r>
        <w:t>A</w:t>
      </w:r>
      <w:r w:rsidR="00704082">
        <w:t>R</w:t>
      </w:r>
      <w:r>
        <w:t>T</w:t>
      </w:r>
      <w:r w:rsidR="00704082">
        <w:t xml:space="preserve">G ID: </w:t>
      </w:r>
      <w:r w:rsidR="008908DC">
        <w:t>371431</w:t>
      </w:r>
    </w:p>
    <w:p w14:paraId="1B59EAB0" w14:textId="3A963E78" w:rsidR="0044007C" w:rsidRDefault="00917DEB" w:rsidP="00E25935">
      <w:pPr>
        <w:spacing w:before="0"/>
        <w:ind w:left="360"/>
        <w:rPr>
          <w:szCs w:val="20"/>
        </w:rPr>
      </w:pPr>
      <w:r w:rsidRPr="0047581D">
        <w:rPr>
          <w:szCs w:val="20"/>
        </w:rPr>
        <w:t>TGA approved indication(s), if applicable</w:t>
      </w:r>
      <w:r>
        <w:rPr>
          <w:szCs w:val="20"/>
        </w:rPr>
        <w:t xml:space="preserve">:  </w:t>
      </w:r>
    </w:p>
    <w:p w14:paraId="32938021" w14:textId="30E75849" w:rsidR="008908DC" w:rsidRPr="00E25935" w:rsidRDefault="008908DC" w:rsidP="00E25935">
      <w:pPr>
        <w:spacing w:before="0"/>
        <w:ind w:left="709"/>
        <w:rPr>
          <w:i/>
          <w:iCs/>
        </w:rPr>
      </w:pPr>
      <w:r w:rsidRPr="00DB2224">
        <w:rPr>
          <w:i/>
          <w:iCs/>
        </w:rPr>
        <w:t>TECARTUS is a genetically modified autologous immunocellular</w:t>
      </w:r>
      <w:r w:rsidR="0044007C" w:rsidRPr="00DB2224">
        <w:rPr>
          <w:i/>
          <w:iCs/>
        </w:rPr>
        <w:t xml:space="preserve"> </w:t>
      </w:r>
      <w:r w:rsidRPr="00DB2224">
        <w:rPr>
          <w:i/>
          <w:iCs/>
        </w:rPr>
        <w:t>therapy for the treatment of patients with relapsed or refractory mantle cell lymphoma (MCL), who have</w:t>
      </w:r>
      <w:r w:rsidR="0044007C" w:rsidRPr="00DB2224">
        <w:rPr>
          <w:i/>
          <w:iCs/>
        </w:rPr>
        <w:t xml:space="preserve"> </w:t>
      </w:r>
      <w:r w:rsidRPr="00DB2224">
        <w:rPr>
          <w:i/>
          <w:iCs/>
        </w:rPr>
        <w:t>received two or more lines of therapy, including a BTK inhibitor, unless ineligible or intolerant to treatment</w:t>
      </w:r>
      <w:r w:rsidR="00841BBC" w:rsidRPr="00DB2224">
        <w:rPr>
          <w:i/>
          <w:iCs/>
        </w:rPr>
        <w:t xml:space="preserve"> </w:t>
      </w:r>
      <w:r w:rsidRPr="00DB2224">
        <w:rPr>
          <w:i/>
          <w:iCs/>
        </w:rPr>
        <w:t>with a BTK inhibitor.</w:t>
      </w:r>
    </w:p>
    <w:p w14:paraId="6E329FF4" w14:textId="583356D6" w:rsidR="001E4482" w:rsidRPr="0047581D" w:rsidRDefault="001E4482" w:rsidP="00E25935">
      <w:pPr>
        <w:spacing w:before="0"/>
        <w:ind w:left="360"/>
        <w:rPr>
          <w:szCs w:val="20"/>
        </w:rPr>
      </w:pPr>
      <w:r w:rsidRPr="001E4482">
        <w:rPr>
          <w:szCs w:val="20"/>
        </w:rPr>
        <w:t xml:space="preserve">Proposed new indication </w:t>
      </w:r>
      <w:r w:rsidR="00DB2224">
        <w:rPr>
          <w:szCs w:val="20"/>
        </w:rPr>
        <w:t xml:space="preserve">(R/R ALL) </w:t>
      </w:r>
      <w:r w:rsidRPr="001E4482">
        <w:rPr>
          <w:szCs w:val="20"/>
        </w:rPr>
        <w:t>details provided in Q15.</w:t>
      </w:r>
    </w:p>
    <w:p w14:paraId="58D77828" w14:textId="5A609AA2" w:rsidR="001C7E51" w:rsidRPr="001C7E51" w:rsidRDefault="00917DEB" w:rsidP="00E25935">
      <w:pPr>
        <w:spacing w:before="0"/>
        <w:ind w:left="360"/>
        <w:rPr>
          <w:szCs w:val="20"/>
        </w:rPr>
      </w:pPr>
      <w:r w:rsidRPr="0047581D">
        <w:rPr>
          <w:szCs w:val="20"/>
        </w:rPr>
        <w:t>TGA approved purpose(s), if applicable</w:t>
      </w:r>
      <w:r>
        <w:rPr>
          <w:szCs w:val="20"/>
        </w:rPr>
        <w:t xml:space="preserve">:  </w:t>
      </w:r>
      <w:r w:rsidR="001E4482">
        <w:t>N</w:t>
      </w:r>
      <w:r w:rsidR="00FF7404">
        <w:t>ot applicable</w:t>
      </w:r>
    </w:p>
    <w:p w14:paraId="20152DCC" w14:textId="77777777" w:rsidR="000E2E02" w:rsidRPr="00154B00" w:rsidRDefault="000E2E02" w:rsidP="00056F06">
      <w:pPr>
        <w:pStyle w:val="Heading2"/>
        <w:numPr>
          <w:ilvl w:val="0"/>
          <w:numId w:val="6"/>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678AADB8" w14:textId="77777777" w:rsidR="000E2E02" w:rsidRPr="00615F42" w:rsidRDefault="000E2E02" w:rsidP="00E25935">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sidRPr="000A5B32">
        <w:rPr>
          <w:szCs w:val="20"/>
        </w:rPr>
        <w:t xml:space="preserve"> </w:t>
      </w:r>
      <w:r w:rsidRPr="00615F42">
        <w:rPr>
          <w:szCs w:val="20"/>
        </w:rPr>
        <w:t>Class III</w:t>
      </w:r>
    </w:p>
    <w:p w14:paraId="4E37580A" w14:textId="77777777" w:rsidR="000E2E02" w:rsidRPr="00615F42" w:rsidRDefault="000E2E02" w:rsidP="00E25935">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sidRPr="000A5B32">
        <w:rPr>
          <w:szCs w:val="20"/>
        </w:rPr>
        <w:t xml:space="preserve"> </w:t>
      </w:r>
      <w:r w:rsidRPr="00615F42">
        <w:rPr>
          <w:szCs w:val="20"/>
        </w:rPr>
        <w:t>AIMD</w:t>
      </w:r>
    </w:p>
    <w:p w14:paraId="7FA0CD7C" w14:textId="47192DE4" w:rsidR="000F3129" w:rsidRPr="00154B00" w:rsidRDefault="004D3846" w:rsidP="00E25935">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0E2E02" w:rsidRPr="000A5B32">
        <w:rPr>
          <w:szCs w:val="20"/>
        </w:rPr>
        <w:t xml:space="preserve"> </w:t>
      </w:r>
      <w:r w:rsidR="000E2E02" w:rsidRPr="00615F42">
        <w:rPr>
          <w:szCs w:val="20"/>
        </w:rPr>
        <w:t>N/A</w:t>
      </w:r>
    </w:p>
    <w:p w14:paraId="56F811B2" w14:textId="1659B5CF" w:rsidR="000E2E02" w:rsidRDefault="000E2E02" w:rsidP="00056F06">
      <w:pPr>
        <w:pStyle w:val="Heading2"/>
        <w:numPr>
          <w:ilvl w:val="0"/>
          <w:numId w:val="6"/>
        </w:numPr>
        <w:rPr>
          <w:bCs/>
          <w:lang w:val="en-GB"/>
        </w:rPr>
      </w:pPr>
      <w:r w:rsidRPr="000E2E02">
        <w:rPr>
          <w:bCs/>
          <w:lang w:val="en-GB"/>
        </w:rPr>
        <w:t>Is the therapeutic good classified by TGA for Research Use Only (RUO)?</w:t>
      </w:r>
    </w:p>
    <w:p w14:paraId="5D56878B" w14:textId="2C025E7E" w:rsidR="00B87234" w:rsidRPr="000E2E02" w:rsidRDefault="007B67C5" w:rsidP="000E2E02">
      <w:pPr>
        <w:rPr>
          <w:lang w:val="en-GB"/>
        </w:rPr>
      </w:pPr>
      <w:r>
        <w:rPr>
          <w:lang w:val="en-GB"/>
        </w:rPr>
        <w:t xml:space="preserve">      </w:t>
      </w:r>
      <w:r w:rsidR="00841BBC">
        <w:rPr>
          <w:lang w:val="en-GB"/>
        </w:rPr>
        <w:t xml:space="preserve"> </w:t>
      </w:r>
      <w:r>
        <w:rPr>
          <w:lang w:val="en-GB"/>
        </w:rPr>
        <w:t xml:space="preserve"> </w:t>
      </w:r>
      <w:r w:rsidR="00AE7431">
        <w:rPr>
          <w:lang w:val="en-GB"/>
        </w:rPr>
        <w:t>No</w:t>
      </w:r>
    </w:p>
    <w:p w14:paraId="7386E3F6"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8E45612" w14:textId="77777777" w:rsidR="00615F42" w:rsidRDefault="00615F42" w:rsidP="00E25935">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AC6B434" w14:textId="4C6F5438" w:rsidR="00F24FD6" w:rsidRDefault="004D3846" w:rsidP="00E25935">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615F42">
        <w:rPr>
          <w:szCs w:val="20"/>
        </w:rPr>
        <w:t xml:space="preserve"> No</w:t>
      </w:r>
    </w:p>
    <w:p w14:paraId="03FBE332" w14:textId="77777777" w:rsidR="00D56765" w:rsidRPr="00D56765" w:rsidRDefault="00D56765" w:rsidP="00D56765">
      <w:pPr>
        <w:spacing w:before="0" w:after="0"/>
        <w:ind w:left="284"/>
        <w:rPr>
          <w:b/>
          <w:szCs w:val="20"/>
        </w:rPr>
      </w:pPr>
    </w:p>
    <w:p w14:paraId="430D8B78" w14:textId="18609894" w:rsidR="004D3846" w:rsidRPr="004D3846" w:rsidRDefault="00FF23B8" w:rsidP="00056F06">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52B389AA" w14:textId="01A4425C" w:rsidR="00FF23B8" w:rsidRPr="00F24FD6" w:rsidRDefault="004D3846" w:rsidP="00E25935">
      <w:pPr>
        <w:pStyle w:val="Heading2"/>
        <w:numPr>
          <w:ilvl w:val="0"/>
          <w:numId w:val="0"/>
        </w:numPr>
        <w:spacing w:before="0" w:after="0"/>
        <w:ind w:left="436" w:hanging="76"/>
      </w:pPr>
      <w:r>
        <w:fldChar w:fldCharType="begin">
          <w:ffData>
            <w:name w:val=""/>
            <w:enabled/>
            <w:calcOnExit w:val="0"/>
            <w:checkBox>
              <w:sizeAuto/>
              <w:default w:val="1"/>
            </w:checkBox>
          </w:ffData>
        </w:fldChar>
      </w:r>
      <w:r>
        <w:instrText xml:space="preserve"> FORMCHECKBOX </w:instrText>
      </w:r>
      <w:r w:rsidR="0013236B">
        <w:fldChar w:fldCharType="separate"/>
      </w:r>
      <w:r>
        <w:fldChar w:fldCharType="end"/>
      </w:r>
      <w:r w:rsidR="00FF23B8" w:rsidRPr="00F24FD6">
        <w:t xml:space="preserve"> Yes (if yes, please provide details below)</w:t>
      </w:r>
    </w:p>
    <w:p w14:paraId="4CB53080" w14:textId="77777777" w:rsidR="00FF23B8" w:rsidRDefault="00FF23B8" w:rsidP="00E25935">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rsidRPr="00F24FD6">
        <w:rPr>
          <w:b/>
          <w:szCs w:val="20"/>
        </w:rPr>
        <w:t>No</w:t>
      </w:r>
    </w:p>
    <w:p w14:paraId="5E126DFF" w14:textId="77777777" w:rsidR="00FF23B8" w:rsidRPr="00615F42" w:rsidRDefault="00FF23B8" w:rsidP="001E4482">
      <w:pPr>
        <w:spacing w:before="0" w:after="0"/>
        <w:ind w:left="283"/>
        <w:rPr>
          <w:b/>
          <w:szCs w:val="20"/>
        </w:rPr>
      </w:pPr>
    </w:p>
    <w:p w14:paraId="171F5152" w14:textId="6FB174A9" w:rsidR="00FF23B8" w:rsidRPr="00E25935" w:rsidRDefault="00E25935" w:rsidP="00E25935">
      <w:pPr>
        <w:spacing w:before="0"/>
        <w:ind w:left="360"/>
        <w:rPr>
          <w:b/>
          <w:bCs/>
          <w:szCs w:val="20"/>
        </w:rPr>
      </w:pPr>
      <w:bookmarkStart w:id="5" w:name="_Hlk89352780"/>
      <w:r w:rsidRPr="00E25935">
        <w:rPr>
          <w:b/>
          <w:bCs/>
          <w:szCs w:val="20"/>
        </w:rPr>
        <w:t>REDACTED</w:t>
      </w:r>
    </w:p>
    <w:p w14:paraId="0B4F0331" w14:textId="5618BE78" w:rsidR="00176C14" w:rsidRPr="00783499" w:rsidRDefault="00FF23B8" w:rsidP="00E25935">
      <w:pPr>
        <w:ind w:left="360"/>
        <w:contextualSpacing/>
        <w:jc w:val="left"/>
        <w:rPr>
          <w:i/>
          <w:iCs/>
        </w:rPr>
      </w:pPr>
      <w:r w:rsidRPr="0047581D">
        <w:rPr>
          <w:szCs w:val="20"/>
        </w:rPr>
        <w:t>TGA approved indication(s), if applicable</w:t>
      </w:r>
      <w:r>
        <w:rPr>
          <w:szCs w:val="20"/>
        </w:rPr>
        <w:t xml:space="preserve">:  </w:t>
      </w:r>
      <w:r w:rsidR="00176C14" w:rsidRPr="00783499">
        <w:rPr>
          <w:i/>
          <w:iCs/>
        </w:rPr>
        <w:t>TECARTUS is a genetically modified autologous immunocellular therapy for the treatment of patients with relapsed or refractory mantle cell lymphoma (MCL), who have received two or more lines of therapy, including a BTK inhibitor, unless ineligible or intolerant to treatment with a BTK inhibitor.</w:t>
      </w:r>
    </w:p>
    <w:bookmarkEnd w:id="5"/>
    <w:p w14:paraId="7BD85D57" w14:textId="77777777" w:rsidR="00E25935" w:rsidRDefault="00E25935" w:rsidP="00E25935">
      <w:pPr>
        <w:spacing w:before="0" w:after="0"/>
        <w:ind w:left="76"/>
      </w:pPr>
    </w:p>
    <w:p w14:paraId="4918CD55" w14:textId="2C921911" w:rsidR="00707512" w:rsidRPr="00E25935" w:rsidRDefault="00E25935" w:rsidP="00E25935">
      <w:pPr>
        <w:spacing w:before="0" w:after="0"/>
        <w:ind w:left="76" w:firstLine="283"/>
        <w:rPr>
          <w:b/>
          <w:bCs/>
          <w:szCs w:val="20"/>
        </w:rPr>
      </w:pPr>
      <w:r w:rsidRPr="00E25935">
        <w:rPr>
          <w:b/>
          <w:bCs/>
          <w:szCs w:val="20"/>
        </w:rPr>
        <w:t>REDACTED</w:t>
      </w:r>
    </w:p>
    <w:p w14:paraId="6644DA9E" w14:textId="337E25A0" w:rsidR="00707512" w:rsidRDefault="00610782" w:rsidP="00E25935">
      <w:pPr>
        <w:spacing w:before="0" w:after="0"/>
        <w:ind w:left="76"/>
        <w:rPr>
          <w:szCs w:val="20"/>
        </w:rPr>
      </w:pPr>
      <w:r>
        <w:rPr>
          <w:szCs w:val="20"/>
        </w:rPr>
        <w:t xml:space="preserve"> </w:t>
      </w:r>
    </w:p>
    <w:p w14:paraId="747D90DC" w14:textId="3F0D0EE0" w:rsidR="00BC19F3" w:rsidRPr="00BD6323" w:rsidRDefault="00AE7431" w:rsidP="00E25935">
      <w:pPr>
        <w:spacing w:before="0" w:after="0"/>
        <w:ind w:left="359"/>
      </w:pPr>
      <w:r>
        <w:rPr>
          <w:szCs w:val="20"/>
        </w:rPr>
        <w:t xml:space="preserve">TECARTUS is already approved for </w:t>
      </w:r>
      <w:r w:rsidR="00C53013">
        <w:rPr>
          <w:szCs w:val="20"/>
        </w:rPr>
        <w:t>R/R MCL (</w:t>
      </w:r>
      <w:hyperlink r:id="rId15" w:history="1">
        <w:r w:rsidR="00C53013" w:rsidRPr="00C53013">
          <w:rPr>
            <w:rStyle w:val="Hyperlink"/>
            <w:szCs w:val="20"/>
          </w:rPr>
          <w:t xml:space="preserve">ARTG </w:t>
        </w:r>
        <w:r w:rsidR="00C53013" w:rsidRPr="00C53013">
          <w:rPr>
            <w:rStyle w:val="Hyperlink"/>
          </w:rPr>
          <w:t>ID 371431</w:t>
        </w:r>
      </w:hyperlink>
      <w:r w:rsidR="00C53013">
        <w:t>)</w:t>
      </w:r>
    </w:p>
    <w:p w14:paraId="67722476" w14:textId="71EFD95E" w:rsidR="00AE7431" w:rsidRDefault="00AE7431" w:rsidP="00E25935">
      <w:pPr>
        <w:spacing w:before="0" w:after="0"/>
        <w:ind w:left="359"/>
        <w:rPr>
          <w:szCs w:val="20"/>
        </w:rPr>
      </w:pPr>
      <w:r w:rsidRPr="00AE7431">
        <w:rPr>
          <w:szCs w:val="20"/>
        </w:rPr>
        <w:lastRenderedPageBreak/>
        <w:t>TECARTUS is a genetically modified autologous immunocellular therapy for the</w:t>
      </w:r>
      <w:r>
        <w:rPr>
          <w:szCs w:val="20"/>
        </w:rPr>
        <w:t xml:space="preserve"> </w:t>
      </w:r>
      <w:r w:rsidRPr="00AE7431">
        <w:rPr>
          <w:szCs w:val="20"/>
        </w:rPr>
        <w:t>treatment of patients with relapsed or refractory mantle cell lymphoma (MCL), who have</w:t>
      </w:r>
      <w:r>
        <w:rPr>
          <w:szCs w:val="20"/>
        </w:rPr>
        <w:t xml:space="preserve"> </w:t>
      </w:r>
      <w:r w:rsidRPr="00AE7431">
        <w:rPr>
          <w:szCs w:val="20"/>
        </w:rPr>
        <w:t>received two or more lines of therapy, including a BTK inhibitor (unless ineligible or</w:t>
      </w:r>
      <w:r>
        <w:rPr>
          <w:szCs w:val="20"/>
        </w:rPr>
        <w:t xml:space="preserve"> </w:t>
      </w:r>
      <w:r w:rsidRPr="00AE7431">
        <w:rPr>
          <w:szCs w:val="20"/>
        </w:rPr>
        <w:t>intolerant to treatment with a BTK inhibitor).</w:t>
      </w:r>
    </w:p>
    <w:p w14:paraId="68A3AE27" w14:textId="77777777" w:rsidR="00FF23B8" w:rsidRPr="00FF23B8" w:rsidRDefault="00FF23B8" w:rsidP="00056F06">
      <w:pPr>
        <w:pStyle w:val="ListParagraph"/>
        <w:numPr>
          <w:ilvl w:val="0"/>
          <w:numId w:val="7"/>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76EE6266" w14:textId="77777777" w:rsidR="00E25935" w:rsidRDefault="00230973" w:rsidP="00E25935">
      <w:pPr>
        <w:spacing w:before="0" w:after="0"/>
        <w:ind w:firstLine="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47581D">
        <w:rPr>
          <w:szCs w:val="20"/>
        </w:rPr>
        <w:t xml:space="preserve"> Yes (please provide details below)</w:t>
      </w:r>
    </w:p>
    <w:p w14:paraId="0C17858E" w14:textId="6C00D4BE" w:rsidR="0047581D" w:rsidRDefault="00230973" w:rsidP="00E25935">
      <w:pPr>
        <w:spacing w:before="0" w:after="0"/>
        <w:ind w:firstLine="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47581D">
        <w:rPr>
          <w:szCs w:val="20"/>
        </w:rPr>
        <w:t xml:space="preserve"> No</w:t>
      </w:r>
    </w:p>
    <w:p w14:paraId="7D6B40AB" w14:textId="77777777" w:rsidR="000A110D" w:rsidRDefault="000A110D" w:rsidP="00971EDB">
      <w:pPr>
        <w:spacing w:before="0" w:after="0"/>
        <w:rPr>
          <w:szCs w:val="20"/>
        </w:rPr>
      </w:pPr>
    </w:p>
    <w:p w14:paraId="583E4063" w14:textId="67390B4D" w:rsidR="00707512" w:rsidRDefault="00707512" w:rsidP="00BC19F3">
      <w:pPr>
        <w:spacing w:before="0" w:after="0"/>
        <w:ind w:left="283"/>
      </w:pPr>
    </w:p>
    <w:p w14:paraId="1273740C" w14:textId="77777777" w:rsidR="00707512" w:rsidRPr="00971EDB" w:rsidRDefault="00707512" w:rsidP="00971EDB">
      <w:pPr>
        <w:spacing w:before="0" w:after="0"/>
        <w:rPr>
          <w:szCs w:val="20"/>
        </w:rPr>
      </w:pPr>
    </w:p>
    <w:p w14:paraId="2794CB75" w14:textId="77777777" w:rsidR="00F83A9D" w:rsidRPr="00154B00" w:rsidRDefault="00F83A9D" w:rsidP="00F83A9D">
      <w:pPr>
        <w:rPr>
          <w:szCs w:val="20"/>
        </w:rPr>
      </w:pPr>
    </w:p>
    <w:p w14:paraId="124E0672" w14:textId="77777777" w:rsidR="00DD308E" w:rsidRDefault="00DD308E">
      <w:pPr>
        <w:rPr>
          <w:b/>
          <w:sz w:val="32"/>
          <w:szCs w:val="32"/>
        </w:rPr>
        <w:sectPr w:rsidR="00DD308E" w:rsidSect="00991E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pPr>
    </w:p>
    <w:p w14:paraId="565A0D1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7B43438" w14:textId="5769F689" w:rsidR="00DD308E" w:rsidRDefault="00643755" w:rsidP="00643755">
      <w:pPr>
        <w:pStyle w:val="Heading2"/>
      </w:pPr>
      <w:r w:rsidRPr="00643755">
        <w:t>Provide one or more recent (published) high quality clinical studies that support use of the proposed health service/technology. At ‘Application Form lodgement’, please do not attach full text articles; just provide a summary.</w:t>
      </w:r>
    </w:p>
    <w:p w14:paraId="504DE5D3" w14:textId="6F90F6E1" w:rsidR="00707512" w:rsidRDefault="00707512" w:rsidP="009817A6">
      <w:pPr>
        <w:ind w:left="360"/>
      </w:pPr>
      <w:r>
        <w:t xml:space="preserve">Note: There is a single Phase 1/2 trial (ZUMA-3) with separate publications </w:t>
      </w:r>
      <w:r w:rsidR="007D5706">
        <w:t>for</w:t>
      </w:r>
      <w:r>
        <w:t xml:space="preserve"> Phase 1, Phase </w:t>
      </w:r>
      <w:proofErr w:type="gramStart"/>
      <w:r>
        <w:t>2</w:t>
      </w:r>
      <w:proofErr w:type="gramEnd"/>
      <w:r>
        <w:t xml:space="preserve"> or combined Phase 1/2.  The trial can be identified on Clintrials.gov </w:t>
      </w:r>
      <w:r w:rsidR="007D5706">
        <w:t xml:space="preserve">by study number NCT02614066, </w:t>
      </w:r>
      <w:r w:rsidR="007D5706" w:rsidRPr="007D5706">
        <w:t xml:space="preserve">A Study Evaluating Brexucabtagene Autoleucel (KTE-X19) in Adult Subjects </w:t>
      </w:r>
      <w:r w:rsidR="00304D9C" w:rsidRPr="007D5706">
        <w:t>with</w:t>
      </w:r>
      <w:r w:rsidR="007D5706" w:rsidRPr="007D5706">
        <w:t xml:space="preserve"> Relapsed/Refractory B-precursor Acute Lymphoblastic Leukemia (ZUMA-3) (ZUMA-3)</w:t>
      </w:r>
      <w:r w:rsidR="007D5706">
        <w:t xml:space="preserve"> </w:t>
      </w:r>
      <w:hyperlink r:id="rId22" w:history="1">
        <w:r w:rsidR="007D5706" w:rsidRPr="00425E41">
          <w:rPr>
            <w:rStyle w:val="Hyperlink"/>
          </w:rPr>
          <w:t>https://clinicaltrials.gov/ct2/show/NCT02614066</w:t>
        </w:r>
      </w:hyperlink>
    </w:p>
    <w:p w14:paraId="6C3FB82A" w14:textId="77777777" w:rsidR="007D5706" w:rsidRPr="00707512" w:rsidRDefault="007D5706" w:rsidP="00707512"/>
    <w:tbl>
      <w:tblPr>
        <w:tblStyle w:val="TableGrid"/>
        <w:tblW w:w="5000" w:type="pct"/>
        <w:tblLayout w:type="fixed"/>
        <w:tblLook w:val="04A0" w:firstRow="1" w:lastRow="0" w:firstColumn="1" w:lastColumn="0" w:noHBand="0" w:noVBand="1"/>
        <w:tblCaption w:val="Summary of Evidence - Published"/>
      </w:tblPr>
      <w:tblGrid>
        <w:gridCol w:w="369"/>
        <w:gridCol w:w="2037"/>
        <w:gridCol w:w="2978"/>
        <w:gridCol w:w="4818"/>
        <w:gridCol w:w="2410"/>
        <w:gridCol w:w="1336"/>
      </w:tblGrid>
      <w:tr w:rsidR="00CF0D9F" w14:paraId="419D1DF9" w14:textId="77777777" w:rsidTr="00944F58">
        <w:trPr>
          <w:cantSplit/>
          <w:tblHeader/>
        </w:trPr>
        <w:tc>
          <w:tcPr>
            <w:tcW w:w="132" w:type="pct"/>
            <w:shd w:val="pct20" w:color="auto" w:fill="auto"/>
          </w:tcPr>
          <w:p w14:paraId="37442987" w14:textId="77777777" w:rsidR="00DD308E" w:rsidRDefault="00DD308E" w:rsidP="00855944">
            <w:pPr>
              <w:pStyle w:val="TableHEADER"/>
            </w:pPr>
          </w:p>
        </w:tc>
        <w:tc>
          <w:tcPr>
            <w:tcW w:w="730" w:type="pct"/>
            <w:shd w:val="pct20" w:color="auto" w:fill="auto"/>
          </w:tcPr>
          <w:p w14:paraId="4CF9EA12" w14:textId="25D63541" w:rsidR="00DD308E" w:rsidRDefault="00DD308E" w:rsidP="00944F58">
            <w:pPr>
              <w:pStyle w:val="TableHEADER"/>
              <w:jc w:val="left"/>
            </w:pPr>
            <w:r>
              <w:t>Type of study design</w:t>
            </w:r>
          </w:p>
        </w:tc>
        <w:tc>
          <w:tcPr>
            <w:tcW w:w="1067" w:type="pct"/>
            <w:shd w:val="pct20" w:color="auto" w:fill="auto"/>
          </w:tcPr>
          <w:p w14:paraId="2A95A010" w14:textId="421E775E" w:rsidR="00DD308E" w:rsidRDefault="00DD308E" w:rsidP="00944F58">
            <w:pPr>
              <w:pStyle w:val="TableHEADER"/>
              <w:jc w:val="left"/>
            </w:pPr>
            <w:r>
              <w:t xml:space="preserve">Title of journal </w:t>
            </w:r>
            <w:r w:rsidR="001B0DC7">
              <w:t>article or</w:t>
            </w:r>
            <w:r>
              <w:t xml:space="preserve"> research project </w:t>
            </w:r>
          </w:p>
        </w:tc>
        <w:tc>
          <w:tcPr>
            <w:tcW w:w="1727" w:type="pct"/>
            <w:shd w:val="pct20" w:color="auto" w:fill="auto"/>
          </w:tcPr>
          <w:p w14:paraId="492A5264" w14:textId="6775586A" w:rsidR="00DD308E" w:rsidRDefault="00DD308E" w:rsidP="00944F58">
            <w:pPr>
              <w:pStyle w:val="TableHEADER"/>
              <w:jc w:val="left"/>
            </w:pPr>
            <w:r>
              <w:t xml:space="preserve">Short description of </w:t>
            </w:r>
            <w:r w:rsidR="001B0DC7">
              <w:t xml:space="preserve">research </w:t>
            </w:r>
          </w:p>
        </w:tc>
        <w:tc>
          <w:tcPr>
            <w:tcW w:w="864" w:type="pct"/>
            <w:shd w:val="pct20" w:color="auto" w:fill="auto"/>
          </w:tcPr>
          <w:p w14:paraId="77A7923A" w14:textId="302AC18A" w:rsidR="00DD308E" w:rsidRDefault="00DD308E" w:rsidP="00944F58">
            <w:pPr>
              <w:pStyle w:val="TableHEADER"/>
              <w:jc w:val="left"/>
            </w:pPr>
            <w:r w:rsidRPr="00E82F54">
              <w:t xml:space="preserve">Website link to </w:t>
            </w:r>
            <w:r>
              <w:t xml:space="preserve">journal article or research </w:t>
            </w:r>
          </w:p>
        </w:tc>
        <w:tc>
          <w:tcPr>
            <w:tcW w:w="479" w:type="pct"/>
            <w:shd w:val="pct20" w:color="auto" w:fill="auto"/>
          </w:tcPr>
          <w:p w14:paraId="72A1BB58" w14:textId="25C5CBDE" w:rsidR="00DD308E" w:rsidRDefault="00DD308E" w:rsidP="00944F58">
            <w:pPr>
              <w:pStyle w:val="TableHEADER"/>
              <w:jc w:val="left"/>
            </w:pPr>
            <w:r w:rsidRPr="00E82F54">
              <w:t>Date</w:t>
            </w:r>
            <w:r>
              <w:t xml:space="preserve"> of publication</w:t>
            </w:r>
          </w:p>
        </w:tc>
      </w:tr>
      <w:tr w:rsidR="00CF0D9F" w14:paraId="248C4167" w14:textId="77777777" w:rsidTr="00944F58">
        <w:trPr>
          <w:cantSplit/>
        </w:trPr>
        <w:tc>
          <w:tcPr>
            <w:tcW w:w="132" w:type="pct"/>
          </w:tcPr>
          <w:p w14:paraId="4393AECD" w14:textId="77777777" w:rsidR="00DD308E" w:rsidRPr="00965B6B" w:rsidRDefault="00DD308E" w:rsidP="00DD308E">
            <w:pPr>
              <w:rPr>
                <w:szCs w:val="20"/>
              </w:rPr>
            </w:pPr>
            <w:r w:rsidRPr="00965B6B">
              <w:rPr>
                <w:szCs w:val="20"/>
              </w:rPr>
              <w:t>1</w:t>
            </w:r>
            <w:r>
              <w:rPr>
                <w:szCs w:val="20"/>
              </w:rPr>
              <w:t>.</w:t>
            </w:r>
          </w:p>
        </w:tc>
        <w:tc>
          <w:tcPr>
            <w:tcW w:w="730" w:type="pct"/>
          </w:tcPr>
          <w:p w14:paraId="0FCCCE8F" w14:textId="77777777" w:rsidR="00DD308E" w:rsidRDefault="00CF0D9F"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CF0D9F">
              <w:rPr>
                <w:rFonts w:asciiTheme="minorHAnsi" w:eastAsiaTheme="minorHAnsi" w:hAnsiTheme="minorHAnsi" w:cstheme="minorBidi"/>
                <w:sz w:val="20"/>
                <w:szCs w:val="22"/>
                <w:lang w:eastAsia="en-US"/>
              </w:rPr>
              <w:t>phase 2</w:t>
            </w:r>
            <w:r w:rsidR="009A52DA">
              <w:rPr>
                <w:rFonts w:asciiTheme="minorHAnsi" w:eastAsiaTheme="minorHAnsi" w:hAnsiTheme="minorHAnsi" w:cstheme="minorBidi"/>
                <w:sz w:val="20"/>
                <w:szCs w:val="22"/>
                <w:lang w:eastAsia="en-US"/>
              </w:rPr>
              <w:t xml:space="preserve"> </w:t>
            </w:r>
            <w:r w:rsidRPr="00CF0D9F">
              <w:rPr>
                <w:rFonts w:asciiTheme="minorHAnsi" w:eastAsiaTheme="minorHAnsi" w:hAnsiTheme="minorHAnsi" w:cstheme="minorBidi"/>
                <w:sz w:val="20"/>
                <w:szCs w:val="22"/>
                <w:lang w:eastAsia="en-US"/>
              </w:rPr>
              <w:t xml:space="preserve">single-arm, open-label ZUMA-3 study </w:t>
            </w:r>
            <w:r w:rsidR="009A52DA">
              <w:rPr>
                <w:rFonts w:asciiTheme="minorHAnsi" w:eastAsiaTheme="minorHAnsi" w:hAnsiTheme="minorHAnsi" w:cstheme="minorBidi"/>
                <w:sz w:val="20"/>
                <w:szCs w:val="22"/>
                <w:lang w:eastAsia="en-US"/>
              </w:rPr>
              <w:t xml:space="preserve">at 25 sites in the USA, </w:t>
            </w:r>
            <w:proofErr w:type="gramStart"/>
            <w:r w:rsidR="009A52DA">
              <w:rPr>
                <w:rFonts w:asciiTheme="minorHAnsi" w:eastAsiaTheme="minorHAnsi" w:hAnsiTheme="minorHAnsi" w:cstheme="minorBidi"/>
                <w:sz w:val="20"/>
                <w:szCs w:val="22"/>
                <w:lang w:eastAsia="en-US"/>
              </w:rPr>
              <w:t>Canada</w:t>
            </w:r>
            <w:proofErr w:type="gramEnd"/>
            <w:r w:rsidR="009A52DA">
              <w:rPr>
                <w:rFonts w:asciiTheme="minorHAnsi" w:eastAsiaTheme="minorHAnsi" w:hAnsiTheme="minorHAnsi" w:cstheme="minorBidi"/>
                <w:sz w:val="20"/>
                <w:szCs w:val="22"/>
                <w:lang w:eastAsia="en-US"/>
              </w:rPr>
              <w:t xml:space="preserve"> and Europe</w:t>
            </w:r>
            <w:r w:rsidR="00707512">
              <w:rPr>
                <w:rFonts w:asciiTheme="minorHAnsi" w:eastAsiaTheme="minorHAnsi" w:hAnsiTheme="minorHAnsi" w:cstheme="minorBidi"/>
                <w:sz w:val="20"/>
                <w:szCs w:val="22"/>
                <w:lang w:eastAsia="en-US"/>
              </w:rPr>
              <w:t xml:space="preserve"> </w:t>
            </w:r>
            <w:r w:rsidR="0085794F">
              <w:rPr>
                <w:rFonts w:asciiTheme="minorHAnsi" w:eastAsiaTheme="minorHAnsi" w:hAnsiTheme="minorHAnsi" w:cstheme="minorBidi"/>
                <w:sz w:val="20"/>
                <w:szCs w:val="22"/>
                <w:lang w:eastAsia="en-US"/>
              </w:rPr>
              <w:t>(</w:t>
            </w:r>
            <w:r w:rsidR="0085794F" w:rsidRPr="0085794F">
              <w:rPr>
                <w:rFonts w:asciiTheme="minorHAnsi" w:eastAsiaTheme="minorHAnsi" w:hAnsiTheme="minorHAnsi" w:cstheme="minorBidi"/>
                <w:sz w:val="20"/>
                <w:szCs w:val="22"/>
                <w:lang w:eastAsia="en-US"/>
              </w:rPr>
              <w:t>NCT02614066</w:t>
            </w:r>
            <w:r w:rsidR="0085794F">
              <w:rPr>
                <w:rFonts w:asciiTheme="minorHAnsi" w:eastAsiaTheme="minorHAnsi" w:hAnsiTheme="minorHAnsi" w:cstheme="minorBidi"/>
                <w:sz w:val="20"/>
                <w:szCs w:val="22"/>
                <w:lang w:eastAsia="en-US"/>
              </w:rPr>
              <w:t>)</w:t>
            </w:r>
          </w:p>
          <w:p w14:paraId="13A5C40B" w14:textId="4BACDA36" w:rsidR="007D5706" w:rsidRPr="007D5706" w:rsidRDefault="007D5706" w:rsidP="00BC19F3">
            <w:pPr>
              <w:pStyle w:val="NormalWeb"/>
              <w:jc w:val="left"/>
              <w:rPr>
                <w:rFonts w:asciiTheme="minorHAnsi" w:hAnsiTheme="minorHAnsi" w:cstheme="minorHAnsi"/>
                <w:sz w:val="20"/>
                <w:szCs w:val="20"/>
              </w:rPr>
            </w:pPr>
            <w:r w:rsidRPr="007D5706">
              <w:rPr>
                <w:rFonts w:asciiTheme="minorHAnsi" w:hAnsiTheme="minorHAnsi" w:cstheme="minorHAnsi"/>
                <w:sz w:val="20"/>
                <w:szCs w:val="20"/>
              </w:rPr>
              <w:t>Manuscript</w:t>
            </w:r>
          </w:p>
        </w:tc>
        <w:tc>
          <w:tcPr>
            <w:tcW w:w="1067" w:type="pct"/>
          </w:tcPr>
          <w:p w14:paraId="595E9E1B" w14:textId="57CC62EF" w:rsidR="00DD308E" w:rsidRPr="00CF0D9F" w:rsidRDefault="00CF0D9F" w:rsidP="00BC19F3">
            <w:pPr>
              <w:pStyle w:val="NormalWeb"/>
              <w:jc w:val="left"/>
            </w:pPr>
            <w:r w:rsidRPr="00CF0D9F">
              <w:rPr>
                <w:rFonts w:asciiTheme="minorHAnsi" w:eastAsiaTheme="minorHAnsi" w:hAnsiTheme="minorHAnsi" w:cstheme="minorBidi"/>
                <w:sz w:val="20"/>
                <w:szCs w:val="22"/>
                <w:lang w:eastAsia="en-US"/>
              </w:rPr>
              <w:t>KTE-X19 for relapsed or refractory adult B-cell acute lymphoblastic leukaemia: phase 2 results of the single-arm, open-label, multicentre ZUMA-3 study</w:t>
            </w:r>
            <w:r>
              <w:rPr>
                <w:rFonts w:ascii="Shaker2Lancet" w:hAnsi="Shaker2Lancet"/>
                <w:b/>
                <w:bCs/>
                <w:sz w:val="36"/>
                <w:szCs w:val="36"/>
              </w:rPr>
              <w:t xml:space="preserve"> </w:t>
            </w:r>
          </w:p>
        </w:tc>
        <w:tc>
          <w:tcPr>
            <w:tcW w:w="1727" w:type="pct"/>
          </w:tcPr>
          <w:p w14:paraId="1DE44FEC" w14:textId="645B6E7E" w:rsidR="00DD308E" w:rsidRPr="00CF0D9F" w:rsidRDefault="001B0DC7" w:rsidP="00BC19F3">
            <w:pPr>
              <w:pStyle w:val="NormalWeb"/>
              <w:jc w:val="left"/>
              <w:rPr>
                <w:rFonts w:asciiTheme="minorHAnsi" w:eastAsiaTheme="minorHAnsi" w:hAnsiTheme="minorHAnsi" w:cstheme="minorBidi"/>
                <w:sz w:val="20"/>
                <w:szCs w:val="22"/>
                <w:lang w:eastAsia="en-US"/>
              </w:rPr>
            </w:pPr>
            <w:r w:rsidRPr="00CF0D9F">
              <w:rPr>
                <w:rFonts w:asciiTheme="minorHAnsi" w:eastAsiaTheme="minorHAnsi" w:hAnsiTheme="minorHAnsi" w:cstheme="minorBidi"/>
                <w:sz w:val="20"/>
                <w:szCs w:val="22"/>
                <w:lang w:eastAsia="en-US"/>
              </w:rPr>
              <w:t xml:space="preserve">KTE-X19 </w:t>
            </w:r>
            <w:r w:rsidR="00974733" w:rsidRPr="00974733">
              <w:rPr>
                <w:rFonts w:asciiTheme="minorHAnsi" w:eastAsiaTheme="minorHAnsi" w:hAnsiTheme="minorHAnsi" w:cstheme="minorBidi"/>
                <w:sz w:val="20"/>
                <w:szCs w:val="22"/>
                <w:lang w:eastAsia="en-US"/>
              </w:rPr>
              <w:t xml:space="preserve">showed a high rate of complete remission or complete remission with incomplete haematological recovery in adult patients with relapsed or refractory B-precursor acute lymphoblastic leukaemia, with the median overall survival not reached in responding patients, and a manageable safety profile. These findings indicate that KTE-X19 has the potential to confer long-term clinical benefit to these patients. </w:t>
            </w:r>
          </w:p>
        </w:tc>
        <w:tc>
          <w:tcPr>
            <w:tcW w:w="864" w:type="pct"/>
          </w:tcPr>
          <w:p w14:paraId="7076480D" w14:textId="77777777" w:rsidR="00CF0D9F" w:rsidRPr="007C0AAE" w:rsidRDefault="0013236B" w:rsidP="00DD308E">
            <w:pPr>
              <w:rPr>
                <w:rStyle w:val="Hyperlink"/>
              </w:rPr>
            </w:pPr>
            <w:hyperlink r:id="rId23" w:history="1">
              <w:r w:rsidR="00CF0D9F" w:rsidRPr="007C0AAE">
                <w:rPr>
                  <w:rStyle w:val="Hyperlink"/>
                </w:rPr>
                <w:t>https://www.thelancet.com/journals/lancet/article/PIIS0140-6736(21)01222-8/fulltext</w:t>
              </w:r>
            </w:hyperlink>
          </w:p>
          <w:p w14:paraId="7BAB54A4" w14:textId="77777777" w:rsidR="007C0AAE" w:rsidRPr="007C0AAE" w:rsidRDefault="007C0AAE" w:rsidP="00DD308E">
            <w:pPr>
              <w:rPr>
                <w:rStyle w:val="Hyperlink"/>
              </w:rPr>
            </w:pPr>
          </w:p>
          <w:p w14:paraId="5ADAC99B" w14:textId="0EFF7A9D" w:rsidR="007C0AAE" w:rsidRPr="007C0AAE" w:rsidRDefault="007C0AAE" w:rsidP="00DD308E">
            <w:r w:rsidRPr="007C0AAE">
              <w:t>(Shah et. al., 2021</w:t>
            </w:r>
            <w:r>
              <w:fldChar w:fldCharType="begin"/>
            </w:r>
            <w:r>
              <w:instrText xml:space="preserve"> ADDIN EN.CITE &lt;EndNote&gt;&lt;Cite ExcludeYear="1"&gt;&lt;Author&gt;Shah&lt;/Author&gt;&lt;Year&gt;2021&lt;/Year&gt;&lt;RecNum&gt;10&lt;/RecNum&gt;&lt;DisplayText&gt;&lt;style face="superscript"&gt;8&lt;/style&gt;&lt;/DisplayText&gt;&lt;record&gt;&lt;rec-number&gt;10&lt;/rec-number&gt;&lt;foreign-keys&gt;&lt;key app="EN" db-id="taa2xz5tmwatawezss9vrteztavaxffdtd50" timestamp="1646779250"&gt;10&lt;/key&gt;&lt;/foreign-keys&gt;&lt;ref-type name="Journal Article"&gt;17&lt;/ref-type&gt;&lt;contributors&gt;&lt;authors&gt;&lt;author&gt;Shah, Bijal D.&lt;/author&gt;&lt;author&gt;Ghobadi, Armin&lt;/author&gt;&lt;author&gt;Oluwole, Olalekan O.&lt;/author&gt;&lt;author&gt;Logan, Aaron C.&lt;/author&gt;&lt;author&gt;Boissel, Nicolas&lt;/author&gt;&lt;author&gt;Cassaday, Ryan D.&lt;/author&gt;&lt;author&gt;Leguay, Thibaut&lt;/author&gt;&lt;author&gt;Bishop, Michael R.&lt;/author&gt;&lt;author&gt;Topp, Max S.&lt;/author&gt;&lt;author&gt;Tzachanis, Dimitrios&lt;/author&gt;&lt;author&gt;O&amp;apos;Dwyer, Kristen M.&lt;/author&gt;&lt;author&gt;Arellano, Martha L.&lt;/author&gt;&lt;author&gt;Lin, Yi&lt;/author&gt;&lt;author&gt;Baer, Maria R.&lt;/author&gt;&lt;author&gt;Schiller, Gary J.&lt;/author&gt;&lt;author&gt;Park, Jae H.&lt;/author&gt;&lt;author&gt;Subklewe, Marion&lt;/author&gt;&lt;author&gt;Abedi, Mehrdad&lt;/author&gt;&lt;author&gt;Minnema, Monique C.&lt;/author&gt;&lt;author&gt;Wierda, William G.&lt;/author&gt;&lt;author&gt;DeAngelo, Daniel J.&lt;/author&gt;&lt;author&gt;Stiff, Patrick&lt;/author&gt;&lt;author&gt;Jeyakumar, Deepa&lt;/author&gt;&lt;author&gt;Feng, Chaoling&lt;/author&gt;&lt;author&gt;Dong, Jinghui&lt;/author&gt;&lt;author&gt;Shen, Tong&lt;/author&gt;&lt;author&gt;Milletti, Francesca&lt;/author&gt;&lt;author&gt;Rossi, John M.&lt;/author&gt;&lt;author&gt;Vezan, Remus&lt;/author&gt;&lt;author&gt;Masouleh, Behzad Kharabi&lt;/author&gt;&lt;author&gt;Houot, Roch&lt;/author&gt;&lt;/authors&gt;&lt;/contributors&gt;&lt;titles&gt;&lt;title&gt;KTE-X19 for relapsed or refractory adult B-cell acute lymphoblastic leukaemia: phase 2 results of the single-arm, open-label, multicentre ZUMA-3 study&lt;/title&gt;&lt;secondary-title&gt;The Lancet&lt;/secondary-title&gt;&lt;/titles&gt;&lt;pages&gt;491-502&lt;/pages&gt;&lt;volume&gt;398&lt;/volume&gt;&lt;number&gt;10299&lt;/number&gt;&lt;section&gt;491&lt;/section&gt;&lt;dates&gt;&lt;year&gt;2021&lt;/year&gt;&lt;/dates&gt;&lt;isbn&gt;01406736&lt;/isbn&gt;&lt;urls&gt;&lt;/urls&gt;&lt;electronic-resource-num&gt;10.1016/s0140-6736(21)01222-8&lt;/electronic-resource-num&gt;&lt;/record&gt;&lt;/Cite&gt;&lt;/EndNote&gt;</w:instrText>
            </w:r>
            <w:r>
              <w:fldChar w:fldCharType="separate"/>
            </w:r>
            <w:r w:rsidRPr="007C0AAE">
              <w:rPr>
                <w:noProof/>
                <w:vertAlign w:val="superscript"/>
              </w:rPr>
              <w:t>8</w:t>
            </w:r>
            <w:r>
              <w:fldChar w:fldCharType="end"/>
            </w:r>
            <w:r w:rsidRPr="007C0AAE">
              <w:t>)</w:t>
            </w:r>
          </w:p>
        </w:tc>
        <w:tc>
          <w:tcPr>
            <w:tcW w:w="479" w:type="pct"/>
          </w:tcPr>
          <w:p w14:paraId="167513FB" w14:textId="05306C20" w:rsidR="00DD308E" w:rsidRPr="00E82F54" w:rsidRDefault="00CF0D9F" w:rsidP="00DD308E">
            <w:pPr>
              <w:rPr>
                <w:b/>
                <w:szCs w:val="20"/>
              </w:rPr>
            </w:pPr>
            <w:r>
              <w:t>2021</w:t>
            </w:r>
          </w:p>
        </w:tc>
      </w:tr>
      <w:tr w:rsidR="00CF0D9F" w14:paraId="2213B546" w14:textId="77777777" w:rsidTr="00944F58">
        <w:trPr>
          <w:cantSplit/>
        </w:trPr>
        <w:tc>
          <w:tcPr>
            <w:tcW w:w="132" w:type="pct"/>
          </w:tcPr>
          <w:p w14:paraId="33B5CF41" w14:textId="77777777" w:rsidR="00DD308E" w:rsidRPr="00965B6B" w:rsidRDefault="00DD308E" w:rsidP="00DD308E">
            <w:pPr>
              <w:rPr>
                <w:szCs w:val="20"/>
              </w:rPr>
            </w:pPr>
            <w:r>
              <w:rPr>
                <w:szCs w:val="20"/>
              </w:rPr>
              <w:t>2.</w:t>
            </w:r>
          </w:p>
        </w:tc>
        <w:tc>
          <w:tcPr>
            <w:tcW w:w="730" w:type="pct"/>
          </w:tcPr>
          <w:p w14:paraId="6964C8F5" w14:textId="39835FE3" w:rsidR="0046041E" w:rsidRDefault="0046041E"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46041E">
              <w:rPr>
                <w:rFonts w:asciiTheme="minorHAnsi" w:eastAsiaTheme="minorHAnsi" w:hAnsiTheme="minorHAnsi" w:cstheme="minorBidi"/>
                <w:sz w:val="20"/>
                <w:szCs w:val="22"/>
                <w:lang w:eastAsia="en-US"/>
              </w:rPr>
              <w:t>Phase 1 of ZUMA-3 conducted at 19 sites in the United States</w:t>
            </w:r>
            <w:r w:rsidR="007D5706">
              <w:rPr>
                <w:rFonts w:asciiTheme="minorHAnsi" w:eastAsiaTheme="minorHAnsi" w:hAnsiTheme="minorHAnsi" w:cstheme="minorBidi"/>
                <w:sz w:val="20"/>
                <w:szCs w:val="22"/>
                <w:lang w:eastAsia="en-US"/>
              </w:rPr>
              <w:t>.</w:t>
            </w:r>
          </w:p>
          <w:p w14:paraId="000268CD" w14:textId="4FBF64F5" w:rsidR="007D5706" w:rsidRDefault="007D5706"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Manuscript</w:t>
            </w:r>
          </w:p>
          <w:p w14:paraId="60DCCB5A" w14:textId="23A3B867" w:rsidR="00DD308E" w:rsidRPr="006C6734" w:rsidRDefault="0070751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t>
            </w:r>
            <w:r w:rsidRPr="0085794F">
              <w:rPr>
                <w:rFonts w:asciiTheme="minorHAnsi" w:eastAsiaTheme="minorHAnsi" w:hAnsiTheme="minorHAnsi" w:cstheme="minorBidi"/>
                <w:sz w:val="20"/>
                <w:szCs w:val="22"/>
                <w:lang w:eastAsia="en-US"/>
              </w:rPr>
              <w:t>NCT02614066</w:t>
            </w:r>
            <w:r>
              <w:rPr>
                <w:rFonts w:asciiTheme="minorHAnsi" w:eastAsiaTheme="minorHAnsi" w:hAnsiTheme="minorHAnsi" w:cstheme="minorBidi"/>
                <w:sz w:val="20"/>
                <w:szCs w:val="22"/>
                <w:lang w:eastAsia="en-US"/>
              </w:rPr>
              <w:t>)</w:t>
            </w:r>
          </w:p>
        </w:tc>
        <w:tc>
          <w:tcPr>
            <w:tcW w:w="1067" w:type="pct"/>
          </w:tcPr>
          <w:p w14:paraId="11721444" w14:textId="68D108FC" w:rsidR="00DD308E" w:rsidRPr="0046041E" w:rsidRDefault="0046041E" w:rsidP="00BC19F3">
            <w:pPr>
              <w:pStyle w:val="NormalWeb"/>
              <w:jc w:val="left"/>
              <w:rPr>
                <w:rFonts w:asciiTheme="minorHAnsi" w:eastAsiaTheme="minorHAnsi" w:hAnsiTheme="minorHAnsi" w:cstheme="minorBidi"/>
                <w:sz w:val="20"/>
                <w:szCs w:val="22"/>
                <w:lang w:eastAsia="en-US"/>
              </w:rPr>
            </w:pPr>
            <w:r w:rsidRPr="0046041E">
              <w:rPr>
                <w:rFonts w:asciiTheme="minorHAnsi" w:eastAsiaTheme="minorHAnsi" w:hAnsiTheme="minorHAnsi" w:cstheme="minorBidi"/>
                <w:sz w:val="20"/>
                <w:szCs w:val="22"/>
                <w:lang w:eastAsia="en-US"/>
              </w:rPr>
              <w:t xml:space="preserve">KTE-X19 anti-CD19 CAR T-cell therapy in adult relapsed/refractory acute lymphoblastic leukemia: ZUMA-3 phase 1 results </w:t>
            </w:r>
          </w:p>
        </w:tc>
        <w:tc>
          <w:tcPr>
            <w:tcW w:w="1727" w:type="pct"/>
          </w:tcPr>
          <w:p w14:paraId="60801CA3" w14:textId="0B2AA015" w:rsidR="00DD308E" w:rsidRPr="0046041E" w:rsidRDefault="0046041E" w:rsidP="00BC19F3">
            <w:pPr>
              <w:pStyle w:val="NormalWeb"/>
              <w:jc w:val="left"/>
              <w:rPr>
                <w:rFonts w:asciiTheme="minorHAnsi" w:eastAsiaTheme="minorHAnsi" w:hAnsiTheme="minorHAnsi" w:cstheme="minorBidi"/>
                <w:sz w:val="20"/>
                <w:szCs w:val="22"/>
                <w:lang w:eastAsia="en-US"/>
              </w:rPr>
            </w:pPr>
            <w:r w:rsidRPr="0046041E">
              <w:rPr>
                <w:rFonts w:asciiTheme="minorHAnsi" w:eastAsiaTheme="minorHAnsi" w:hAnsiTheme="minorHAnsi" w:cstheme="minorBidi"/>
                <w:sz w:val="20"/>
                <w:szCs w:val="22"/>
                <w:lang w:eastAsia="en-US"/>
              </w:rPr>
              <w:t xml:space="preserve">Adults with R/R B-ALL achieved high rates of CR and undetectable bone marrow minimal residual disease with a tolerable safety profile after treatment with KTE-X19. </w:t>
            </w:r>
          </w:p>
        </w:tc>
        <w:tc>
          <w:tcPr>
            <w:tcW w:w="864" w:type="pct"/>
          </w:tcPr>
          <w:p w14:paraId="35C877F6" w14:textId="77777777" w:rsidR="0046041E" w:rsidRPr="007C0AAE" w:rsidRDefault="0013236B" w:rsidP="00DD308E">
            <w:pPr>
              <w:rPr>
                <w:rStyle w:val="Hyperlink"/>
              </w:rPr>
            </w:pPr>
            <w:hyperlink r:id="rId24" w:history="1">
              <w:r w:rsidR="0046041E" w:rsidRPr="007C0AAE">
                <w:rPr>
                  <w:rStyle w:val="Hyperlink"/>
                </w:rPr>
                <w:t>https://ashpublications.org/blood/article/138/1/11/475697/KTE-X19-anti-CD19-CAR-T-cell-therapy-in-adult</w:t>
              </w:r>
            </w:hyperlink>
          </w:p>
          <w:p w14:paraId="2DD7924D" w14:textId="77B5ECA8" w:rsidR="007C0AAE" w:rsidRPr="007C0AAE" w:rsidRDefault="007C0AAE" w:rsidP="00DD308E">
            <w:r w:rsidRPr="007C0AAE">
              <w:t>(Shah et. al., 2021</w:t>
            </w:r>
            <w:r>
              <w:fldChar w:fldCharType="begin">
                <w:fldData xml:space="preserve">PEVuZE5vdGU+PENpdGUgRXhjbHVkZVllYXI9IjEiPjxBdXRob3I+U2hhaDwvQXV0aG9yPjxZZWFy
PjIwMjE8L1llYXI+PFJlY051bT4xMTwvUmVjTnVtPjxEaXNwbGF5VGV4dD48c3R5bGUgZmFjZT0i
c3VwZXJzY3JpcHQiPjk8L3N0eWxlPjwvRGlzcGxheVRleHQ+PHJlY29yZD48cmVjLW51bWJlcj4x
MTwvcmVjLW51bWJlcj48Zm9yZWlnbi1rZXlzPjxrZXkgYXBwPSJFTiIgZGItaWQ9InRhYTJ4ejV0
bXdhdGF3ZXpzczl2cnRlenRhdmF4ZmZkdGQ1MCIgdGltZXN0YW1wPSIxNjQ2Nzc5NDEzIj4xMTwv
a2V5PjwvZm9yZWlnbi1rZXlzPjxyZWYtdHlwZSBuYW1lPSJKb3VybmFsIEFydGljbGUiPjE3PC9y
ZWYtdHlwZT48Y29udHJpYnV0b3JzPjxhdXRob3JzPjxhdXRob3I+U2hhaCwgQi4gRC48L2F1dGhv
cj48YXV0aG9yPkJpc2hvcCwgTS4gUi48L2F1dGhvcj48YXV0aG9yPk9sdXdvbGUsIE8uIE8uPC9h
dXRob3I+PGF1dGhvcj5Mb2dhbiwgQS4gQy48L2F1dGhvcj48YXV0aG9yPkJhZXIsIE0uIFIuPC9h
dXRob3I+PGF1dGhvcj5Eb25uZWxsYW4sIFcuIEIuPC9hdXRob3I+PGF1dGhvcj5PJmFwb3M7RHd5
ZXIsIEsuIE0uPC9hdXRob3I+PGF1dGhvcj5Ib2xtZXMsIEguPC9hdXRob3I+PGF1dGhvcj5BcmVs
bGFubywgTS4gTC48L2F1dGhvcj48YXV0aG9yPkdob2JhZGksIEEuPC9hdXRob3I+PGF1dGhvcj5Q
YWdlbCwgSi4gTS48L2F1dGhvcj48YXV0aG9yPkxpbiwgWS48L2F1dGhvcj48YXV0aG9yPkNhc3Nh
ZGF5LCBSLiBELjwvYXV0aG9yPjxhdXRob3I+UGFyaywgSi4gSC48L2F1dGhvcj48YXV0aG9yPkFi
ZWRpLCBNLjwvYXV0aG9yPjxhdXRob3I+Q2FzdHJvLCBKLiBFLjwvYXV0aG9yPjxhdXRob3I+RGVB
bmdlbG8sIEQuIEouPC9hdXRob3I+PGF1dGhvcj5NYWxvbmUsIEEuIEsuPC9hdXRob3I+PGF1dGhv
cj5NYXdhZCwgUi48L2F1dGhvcj48YXV0aG9yPlNjaGlsbGVyLCBHLiBKLjwvYXV0aG9yPjxhdXRo
b3I+Um9zc2ksIEouIE0uPC9hdXRob3I+PGF1dGhvcj5Cb3QsIEEuPC9hdXRob3I+PGF1dGhvcj5T
aGVuLCBULjwvYXV0aG9yPjxhdXRob3I+R295YWwsIEwuPC9hdXRob3I+PGF1dGhvcj5KYWluLCBS
LiBLLjwvYXV0aG9yPjxhdXRob3I+VmV6YW4sIFIuPC9hdXRob3I+PGF1dGhvcj5XaWVyZGEsIFcu
IEcuPC9hdXRob3I+PC9hdXRob3JzPjwvY29udHJpYnV0b3JzPjxhdXRoLWFkZHJlc3M+RGl2aXNp
b24gb2YgSGVtYXRvbG9neS9PbmNvbG9neSwgRGVwYXJ0bWVudCBvZiBNYWxpZ25hbnQgSGVtYXRv
bG9neSwgTW9mZml0dCBDYW5jZXIgQ2VudGVyLCBUYW1wYSwgRkwuJiN4RDtEaXZpc2lvbiBvZiBI
ZW1hdG9sb2d5L09uY29sb2d5LCBUaGUgVW5pdmVyc2l0eSBvZiBDaGljYWdvIE1lZGljaW5lLCBD
aGljYWdvLCBJTC4mI3hEO0RpdmlzaW9uIG9mIEhlbWF0b2xvZ3kvT25jb2xvZ3ksIFZhbmRlcmJp
bHQtSW5ncmFtIENhbmNlciBDZW50ZXIsIFZhbmRlcmJpbHQgVW5pdmVyc2l0eSBTY2hvb2wgb2Yg
TWVkaWNpbmUsIE5hc2h2aWxsZSwgVE4uJiN4RDtEaXZpc2lvbiBvZiBIZW1hdG9sb2d5L09uY29s
b2d5LCBIZWxlbiBEaWxsZXIgQ29tcHJlaGVuc2l2ZSBDYW5jZXIgQ2VudGVyLCBVbml2ZXJzaXR5
IG9mIENhbGlmb3JuaWEgU2FuIEZyYW5jaXNjbywgU2FuIEZyYW5jaXNjbywgQ0EuJiN4RDtNYXJs
ZW5lIGFuZCBTdGV3YXJ0IEdyZWVuZWJhdW0gQ2FuY2VyIENlbnRlciwgVW5pdmVyc2l0eSBvZiBN
YXJ5bGFuZCBTY2hvb2wgb2YgTWVkaWNpbmUsIEJhbHRpbW9yZSwgTUQuJiN4RDtTYXJhaCBDYW5u
b24gUmVzZWFyY2ggSW5zdGl0dXRlLCBOYXNodmlsbGUsIFROLiYjeEQ7QWN1dGUgTGV1a2VtaWEg
UHJvZ3JhbSwgV2lsbW90IENhbmNlciBJbnN0aXR1dGUsIFVuaXZlcnNpdHkgb2YgUm9jaGVzdGVy
IE1lZGljYWwgQ2VudGVyLCBSb2NoZXN0ZXIsIE5ZLiYjeEQ7VGV4YXMgT25jb2xvZ3ktQmF5bG9y
IENoYXJsZXMgQS4gU2FtbW9ucyBDYW5jZXIgQ2VudGVyLCBEYWxsYXMsIFRYLiYjeEQ7RGl2aXNp
b24gb2YgSGVtYXRvbG9neS9PbmNvbG9neSwgV2luc2hpcCBDYW5jZXIgSW5zdGl0dXRlLCBFbW9y
eSBVbml2ZXJzaXR5LCBBdGxhbnRhLCBHQS4mI3hEO1NlY3Rpb24gb2YgU3RlbSBDZWxsIFRyYW5z
cGxhbnQgYW5kIExldWtlbWlhLCBEaXZpc2lvbiBvZiBNZWRpY2FsIE9uY29sb2d5LCBXYXNoaW5n
dG9uIFVuaXZlcnNpdHkgU2Nob29sIG9mIE1lZGljaW5lLVNpdGVtYW4gQ2FuY2VyIENlbnRlciwg
U3QgTG91aXMsIE1PLiYjeEQ7Q2VudGVyIGZvciBCbG9vZCBEaXNvcmRlcnMgYW5kIFN0ZW0gQ2Vs
bCBUcmFuc3BsYW50YXRpb24sIFN3ZWRpc2ggQ2FuY2VyIEluc3RpdHV0ZSwgU2VhdHRsZSwgV0Eu
JiN4RDtEaXZpc2lvbiBvZiBIZW1hdG9sb2d5LCBEZXBhcnRtZW50IG9mIEludGVybmFsIE1lZGlj
aW5lLCBNYXlvIENsaW5pYywgUm9jaGVzdGVyLCBNTi4mI3hEO0RpdmlzaW9uIG9mIEhlbWF0b2xv
Z3kgYW5kIENsaW5pY2FsIFJlc2VhcmNoLCBVbml2ZXJzaXR5IG9mIFdhc2hpbmd0b24gU2Nob29s
IG9mIE1lZGljaW5lLUZyZWQgSHV0Y2hpbnNvbiBDYW5jZXIgUmVzZWFyY2ggQ2VudGVyLCBTZWF0
dGxlLCBXQS4mI3hEO0RpdmlzaW9uIG9mIEhlbWF0b2xvZ2ljIE1hbGlnbmFuY2llcywgRGVwYXJ0
bWVudCBvZiBNZWRpY2luZSwgTWVtb3JpYWwgU2xvYW4gS2V0dGVyaW5nIENhbmNlciBDZW50ZXIs
IE5ldyBZb3JrLCBOWS4mI3hEO0RlcGFydG1lbnQgb2YgSW50ZXJuYWwgTWVkaWNpbmUsIFVuaXZl
cnNpdHkgb2YgQ2FsaWZvcm5pYSBEYXZpcyBNZWRpY2FsIENlbnRlciwgU2FjcmFtZW50bywgQ0Eu
JiN4RDtEaXZpc2lvbiBvZiBIZW1hdG9sb2d5LU9uY29sb2d5LCBNYXlvIENsaW5pYywgUGhvZW5p
eCwgQVouJiN4RDtEaXZpc2lvbiBvZiBIZW1hdG9sb2dpYyBPbmNvbG9neSwgRGFuYS1GYXJiZXIg
Q2FuY2VyIEluc3RpdHV0ZSwgQm9zdG9uLCBNQS4mI3hEO0RpdmlzaW9uIG9mIEhlbWF0b2xvZ3kg
YW5kIE1lZGljYWwgT25jb2xvZ3ksIEljYWhuIFNjaG9vbCBvZiBNZWRpY2luZSBhdCBNb3VudCBT
aW5haSwgTmV3IFlvcmssIE5ZLiYjeEQ7Q2VudGVyIGZvciBCbG9vZCBEaXNvcmRlcnMgYW5kIFN0
ZW0gQ2VsbCBUcmFuc3BsYW50YXRpb24sIFN3ZWRpc2ggTWVkaWNhbCBDZW50ZXIsIFNlYXR0bGUs
IFdBLiYjeEQ7RGl2aXNpb24gb2YgSGVtYXRvbG9neS9PbmNvbG9neSwgRGVwYXJ0bWVudCBvZiBN
ZWRpY2luZSwgRGF2aWQgR2VmZmVuIFNjaG9vbCBvZiBNZWRpY2luZSwgVW5pdmVyc2l0eSBvZiBD
YWxpZm9ybmlhIGF0IExvcyBBbmdlbGVzLCBMb3MgQW5nZWxlcywgQ0EuJiN4RDtLaXRlLCBhIEdp
bGVhZCBDb21wYW55LCBTYW50YSBNb25pY2EsIENBOyBhbmQuJiN4RDtEaXZpc2lvbiBvZiBDYW5j
ZXIgTWVkaWNpbmUsIERlcGFydG1lbnQgb2YgTGV1a2VtaWEsIFRoZSBVbml2ZXJzaXR5IG9mIFRl
eGFzIE1EIEFuZGVyc29uIENhbmNlciBDZW50ZXIsIEhvdXN0b24sIFRYLjwvYXV0aC1hZGRyZXNz
Pjx0aXRsZXM+PHRpdGxlPktURS1YMTkgYW50aS1DRDE5IENBUiBULWNlbGwgdGhlcmFweSBpbiBh
ZHVsdCByZWxhcHNlZC9yZWZyYWN0b3J5IGFjdXRlIGx5bXBob2JsYXN0aWMgbGV1a2VtaWE6IFpV
TUEtMyBwaGFzZSAxIHJlc3VsdHM8L3RpdGxlPjxzZWNvbmRhcnktdGl0bGU+Qmxvb2Q8L3NlY29u
ZGFyeS10aXRsZT48L3RpdGxlcz48cGVyaW9kaWNhbD48ZnVsbC10aXRsZT5CTE9PRDwvZnVsbC10
aXRsZT48L3BlcmlvZGljYWw+PHBhZ2VzPjExLTIyPC9wYWdlcz48dm9sdW1lPjEzODwvdm9sdW1l
PjxudW1iZXI+MTwvbnVtYmVyPjxrZXl3b3Jkcz48a2V5d29yZD5BZG9sZXNjZW50PC9rZXl3b3Jk
PjxrZXl3b3JkPkFkdWx0PC9rZXl3b3JkPjxrZXl3b3JkPkFnZWQ8L2tleXdvcmQ+PGtleXdvcmQ+
QW50aWdlbnMsIENEMTkvKm1ldGFib2xpc208L2tleXdvcmQ+PGtleXdvcmQ+QmlvbWFya2Vycywg
VHVtb3IvbWV0YWJvbGlzbTwva2V5d29yZD48a2V5d29yZD5DZWxsIFByb2xpZmVyYXRpb248L2tl
eXdvcmQ+PGtleXdvcmQ+Q3l0b2tpbmUgUmVsZWFzZSBTeW5kcm9tZS9jaGVtaWNhbGx5IGluZHVj
ZWQ8L2tleXdvcmQ+PGtleXdvcmQ+RGlzZWFzZS1GcmVlIFN1cnZpdmFsPC9rZXl3b3JkPjxrZXl3
b3JkPkRvc2UtUmVzcG9uc2UgUmVsYXRpb25zaGlwLCBEcnVnPC9rZXl3b3JkPjxrZXl3b3JkPkZl
bWFsZTwva2V5d29yZD48a2V5d29yZD5IdW1hbnM8L2tleXdvcmQ+PGtleXdvcmQ+KkltbXVub3Ro
ZXJhcHksIEFkb3B0aXZlL2FkdmVyc2UgZWZmZWN0czwva2V5d29yZD48a2V5d29yZD5JbmZsYW1t
YXRpb24gTWVkaWF0b3JzL21ldGFib2xpc208L2tleXdvcmQ+PGtleXdvcmQ+TWFsZTwva2V5d29y
ZD48a2V5d29yZD5NaWRkbGUgQWdlZDwva2V5d29yZD48a2V5d29yZD5OZW9wbGFzbSwgUmVzaWR1
YWwvcGF0aG9sb2d5PC9rZXl3b3JkPjxrZXl3b3JkPlByZWN1cnNvciBDZWxsIEx5bXBob2JsYXN0
aWMgTGV1a2VtaWEtTHltcGhvbWEvKmRydWcgdGhlcmFweTwva2V5d29yZD48a2V5d29yZD5SZWNl
cHRvcnMsIENoaW1lcmljIEFudGlnZW4vKnRoZXJhcGV1dGljIHVzZTwva2V5d29yZD48a2V5d29y
ZD5UcmVhdG1lbnQgT3V0Y29tZTwva2V5d29yZD48a2V5d29yZD5Zb3VuZyBBZHVsdDwva2V5d29y
ZD48L2tleXdvcmRzPjxkYXRlcz48eWVhcj4yMDIxPC95ZWFyPjxwdWItZGF0ZXM+PGRhdGU+SnVs
IDg8L2RhdGU+PC9wdWItZGF0ZXM+PC9kYXRlcz48aXNibj4xNTI4LTAwMjAgKEVsZWN0cm9uaWMp
JiN4RDswMDA2LTQ5NzEgKExpbmtpbmcpPC9pc2JuPjxhY2Nlc3Npb24tbnVtPjMzODI3MTE2PC9h
Y2Nlc3Npb24tbnVtPjx1cmxzPjxyZWxhdGVkLXVybHM+PHVybD5odHRwczovL3d3dy5uY2JpLm5s
bS5uaWguZ292L3B1Ym1lZC8zMzgyNzExNjwvdXJsPjwvcmVsYXRlZC11cmxzPjwvdXJscz48ZWxl
Y3Ryb25pYy1yZXNvdXJjZS1udW0+MTAuMTE4Mi9ibG9vZC4yMDIwMDA5MDk4PC9lbGVjdHJvbmlj
LXJlc291cmNlLW51bT48L3JlY29yZD48L0NpdGU+PC9FbmROb3RlPgB=
</w:fldData>
              </w:fldChar>
            </w:r>
            <w:r w:rsidR="00B570A1">
              <w:instrText xml:space="preserve"> ADDIN EN.CITE </w:instrText>
            </w:r>
            <w:r w:rsidR="00B570A1">
              <w:fldChar w:fldCharType="begin">
                <w:fldData xml:space="preserve">PEVuZE5vdGU+PENpdGUgRXhjbHVkZVllYXI9IjEiPjxBdXRob3I+U2hhaDwvQXV0aG9yPjxZZWFy
PjIwMjE8L1llYXI+PFJlY051bT4xMTwvUmVjTnVtPjxEaXNwbGF5VGV4dD48c3R5bGUgZmFjZT0i
c3VwZXJzY3JpcHQiPjk8L3N0eWxlPjwvRGlzcGxheVRleHQ+PHJlY29yZD48cmVjLW51bWJlcj4x
MTwvcmVjLW51bWJlcj48Zm9yZWlnbi1rZXlzPjxrZXkgYXBwPSJFTiIgZGItaWQ9InRhYTJ4ejV0
bXdhdGF3ZXpzczl2cnRlenRhdmF4ZmZkdGQ1MCIgdGltZXN0YW1wPSIxNjQ2Nzc5NDEzIj4xMTwv
a2V5PjwvZm9yZWlnbi1rZXlzPjxyZWYtdHlwZSBuYW1lPSJKb3VybmFsIEFydGljbGUiPjE3PC9y
ZWYtdHlwZT48Y29udHJpYnV0b3JzPjxhdXRob3JzPjxhdXRob3I+U2hhaCwgQi4gRC48L2F1dGhv
cj48YXV0aG9yPkJpc2hvcCwgTS4gUi48L2F1dGhvcj48YXV0aG9yPk9sdXdvbGUsIE8uIE8uPC9h
dXRob3I+PGF1dGhvcj5Mb2dhbiwgQS4gQy48L2F1dGhvcj48YXV0aG9yPkJhZXIsIE0uIFIuPC9h
dXRob3I+PGF1dGhvcj5Eb25uZWxsYW4sIFcuIEIuPC9hdXRob3I+PGF1dGhvcj5PJmFwb3M7RHd5
ZXIsIEsuIE0uPC9hdXRob3I+PGF1dGhvcj5Ib2xtZXMsIEguPC9hdXRob3I+PGF1dGhvcj5BcmVs
bGFubywgTS4gTC48L2F1dGhvcj48YXV0aG9yPkdob2JhZGksIEEuPC9hdXRob3I+PGF1dGhvcj5Q
YWdlbCwgSi4gTS48L2F1dGhvcj48YXV0aG9yPkxpbiwgWS48L2F1dGhvcj48YXV0aG9yPkNhc3Nh
ZGF5LCBSLiBELjwvYXV0aG9yPjxhdXRob3I+UGFyaywgSi4gSC48L2F1dGhvcj48YXV0aG9yPkFi
ZWRpLCBNLjwvYXV0aG9yPjxhdXRob3I+Q2FzdHJvLCBKLiBFLjwvYXV0aG9yPjxhdXRob3I+RGVB
bmdlbG8sIEQuIEouPC9hdXRob3I+PGF1dGhvcj5NYWxvbmUsIEEuIEsuPC9hdXRob3I+PGF1dGhv
cj5NYXdhZCwgUi48L2F1dGhvcj48YXV0aG9yPlNjaGlsbGVyLCBHLiBKLjwvYXV0aG9yPjxhdXRo
b3I+Um9zc2ksIEouIE0uPC9hdXRob3I+PGF1dGhvcj5Cb3QsIEEuPC9hdXRob3I+PGF1dGhvcj5T
aGVuLCBULjwvYXV0aG9yPjxhdXRob3I+R295YWwsIEwuPC9hdXRob3I+PGF1dGhvcj5KYWluLCBS
LiBLLjwvYXV0aG9yPjxhdXRob3I+VmV6YW4sIFIuPC9hdXRob3I+PGF1dGhvcj5XaWVyZGEsIFcu
IEcuPC9hdXRob3I+PC9hdXRob3JzPjwvY29udHJpYnV0b3JzPjxhdXRoLWFkZHJlc3M+RGl2aXNp
b24gb2YgSGVtYXRvbG9neS9PbmNvbG9neSwgRGVwYXJ0bWVudCBvZiBNYWxpZ25hbnQgSGVtYXRv
bG9neSwgTW9mZml0dCBDYW5jZXIgQ2VudGVyLCBUYW1wYSwgRkwuJiN4RDtEaXZpc2lvbiBvZiBI
ZW1hdG9sb2d5L09uY29sb2d5LCBUaGUgVW5pdmVyc2l0eSBvZiBDaGljYWdvIE1lZGljaW5lLCBD
aGljYWdvLCBJTC4mI3hEO0RpdmlzaW9uIG9mIEhlbWF0b2xvZ3kvT25jb2xvZ3ksIFZhbmRlcmJp
bHQtSW5ncmFtIENhbmNlciBDZW50ZXIsIFZhbmRlcmJpbHQgVW5pdmVyc2l0eSBTY2hvb2wgb2Yg
TWVkaWNpbmUsIE5hc2h2aWxsZSwgVE4uJiN4RDtEaXZpc2lvbiBvZiBIZW1hdG9sb2d5L09uY29s
b2d5LCBIZWxlbiBEaWxsZXIgQ29tcHJlaGVuc2l2ZSBDYW5jZXIgQ2VudGVyLCBVbml2ZXJzaXR5
IG9mIENhbGlmb3JuaWEgU2FuIEZyYW5jaXNjbywgU2FuIEZyYW5jaXNjbywgQ0EuJiN4RDtNYXJs
ZW5lIGFuZCBTdGV3YXJ0IEdyZWVuZWJhdW0gQ2FuY2VyIENlbnRlciwgVW5pdmVyc2l0eSBvZiBN
YXJ5bGFuZCBTY2hvb2wgb2YgTWVkaWNpbmUsIEJhbHRpbW9yZSwgTUQuJiN4RDtTYXJhaCBDYW5u
b24gUmVzZWFyY2ggSW5zdGl0dXRlLCBOYXNodmlsbGUsIFROLiYjeEQ7QWN1dGUgTGV1a2VtaWEg
UHJvZ3JhbSwgV2lsbW90IENhbmNlciBJbnN0aXR1dGUsIFVuaXZlcnNpdHkgb2YgUm9jaGVzdGVy
IE1lZGljYWwgQ2VudGVyLCBSb2NoZXN0ZXIsIE5ZLiYjeEQ7VGV4YXMgT25jb2xvZ3ktQmF5bG9y
IENoYXJsZXMgQS4gU2FtbW9ucyBDYW5jZXIgQ2VudGVyLCBEYWxsYXMsIFRYLiYjeEQ7RGl2aXNp
b24gb2YgSGVtYXRvbG9neS9PbmNvbG9neSwgV2luc2hpcCBDYW5jZXIgSW5zdGl0dXRlLCBFbW9y
eSBVbml2ZXJzaXR5LCBBdGxhbnRhLCBHQS4mI3hEO1NlY3Rpb24gb2YgU3RlbSBDZWxsIFRyYW5z
cGxhbnQgYW5kIExldWtlbWlhLCBEaXZpc2lvbiBvZiBNZWRpY2FsIE9uY29sb2d5LCBXYXNoaW5n
dG9uIFVuaXZlcnNpdHkgU2Nob29sIG9mIE1lZGljaW5lLVNpdGVtYW4gQ2FuY2VyIENlbnRlciwg
U3QgTG91aXMsIE1PLiYjeEQ7Q2VudGVyIGZvciBCbG9vZCBEaXNvcmRlcnMgYW5kIFN0ZW0gQ2Vs
bCBUcmFuc3BsYW50YXRpb24sIFN3ZWRpc2ggQ2FuY2VyIEluc3RpdHV0ZSwgU2VhdHRsZSwgV0Eu
JiN4RDtEaXZpc2lvbiBvZiBIZW1hdG9sb2d5LCBEZXBhcnRtZW50IG9mIEludGVybmFsIE1lZGlj
aW5lLCBNYXlvIENsaW5pYywgUm9jaGVzdGVyLCBNTi4mI3hEO0RpdmlzaW9uIG9mIEhlbWF0b2xv
Z3kgYW5kIENsaW5pY2FsIFJlc2VhcmNoLCBVbml2ZXJzaXR5IG9mIFdhc2hpbmd0b24gU2Nob29s
IG9mIE1lZGljaW5lLUZyZWQgSHV0Y2hpbnNvbiBDYW5jZXIgUmVzZWFyY2ggQ2VudGVyLCBTZWF0
dGxlLCBXQS4mI3hEO0RpdmlzaW9uIG9mIEhlbWF0b2xvZ2ljIE1hbGlnbmFuY2llcywgRGVwYXJ0
bWVudCBvZiBNZWRpY2luZSwgTWVtb3JpYWwgU2xvYW4gS2V0dGVyaW5nIENhbmNlciBDZW50ZXIs
IE5ldyBZb3JrLCBOWS4mI3hEO0RlcGFydG1lbnQgb2YgSW50ZXJuYWwgTWVkaWNpbmUsIFVuaXZl
cnNpdHkgb2YgQ2FsaWZvcm5pYSBEYXZpcyBNZWRpY2FsIENlbnRlciwgU2FjcmFtZW50bywgQ0Eu
JiN4RDtEaXZpc2lvbiBvZiBIZW1hdG9sb2d5LU9uY29sb2d5LCBNYXlvIENsaW5pYywgUGhvZW5p
eCwgQVouJiN4RDtEaXZpc2lvbiBvZiBIZW1hdG9sb2dpYyBPbmNvbG9neSwgRGFuYS1GYXJiZXIg
Q2FuY2VyIEluc3RpdHV0ZSwgQm9zdG9uLCBNQS4mI3hEO0RpdmlzaW9uIG9mIEhlbWF0b2xvZ3kg
YW5kIE1lZGljYWwgT25jb2xvZ3ksIEljYWhuIFNjaG9vbCBvZiBNZWRpY2luZSBhdCBNb3VudCBT
aW5haSwgTmV3IFlvcmssIE5ZLiYjeEQ7Q2VudGVyIGZvciBCbG9vZCBEaXNvcmRlcnMgYW5kIFN0
ZW0gQ2VsbCBUcmFuc3BsYW50YXRpb24sIFN3ZWRpc2ggTWVkaWNhbCBDZW50ZXIsIFNlYXR0bGUs
IFdBLiYjeEQ7RGl2aXNpb24gb2YgSGVtYXRvbG9neS9PbmNvbG9neSwgRGVwYXJ0bWVudCBvZiBN
ZWRpY2luZSwgRGF2aWQgR2VmZmVuIFNjaG9vbCBvZiBNZWRpY2luZSwgVW5pdmVyc2l0eSBvZiBD
YWxpZm9ybmlhIGF0IExvcyBBbmdlbGVzLCBMb3MgQW5nZWxlcywgQ0EuJiN4RDtLaXRlLCBhIEdp
bGVhZCBDb21wYW55LCBTYW50YSBNb25pY2EsIENBOyBhbmQuJiN4RDtEaXZpc2lvbiBvZiBDYW5j
ZXIgTWVkaWNpbmUsIERlcGFydG1lbnQgb2YgTGV1a2VtaWEsIFRoZSBVbml2ZXJzaXR5IG9mIFRl
eGFzIE1EIEFuZGVyc29uIENhbmNlciBDZW50ZXIsIEhvdXN0b24sIFRYLjwvYXV0aC1hZGRyZXNz
Pjx0aXRsZXM+PHRpdGxlPktURS1YMTkgYW50aS1DRDE5IENBUiBULWNlbGwgdGhlcmFweSBpbiBh
ZHVsdCByZWxhcHNlZC9yZWZyYWN0b3J5IGFjdXRlIGx5bXBob2JsYXN0aWMgbGV1a2VtaWE6IFpV
TUEtMyBwaGFzZSAxIHJlc3VsdHM8L3RpdGxlPjxzZWNvbmRhcnktdGl0bGU+Qmxvb2Q8L3NlY29u
ZGFyeS10aXRsZT48L3RpdGxlcz48cGVyaW9kaWNhbD48ZnVsbC10aXRsZT5CTE9PRDwvZnVsbC10
aXRsZT48L3BlcmlvZGljYWw+PHBhZ2VzPjExLTIyPC9wYWdlcz48dm9sdW1lPjEzODwvdm9sdW1l
PjxudW1iZXI+MTwvbnVtYmVyPjxrZXl3b3Jkcz48a2V5d29yZD5BZG9sZXNjZW50PC9rZXl3b3Jk
PjxrZXl3b3JkPkFkdWx0PC9rZXl3b3JkPjxrZXl3b3JkPkFnZWQ8L2tleXdvcmQ+PGtleXdvcmQ+
QW50aWdlbnMsIENEMTkvKm1ldGFib2xpc208L2tleXdvcmQ+PGtleXdvcmQ+QmlvbWFya2Vycywg
VHVtb3IvbWV0YWJvbGlzbTwva2V5d29yZD48a2V5d29yZD5DZWxsIFByb2xpZmVyYXRpb248L2tl
eXdvcmQ+PGtleXdvcmQ+Q3l0b2tpbmUgUmVsZWFzZSBTeW5kcm9tZS9jaGVtaWNhbGx5IGluZHVj
ZWQ8L2tleXdvcmQ+PGtleXdvcmQ+RGlzZWFzZS1GcmVlIFN1cnZpdmFsPC9rZXl3b3JkPjxrZXl3
b3JkPkRvc2UtUmVzcG9uc2UgUmVsYXRpb25zaGlwLCBEcnVnPC9rZXl3b3JkPjxrZXl3b3JkPkZl
bWFsZTwva2V5d29yZD48a2V5d29yZD5IdW1hbnM8L2tleXdvcmQ+PGtleXdvcmQ+KkltbXVub3Ro
ZXJhcHksIEFkb3B0aXZlL2FkdmVyc2UgZWZmZWN0czwva2V5d29yZD48a2V5d29yZD5JbmZsYW1t
YXRpb24gTWVkaWF0b3JzL21ldGFib2xpc208L2tleXdvcmQ+PGtleXdvcmQ+TWFsZTwva2V5d29y
ZD48a2V5d29yZD5NaWRkbGUgQWdlZDwva2V5d29yZD48a2V5d29yZD5OZW9wbGFzbSwgUmVzaWR1
YWwvcGF0aG9sb2d5PC9rZXl3b3JkPjxrZXl3b3JkPlByZWN1cnNvciBDZWxsIEx5bXBob2JsYXN0
aWMgTGV1a2VtaWEtTHltcGhvbWEvKmRydWcgdGhlcmFweTwva2V5d29yZD48a2V5d29yZD5SZWNl
cHRvcnMsIENoaW1lcmljIEFudGlnZW4vKnRoZXJhcGV1dGljIHVzZTwva2V5d29yZD48a2V5d29y
ZD5UcmVhdG1lbnQgT3V0Y29tZTwva2V5d29yZD48a2V5d29yZD5Zb3VuZyBBZHVsdDwva2V5d29y
ZD48L2tleXdvcmRzPjxkYXRlcz48eWVhcj4yMDIxPC95ZWFyPjxwdWItZGF0ZXM+PGRhdGU+SnVs
IDg8L2RhdGU+PC9wdWItZGF0ZXM+PC9kYXRlcz48aXNibj4xNTI4LTAwMjAgKEVsZWN0cm9uaWMp
JiN4RDswMDA2LTQ5NzEgKExpbmtpbmcpPC9pc2JuPjxhY2Nlc3Npb24tbnVtPjMzODI3MTE2PC9h
Y2Nlc3Npb24tbnVtPjx1cmxzPjxyZWxhdGVkLXVybHM+PHVybD5odHRwczovL3d3dy5uY2JpLm5s
bS5uaWguZ292L3B1Ym1lZC8zMzgyNzExNjwvdXJsPjwvcmVsYXRlZC11cmxzPjwvdXJscz48ZWxl
Y3Ryb25pYy1yZXNvdXJjZS1udW0+MTAuMTE4Mi9ibG9vZC4yMDIwMDA5MDk4PC9lbGVjdHJvbmlj
LXJlc291cmNlLW51bT48L3JlY29yZD48L0NpdGU+PC9FbmROb3RlPgB=
</w:fldData>
              </w:fldChar>
            </w:r>
            <w:r w:rsidR="00B570A1">
              <w:instrText xml:space="preserve"> ADDIN EN.CITE.DATA </w:instrText>
            </w:r>
            <w:r w:rsidR="00B570A1">
              <w:fldChar w:fldCharType="end"/>
            </w:r>
            <w:r>
              <w:fldChar w:fldCharType="separate"/>
            </w:r>
            <w:r w:rsidRPr="007C0AAE">
              <w:rPr>
                <w:noProof/>
                <w:vertAlign w:val="superscript"/>
              </w:rPr>
              <w:t>9</w:t>
            </w:r>
            <w:r>
              <w:fldChar w:fldCharType="end"/>
            </w:r>
            <w:r w:rsidRPr="007C0AAE">
              <w:t>)</w:t>
            </w:r>
          </w:p>
        </w:tc>
        <w:tc>
          <w:tcPr>
            <w:tcW w:w="479" w:type="pct"/>
          </w:tcPr>
          <w:p w14:paraId="42145BD4" w14:textId="5629732B" w:rsidR="00DD308E" w:rsidRPr="00E82F54" w:rsidRDefault="0046041E" w:rsidP="00DD308E">
            <w:pPr>
              <w:rPr>
                <w:b/>
                <w:szCs w:val="20"/>
              </w:rPr>
            </w:pPr>
            <w:r>
              <w:t>2021</w:t>
            </w:r>
          </w:p>
        </w:tc>
      </w:tr>
      <w:tr w:rsidR="00CF0D9F" w14:paraId="3FC3E4C2" w14:textId="77777777" w:rsidTr="00944F58">
        <w:trPr>
          <w:cantSplit/>
        </w:trPr>
        <w:tc>
          <w:tcPr>
            <w:tcW w:w="132" w:type="pct"/>
          </w:tcPr>
          <w:p w14:paraId="691E0F6D" w14:textId="77777777" w:rsidR="00DD308E" w:rsidRPr="00965B6B" w:rsidRDefault="00DD308E" w:rsidP="00DD308E">
            <w:pPr>
              <w:rPr>
                <w:szCs w:val="20"/>
              </w:rPr>
            </w:pPr>
            <w:r>
              <w:rPr>
                <w:szCs w:val="20"/>
              </w:rPr>
              <w:lastRenderedPageBreak/>
              <w:t>3.</w:t>
            </w:r>
          </w:p>
        </w:tc>
        <w:tc>
          <w:tcPr>
            <w:tcW w:w="730" w:type="pct"/>
          </w:tcPr>
          <w:p w14:paraId="4CAF456B" w14:textId="77777777" w:rsidR="007D5706" w:rsidRDefault="001A46B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CF0D9F">
              <w:rPr>
                <w:rFonts w:asciiTheme="minorHAnsi" w:eastAsiaTheme="minorHAnsi" w:hAnsiTheme="minorHAnsi" w:cstheme="minorBidi"/>
                <w:sz w:val="20"/>
                <w:szCs w:val="22"/>
                <w:lang w:eastAsia="en-US"/>
              </w:rPr>
              <w:t xml:space="preserve">phase </w:t>
            </w:r>
            <w:r>
              <w:rPr>
                <w:rFonts w:asciiTheme="minorHAnsi" w:eastAsiaTheme="minorHAnsi" w:hAnsiTheme="minorHAnsi" w:cstheme="minorBidi"/>
                <w:sz w:val="20"/>
                <w:szCs w:val="22"/>
                <w:lang w:eastAsia="en-US"/>
              </w:rPr>
              <w:t>1/</w:t>
            </w:r>
            <w:r w:rsidRPr="00CF0D9F">
              <w:rPr>
                <w:rFonts w:asciiTheme="minorHAnsi" w:eastAsiaTheme="minorHAnsi" w:hAnsiTheme="minorHAnsi" w:cstheme="minorBidi"/>
                <w:sz w:val="20"/>
                <w:szCs w:val="22"/>
                <w:lang w:eastAsia="en-US"/>
              </w:rPr>
              <w:t>2</w:t>
            </w:r>
            <w:r>
              <w:rPr>
                <w:rFonts w:asciiTheme="minorHAnsi" w:eastAsiaTheme="minorHAnsi" w:hAnsiTheme="minorHAnsi" w:cstheme="minorBidi"/>
                <w:sz w:val="20"/>
                <w:szCs w:val="22"/>
                <w:lang w:eastAsia="en-US"/>
              </w:rPr>
              <w:t xml:space="preserve"> </w:t>
            </w:r>
            <w:r w:rsidRPr="00CF0D9F">
              <w:rPr>
                <w:rFonts w:asciiTheme="minorHAnsi" w:eastAsiaTheme="minorHAnsi" w:hAnsiTheme="minorHAnsi" w:cstheme="minorBidi"/>
                <w:sz w:val="20"/>
                <w:szCs w:val="22"/>
                <w:lang w:eastAsia="en-US"/>
              </w:rPr>
              <w:t xml:space="preserve">single-arm, open-label ZUMA-3 </w:t>
            </w:r>
            <w:r>
              <w:rPr>
                <w:rFonts w:asciiTheme="minorHAnsi" w:eastAsiaTheme="minorHAnsi" w:hAnsiTheme="minorHAnsi" w:cstheme="minorBidi"/>
                <w:sz w:val="20"/>
                <w:szCs w:val="22"/>
                <w:lang w:eastAsia="en-US"/>
              </w:rPr>
              <w:t xml:space="preserve">multicentre </w:t>
            </w:r>
            <w:r w:rsidRPr="00CF0D9F">
              <w:rPr>
                <w:rFonts w:asciiTheme="minorHAnsi" w:eastAsiaTheme="minorHAnsi" w:hAnsiTheme="minorHAnsi" w:cstheme="minorBidi"/>
                <w:sz w:val="20"/>
                <w:szCs w:val="22"/>
                <w:lang w:eastAsia="en-US"/>
              </w:rPr>
              <w:t>study</w:t>
            </w:r>
          </w:p>
          <w:p w14:paraId="2F25C56F" w14:textId="56A06931" w:rsidR="00DD308E" w:rsidRDefault="001A46B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Abstract</w:t>
            </w:r>
          </w:p>
          <w:p w14:paraId="4142B000" w14:textId="57140931" w:rsidR="00707512" w:rsidRPr="001A46B2" w:rsidRDefault="0070751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t>
            </w:r>
            <w:r w:rsidRPr="0085794F">
              <w:rPr>
                <w:rFonts w:asciiTheme="minorHAnsi" w:eastAsiaTheme="minorHAnsi" w:hAnsiTheme="minorHAnsi" w:cstheme="minorBidi"/>
                <w:sz w:val="20"/>
                <w:szCs w:val="22"/>
                <w:lang w:eastAsia="en-US"/>
              </w:rPr>
              <w:t>NCT02614066</w:t>
            </w:r>
            <w:r>
              <w:rPr>
                <w:rFonts w:asciiTheme="minorHAnsi" w:eastAsiaTheme="minorHAnsi" w:hAnsiTheme="minorHAnsi" w:cstheme="minorBidi"/>
                <w:sz w:val="20"/>
                <w:szCs w:val="22"/>
                <w:lang w:eastAsia="en-US"/>
              </w:rPr>
              <w:t>)</w:t>
            </w:r>
          </w:p>
        </w:tc>
        <w:tc>
          <w:tcPr>
            <w:tcW w:w="1067" w:type="pct"/>
          </w:tcPr>
          <w:p w14:paraId="3666BCF4" w14:textId="1CE1E9E2" w:rsidR="00DD308E" w:rsidRPr="001A46B2" w:rsidRDefault="001A46B2" w:rsidP="00BC19F3">
            <w:pPr>
              <w:pStyle w:val="NormalWeb"/>
              <w:jc w:val="left"/>
              <w:rPr>
                <w:rFonts w:asciiTheme="minorHAnsi" w:eastAsiaTheme="minorHAnsi" w:hAnsiTheme="minorHAnsi" w:cstheme="minorBidi"/>
                <w:sz w:val="20"/>
                <w:szCs w:val="22"/>
                <w:lang w:eastAsia="en-US"/>
              </w:rPr>
            </w:pPr>
            <w:r w:rsidRPr="001A46B2">
              <w:rPr>
                <w:rFonts w:asciiTheme="minorHAnsi" w:eastAsiaTheme="minorHAnsi" w:hAnsiTheme="minorHAnsi" w:cstheme="minorBidi"/>
                <w:sz w:val="20"/>
                <w:szCs w:val="22"/>
                <w:lang w:eastAsia="en-US"/>
              </w:rPr>
              <w:t>Phase 2 results of the ZUMA-3 study evaluating KTE-X19, an anti-CD19 chimeric antigen receptor (CAR) T-cell therapy, in adult patients (pts) with relapsed/refractory B-cell acute lymphoblastic leukemia (R/R B-ALL)</w:t>
            </w:r>
          </w:p>
        </w:tc>
        <w:tc>
          <w:tcPr>
            <w:tcW w:w="1727" w:type="pct"/>
          </w:tcPr>
          <w:p w14:paraId="1E6BA506" w14:textId="520CF8A5" w:rsidR="001A46B2" w:rsidRPr="001A46B2" w:rsidRDefault="001A46B2" w:rsidP="00DD2E5D">
            <w:pPr>
              <w:spacing w:before="0"/>
              <w:jc w:val="left"/>
            </w:pPr>
            <w:r w:rsidRPr="001A46B2">
              <w:t>After a median follow-up of 16.4 mo</w:t>
            </w:r>
            <w:r>
              <w:t>nths</w:t>
            </w:r>
            <w:r w:rsidRPr="001A46B2">
              <w:t>, KTE-X19 demonstrated compelling clinical benefit in heavily pre</w:t>
            </w:r>
            <w:r w:rsidR="00707512">
              <w:t>-</w:t>
            </w:r>
            <w:r w:rsidRPr="001A46B2">
              <w:t>treated adults with R/R B-ALL, with the median OS not yet reached for responding p</w:t>
            </w:r>
            <w:r>
              <w:t>a</w:t>
            </w:r>
            <w:r w:rsidRPr="001A46B2">
              <w:t>t</w:t>
            </w:r>
            <w:r>
              <w:t>ient</w:t>
            </w:r>
            <w:r w:rsidRPr="001A46B2">
              <w:t>s and a manageable safety profile</w:t>
            </w:r>
            <w:r>
              <w:t>.</w:t>
            </w:r>
          </w:p>
        </w:tc>
        <w:tc>
          <w:tcPr>
            <w:tcW w:w="864" w:type="pct"/>
          </w:tcPr>
          <w:p w14:paraId="22A69C7E" w14:textId="6730925E" w:rsidR="001A46B2" w:rsidRPr="007D5706" w:rsidRDefault="0013236B" w:rsidP="00DD308E">
            <w:hyperlink r:id="rId25" w:history="1">
              <w:r w:rsidR="001A46B2" w:rsidRPr="00631136">
                <w:rPr>
                  <w:rStyle w:val="Hyperlink"/>
                </w:rPr>
                <w:t>https://ascopubs.org/doi/abs/10.1200/JCO.2021.39.15_suppl.7002</w:t>
              </w:r>
            </w:hyperlink>
          </w:p>
        </w:tc>
        <w:tc>
          <w:tcPr>
            <w:tcW w:w="479" w:type="pct"/>
          </w:tcPr>
          <w:p w14:paraId="6CCE41EC" w14:textId="60790D45" w:rsidR="00DD308E" w:rsidRPr="00E82F54" w:rsidRDefault="001A46B2" w:rsidP="00DD308E">
            <w:pPr>
              <w:rPr>
                <w:b/>
                <w:szCs w:val="20"/>
              </w:rPr>
            </w:pPr>
            <w:r>
              <w:t>2021</w:t>
            </w:r>
          </w:p>
        </w:tc>
      </w:tr>
      <w:tr w:rsidR="00CF0D9F" w14:paraId="2BB4F237" w14:textId="77777777" w:rsidTr="00944F58">
        <w:trPr>
          <w:cantSplit/>
        </w:trPr>
        <w:tc>
          <w:tcPr>
            <w:tcW w:w="132" w:type="pct"/>
          </w:tcPr>
          <w:p w14:paraId="592BC137" w14:textId="77777777" w:rsidR="00DD308E" w:rsidRPr="00965B6B" w:rsidRDefault="00DD308E" w:rsidP="00DD308E">
            <w:pPr>
              <w:rPr>
                <w:szCs w:val="20"/>
              </w:rPr>
            </w:pPr>
            <w:r>
              <w:rPr>
                <w:szCs w:val="20"/>
              </w:rPr>
              <w:t>4.</w:t>
            </w:r>
          </w:p>
        </w:tc>
        <w:tc>
          <w:tcPr>
            <w:tcW w:w="730" w:type="pct"/>
          </w:tcPr>
          <w:p w14:paraId="13F25D6F" w14:textId="7709670A" w:rsidR="00DD308E" w:rsidRDefault="00F67A83"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46041E">
              <w:rPr>
                <w:rFonts w:asciiTheme="minorHAnsi" w:eastAsiaTheme="minorHAnsi" w:hAnsiTheme="minorHAnsi" w:cstheme="minorBidi"/>
                <w:sz w:val="20"/>
                <w:szCs w:val="22"/>
                <w:lang w:eastAsia="en-US"/>
              </w:rPr>
              <w:t>Phase 1 of ZUMA-3</w:t>
            </w:r>
          </w:p>
          <w:p w14:paraId="3EC2EA63" w14:textId="38D2E25E" w:rsidR="007D5706" w:rsidRDefault="007D5706"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Abstract</w:t>
            </w:r>
          </w:p>
          <w:p w14:paraId="7EA0338B" w14:textId="53F722D8" w:rsidR="00707512" w:rsidRPr="00F67A83" w:rsidRDefault="00707512" w:rsidP="00BC19F3">
            <w:pPr>
              <w:pStyle w:val="NormalWeb"/>
              <w:jc w:val="left"/>
            </w:pPr>
            <w:r>
              <w:rPr>
                <w:rFonts w:asciiTheme="minorHAnsi" w:eastAsiaTheme="minorHAnsi" w:hAnsiTheme="minorHAnsi" w:cstheme="minorBidi"/>
                <w:sz w:val="20"/>
                <w:szCs w:val="22"/>
                <w:lang w:eastAsia="en-US"/>
              </w:rPr>
              <w:t>(</w:t>
            </w:r>
            <w:r w:rsidRPr="0085794F">
              <w:rPr>
                <w:rFonts w:asciiTheme="minorHAnsi" w:eastAsiaTheme="minorHAnsi" w:hAnsiTheme="minorHAnsi" w:cstheme="minorBidi"/>
                <w:sz w:val="20"/>
                <w:szCs w:val="22"/>
                <w:lang w:eastAsia="en-US"/>
              </w:rPr>
              <w:t>NCT02614066</w:t>
            </w:r>
            <w:r>
              <w:rPr>
                <w:rFonts w:asciiTheme="minorHAnsi" w:eastAsiaTheme="minorHAnsi" w:hAnsiTheme="minorHAnsi" w:cstheme="minorBidi"/>
                <w:sz w:val="20"/>
                <w:szCs w:val="22"/>
                <w:lang w:eastAsia="en-US"/>
              </w:rPr>
              <w:t>)</w:t>
            </w:r>
          </w:p>
        </w:tc>
        <w:tc>
          <w:tcPr>
            <w:tcW w:w="1067" w:type="pct"/>
          </w:tcPr>
          <w:p w14:paraId="62E65028" w14:textId="44A4FC62" w:rsidR="00DD308E" w:rsidRDefault="00F67A83" w:rsidP="00DD2E5D">
            <w:pPr>
              <w:spacing w:before="0"/>
              <w:jc w:val="left"/>
              <w:rPr>
                <w:b/>
                <w:szCs w:val="20"/>
              </w:rPr>
            </w:pPr>
            <w:r w:rsidRPr="00F67A83">
              <w:t>Updated Phase 1 Results of Zuma-3: Kte-X19, an Anti-CD19 Chimeric Antigen Receptor T Cell Therapy, in Adult Patients with Relapsed/Refractory Acute Lymphoblastic Leukemia</w:t>
            </w:r>
          </w:p>
        </w:tc>
        <w:tc>
          <w:tcPr>
            <w:tcW w:w="1727" w:type="pct"/>
          </w:tcPr>
          <w:p w14:paraId="389E07B1" w14:textId="17DED0B6" w:rsidR="00DD308E" w:rsidRPr="00F67A83" w:rsidRDefault="00F67A83" w:rsidP="00DD2E5D">
            <w:pPr>
              <w:spacing w:before="0"/>
              <w:jc w:val="left"/>
              <w:rPr>
                <w:szCs w:val="24"/>
              </w:rPr>
            </w:pPr>
            <w:r w:rsidRPr="00F67A83">
              <w:t xml:space="preserve">High remission rates were achieved by adult pts with R/R ALL, with </w:t>
            </w:r>
            <w:r>
              <w:t xml:space="preserve">approximately </w:t>
            </w:r>
            <w:r w:rsidRPr="00F67A83">
              <w:t>3/4 of p</w:t>
            </w:r>
            <w:r>
              <w:t>a</w:t>
            </w:r>
            <w:r w:rsidRPr="00F67A83">
              <w:t>t</w:t>
            </w:r>
            <w:r>
              <w:t>ient</w:t>
            </w:r>
            <w:r w:rsidRPr="00F67A83">
              <w:t xml:space="preserve">s achieving CR or </w:t>
            </w:r>
            <w:proofErr w:type="spellStart"/>
            <w:r w:rsidRPr="00F67A83">
              <w:t>CRi</w:t>
            </w:r>
            <w:proofErr w:type="spellEnd"/>
            <w:r w:rsidRPr="00F67A83">
              <w:t xml:space="preserve"> with undetectable MRD after a single dose of KTE-X19 in ZUMA-3. The safety profile was generally manageable, and most cases of high-grade CRS and neurologic events resolved. These results demonstrate that KTE-X19 offers clinical benefit for p</w:t>
            </w:r>
            <w:r>
              <w:t>a</w:t>
            </w:r>
            <w:r w:rsidRPr="00F67A83">
              <w:t>t</w:t>
            </w:r>
            <w:r>
              <w:t>ient</w:t>
            </w:r>
            <w:r w:rsidRPr="00F67A83">
              <w:t>s with otherwise limited treatment options.</w:t>
            </w:r>
            <w:r>
              <w:rPr>
                <w:rFonts w:ascii="AdvOT5fa4e291" w:hAnsi="AdvOT5fa4e291"/>
                <w:sz w:val="16"/>
                <w:szCs w:val="16"/>
              </w:rPr>
              <w:t xml:space="preserve"> </w:t>
            </w:r>
          </w:p>
        </w:tc>
        <w:tc>
          <w:tcPr>
            <w:tcW w:w="864" w:type="pct"/>
          </w:tcPr>
          <w:p w14:paraId="08469403" w14:textId="77777777" w:rsidR="00F67A83" w:rsidRDefault="0013236B" w:rsidP="00DD308E">
            <w:pPr>
              <w:rPr>
                <w:rStyle w:val="Hyperlink"/>
              </w:rPr>
            </w:pPr>
            <w:hyperlink r:id="rId26" w:history="1">
              <w:r w:rsidR="00F67A83" w:rsidRPr="00631136">
                <w:rPr>
                  <w:rStyle w:val="Hyperlink"/>
                </w:rPr>
                <w:t>https://www.astctjournal.org/action/showPdf?pii=S1083-8791%2818%2931153-4</w:t>
              </w:r>
            </w:hyperlink>
          </w:p>
          <w:p w14:paraId="2199E021" w14:textId="608C98F3" w:rsidR="007C0AAE" w:rsidRPr="007D5706" w:rsidRDefault="007C0AAE" w:rsidP="00DD308E"/>
        </w:tc>
        <w:tc>
          <w:tcPr>
            <w:tcW w:w="479" w:type="pct"/>
          </w:tcPr>
          <w:p w14:paraId="273808C3" w14:textId="758EDB71" w:rsidR="00DD308E" w:rsidRPr="00E82F54" w:rsidRDefault="00F67A83" w:rsidP="00DD308E">
            <w:pPr>
              <w:rPr>
                <w:b/>
                <w:szCs w:val="20"/>
              </w:rPr>
            </w:pPr>
            <w:r>
              <w:t>2019</w:t>
            </w:r>
          </w:p>
        </w:tc>
      </w:tr>
      <w:tr w:rsidR="00CF0D9F" w14:paraId="5C391B5E" w14:textId="77777777" w:rsidTr="00944F58">
        <w:trPr>
          <w:cantSplit/>
        </w:trPr>
        <w:tc>
          <w:tcPr>
            <w:tcW w:w="132" w:type="pct"/>
          </w:tcPr>
          <w:p w14:paraId="57BCE57F" w14:textId="77777777" w:rsidR="00DD308E" w:rsidRPr="00965B6B" w:rsidRDefault="00DD308E" w:rsidP="00DD308E">
            <w:pPr>
              <w:rPr>
                <w:szCs w:val="20"/>
              </w:rPr>
            </w:pPr>
            <w:r>
              <w:rPr>
                <w:szCs w:val="20"/>
              </w:rPr>
              <w:lastRenderedPageBreak/>
              <w:t>5.</w:t>
            </w:r>
          </w:p>
        </w:tc>
        <w:tc>
          <w:tcPr>
            <w:tcW w:w="730" w:type="pct"/>
          </w:tcPr>
          <w:p w14:paraId="04BD17DA" w14:textId="790AF431" w:rsidR="00DD308E" w:rsidRPr="00472946" w:rsidRDefault="00472946" w:rsidP="00CE30B2">
            <w:pPr>
              <w:spacing w:before="0" w:after="0"/>
              <w:jc w:val="left"/>
            </w:pPr>
            <w:r w:rsidRPr="00472946">
              <w:t>A retrospective cohort study</w:t>
            </w:r>
          </w:p>
        </w:tc>
        <w:tc>
          <w:tcPr>
            <w:tcW w:w="1067" w:type="pct"/>
          </w:tcPr>
          <w:p w14:paraId="6548AA16" w14:textId="53193920" w:rsidR="00DD308E" w:rsidRPr="00472946" w:rsidRDefault="007C0AAE" w:rsidP="00CE30B2">
            <w:pPr>
              <w:pStyle w:val="NormalWeb"/>
              <w:jc w:val="left"/>
              <w:rPr>
                <w:rFonts w:asciiTheme="minorHAnsi" w:eastAsiaTheme="minorHAnsi" w:hAnsiTheme="minorHAnsi" w:cstheme="minorBidi"/>
                <w:sz w:val="20"/>
                <w:szCs w:val="22"/>
                <w:lang w:eastAsia="en-US"/>
              </w:rPr>
            </w:pPr>
            <w:r w:rsidRPr="007C0AAE">
              <w:rPr>
                <w:rFonts w:asciiTheme="minorHAnsi" w:eastAsiaTheme="minorHAnsi" w:hAnsiTheme="minorHAnsi" w:cstheme="minorBidi"/>
                <w:sz w:val="20"/>
                <w:szCs w:val="22"/>
                <w:lang w:eastAsia="en-US"/>
              </w:rPr>
              <w:t>The Comparison of Kte-X19 to Current Standards of Care: A Pre-Specified Synthetic Control Study Utilizing Individual Patient Level Data from Historic Clinical Trials (SCHOLAR-3)</w:t>
            </w:r>
            <w:r>
              <w:rPr>
                <w:rFonts w:asciiTheme="minorHAnsi" w:eastAsiaTheme="minorHAnsi" w:hAnsiTheme="minorHAnsi" w:cstheme="minorBidi"/>
                <w:sz w:val="20"/>
                <w:szCs w:val="22"/>
                <w:lang w:eastAsia="en-US"/>
              </w:rPr>
              <w:t>.</w:t>
            </w:r>
          </w:p>
        </w:tc>
        <w:tc>
          <w:tcPr>
            <w:tcW w:w="1727" w:type="pct"/>
          </w:tcPr>
          <w:p w14:paraId="7A09BC7B" w14:textId="5C895C6F" w:rsidR="00CE30B2" w:rsidRDefault="00CE30B2" w:rsidP="00CE30B2">
            <w:pPr>
              <w:spacing w:before="0" w:after="0"/>
              <w:jc w:val="left"/>
            </w:pPr>
            <w:r w:rsidRPr="00CE30B2">
              <w:t xml:space="preserve">Analysis of the </w:t>
            </w:r>
            <w:r>
              <w:t>synthetic control arm (</w:t>
            </w:r>
            <w:r w:rsidRPr="00CE30B2">
              <w:t>SCA</w:t>
            </w:r>
            <w:r>
              <w:t>)</w:t>
            </w:r>
            <w:r w:rsidRPr="00CE30B2">
              <w:t xml:space="preserve">-1 cohort shows an </w:t>
            </w:r>
            <w:r>
              <w:t>objective complete response rate at week 24 (</w:t>
            </w:r>
            <w:r w:rsidRPr="00CE30B2">
              <w:t>OCR24</w:t>
            </w:r>
            <w:r>
              <w:t>)</w:t>
            </w:r>
            <w:r w:rsidRPr="00CE30B2">
              <w:t xml:space="preserve"> of 85% (95% CI 62.1%, 96.8%) in the Zuma-3 patients and 35.0% (95% CI 15.4, 59.2) among propensity matched controls. This corresponds to an </w:t>
            </w:r>
            <w:r>
              <w:t>odds ratio</w:t>
            </w:r>
            <w:r w:rsidRPr="00CE30B2">
              <w:t xml:space="preserve"> of 10.5 (95% CI 2.3, 48.7; p-value 0.0031). No OCR24 data was available for SCA-2.</w:t>
            </w:r>
          </w:p>
          <w:p w14:paraId="30D93297" w14:textId="1CF81585" w:rsidR="00CE30B2" w:rsidRPr="00CE30B2" w:rsidRDefault="00CE30B2" w:rsidP="00CE30B2">
            <w:pPr>
              <w:pStyle w:val="NormalWeb"/>
              <w:jc w:val="left"/>
              <w:textAlignment w:val="baseline"/>
              <w:rPr>
                <w:rFonts w:asciiTheme="minorHAnsi" w:eastAsiaTheme="minorHAnsi" w:hAnsiTheme="minorHAnsi" w:cstheme="minorBidi"/>
                <w:sz w:val="20"/>
                <w:szCs w:val="22"/>
                <w:lang w:eastAsia="en-US"/>
              </w:rPr>
            </w:pPr>
            <w:r w:rsidRPr="00CE30B2">
              <w:rPr>
                <w:rFonts w:asciiTheme="minorHAnsi" w:eastAsiaTheme="minorHAnsi" w:hAnsiTheme="minorHAnsi" w:cstheme="minorBidi"/>
                <w:sz w:val="20"/>
                <w:szCs w:val="22"/>
                <w:lang w:eastAsia="en-US"/>
              </w:rPr>
              <w:t>The comparison of overall survival (OS) between all matched ZUMA-3 and all SCA patients demonstrated a significantly higher median OS of 18.20 months (95% CI</w:t>
            </w:r>
            <w:r>
              <w:rPr>
                <w:rFonts w:asciiTheme="minorHAnsi" w:eastAsiaTheme="minorHAnsi" w:hAnsiTheme="minorHAnsi" w:cstheme="minorBidi"/>
                <w:sz w:val="20"/>
                <w:szCs w:val="22"/>
                <w:lang w:eastAsia="en-US"/>
              </w:rPr>
              <w:t>:</w:t>
            </w:r>
            <w:r w:rsidRPr="00CE30B2">
              <w:rPr>
                <w:rFonts w:asciiTheme="minorHAnsi" w:eastAsiaTheme="minorHAnsi" w:hAnsiTheme="minorHAnsi" w:cstheme="minorBidi"/>
                <w:sz w:val="20"/>
                <w:szCs w:val="22"/>
                <w:lang w:eastAsia="en-US"/>
              </w:rPr>
              <w:t xml:space="preserve"> 12.22, NE months) for patients in ZUMA-3 versus 5.49 months (95% CI</w:t>
            </w:r>
            <w:r>
              <w:rPr>
                <w:rFonts w:asciiTheme="minorHAnsi" w:eastAsiaTheme="minorHAnsi" w:hAnsiTheme="minorHAnsi" w:cstheme="minorBidi"/>
                <w:sz w:val="20"/>
                <w:szCs w:val="22"/>
                <w:lang w:eastAsia="en-US"/>
              </w:rPr>
              <w:t>:</w:t>
            </w:r>
            <w:r w:rsidRPr="00CE30B2">
              <w:rPr>
                <w:rFonts w:asciiTheme="minorHAnsi" w:eastAsiaTheme="minorHAnsi" w:hAnsiTheme="minorHAnsi" w:cstheme="minorBidi"/>
                <w:sz w:val="20"/>
                <w:szCs w:val="22"/>
                <w:lang w:eastAsia="en-US"/>
              </w:rPr>
              <w:t xml:space="preserve"> 3.32, 9.23 months) in SCA-3. A cox regression model showed that ZUMA-3 patients had a 64% lower risk of death with a hazard ratio 0.36 (95% CI 0.20, 0.66) p-value 0.0005.</w:t>
            </w:r>
          </w:p>
          <w:p w14:paraId="2FB1E80F" w14:textId="3CE82A19" w:rsidR="00DD308E" w:rsidRPr="00CE30B2" w:rsidRDefault="00CE30B2" w:rsidP="00CE30B2">
            <w:pPr>
              <w:pStyle w:val="NormalWeb"/>
              <w:spacing w:before="0" w:after="0"/>
              <w:jc w:val="left"/>
              <w:textAlignment w:val="baseline"/>
              <w:rPr>
                <w:rFonts w:ascii="Helvetica" w:hAnsi="Helvetica"/>
                <w:color w:val="1A1A1A"/>
              </w:rPr>
            </w:pPr>
            <w:r w:rsidRPr="00CE30B2">
              <w:rPr>
                <w:rFonts w:asciiTheme="minorHAnsi" w:eastAsiaTheme="minorHAnsi" w:hAnsiTheme="minorHAnsi" w:cstheme="minorBidi"/>
                <w:sz w:val="20"/>
                <w:szCs w:val="22"/>
                <w:lang w:eastAsia="en-US"/>
              </w:rPr>
              <w:t xml:space="preserve">This comparative </w:t>
            </w:r>
            <w:r w:rsidR="00304D9C">
              <w:rPr>
                <w:rFonts w:asciiTheme="minorHAnsi" w:eastAsiaTheme="minorHAnsi" w:hAnsiTheme="minorHAnsi" w:cstheme="minorBidi"/>
                <w:sz w:val="20"/>
                <w:szCs w:val="22"/>
                <w:lang w:eastAsia="en-US"/>
              </w:rPr>
              <w:t xml:space="preserve">analysis of ZUMA-3 versus historical controls </w:t>
            </w:r>
            <w:r w:rsidRPr="00CE30B2">
              <w:rPr>
                <w:rFonts w:asciiTheme="minorHAnsi" w:eastAsiaTheme="minorHAnsi" w:hAnsiTheme="minorHAnsi" w:cstheme="minorBidi"/>
                <w:sz w:val="20"/>
                <w:szCs w:val="22"/>
                <w:lang w:eastAsia="en-US"/>
              </w:rPr>
              <w:t>demonstrated a clinically relevant improvement of OCR24 and OS following KTE-X19 vs available therapies and provides strong evidence for its use in adult patients with R/R B-ALL</w:t>
            </w:r>
          </w:p>
        </w:tc>
        <w:tc>
          <w:tcPr>
            <w:tcW w:w="864" w:type="pct"/>
          </w:tcPr>
          <w:p w14:paraId="75D102EA" w14:textId="77777777" w:rsidR="00CE30B2" w:rsidRDefault="0013236B" w:rsidP="00DD308E">
            <w:pPr>
              <w:rPr>
                <w:rStyle w:val="Hyperlink"/>
              </w:rPr>
            </w:pPr>
            <w:hyperlink r:id="rId27" w:history="1">
              <w:r w:rsidR="00CE30B2" w:rsidRPr="00040D3B">
                <w:rPr>
                  <w:rStyle w:val="Hyperlink"/>
                </w:rPr>
                <w:t>https://ashpublications.org/blood/article-split/138/Supplement%201/3844/481068/The-Comparison-of-Kte-X19-to-Current-Standards-of</w:t>
              </w:r>
            </w:hyperlink>
          </w:p>
          <w:p w14:paraId="7FFAEA08" w14:textId="77777777" w:rsidR="007C0AAE" w:rsidRDefault="007C0AAE" w:rsidP="00DD308E"/>
          <w:p w14:paraId="77F3F217" w14:textId="184AF276" w:rsidR="00B570A1" w:rsidRDefault="00B570A1" w:rsidP="00944F58">
            <w:pPr>
              <w:jc w:val="left"/>
            </w:pPr>
            <w:r>
              <w:t>ABSTRACT: Shah et. al., 2021</w:t>
            </w:r>
            <w:r>
              <w:fldChar w:fldCharType="begin"/>
            </w:r>
            <w:r>
              <w:instrText xml:space="preserve"> ADDIN EN.CITE &lt;EndNote&gt;&lt;Cite ExcludeYear="1"&gt;&lt;Author&gt;Shah&lt;/Author&gt;&lt;Year&gt;2021&lt;/Year&gt;&lt;RecNum&gt;14&lt;/RecNum&gt;&lt;DisplayText&gt;&lt;style face="superscript"&gt;10&lt;/style&gt;&lt;/DisplayText&gt;&lt;record&gt;&lt;rec-number&gt;14&lt;/rec-number&gt;&lt;foreign-keys&gt;&lt;key app="EN" db-id="taa2xz5tmwatawezss9vrteztavaxffdtd50" timestamp="1646781631"&gt;14&lt;/key&gt;&lt;/foreign-keys&gt;&lt;ref-type name="Journal Article"&gt;17&lt;/ref-type&gt;&lt;contributors&gt;&lt;authors&gt;&lt;author&gt;Shah, Bijal D.&lt;/author&gt;&lt;author&gt;Faghmous, Imi&lt;/author&gt;&lt;author&gt;Whitmore, James&lt;/author&gt;&lt;author&gt;Masouleh, Behzad Kharabi&lt;/author&gt;&lt;author&gt;Xu, Hairong&lt;/author&gt;&lt;/authors&gt;&lt;/contributors&gt;&lt;titles&gt;&lt;title&gt;ABSTRACT: The Comparison of Kte-X19 to Current Standards of Care: A Pre-Specified Synthetic Control Study Utilizing Individual Patient Level Data from Historic Clinical Trials (SCHOLAR-3).&lt;/title&gt;&lt;secondary-title&gt;Blood&lt;/secondary-title&gt;&lt;/titles&gt;&lt;periodical&gt;&lt;full-title&gt;BLOOD&lt;/full-title&gt;&lt;/periodical&gt;&lt;pages&gt;3844-3844&lt;/pages&gt;&lt;volume&gt;138&lt;/volume&gt;&lt;number&gt;Supplement 1&lt;/number&gt;&lt;num-vols&gt;ABSTRACT ONLY&lt;/num-vols&gt;&lt;section&gt;3844&lt;/section&gt;&lt;dates&gt;&lt;year&gt;2021&lt;/year&gt;&lt;/dates&gt;&lt;isbn&gt;0006-4971&amp;#xD;1528-0020&lt;/isbn&gt;&lt;urls&gt;&lt;/urls&gt;&lt;electronic-resource-num&gt;10.1182/blood-2021-146598&lt;/electronic-resource-num&gt;&lt;/record&gt;&lt;/Cite&gt;&lt;/EndNote&gt;</w:instrText>
            </w:r>
            <w:r>
              <w:fldChar w:fldCharType="separate"/>
            </w:r>
            <w:r w:rsidRPr="00B570A1">
              <w:rPr>
                <w:noProof/>
                <w:vertAlign w:val="superscript"/>
              </w:rPr>
              <w:t>10</w:t>
            </w:r>
            <w:r>
              <w:fldChar w:fldCharType="end"/>
            </w:r>
          </w:p>
          <w:p w14:paraId="38A4DB67" w14:textId="77777777" w:rsidR="00B570A1" w:rsidRDefault="00B570A1" w:rsidP="00944F58">
            <w:pPr>
              <w:jc w:val="left"/>
            </w:pPr>
          </w:p>
          <w:p w14:paraId="572047A9" w14:textId="24111D34" w:rsidR="00B570A1" w:rsidRPr="00CE30B2" w:rsidRDefault="00B570A1" w:rsidP="00944F58">
            <w:pPr>
              <w:jc w:val="left"/>
            </w:pPr>
            <w:r>
              <w:t>POSTER: Shah et. al., 2021</w:t>
            </w:r>
            <w:r>
              <w:fldChar w:fldCharType="begin"/>
            </w:r>
            <w:r>
              <w:instrText xml:space="preserve"> ADDIN EN.CITE &lt;EndNote&gt;&lt;Cite ExcludeYear="1"&gt;&lt;Author&gt;Shah&lt;/Author&gt;&lt;Year&gt;2021&lt;/Year&gt;&lt;RecNum&gt;13&lt;/RecNum&gt;&lt;DisplayText&gt;&lt;style face="superscript"&gt;11&lt;/style&gt;&lt;/DisplayText&gt;&lt;record&gt;&lt;rec-number&gt;13&lt;/rec-number&gt;&lt;foreign-keys&gt;&lt;key app="EN" db-id="taa2xz5tmwatawezss9vrteztavaxffdtd50" timestamp="1646781470"&gt;13&lt;/key&gt;&lt;/foreign-keys&gt;&lt;ref-type name="Journal Article"&gt;17&lt;/ref-type&gt;&lt;contributors&gt;&lt;authors&gt;&lt;author&gt;Shah, B.D.;  Faghmous, I.; Whitmore, J.; Masouleh, B.K.; Xu, H.&lt;/author&gt;&lt;/authors&gt;&lt;/contributors&gt;&lt;titles&gt;&lt;title&gt;POSTER: The Comparison of KTE-X19 to Current Standards of Care: A Prespecified Synthetic Control Study Utilizing Individual Patient-Level Data from Historic Clinical Trials (SCHOLAR-3)&lt;/title&gt;&lt;secondary-title&gt;BLOOD&lt;/secondary-title&gt;&lt;/titles&gt;&lt;periodical&gt;&lt;full-title&gt;BLOOD&lt;/full-title&gt;&lt;/periodical&gt;&lt;volume&gt;POSTER&lt;/volume&gt;&lt;number&gt;Presented at ASH 2021&lt;/number&gt;&lt;dates&gt;&lt;year&gt;2021&lt;/year&gt;&lt;/dates&gt;&lt;urls&gt;&lt;/urls&gt;&lt;/record&gt;&lt;/Cite&gt;&lt;/EndNote&gt;</w:instrText>
            </w:r>
            <w:r>
              <w:fldChar w:fldCharType="separate"/>
            </w:r>
            <w:r w:rsidRPr="00B570A1">
              <w:rPr>
                <w:noProof/>
                <w:vertAlign w:val="superscript"/>
              </w:rPr>
              <w:t>11</w:t>
            </w:r>
            <w:r>
              <w:fldChar w:fldCharType="end"/>
            </w:r>
          </w:p>
        </w:tc>
        <w:tc>
          <w:tcPr>
            <w:tcW w:w="479" w:type="pct"/>
          </w:tcPr>
          <w:p w14:paraId="0C6A11CA" w14:textId="67F57DED" w:rsidR="00DD308E" w:rsidRPr="00E82F54" w:rsidRDefault="00472946" w:rsidP="00DD308E">
            <w:pPr>
              <w:rPr>
                <w:b/>
                <w:szCs w:val="20"/>
              </w:rPr>
            </w:pPr>
            <w:r w:rsidRPr="00472946">
              <w:t>2021</w:t>
            </w:r>
          </w:p>
        </w:tc>
      </w:tr>
    </w:tbl>
    <w:p w14:paraId="74708CE4" w14:textId="77777777" w:rsidR="00944F58" w:rsidRDefault="00944F58" w:rsidP="00944F58">
      <w:pPr>
        <w:pStyle w:val="Heading2"/>
        <w:rPr>
          <w:i/>
        </w:rPr>
      </w:pPr>
      <w:r w:rsidRPr="00643755">
        <w:t xml:space="preserve">Identify </w:t>
      </w:r>
      <w:r w:rsidRPr="00643755">
        <w:rPr>
          <w:u w:val="single"/>
        </w:rPr>
        <w:t>yet-to-be-published</w:t>
      </w:r>
      <w:r w:rsidRPr="00643755">
        <w:t xml:space="preserve"> research that may have results available in the near future (that could be relevant to your application). Do not attach full text a</w:t>
      </w:r>
      <w:r>
        <w:t>rticles; this is just a summary</w:t>
      </w:r>
      <w:r w:rsidRPr="00643755">
        <w:rPr>
          <w:i/>
        </w:rPr>
        <w:t>.</w:t>
      </w:r>
    </w:p>
    <w:p w14:paraId="1CD9EFBB" w14:textId="77777777" w:rsidR="00944F58" w:rsidRPr="00944F58" w:rsidRDefault="00944F58" w:rsidP="00944F58">
      <w:pPr>
        <w:ind w:firstLine="360"/>
        <w:rPr>
          <w:bCs/>
        </w:rPr>
      </w:pPr>
      <w:r w:rsidRPr="00944F58">
        <w:rPr>
          <w:bCs/>
          <w:szCs w:val="20"/>
        </w:rPr>
        <w:t>None identified</w:t>
      </w:r>
    </w:p>
    <w:p w14:paraId="35ACFADA" w14:textId="4E986A50" w:rsidR="00944F58" w:rsidRDefault="00944F58">
      <w:pPr>
        <w:rPr>
          <w:b/>
          <w:sz w:val="32"/>
          <w:szCs w:val="32"/>
        </w:rPr>
        <w:sectPr w:rsidR="00944F58" w:rsidSect="00DD308E">
          <w:pgSz w:w="16838" w:h="11906" w:orient="landscape"/>
          <w:pgMar w:top="1440" w:right="1440" w:bottom="1440" w:left="1440" w:header="708" w:footer="708" w:gutter="0"/>
          <w:cols w:space="708"/>
          <w:docGrid w:linePitch="360"/>
        </w:sectPr>
      </w:pPr>
    </w:p>
    <w:p w14:paraId="0D20D466"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F810866"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65411A26" w14:textId="77777777" w:rsidR="00944F58" w:rsidRDefault="00944F58" w:rsidP="00944F58">
      <w:pPr>
        <w:ind w:left="426"/>
      </w:pPr>
      <w:r>
        <w:t>Haematology Society of Australia and New Zealand (HSANZ)</w:t>
      </w:r>
    </w:p>
    <w:p w14:paraId="0D950690" w14:textId="77777777" w:rsidR="00944F58" w:rsidRDefault="00944F58" w:rsidP="00944F58">
      <w:pPr>
        <w:ind w:left="426"/>
      </w:pPr>
      <w:r>
        <w:t>Australasian Leukaemia &amp; Lymphoma Group (ALLG)</w:t>
      </w:r>
    </w:p>
    <w:p w14:paraId="5E98F24D" w14:textId="2929853A" w:rsidR="00B87234" w:rsidRDefault="00944F58" w:rsidP="00944F58">
      <w:pPr>
        <w:ind w:left="426"/>
      </w:pPr>
      <w:r>
        <w:t>The Australian and New Zealand Transplant and Cellular Therapies (ANZTCT)</w:t>
      </w:r>
    </w:p>
    <w:p w14:paraId="37DBCE2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50EC178" w14:textId="2159523F" w:rsidR="00B87234" w:rsidRDefault="00944F58" w:rsidP="001238BD">
      <w:pPr>
        <w:ind w:left="426"/>
      </w:pPr>
      <w:r w:rsidRPr="00944F58">
        <w:t>The same groups as above</w:t>
      </w:r>
    </w:p>
    <w:p w14:paraId="2CD4CB7A" w14:textId="77777777" w:rsidR="00E82F54" w:rsidRPr="00154B00" w:rsidRDefault="00E82F54" w:rsidP="00A75D46">
      <w:pPr>
        <w:pStyle w:val="Heading2"/>
      </w:pPr>
      <w:bookmarkStart w:id="6" w:name="_Hlk89251468"/>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49DD093E" w14:textId="77777777" w:rsidR="00944F58" w:rsidRDefault="00944F58" w:rsidP="00944F58">
      <w:pPr>
        <w:ind w:left="426"/>
      </w:pPr>
      <w:r>
        <w:t>The Leukaemia Foundation (TLF)</w:t>
      </w:r>
    </w:p>
    <w:p w14:paraId="35591FDE" w14:textId="77777777" w:rsidR="00944F58" w:rsidRDefault="00944F58" w:rsidP="00944F58">
      <w:pPr>
        <w:ind w:left="426"/>
      </w:pPr>
      <w:r>
        <w:t>Rare Cancers Australia (RCA)</w:t>
      </w:r>
    </w:p>
    <w:p w14:paraId="35ED1364" w14:textId="37284564" w:rsidR="00B87234" w:rsidRPr="001238BD" w:rsidRDefault="00006C45" w:rsidP="00944F58">
      <w:pPr>
        <w:ind w:left="426"/>
      </w:pPr>
      <w:r>
        <w:t>Snowdome Foundation</w:t>
      </w:r>
      <w:bookmarkEnd w:id="6"/>
    </w:p>
    <w:p w14:paraId="520565BE"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1F195819" w14:textId="6F582315" w:rsidR="00B87234" w:rsidRDefault="00287170" w:rsidP="00E25935">
      <w:pPr>
        <w:ind w:left="426"/>
      </w:pPr>
      <w:r>
        <w:t>Novartis</w:t>
      </w:r>
      <w:r>
        <w:rPr>
          <w:spacing w:val="-4"/>
        </w:rPr>
        <w:t xml:space="preserve"> </w:t>
      </w:r>
      <w:r>
        <w:t>Pharmaceuticals</w:t>
      </w:r>
      <w:r>
        <w:rPr>
          <w:spacing w:val="-4"/>
        </w:rPr>
        <w:t xml:space="preserve"> </w:t>
      </w:r>
      <w:r>
        <w:t>Australia</w:t>
      </w:r>
      <w:r>
        <w:rPr>
          <w:spacing w:val="-3"/>
        </w:rPr>
        <w:t xml:space="preserve"> </w:t>
      </w:r>
      <w:r>
        <w:t>Pty</w:t>
      </w:r>
      <w:r>
        <w:rPr>
          <w:spacing w:val="-4"/>
        </w:rPr>
        <w:t xml:space="preserve"> </w:t>
      </w:r>
      <w:r>
        <w:t>Ltd</w:t>
      </w:r>
      <w:r>
        <w:rPr>
          <w:spacing w:val="-4"/>
        </w:rPr>
        <w:t xml:space="preserve"> </w:t>
      </w:r>
      <w:r w:rsidR="00A12B09">
        <w:t xml:space="preserve">is the sponsor for </w:t>
      </w:r>
      <w:proofErr w:type="spellStart"/>
      <w:r>
        <w:t>tisagenlecleucel</w:t>
      </w:r>
      <w:proofErr w:type="spellEnd"/>
      <w:r w:rsidR="0091147C">
        <w:t xml:space="preserve"> (Kymriah) for</w:t>
      </w:r>
      <w:r w:rsidR="00E25935">
        <w:t xml:space="preserve"> </w:t>
      </w:r>
      <w:r w:rsidR="0091147C" w:rsidRPr="0091147C">
        <w:t xml:space="preserve">treatment of confirmed relapsed/refractory CD19-positive </w:t>
      </w:r>
      <w:proofErr w:type="gramStart"/>
      <w:r w:rsidR="0091147C" w:rsidRPr="0091147C">
        <w:t>ALL in</w:t>
      </w:r>
      <w:proofErr w:type="gramEnd"/>
      <w:r w:rsidR="0091147C" w:rsidRPr="0091147C">
        <w:t xml:space="preserve"> children and young adults up to 25 years old</w:t>
      </w:r>
    </w:p>
    <w:p w14:paraId="0DF808C9" w14:textId="7C9B964A" w:rsidR="00A96329" w:rsidRPr="00421503" w:rsidRDefault="00BA72E3" w:rsidP="00A96329">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7F75BCAA" w14:textId="32DEA06F" w:rsidR="00987ABE" w:rsidRPr="00987ABE" w:rsidRDefault="00987ABE" w:rsidP="00987ABE">
      <w:pPr>
        <w:ind w:left="426"/>
        <w:rPr>
          <w:szCs w:val="20"/>
        </w:rPr>
      </w:pPr>
      <w:r>
        <w:rPr>
          <w:szCs w:val="20"/>
        </w:rPr>
        <w:t xml:space="preserve">Name of expert 1: </w:t>
      </w:r>
      <w:r w:rsidR="00944F58" w:rsidRPr="00944F58">
        <w:rPr>
          <w:b/>
          <w:bCs/>
        </w:rPr>
        <w:t>REDACTED</w:t>
      </w:r>
    </w:p>
    <w:p w14:paraId="62D3C80E" w14:textId="31693C58" w:rsidR="00987ABE" w:rsidRPr="00987ABE" w:rsidRDefault="00987ABE" w:rsidP="00987ABE">
      <w:pPr>
        <w:ind w:left="426"/>
        <w:rPr>
          <w:szCs w:val="20"/>
        </w:rPr>
      </w:pPr>
      <w:r>
        <w:rPr>
          <w:szCs w:val="20"/>
        </w:rPr>
        <w:t xml:space="preserve">Telephone number(s): </w:t>
      </w:r>
      <w:r w:rsidR="00944F58" w:rsidRPr="00944F58">
        <w:rPr>
          <w:b/>
          <w:bCs/>
        </w:rPr>
        <w:t>REDACTED</w:t>
      </w:r>
    </w:p>
    <w:p w14:paraId="71AEBC7D" w14:textId="0043664A" w:rsidR="00987ABE" w:rsidRPr="00987ABE" w:rsidRDefault="00987ABE" w:rsidP="00987ABE">
      <w:pPr>
        <w:ind w:left="426"/>
        <w:rPr>
          <w:szCs w:val="20"/>
        </w:rPr>
      </w:pPr>
      <w:r>
        <w:rPr>
          <w:szCs w:val="20"/>
        </w:rPr>
        <w:t xml:space="preserve">Email address: </w:t>
      </w:r>
      <w:r w:rsidR="00944F58" w:rsidRPr="00944F58">
        <w:rPr>
          <w:b/>
          <w:bCs/>
        </w:rPr>
        <w:t>REDACTED</w:t>
      </w:r>
    </w:p>
    <w:p w14:paraId="57820DD5" w14:textId="489AAF8D" w:rsidR="00987ABE" w:rsidRPr="00987ABE" w:rsidRDefault="00987ABE" w:rsidP="00987ABE">
      <w:pPr>
        <w:ind w:left="426"/>
        <w:rPr>
          <w:szCs w:val="20"/>
        </w:rPr>
      </w:pPr>
      <w:r>
        <w:rPr>
          <w:szCs w:val="20"/>
        </w:rPr>
        <w:t xml:space="preserve">Justification of expertise: </w:t>
      </w:r>
      <w:r w:rsidR="00944F58" w:rsidRPr="00944F58">
        <w:rPr>
          <w:b/>
          <w:bCs/>
        </w:rPr>
        <w:t>REDACTED</w:t>
      </w:r>
    </w:p>
    <w:p w14:paraId="33597920" w14:textId="77777777" w:rsidR="00987ABE" w:rsidRPr="00987ABE" w:rsidRDefault="00987ABE" w:rsidP="00987ABE">
      <w:pPr>
        <w:ind w:left="426"/>
        <w:rPr>
          <w:szCs w:val="20"/>
        </w:rPr>
      </w:pPr>
    </w:p>
    <w:p w14:paraId="0A8884D0" w14:textId="07E38A10" w:rsidR="00987ABE" w:rsidRPr="00987ABE" w:rsidRDefault="00987ABE" w:rsidP="00987ABE">
      <w:pPr>
        <w:ind w:left="426"/>
        <w:rPr>
          <w:szCs w:val="20"/>
        </w:rPr>
      </w:pPr>
      <w:r>
        <w:rPr>
          <w:szCs w:val="20"/>
        </w:rPr>
        <w:t xml:space="preserve">Name of expert 2: </w:t>
      </w:r>
      <w:r w:rsidR="00944F58" w:rsidRPr="00944F58">
        <w:rPr>
          <w:b/>
          <w:bCs/>
        </w:rPr>
        <w:t>REDACTED</w:t>
      </w:r>
    </w:p>
    <w:p w14:paraId="325BDE47" w14:textId="77A85B7D" w:rsidR="00987ABE" w:rsidRPr="00987ABE" w:rsidRDefault="00987ABE" w:rsidP="00987ABE">
      <w:pPr>
        <w:ind w:left="426"/>
        <w:rPr>
          <w:szCs w:val="20"/>
        </w:rPr>
      </w:pPr>
      <w:r>
        <w:rPr>
          <w:szCs w:val="20"/>
        </w:rPr>
        <w:t>Telephone number(s)</w:t>
      </w:r>
      <w:r w:rsidR="00944F58">
        <w:rPr>
          <w:szCs w:val="20"/>
        </w:rPr>
        <w:t xml:space="preserve">: </w:t>
      </w:r>
      <w:r w:rsidR="00944F58" w:rsidRPr="00944F58">
        <w:rPr>
          <w:b/>
          <w:bCs/>
        </w:rPr>
        <w:t>REDACTED</w:t>
      </w:r>
    </w:p>
    <w:p w14:paraId="096B24E9" w14:textId="7B75AE57" w:rsidR="00987ABE" w:rsidRPr="00987ABE" w:rsidRDefault="00987ABE" w:rsidP="00987ABE">
      <w:pPr>
        <w:ind w:left="426"/>
        <w:rPr>
          <w:szCs w:val="20"/>
        </w:rPr>
      </w:pPr>
      <w:r>
        <w:rPr>
          <w:szCs w:val="20"/>
        </w:rPr>
        <w:t xml:space="preserve">Email address: </w:t>
      </w:r>
      <w:r w:rsidR="00944F58" w:rsidRPr="00944F58">
        <w:rPr>
          <w:b/>
          <w:bCs/>
        </w:rPr>
        <w:t>REDACTED</w:t>
      </w:r>
    </w:p>
    <w:p w14:paraId="6E73AD53" w14:textId="60538734" w:rsidR="00E82F54" w:rsidRPr="00154B00" w:rsidRDefault="00987ABE" w:rsidP="00987ABE">
      <w:pPr>
        <w:ind w:left="426"/>
        <w:rPr>
          <w:szCs w:val="20"/>
        </w:rPr>
      </w:pPr>
      <w:r>
        <w:rPr>
          <w:szCs w:val="20"/>
        </w:rPr>
        <w:t xml:space="preserve">Justification of expertise: </w:t>
      </w:r>
      <w:r w:rsidR="00944F58" w:rsidRPr="00944F58">
        <w:rPr>
          <w:b/>
          <w:bCs/>
        </w:rPr>
        <w:t>REDACTED</w:t>
      </w:r>
    </w:p>
    <w:p w14:paraId="66CD2935" w14:textId="77777777" w:rsidR="00987ABE" w:rsidRDefault="00987ABE" w:rsidP="00E82F54">
      <w:pPr>
        <w:ind w:left="426"/>
        <w:rPr>
          <w:i/>
          <w:szCs w:val="20"/>
        </w:rPr>
      </w:pPr>
    </w:p>
    <w:p w14:paraId="5216A0F8" w14:textId="2F0FC6B2" w:rsidR="003433D1" w:rsidRDefault="003433D1" w:rsidP="00944F58">
      <w:pPr>
        <w:rPr>
          <w:b/>
          <w:sz w:val="32"/>
          <w:szCs w:val="32"/>
        </w:rPr>
      </w:pPr>
      <w:r>
        <w:rPr>
          <w:b/>
          <w:sz w:val="32"/>
          <w:szCs w:val="32"/>
        </w:rPr>
        <w:br w:type="page"/>
      </w:r>
    </w:p>
    <w:p w14:paraId="492A2F2C"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2608618" w14:textId="77777777" w:rsidR="0021185D" w:rsidRPr="005C3AE7" w:rsidRDefault="005C3AE7" w:rsidP="00944F58">
      <w:pPr>
        <w:pStyle w:val="Subtitle"/>
        <w:ind w:left="0"/>
      </w:pPr>
      <w:r w:rsidRPr="005C3AE7">
        <w:t xml:space="preserve">PART 6a – </w:t>
      </w:r>
      <w:r w:rsidR="0021185D" w:rsidRPr="005C3AE7">
        <w:t>INFORMATION ABOUT THE PROPOSED POPULATION</w:t>
      </w:r>
    </w:p>
    <w:p w14:paraId="25DC7790" w14:textId="2BBCCEF5" w:rsidR="00A31250" w:rsidRPr="00A31250" w:rsidRDefault="0021185D" w:rsidP="00A31250">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3A84E463" w14:textId="10BA7019" w:rsidR="000322FD" w:rsidRPr="006C6734" w:rsidRDefault="008F6B83" w:rsidP="00C85213">
      <w:pPr>
        <w:ind w:left="284"/>
        <w:rPr>
          <w:b/>
          <w:bCs/>
          <w:u w:val="single"/>
        </w:rPr>
      </w:pPr>
      <w:r w:rsidRPr="006C6734">
        <w:rPr>
          <w:b/>
          <w:bCs/>
          <w:u w:val="single"/>
        </w:rPr>
        <w:t>Acute lymphoblastic leuk</w:t>
      </w:r>
      <w:r w:rsidR="00173012" w:rsidRPr="006C6734">
        <w:rPr>
          <w:b/>
          <w:bCs/>
          <w:u w:val="single"/>
        </w:rPr>
        <w:t>a</w:t>
      </w:r>
      <w:r w:rsidRPr="006C6734">
        <w:rPr>
          <w:b/>
          <w:bCs/>
          <w:u w:val="single"/>
        </w:rPr>
        <w:t xml:space="preserve">emia </w:t>
      </w:r>
    </w:p>
    <w:p w14:paraId="6164982C" w14:textId="723D34B3" w:rsidR="00C85213" w:rsidRPr="00421503" w:rsidRDefault="000322FD" w:rsidP="00944F58">
      <w:pPr>
        <w:ind w:left="284"/>
        <w:jc w:val="left"/>
      </w:pPr>
      <w:r w:rsidRPr="00421503">
        <w:t>Acute lymphoblastic leuk</w:t>
      </w:r>
      <w:r w:rsidR="00916434" w:rsidRPr="00421503">
        <w:t>a</w:t>
      </w:r>
      <w:r w:rsidRPr="00421503">
        <w:t xml:space="preserve">emia </w:t>
      </w:r>
      <w:r w:rsidR="008F6B83" w:rsidRPr="00421503">
        <w:t>(ALL) is a h</w:t>
      </w:r>
      <w:r w:rsidR="00916434" w:rsidRPr="00421503">
        <w:t>a</w:t>
      </w:r>
      <w:r w:rsidR="008F6B83" w:rsidRPr="00421503">
        <w:t xml:space="preserve">ematologic malignancy propagated by impaired differentiation, proliferation, and accumulation of lymphoid progenitor cells in the bone marrow and/or extramedullary sites </w:t>
      </w:r>
      <w:r w:rsidR="00700D33" w:rsidRPr="00421503">
        <w:t>(Paul et al., 2016</w: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 </w:instrTex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EN.CITE.DATA </w:instrText>
      </w:r>
      <w:r w:rsidR="008B77F7" w:rsidRPr="00421503">
        <w:fldChar w:fldCharType="end"/>
      </w:r>
      <w:r w:rsidR="008B77F7" w:rsidRPr="00421503">
        <w:fldChar w:fldCharType="separate"/>
      </w:r>
      <w:r w:rsidR="008B77F7" w:rsidRPr="00421503">
        <w:rPr>
          <w:noProof/>
          <w:vertAlign w:val="superscript"/>
        </w:rPr>
        <w:t>1</w:t>
      </w:r>
      <w:r w:rsidR="008B77F7" w:rsidRPr="00421503">
        <w:fldChar w:fldCharType="end"/>
      </w:r>
      <w:r w:rsidR="00700D33" w:rsidRPr="00421503">
        <w:t xml:space="preserve">). </w:t>
      </w:r>
    </w:p>
    <w:p w14:paraId="2539B4EC" w14:textId="39044CCC" w:rsidR="009619E4" w:rsidRPr="00421503" w:rsidRDefault="00C85213" w:rsidP="00944F58">
      <w:pPr>
        <w:ind w:left="284"/>
        <w:jc w:val="left"/>
      </w:pPr>
      <w:r w:rsidRPr="00421503">
        <w:t xml:space="preserve">In Australia, </w:t>
      </w:r>
      <w:r w:rsidR="00DA7763" w:rsidRPr="00421503">
        <w:t>approximately</w:t>
      </w:r>
      <w:r w:rsidRPr="00421503">
        <w:t xml:space="preserve"> 446 diagnose</w:t>
      </w:r>
      <w:r w:rsidR="00173012" w:rsidRPr="00421503">
        <w:t>s</w:t>
      </w:r>
      <w:r w:rsidR="00DB2224">
        <w:t xml:space="preserve"> (in both children and adults)</w:t>
      </w:r>
      <w:r w:rsidRPr="00421503">
        <w:t xml:space="preserve"> with </w:t>
      </w:r>
      <w:r w:rsidR="00816045" w:rsidRPr="00421503">
        <w:t xml:space="preserve">and 109 deaths from ALL </w:t>
      </w:r>
      <w:r w:rsidR="00173012" w:rsidRPr="00421503">
        <w:t xml:space="preserve">are expected </w:t>
      </w:r>
      <w:r w:rsidRPr="00421503">
        <w:t>in 2021 (AIHW 2021)</w:t>
      </w:r>
      <w:r w:rsidR="006C6734" w:rsidRPr="00421503">
        <w:rPr>
          <w:rStyle w:val="FootnoteReference"/>
        </w:rPr>
        <w:footnoteReference w:id="2"/>
      </w:r>
      <w:r w:rsidRPr="00421503">
        <w:t xml:space="preserve">. </w:t>
      </w:r>
      <w:r w:rsidR="008F6B83" w:rsidRPr="00421503">
        <w:t>ALL is mainly considered a paediatric leuk</w:t>
      </w:r>
      <w:r w:rsidR="00916434" w:rsidRPr="00421503">
        <w:t>a</w:t>
      </w:r>
      <w:r w:rsidR="008F6B83" w:rsidRPr="00421503">
        <w:t xml:space="preserve">emia with 80% of cases occurring in children and 20% occurring in adults </w:t>
      </w:r>
      <w:r w:rsidR="00700D33" w:rsidRPr="00421503">
        <w:t>(Paul et al., 2016</w: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 </w:instrTex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EN.CITE.DATA </w:instrText>
      </w:r>
      <w:r w:rsidR="008B77F7" w:rsidRPr="00421503">
        <w:fldChar w:fldCharType="end"/>
      </w:r>
      <w:r w:rsidR="008B77F7" w:rsidRPr="00421503">
        <w:fldChar w:fldCharType="separate"/>
      </w:r>
      <w:r w:rsidR="008B77F7" w:rsidRPr="00421503">
        <w:rPr>
          <w:noProof/>
          <w:vertAlign w:val="superscript"/>
        </w:rPr>
        <w:t>1</w:t>
      </w:r>
      <w:r w:rsidR="008B77F7" w:rsidRPr="00421503">
        <w:fldChar w:fldCharType="end"/>
      </w:r>
      <w:r w:rsidR="00700D33" w:rsidRPr="00421503">
        <w:t xml:space="preserve">).  </w:t>
      </w:r>
      <w:r w:rsidR="00FF1B7C" w:rsidRPr="00421503">
        <w:t xml:space="preserve">The median age at diagnosis for ALL is 17 years old. The disease occurs with a bimodal age distribution, with 53.5% of patients diagnosed at younger than 20 years old and </w:t>
      </w:r>
      <w:r w:rsidR="002E6E2A" w:rsidRPr="00421503">
        <w:t xml:space="preserve">of the remainder: </w:t>
      </w:r>
      <w:r w:rsidR="00FF1B7C" w:rsidRPr="00421503">
        <w:t>29.6% of cases diagnosed in adult patients ≥ 45 years old and 13.7% of patients diagnosed at ≥ 65 years (</w:t>
      </w:r>
      <w:r w:rsidR="008B77F7" w:rsidRPr="00421503">
        <w:t>NCCN 2021</w:t>
      </w:r>
      <w:r w:rsidR="008B77F7" w:rsidRPr="00421503">
        <w:fldChar w:fldCharType="begin"/>
      </w:r>
      <w:r w:rsidR="007C0AAE" w:rsidRPr="00421503">
        <w:instrText xml:space="preserve"> ADDIN EN.CITE &lt;EndNote&gt;&lt;Cite ExcludeYear="1"&gt;&lt;Author&gt;NCCN&lt;/Author&gt;&lt;Year&gt;2021&lt;/Year&gt;&lt;RecNum&gt;7&lt;/RecNum&gt;&lt;DisplayText&gt;&lt;style face="superscript"&gt;3&lt;/style&gt;&lt;/DisplayText&gt;&lt;record&gt;&lt;rec-number&gt;7&lt;/rec-number&gt;&lt;foreign-keys&gt;&lt;key app="EN" db-id="taa2xz5tmwatawezss9vrteztavaxffdtd50" timestamp="1645682219"&gt;7&lt;/key&gt;&lt;/foreign-keys&gt;&lt;ref-type name="Journal Article"&gt;17&lt;/ref-type&gt;&lt;contributors&gt;&lt;authors&gt;&lt;author&gt;NCCN&lt;/author&gt;&lt;/authors&gt;&lt;/contributors&gt;&lt;titles&gt;&lt;title&gt;Acute Lymphoblastic Leukemia: NCCN Clinical Practice Guidelines in Oncology&lt;/title&gt;&lt;secondary-title&gt;National Comprehensive Cancer Network&lt;/secondary-title&gt;&lt;/titles&gt;&lt;periodical&gt;&lt;full-title&gt;National Comprehensive Cancer Network&lt;/full-title&gt;&lt;/periodical&gt;&lt;volume&gt;Version 4.2021&lt;/volume&gt;&lt;number&gt;January 7, 2022&lt;/number&gt;&lt;edition&gt;January 7, 2022&lt;/edition&gt;&lt;dates&gt;&lt;year&gt;2021&lt;/year&gt;&lt;/dates&gt;&lt;urls&gt;&lt;related-urls&gt;&lt;url&gt;https://www.nccn.org/professionals/physician_gls/pdf/all.pdf&lt;/url&gt;&lt;/related-urls&gt;&lt;/urls&gt;&lt;/record&gt;&lt;/Cite&gt;&lt;/EndNote&gt;</w:instrText>
      </w:r>
      <w:r w:rsidR="008B77F7" w:rsidRPr="00421503">
        <w:fldChar w:fldCharType="separate"/>
      </w:r>
      <w:r w:rsidR="007C0AAE" w:rsidRPr="00421503">
        <w:rPr>
          <w:noProof/>
          <w:vertAlign w:val="superscript"/>
        </w:rPr>
        <w:t>3</w:t>
      </w:r>
      <w:r w:rsidR="008B77F7" w:rsidRPr="00421503">
        <w:fldChar w:fldCharType="end"/>
      </w:r>
      <w:r w:rsidR="00FF1B7C" w:rsidRPr="00421503">
        <w:t>). S</w:t>
      </w:r>
      <w:r w:rsidR="008F6B83" w:rsidRPr="00421503">
        <w:t xml:space="preserve">urvival is particularly poor among adults (Katz </w:t>
      </w:r>
      <w:r w:rsidR="00B570A1" w:rsidRPr="00421503">
        <w:t xml:space="preserve">et. al., </w:t>
      </w:r>
      <w:r w:rsidR="008F6B83" w:rsidRPr="00421503">
        <w:t>2015</w:t>
      </w:r>
      <w:r w:rsidR="00B570A1" w:rsidRPr="00421503">
        <w:fldChar w:fldCharType="begin">
          <w:fldData xml:space="preserve">PEVuZE5vdGU+PENpdGUgRXhjbHVkZVllYXI9IjEiPjxBdXRob3I+S2F0ejwvQXV0aG9yPjxZZWFy
PjIwMTU8L1llYXI+PFJlY051bT4xNTwvUmVjTnVtPjxEaXNwbGF5VGV4dD48c3R5bGUgZmFjZT0i
c3VwZXJzY3JpcHQiPjEyPC9zdHlsZT48L0Rpc3BsYXlUZXh0PjxyZWNvcmQ+PHJlYy1udW1iZXI+
MTU8L3JlYy1udW1iZXI+PGZvcmVpZ24ta2V5cz48a2V5IGFwcD0iRU4iIGRiLWlkPSJ0YWEyeHo1
dG13YXRhd2V6c3M5dnJ0ZXp0YXZheGZmZHRkNTAiIHRpbWVzdGFtcD0iMTY0Njc4MTg3OSI+MTU8
L2tleT48L2ZvcmVpZ24ta2V5cz48cmVmLXR5cGUgbmFtZT0iSm91cm5hbCBBcnRpY2xlIj4xNzwv
cmVmLXR5cGU+PGNvbnRyaWJ1dG9ycz48YXV0aG9ycz48YXV0aG9yPkthdHosIEEuIEouPC9hdXRo
b3I+PGF1dGhvcj5DaGlhLCBWLiBNLjwvYXV0aG9yPjxhdXRob3I+U2Nob29uZW4sIFcuIE0uPC9h
dXRob3I+PGF1dGhvcj5LZWxzaCwgTS4gQS48L2F1dGhvcj48L2F1dGhvcnM+PC9jb250cmlidXRv
cnM+PGF1dGgtYWRkcmVzcz5DZW50ZXIgZm9yIE9ic2VydmF0aW9uYWwgUmVzZWFyY2gsIEFtZ2Vu
IEluYy4sIE9uZSBBbWdlbiBDZW50ZXIgRHJpdmUsIDI0LTItQSwgVGhvdXNhbmQgT2FrcywgQ0Es
IDkxMzIwLCBVU0EuIGthdHphQGFtZ2VuLmNvbS4mI3hEO0NlbnRlciBmb3IgT2JzZXJ2YXRpb25h
bCBSZXNlYXJjaCwgQW1nZW4gSW5jLiwgT25lIEFtZ2VuIENlbnRlciBEcml2ZSwgMjQtMi1BLCBU
aG91c2FuZCBPYWtzLCBDQSwgOTEzMjAsIFVTQS4mI3hEO0NlbnRlciBmb3IgT2JzZXJ2YXRpb25h
bCBSZXNlYXJjaCwgQW1nZW4gTHRkLiwgMSBVeGJyaWRnZSBCdXNpbmVzcyBQYXJrLCBTYW5kZXJz
b24gUm9hZCwgVXhicmlkZ2UsIE1pZGRsZXNleCwgVUsuPC9hdXRoLWFkZHJlc3M+PHRpdGxlcz48
dGl0bGU+QWN1dGUgbHltcGhvYmxhc3RpYyBsZXVrZW1pYTogYW4gYXNzZXNzbWVudCBvZiBpbnRl
cm5hdGlvbmFsIGluY2lkZW5jZSwgc3Vydml2YWwsIGFuZCBkaXNlYXNlIGJ1cmRlbjwvdGl0bGU+
PHNlY29uZGFyeS10aXRsZT5DYW5jZXIgQ2F1c2VzIENvbnRyb2w8L3NlY29uZGFyeS10aXRsZT48
L3RpdGxlcz48cGFnZXM+MTYyNy00MjwvcGFnZXM+PHZvbHVtZT4yNjwvdm9sdW1lPjxudW1iZXI+
MTE8L251bWJlcj48ZWRpdGlvbj4yMDE1MDkxNjwvZWRpdGlvbj48a2V5d29yZHM+PGtleXdvcmQ+
QWRvbGVzY2VudDwva2V5d29yZD48a2V5d29yZD5BZHVsdDwva2V5d29yZD48a2V5d29yZD5BZ2Vk
PC9rZXl3b3JkPjxrZXl3b3JkPkFnZWQsIDgwIGFuZCBvdmVyPC9rZXl3b3JkPjxrZXl3b3JkPkFz
aWEvZXBpZGVtaW9sb2d5PC9rZXl3b3JkPjxrZXl3b3JkPkNoaWxkPC9rZXl3b3JkPjxrZXl3b3Jk
PkNoaWxkLCBQcmVzY2hvb2w8L2tleXdvcmQ+PGtleXdvcmQ+KkNvc3Qgb2YgSWxsbmVzczwva2V5
d29yZD48a2V5d29yZD5EYXRhYmFzZXMsIEZhY3R1YWw8L2tleXdvcmQ+PGtleXdvcmQ+RmVtYWxl
PC9rZXl3b3JkPjxrZXl3b3JkPkh1bWFuczwva2V5d29yZD48a2V5d29yZD5JbmNpZGVuY2U8L2tl
eXdvcmQ+PGtleXdvcmQ+SW5mYW50PC9rZXl3b3JkPjxrZXl3b3JkPk1hbGU8L2tleXdvcmQ+PGtl
eXdvcmQ+TWlkZGxlIEFnZWQ8L2tleXdvcmQ+PGtleXdvcmQ+TmF0aW9uYWwgQ2FuY2VyIEluc3Rp
dHV0ZSAoVS5TLik8L2tleXdvcmQ+PGtleXdvcmQ+UHJlY3Vyc29yIENlbGwgTHltcGhvYmxhc3Rp
YyBMZXVrZW1pYS1MeW1waG9tYS8qZXBpZGVtaW9sb2d5L21vcnRhbGl0eTwva2V5d29yZD48a2V5
d29yZD4qUHVibGljIEhlYWx0aDwva2V5d29yZD48a2V5d29yZD5Vbml0ZWQgU3RhdGVzL2VwaWRl
bWlvbG9neTwva2V5d29yZD48a2V5d29yZD5Zb3VuZyBBZHVsdDwva2V5d29yZD48a2V5d29yZD5B
Y3V0ZSBseW1waG9ibGFzdGljIGxldWtlbWlhPC9rZXl3b3JkPjxrZXl3b3JkPkludGVybmF0aW9u
YWw8L2tleXdvcmQ+PGtleXdvcmQ+UG90ZW50aWFsIHllYXJzIG9mIGxpZmUgbG9zdDwva2V5d29y
ZD48a2V5d29yZD5Qcm9qZWN0aW9uczwva2V5d29yZD48a2V5d29yZD5TdXJ2aXZhbDwva2V5d29y
ZD48L2tleXdvcmRzPjxkYXRlcz48eWVhcj4yMDE1PC95ZWFyPjxwdWItZGF0ZXM+PGRhdGU+Tm92
PC9kYXRlPjwvcHViLWRhdGVzPjwvZGF0ZXM+PGlzYm4+MTU3My03MjI1IChFbGVjdHJvbmljKSYj
eEQ7MDk1Ny01MjQzIChMaW5raW5nKTwvaXNibj48YWNjZXNzaW9uLW51bT4yNjM3Njg5MDwvYWNj
ZXNzaW9uLW51bT48dXJscz48cmVsYXRlZC11cmxzPjx1cmw+aHR0cHM6Ly93d3cubmNiaS5ubG0u
bmloLmdvdi9wdWJtZWQvMjYzNzY4OTA8L3VybD48L3JlbGF0ZWQtdXJscz48L3VybHM+PGVsZWN0
cm9uaWMtcmVzb3VyY2UtbnVtPjEwLjEwMDcvczEwNTUyLTAxNS0wNjU3LTY8L2VsZWN0cm9uaWMt
cmVzb3VyY2UtbnVtPjwvcmVjb3JkPjwvQ2l0ZT48L0VuZE5vdGU+AG==
</w:fldData>
        </w:fldChar>
      </w:r>
      <w:r w:rsidR="00B570A1" w:rsidRPr="00421503">
        <w:instrText xml:space="preserve"> ADDIN EN.CITE </w:instrText>
      </w:r>
      <w:r w:rsidR="00B570A1" w:rsidRPr="00421503">
        <w:fldChar w:fldCharType="begin">
          <w:fldData xml:space="preserve">PEVuZE5vdGU+PENpdGUgRXhjbHVkZVllYXI9IjEiPjxBdXRob3I+S2F0ejwvQXV0aG9yPjxZZWFy
PjIwMTU8L1llYXI+PFJlY051bT4xNTwvUmVjTnVtPjxEaXNwbGF5VGV4dD48c3R5bGUgZmFjZT0i
c3VwZXJzY3JpcHQiPjEyPC9zdHlsZT48L0Rpc3BsYXlUZXh0PjxyZWNvcmQ+PHJlYy1udW1iZXI+
MTU8L3JlYy1udW1iZXI+PGZvcmVpZ24ta2V5cz48a2V5IGFwcD0iRU4iIGRiLWlkPSJ0YWEyeHo1
dG13YXRhd2V6c3M5dnJ0ZXp0YXZheGZmZHRkNTAiIHRpbWVzdGFtcD0iMTY0Njc4MTg3OSI+MTU8
L2tleT48L2ZvcmVpZ24ta2V5cz48cmVmLXR5cGUgbmFtZT0iSm91cm5hbCBBcnRpY2xlIj4xNzwv
cmVmLXR5cGU+PGNvbnRyaWJ1dG9ycz48YXV0aG9ycz48YXV0aG9yPkthdHosIEEuIEouPC9hdXRo
b3I+PGF1dGhvcj5DaGlhLCBWLiBNLjwvYXV0aG9yPjxhdXRob3I+U2Nob29uZW4sIFcuIE0uPC9h
dXRob3I+PGF1dGhvcj5LZWxzaCwgTS4gQS48L2F1dGhvcj48L2F1dGhvcnM+PC9jb250cmlidXRv
cnM+PGF1dGgtYWRkcmVzcz5DZW50ZXIgZm9yIE9ic2VydmF0aW9uYWwgUmVzZWFyY2gsIEFtZ2Vu
IEluYy4sIE9uZSBBbWdlbiBDZW50ZXIgRHJpdmUsIDI0LTItQSwgVGhvdXNhbmQgT2FrcywgQ0Es
IDkxMzIwLCBVU0EuIGthdHphQGFtZ2VuLmNvbS4mI3hEO0NlbnRlciBmb3IgT2JzZXJ2YXRpb25h
bCBSZXNlYXJjaCwgQW1nZW4gSW5jLiwgT25lIEFtZ2VuIENlbnRlciBEcml2ZSwgMjQtMi1BLCBU
aG91c2FuZCBPYWtzLCBDQSwgOTEzMjAsIFVTQS4mI3hEO0NlbnRlciBmb3IgT2JzZXJ2YXRpb25h
bCBSZXNlYXJjaCwgQW1nZW4gTHRkLiwgMSBVeGJyaWRnZSBCdXNpbmVzcyBQYXJrLCBTYW5kZXJz
b24gUm9hZCwgVXhicmlkZ2UsIE1pZGRsZXNleCwgVUsuPC9hdXRoLWFkZHJlc3M+PHRpdGxlcz48
dGl0bGU+QWN1dGUgbHltcGhvYmxhc3RpYyBsZXVrZW1pYTogYW4gYXNzZXNzbWVudCBvZiBpbnRl
cm5hdGlvbmFsIGluY2lkZW5jZSwgc3Vydml2YWwsIGFuZCBkaXNlYXNlIGJ1cmRlbjwvdGl0bGU+
PHNlY29uZGFyeS10aXRsZT5DYW5jZXIgQ2F1c2VzIENvbnRyb2w8L3NlY29uZGFyeS10aXRsZT48
L3RpdGxlcz48cGFnZXM+MTYyNy00MjwvcGFnZXM+PHZvbHVtZT4yNjwvdm9sdW1lPjxudW1iZXI+
MTE8L251bWJlcj48ZWRpdGlvbj4yMDE1MDkxNjwvZWRpdGlvbj48a2V5d29yZHM+PGtleXdvcmQ+
QWRvbGVzY2VudDwva2V5d29yZD48a2V5d29yZD5BZHVsdDwva2V5d29yZD48a2V5d29yZD5BZ2Vk
PC9rZXl3b3JkPjxrZXl3b3JkPkFnZWQsIDgwIGFuZCBvdmVyPC9rZXl3b3JkPjxrZXl3b3JkPkFz
aWEvZXBpZGVtaW9sb2d5PC9rZXl3b3JkPjxrZXl3b3JkPkNoaWxkPC9rZXl3b3JkPjxrZXl3b3Jk
PkNoaWxkLCBQcmVzY2hvb2w8L2tleXdvcmQ+PGtleXdvcmQ+KkNvc3Qgb2YgSWxsbmVzczwva2V5
d29yZD48a2V5d29yZD5EYXRhYmFzZXMsIEZhY3R1YWw8L2tleXdvcmQ+PGtleXdvcmQ+RmVtYWxl
PC9rZXl3b3JkPjxrZXl3b3JkPkh1bWFuczwva2V5d29yZD48a2V5d29yZD5JbmNpZGVuY2U8L2tl
eXdvcmQ+PGtleXdvcmQ+SW5mYW50PC9rZXl3b3JkPjxrZXl3b3JkPk1hbGU8L2tleXdvcmQ+PGtl
eXdvcmQ+TWlkZGxlIEFnZWQ8L2tleXdvcmQ+PGtleXdvcmQ+TmF0aW9uYWwgQ2FuY2VyIEluc3Rp
dHV0ZSAoVS5TLik8L2tleXdvcmQ+PGtleXdvcmQ+UHJlY3Vyc29yIENlbGwgTHltcGhvYmxhc3Rp
YyBMZXVrZW1pYS1MeW1waG9tYS8qZXBpZGVtaW9sb2d5L21vcnRhbGl0eTwva2V5d29yZD48a2V5
d29yZD4qUHVibGljIEhlYWx0aDwva2V5d29yZD48a2V5d29yZD5Vbml0ZWQgU3RhdGVzL2VwaWRl
bWlvbG9neTwva2V5d29yZD48a2V5d29yZD5Zb3VuZyBBZHVsdDwva2V5d29yZD48a2V5d29yZD5B
Y3V0ZSBseW1waG9ibGFzdGljIGxldWtlbWlhPC9rZXl3b3JkPjxrZXl3b3JkPkludGVybmF0aW9u
YWw8L2tleXdvcmQ+PGtleXdvcmQ+UG90ZW50aWFsIHllYXJzIG9mIGxpZmUgbG9zdDwva2V5d29y
ZD48a2V5d29yZD5Qcm9qZWN0aW9uczwva2V5d29yZD48a2V5d29yZD5TdXJ2aXZhbDwva2V5d29y
ZD48L2tleXdvcmRzPjxkYXRlcz48eWVhcj4yMDE1PC95ZWFyPjxwdWItZGF0ZXM+PGRhdGU+Tm92
PC9kYXRlPjwvcHViLWRhdGVzPjwvZGF0ZXM+PGlzYm4+MTU3My03MjI1IChFbGVjdHJvbmljKSYj
eEQ7MDk1Ny01MjQzIChMaW5raW5nKTwvaXNibj48YWNjZXNzaW9uLW51bT4yNjM3Njg5MDwvYWNj
ZXNzaW9uLW51bT48dXJscz48cmVsYXRlZC11cmxzPjx1cmw+aHR0cHM6Ly93d3cubmNiaS5ubG0u
bmloLmdvdi9wdWJtZWQvMjYzNzY4OTA8L3VybD48L3JlbGF0ZWQtdXJscz48L3VybHM+PGVsZWN0
cm9uaWMtcmVzb3VyY2UtbnVtPjEwLjEwMDcvczEwNTUyLTAxNS0wNjU3LTY8L2VsZWN0cm9uaWMt
cmVzb3VyY2UtbnVtPjwvcmVjb3JkPjwvQ2l0ZT48L0VuZE5vdGU+AG==
</w:fldData>
        </w:fldChar>
      </w:r>
      <w:r w:rsidR="00B570A1" w:rsidRPr="00421503">
        <w:instrText xml:space="preserve"> ADDIN EN.CITE.DATA </w:instrText>
      </w:r>
      <w:r w:rsidR="00B570A1" w:rsidRPr="00421503">
        <w:fldChar w:fldCharType="end"/>
      </w:r>
      <w:r w:rsidR="00B570A1" w:rsidRPr="00421503">
        <w:fldChar w:fldCharType="separate"/>
      </w:r>
      <w:r w:rsidR="00B570A1" w:rsidRPr="00421503">
        <w:rPr>
          <w:noProof/>
          <w:vertAlign w:val="superscript"/>
        </w:rPr>
        <w:t>12</w:t>
      </w:r>
      <w:r w:rsidR="00B570A1" w:rsidRPr="00421503">
        <w:fldChar w:fldCharType="end"/>
      </w:r>
      <w:r w:rsidR="008F6B83" w:rsidRPr="00421503">
        <w:t>) and represents a devastating disease when it occurs in adults</w:t>
      </w:r>
      <w:r w:rsidR="002E6E2A" w:rsidRPr="00421503">
        <w:t xml:space="preserve"> with high mortality</w:t>
      </w:r>
      <w:r w:rsidR="008F6B83" w:rsidRPr="00421503">
        <w:t xml:space="preserve"> (</w:t>
      </w:r>
      <w:proofErr w:type="spellStart"/>
      <w:r w:rsidR="008B77F7" w:rsidRPr="00421503">
        <w:t>Terwiliger</w:t>
      </w:r>
      <w:proofErr w:type="spellEnd"/>
      <w:r w:rsidR="008B77F7" w:rsidRPr="00421503">
        <w:t xml:space="preserve"> et. al., 2017</w:t>
      </w:r>
      <w:r w:rsidR="008B77F7" w:rsidRPr="00421503">
        <w:fldChar w:fldCharType="begin"/>
      </w:r>
      <w:r w:rsidR="007C0AAE" w:rsidRPr="00421503">
        <w:instrText xml:space="preserve"> ADDIN EN.CITE &lt;EndNote&gt;&lt;Cite ExcludeYear="1"&gt;&lt;Author&gt;Terwilliger&lt;/Author&gt;&lt;Year&gt;2017&lt;/Year&gt;&lt;RecNum&gt;2&lt;/RecNum&gt;&lt;DisplayText&gt;&lt;style face="superscript"&gt;4&lt;/style&gt;&lt;/DisplayText&gt;&lt;record&gt;&lt;rec-number&gt;2&lt;/rec-number&gt;&lt;foreign-keys&gt;&lt;key app="EN" db-id="taa2xz5tmwatawezss9vrteztavaxffdtd50" timestamp="1645681179"&gt;2&lt;/key&gt;&lt;/foreign-keys&gt;&lt;ref-type name="Journal Article"&gt;17&lt;/ref-type&gt;&lt;contributors&gt;&lt;authors&gt;&lt;author&gt;Terwilliger, T.&lt;/author&gt;&lt;author&gt;Abdul-Hay, M.&lt;/author&gt;&lt;/authors&gt;&lt;/contributors&gt;&lt;auth-address&gt;New York University School of Medicine, New York, USA.&amp;#xD;Department of Hematology, New York University Perlmutter Cancer Center, New York, USA.&lt;/auth-address&gt;&lt;titles&gt;&lt;title&gt;Acute lymphoblastic leukemia: a comprehensive review and 2017 update&lt;/title&gt;&lt;secondary-title&gt;Blood Cancer J&lt;/secondary-title&gt;&lt;/titles&gt;&lt;pages&gt;e577&lt;/pages&gt;&lt;volume&gt;7&lt;/volume&gt;&lt;number&gt;6&lt;/number&gt;&lt;edition&gt;20170630&lt;/edition&gt;&lt;keywords&gt;&lt;keyword&gt;Female&lt;/keyword&gt;&lt;keyword&gt;History, 21st Century&lt;/keyword&gt;&lt;keyword&gt;Humans&lt;/keyword&gt;&lt;keyword&gt;Male&lt;/keyword&gt;&lt;keyword&gt;*Precursor Cell Lymphoblastic Leukemia-Lymphoma&lt;/keyword&gt;&lt;/keywords&gt;&lt;dates&gt;&lt;year&gt;2017&lt;/year&gt;&lt;pub-dates&gt;&lt;date&gt;Jun 30&lt;/date&gt;&lt;/pub-dates&gt;&lt;/dates&gt;&lt;isbn&gt;2044-5385 (Electronic)&amp;#xD;2044-5385 (Linking)&lt;/isbn&gt;&lt;accession-num&gt;28665419&lt;/accession-num&gt;&lt;urls&gt;&lt;related-urls&gt;&lt;url&gt;https://www.ncbi.nlm.nih.gov/pubmed/28665419&lt;/url&gt;&lt;/related-urls&gt;&lt;/urls&gt;&lt;custom2&gt;PMC5520400&lt;/custom2&gt;&lt;electronic-resource-num&gt;10.1038/bcj.2017.53&lt;/electronic-resource-num&gt;&lt;/record&gt;&lt;/Cite&gt;&lt;/EndNote&gt;</w:instrText>
      </w:r>
      <w:r w:rsidR="008B77F7" w:rsidRPr="00421503">
        <w:fldChar w:fldCharType="separate"/>
      </w:r>
      <w:r w:rsidR="007C0AAE" w:rsidRPr="00421503">
        <w:rPr>
          <w:noProof/>
          <w:vertAlign w:val="superscript"/>
        </w:rPr>
        <w:t>4</w:t>
      </w:r>
      <w:r w:rsidR="008B77F7" w:rsidRPr="00421503">
        <w:fldChar w:fldCharType="end"/>
      </w:r>
      <w:r w:rsidR="008F6B83" w:rsidRPr="00421503">
        <w:t>).</w:t>
      </w:r>
      <w:r w:rsidR="001F0AAD" w:rsidRPr="00421503">
        <w:t xml:space="preserve"> </w:t>
      </w:r>
    </w:p>
    <w:p w14:paraId="59E1CBCC" w14:textId="350D80C2" w:rsidR="00560B7E" w:rsidRPr="00421503" w:rsidRDefault="001F0AAD" w:rsidP="00944F58">
      <w:pPr>
        <w:ind w:left="284"/>
        <w:jc w:val="left"/>
      </w:pPr>
      <w:r w:rsidRPr="00421503">
        <w:t xml:space="preserve">The 5- year overall survival (OS) is approximately 90% in children </w:t>
      </w:r>
      <w:r w:rsidR="001D317C">
        <w:t xml:space="preserve">but only </w:t>
      </w:r>
      <w:r w:rsidRPr="00421503">
        <w:t>20% to 40% in adults and elderly patients (</w:t>
      </w:r>
      <w:r w:rsidR="008B77F7" w:rsidRPr="00421503">
        <w:t>NCCN 2021</w:t>
      </w:r>
      <w:r w:rsidR="008B77F7" w:rsidRPr="00421503">
        <w:fldChar w:fldCharType="begin"/>
      </w:r>
      <w:r w:rsidR="007C0AAE" w:rsidRPr="00421503">
        <w:instrText xml:space="preserve"> ADDIN EN.CITE &lt;EndNote&gt;&lt;Cite ExcludeYear="1"&gt;&lt;Author&gt;NCCN&lt;/Author&gt;&lt;Year&gt;2021&lt;/Year&gt;&lt;RecNum&gt;7&lt;/RecNum&gt;&lt;DisplayText&gt;&lt;style face="superscript"&gt;3&lt;/style&gt;&lt;/DisplayText&gt;&lt;record&gt;&lt;rec-number&gt;7&lt;/rec-number&gt;&lt;foreign-keys&gt;&lt;key app="EN" db-id="taa2xz5tmwatawezss9vrteztavaxffdtd50" timestamp="1645682219"&gt;7&lt;/key&gt;&lt;/foreign-keys&gt;&lt;ref-type name="Journal Article"&gt;17&lt;/ref-type&gt;&lt;contributors&gt;&lt;authors&gt;&lt;author&gt;NCCN&lt;/author&gt;&lt;/authors&gt;&lt;/contributors&gt;&lt;titles&gt;&lt;title&gt;Acute Lymphoblastic Leukemia: NCCN Clinical Practice Guidelines in Oncology&lt;/title&gt;&lt;secondary-title&gt;National Comprehensive Cancer Network&lt;/secondary-title&gt;&lt;/titles&gt;&lt;periodical&gt;&lt;full-title&gt;National Comprehensive Cancer Network&lt;/full-title&gt;&lt;/periodical&gt;&lt;volume&gt;Version 4.2021&lt;/volume&gt;&lt;number&gt;January 7, 2022&lt;/number&gt;&lt;edition&gt;January 7, 2022&lt;/edition&gt;&lt;dates&gt;&lt;year&gt;2021&lt;/year&gt;&lt;/dates&gt;&lt;urls&gt;&lt;related-urls&gt;&lt;url&gt;https://www.nccn.org/professionals/physician_gls/pdf/all.pdf&lt;/url&gt;&lt;/related-urls&gt;&lt;/urls&gt;&lt;/record&gt;&lt;/Cite&gt;&lt;/EndNote&gt;</w:instrText>
      </w:r>
      <w:r w:rsidR="008B77F7" w:rsidRPr="00421503">
        <w:fldChar w:fldCharType="separate"/>
      </w:r>
      <w:r w:rsidR="007C0AAE" w:rsidRPr="00421503">
        <w:rPr>
          <w:noProof/>
          <w:vertAlign w:val="superscript"/>
        </w:rPr>
        <w:t>3</w:t>
      </w:r>
      <w:r w:rsidR="008B77F7" w:rsidRPr="00421503">
        <w:fldChar w:fldCharType="end"/>
      </w:r>
      <w:r w:rsidRPr="00421503">
        <w:t xml:space="preserve">; </w:t>
      </w:r>
      <w:r w:rsidR="00700D33" w:rsidRPr="00421503">
        <w:t>Paul et al., 2016</w: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 </w:instrText>
      </w:r>
      <w:r w:rsidR="008B77F7" w:rsidRPr="00421503">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421503">
        <w:instrText xml:space="preserve"> ADDIN EN.CITE.DATA </w:instrText>
      </w:r>
      <w:r w:rsidR="008B77F7" w:rsidRPr="00421503">
        <w:fldChar w:fldCharType="end"/>
      </w:r>
      <w:r w:rsidR="008B77F7" w:rsidRPr="00421503">
        <w:fldChar w:fldCharType="separate"/>
      </w:r>
      <w:r w:rsidR="008B77F7" w:rsidRPr="00421503">
        <w:rPr>
          <w:noProof/>
          <w:vertAlign w:val="superscript"/>
        </w:rPr>
        <w:t>1</w:t>
      </w:r>
      <w:r w:rsidR="008B77F7" w:rsidRPr="00421503">
        <w:fldChar w:fldCharType="end"/>
      </w:r>
      <w:r w:rsidR="00700D33" w:rsidRPr="00421503">
        <w:t xml:space="preserve">). </w:t>
      </w:r>
    </w:p>
    <w:p w14:paraId="0036BC8B" w14:textId="5C32FCBA" w:rsidR="001F0AAD" w:rsidRPr="00421503" w:rsidRDefault="00560B7E" w:rsidP="00944F58">
      <w:pPr>
        <w:ind w:left="284"/>
        <w:jc w:val="left"/>
      </w:pPr>
      <w:r w:rsidRPr="00421503">
        <w:t xml:space="preserve">Unfortunately, the treatment success of paediatric ALL has not been </w:t>
      </w:r>
      <w:r w:rsidR="00A721FD" w:rsidRPr="00421503">
        <w:t xml:space="preserve">achieved </w:t>
      </w:r>
      <w:r w:rsidRPr="00421503">
        <w:t xml:space="preserve">in adult ALL. </w:t>
      </w:r>
      <w:r w:rsidR="00A77E47" w:rsidRPr="00421503">
        <w:t>Therefore, there remains a high unmet clinical need for adult patients with relapsed or refractory ALL, compared to the paediatric population</w:t>
      </w:r>
      <w:r w:rsidR="005A7322" w:rsidRPr="00421503">
        <w:t xml:space="preserve"> with a similar condition</w:t>
      </w:r>
      <w:r w:rsidR="00A77E47" w:rsidRPr="00421503">
        <w:t xml:space="preserve"> in whom </w:t>
      </w:r>
      <w:proofErr w:type="spellStart"/>
      <w:r w:rsidR="00A77E47" w:rsidRPr="00421503">
        <w:t>tisagenlecleucel</w:t>
      </w:r>
      <w:proofErr w:type="spellEnd"/>
      <w:r w:rsidR="00A77E47" w:rsidRPr="00421503">
        <w:t xml:space="preserve"> (Kymriah</w:t>
      </w:r>
      <w:r w:rsidR="00A77E47" w:rsidRPr="00421503">
        <w:rPr>
          <w:rFonts w:cstheme="minorHAnsi"/>
        </w:rPr>
        <w:t>®</w:t>
      </w:r>
      <w:r w:rsidR="00A77E47" w:rsidRPr="00421503">
        <w:t xml:space="preserve">) is currently funded in public hospitals in Australia. </w:t>
      </w:r>
    </w:p>
    <w:p w14:paraId="4173AEE5" w14:textId="5DEF55C0" w:rsidR="000322FD" w:rsidRPr="00853C2E" w:rsidRDefault="00C85213" w:rsidP="00944F58">
      <w:pPr>
        <w:ind w:left="284"/>
        <w:jc w:val="left"/>
      </w:pPr>
      <w:r w:rsidRPr="00421503">
        <w:t xml:space="preserve">ALL can develop from different types of lymphocytes, including B-cells or T-cells. </w:t>
      </w:r>
      <w:r w:rsidR="008F6B83" w:rsidRPr="00421503">
        <w:t xml:space="preserve">Precursor B-cell ALL (B-ALL) </w:t>
      </w:r>
      <w:r w:rsidR="008F6B83" w:rsidRPr="00853C2E">
        <w:t>is the most common type in adults (</w:t>
      </w:r>
      <w:proofErr w:type="spellStart"/>
      <w:r w:rsidR="008B77F7" w:rsidRPr="00853C2E">
        <w:t>Bassan</w:t>
      </w:r>
      <w:proofErr w:type="spellEnd"/>
      <w:r w:rsidR="008B77F7" w:rsidRPr="00853C2E">
        <w:t xml:space="preserve"> et. al., 2019</w:t>
      </w:r>
      <w:r w:rsidR="008B77F7" w:rsidRPr="00853C2E">
        <w:fldChar w:fldCharType="begin"/>
      </w:r>
      <w:r w:rsidR="007C0AAE" w:rsidRPr="00853C2E">
        <w:instrText xml:space="preserve"> ADDIN EN.CITE &lt;EndNote&gt;&lt;Cite ExcludeYear="1"&gt;&lt;Author&gt;Bassan&lt;/Author&gt;&lt;Year&gt;2019&lt;/Year&gt;&lt;RecNum&gt;1&lt;/RecNum&gt;&lt;DisplayText&gt;&lt;style face="superscript"&gt;5&lt;/style&gt;&lt;/DisplayText&gt;&lt;record&gt;&lt;rec-number&gt;1&lt;/rec-number&gt;&lt;foreign-keys&gt;&lt;key app="EN" db-id="taa2xz5tmwatawezss9vrteztavaxffdtd50" timestamp="1645680983"&gt;1&lt;/key&gt;&lt;/foreign-keys&gt;&lt;ref-type name="Journal Article"&gt;17&lt;/ref-type&gt;&lt;contributors&gt;&lt;authors&gt;&lt;author&gt;Bassan, R.&lt;/author&gt;&lt;author&gt;Bruggemann, M.&lt;/author&gt;&lt;author&gt;Radcliffe, H. S.&lt;/author&gt;&lt;author&gt;Hartfield, E.&lt;/author&gt;&lt;author&gt;Kreuzbauer, G.&lt;/author&gt;&lt;author&gt;Wetten, S.&lt;/author&gt;&lt;/authors&gt;&lt;/contributors&gt;&lt;auth-address&gt;Complex Operative Unit of Haematology, dell&amp;apos;Angelo Hospital and Santissimi Giovanni and Paolo Hospital, Mestre and Venice, Italy renato.bassan@aulss3.veneto.it.&amp;#xD;Department of Medicine II, Schleswig-Holstein University Hospital, Kiel, Germany.&amp;#xD;Amgen Ltd, Uxbridge, UK.&amp;#xD;Oxford PharmaGenesis, Oxford, UK and.&amp;#xD;Amgen (Europe) GmbH, Zug, Switzerland.&lt;/auth-address&gt;&lt;titles&gt;&lt;title&gt;A systematic literature review and meta-analysis of minimal residual disease as a prognostic indicator in adult B-cell acute lymphoblastic leukemia&lt;/title&gt;&lt;secondary-title&gt;Haematologica&lt;/secondary-title&gt;&lt;/titles&gt;&lt;pages&gt;2028-2039&lt;/pages&gt;&lt;volume&gt;104&lt;/volume&gt;&lt;number&gt;10&lt;/number&gt;&lt;edition&gt;20190319&lt;/edition&gt;&lt;keywords&gt;&lt;keyword&gt;Adult&lt;/keyword&gt;&lt;keyword&gt;Humans&lt;/keyword&gt;&lt;keyword&gt;Neoplasm, Residual&lt;/keyword&gt;&lt;keyword&gt;Precursor B-Cell Lymphoblastic Leukemia-Lymphoma/*blood/*diagnosis/*therapy&lt;/keyword&gt;&lt;keyword&gt;Prognosis&lt;/keyword&gt;&lt;keyword&gt;Remission Induction&lt;/keyword&gt;&lt;/keywords&gt;&lt;dates&gt;&lt;year&gt;2019&lt;/year&gt;&lt;pub-dates&gt;&lt;date&gt;Oct&lt;/date&gt;&lt;/pub-dates&gt;&lt;/dates&gt;&lt;isbn&gt;1592-8721 (Electronic)&amp;#xD;0390-6078 (Linking)&lt;/isbn&gt;&lt;accession-num&gt;30890593&lt;/accession-num&gt;&lt;urls&gt;&lt;related-urls&gt;&lt;url&gt;https://www.ncbi.nlm.nih.gov/pubmed/30890593&lt;/url&gt;&lt;/related-urls&gt;&lt;/urls&gt;&lt;custom2&gt;PMC6886415&lt;/custom2&gt;&lt;electronic-resource-num&gt;10.3324/haematol.2018.201053&lt;/electronic-resource-num&gt;&lt;/record&gt;&lt;/Cite&gt;&lt;/EndNote&gt;</w:instrText>
      </w:r>
      <w:r w:rsidR="008B77F7" w:rsidRPr="00853C2E">
        <w:fldChar w:fldCharType="separate"/>
      </w:r>
      <w:r w:rsidR="007C0AAE" w:rsidRPr="00853C2E">
        <w:rPr>
          <w:noProof/>
          <w:vertAlign w:val="superscript"/>
        </w:rPr>
        <w:t>5</w:t>
      </w:r>
      <w:r w:rsidR="008B77F7" w:rsidRPr="00853C2E">
        <w:fldChar w:fldCharType="end"/>
      </w:r>
      <w:r w:rsidR="008F6B83" w:rsidRPr="00853C2E">
        <w:t xml:space="preserve">) </w:t>
      </w:r>
      <w:r w:rsidR="00EF6F71" w:rsidRPr="00853C2E">
        <w:t xml:space="preserve">representing </w:t>
      </w:r>
      <w:r w:rsidR="008F6B83" w:rsidRPr="00853C2E">
        <w:t>75%</w:t>
      </w:r>
      <w:r w:rsidR="00DA7763" w:rsidRPr="00853C2E">
        <w:t>-80%</w:t>
      </w:r>
      <w:r w:rsidR="008F6B83" w:rsidRPr="00853C2E">
        <w:t xml:space="preserve"> of cases, and the accumulation of lymphoblasts can spread to the bloodstream, affecting various organs (</w:t>
      </w:r>
      <w:proofErr w:type="spellStart"/>
      <w:r w:rsidR="008B77F7" w:rsidRPr="00853C2E">
        <w:t>Terwiliger</w:t>
      </w:r>
      <w:proofErr w:type="spellEnd"/>
      <w:r w:rsidR="008B77F7" w:rsidRPr="00853C2E">
        <w:t xml:space="preserve"> et. al., 2017</w:t>
      </w:r>
      <w:r w:rsidR="008B77F7" w:rsidRPr="00853C2E">
        <w:fldChar w:fldCharType="begin"/>
      </w:r>
      <w:r w:rsidR="007C0AAE" w:rsidRPr="00853C2E">
        <w:instrText xml:space="preserve"> ADDIN EN.CITE &lt;EndNote&gt;&lt;Cite ExcludeYear="1"&gt;&lt;Author&gt;Terwilliger&lt;/Author&gt;&lt;Year&gt;2017&lt;/Year&gt;&lt;RecNum&gt;2&lt;/RecNum&gt;&lt;DisplayText&gt;&lt;style face="superscript"&gt;4&lt;/style&gt;&lt;/DisplayText&gt;&lt;record&gt;&lt;rec-number&gt;2&lt;/rec-number&gt;&lt;foreign-keys&gt;&lt;key app="EN" db-id="taa2xz5tmwatawezss9vrteztavaxffdtd50" timestamp="1645681179"&gt;2&lt;/key&gt;&lt;/foreign-keys&gt;&lt;ref-type name="Journal Article"&gt;17&lt;/ref-type&gt;&lt;contributors&gt;&lt;authors&gt;&lt;author&gt;Terwilliger, T.&lt;/author&gt;&lt;author&gt;Abdul-Hay, M.&lt;/author&gt;&lt;/authors&gt;&lt;/contributors&gt;&lt;auth-address&gt;New York University School of Medicine, New York, USA.&amp;#xD;Department of Hematology, New York University Perlmutter Cancer Center, New York, USA.&lt;/auth-address&gt;&lt;titles&gt;&lt;title&gt;Acute lymphoblastic leukemia: a comprehensive review and 2017 update&lt;/title&gt;&lt;secondary-title&gt;Blood Cancer J&lt;/secondary-title&gt;&lt;/titles&gt;&lt;pages&gt;e577&lt;/pages&gt;&lt;volume&gt;7&lt;/volume&gt;&lt;number&gt;6&lt;/number&gt;&lt;edition&gt;20170630&lt;/edition&gt;&lt;keywords&gt;&lt;keyword&gt;Female&lt;/keyword&gt;&lt;keyword&gt;History, 21st Century&lt;/keyword&gt;&lt;keyword&gt;Humans&lt;/keyword&gt;&lt;keyword&gt;Male&lt;/keyword&gt;&lt;keyword&gt;*Precursor Cell Lymphoblastic Leukemia-Lymphoma&lt;/keyword&gt;&lt;/keywords&gt;&lt;dates&gt;&lt;year&gt;2017&lt;/year&gt;&lt;pub-dates&gt;&lt;date&gt;Jun 30&lt;/date&gt;&lt;/pub-dates&gt;&lt;/dates&gt;&lt;isbn&gt;2044-5385 (Electronic)&amp;#xD;2044-5385 (Linking)&lt;/isbn&gt;&lt;accession-num&gt;28665419&lt;/accession-num&gt;&lt;urls&gt;&lt;related-urls&gt;&lt;url&gt;https://www.ncbi.nlm.nih.gov/pubmed/28665419&lt;/url&gt;&lt;/related-urls&gt;&lt;/urls&gt;&lt;custom2&gt;PMC5520400&lt;/custom2&gt;&lt;electronic-resource-num&gt;10.1038/bcj.2017.53&lt;/electronic-resource-num&gt;&lt;/record&gt;&lt;/Cite&gt;&lt;/EndNote&gt;</w:instrText>
      </w:r>
      <w:r w:rsidR="008B77F7" w:rsidRPr="00853C2E">
        <w:fldChar w:fldCharType="separate"/>
      </w:r>
      <w:r w:rsidR="007C0AAE" w:rsidRPr="00853C2E">
        <w:rPr>
          <w:noProof/>
          <w:vertAlign w:val="superscript"/>
        </w:rPr>
        <w:t>4</w:t>
      </w:r>
      <w:r w:rsidR="008B77F7" w:rsidRPr="00853C2E">
        <w:fldChar w:fldCharType="end"/>
      </w:r>
      <w:r w:rsidR="00DA7763" w:rsidRPr="00853C2E">
        <w:t>; Leukaemia Foundation</w:t>
      </w:r>
      <w:r w:rsidR="000322FD" w:rsidRPr="00853C2E">
        <w:t xml:space="preserve"> 2020</w:t>
      </w:r>
      <w:r w:rsidR="008F6B83" w:rsidRPr="00853C2E">
        <w:t>)</w:t>
      </w:r>
      <w:r w:rsidR="006C6734" w:rsidRPr="00853C2E">
        <w:rPr>
          <w:rStyle w:val="FootnoteReference"/>
        </w:rPr>
        <w:t xml:space="preserve"> </w:t>
      </w:r>
      <w:r w:rsidR="006C6734" w:rsidRPr="00853C2E">
        <w:rPr>
          <w:rStyle w:val="FootnoteReference"/>
        </w:rPr>
        <w:footnoteReference w:id="3"/>
      </w:r>
      <w:r w:rsidR="008F6B83" w:rsidRPr="00853C2E">
        <w:t xml:space="preserve">. </w:t>
      </w:r>
    </w:p>
    <w:p w14:paraId="7B30A0A9" w14:textId="59594BEE" w:rsidR="000322FD" w:rsidRPr="00853C2E" w:rsidRDefault="00146160" w:rsidP="00944F58">
      <w:pPr>
        <w:ind w:left="284"/>
        <w:jc w:val="left"/>
        <w:rPr>
          <w:b/>
          <w:bCs/>
          <w:u w:val="single"/>
        </w:rPr>
      </w:pPr>
      <w:r w:rsidRPr="00853C2E">
        <w:rPr>
          <w:b/>
          <w:bCs/>
          <w:u w:val="single"/>
        </w:rPr>
        <w:t xml:space="preserve">Risk factors, early </w:t>
      </w:r>
      <w:proofErr w:type="gramStart"/>
      <w:r w:rsidR="004B1547" w:rsidRPr="00853C2E">
        <w:rPr>
          <w:b/>
          <w:bCs/>
          <w:u w:val="single"/>
        </w:rPr>
        <w:t>symptoms</w:t>
      </w:r>
      <w:proofErr w:type="gramEnd"/>
      <w:r w:rsidRPr="00853C2E">
        <w:rPr>
          <w:b/>
          <w:bCs/>
          <w:u w:val="single"/>
        </w:rPr>
        <w:t xml:space="preserve"> and </w:t>
      </w:r>
      <w:r w:rsidR="005A7322" w:rsidRPr="00853C2E">
        <w:rPr>
          <w:b/>
          <w:bCs/>
          <w:u w:val="single"/>
        </w:rPr>
        <w:t>d</w:t>
      </w:r>
      <w:r w:rsidR="000322FD" w:rsidRPr="00853C2E">
        <w:rPr>
          <w:b/>
          <w:bCs/>
          <w:u w:val="single"/>
        </w:rPr>
        <w:t>iagnosis</w:t>
      </w:r>
    </w:p>
    <w:p w14:paraId="58C18D6D" w14:textId="40924485" w:rsidR="000322FD" w:rsidRPr="00853C2E" w:rsidRDefault="00DA7763" w:rsidP="00944F58">
      <w:pPr>
        <w:ind w:left="284"/>
        <w:jc w:val="left"/>
      </w:pPr>
      <w:r w:rsidRPr="00853C2E">
        <w:t>The exact causes of ALL remain largely unknown but it is thought to result from mutations in one or more of the genes that normally control blood cell development. This mutation will result in abnormal growth (Leukaemia Foundation</w:t>
      </w:r>
      <w:r w:rsidR="000322FD" w:rsidRPr="00853C2E">
        <w:t xml:space="preserve"> 2020</w:t>
      </w:r>
      <w:r w:rsidRPr="00853C2E">
        <w:t>)</w:t>
      </w:r>
      <w:r w:rsidR="006C6734" w:rsidRPr="00853C2E">
        <w:rPr>
          <w:rStyle w:val="FootnoteReference"/>
        </w:rPr>
        <w:footnoteReference w:id="4"/>
      </w:r>
      <w:r w:rsidR="000322FD" w:rsidRPr="00853C2E">
        <w:t xml:space="preserve">. The main symptoms of ALL are caused by a lack of normal circulating blood cells. ALL develops quickly, so people are usually only unwell for only a short period (it could be days, or weeks) before diagnosis. Possible signs of adult ALL include fever, feeling tired and increased or unexplained bleeding or bruising due to a low platelet count. ALL is diagnosed by examining samples of </w:t>
      </w:r>
      <w:r w:rsidR="00AE40E7" w:rsidRPr="00853C2E">
        <w:t xml:space="preserve">patient’s </w:t>
      </w:r>
      <w:r w:rsidR="000322FD" w:rsidRPr="00853C2E">
        <w:t>blood and bone marrow in a variety of tests (Rare</w:t>
      </w:r>
      <w:r w:rsidR="00146160" w:rsidRPr="00853C2E">
        <w:t xml:space="preserve"> </w:t>
      </w:r>
      <w:r w:rsidR="000322FD" w:rsidRPr="00853C2E">
        <w:t>Cancer</w:t>
      </w:r>
      <w:r w:rsidR="00146160" w:rsidRPr="00853C2E">
        <w:t>s Australia</w:t>
      </w:r>
      <w:r w:rsidR="00FD54E8" w:rsidRPr="00853C2E">
        <w:t xml:space="preserve"> 2021</w:t>
      </w:r>
      <w:r w:rsidR="00146160" w:rsidRPr="00853C2E">
        <w:t>)</w:t>
      </w:r>
      <w:r w:rsidR="006C6734" w:rsidRPr="00853C2E">
        <w:rPr>
          <w:rStyle w:val="FootnoteReference"/>
        </w:rPr>
        <w:footnoteReference w:id="5"/>
      </w:r>
      <w:r w:rsidR="000322FD" w:rsidRPr="00853C2E">
        <w:t>.</w:t>
      </w:r>
      <w:r w:rsidR="00A81998" w:rsidRPr="00853C2E">
        <w:t xml:space="preserve"> The diagnosis of ALL generally requires demonstration of ≥20% bone marrow lymphoblasts, upon </w:t>
      </w:r>
      <w:r w:rsidR="00AE40E7" w:rsidRPr="00853C2E">
        <w:t>hematopathology</w:t>
      </w:r>
      <w:r w:rsidR="00A81998" w:rsidRPr="00853C2E">
        <w:t xml:space="preserve"> review of bone marrow aspirate and biopsy materials (</w:t>
      </w:r>
      <w:r w:rsidR="008B77F7" w:rsidRPr="00853C2E">
        <w:t>NCCN 2021</w:t>
      </w:r>
      <w:r w:rsidR="008B77F7" w:rsidRPr="00853C2E">
        <w:fldChar w:fldCharType="begin"/>
      </w:r>
      <w:r w:rsidR="007C0AAE" w:rsidRPr="00853C2E">
        <w:instrText xml:space="preserve"> ADDIN EN.CITE &lt;EndNote&gt;&lt;Cite ExcludeYear="1"&gt;&lt;Author&gt;NCCN&lt;/Author&gt;&lt;Year&gt;2021&lt;/Year&gt;&lt;RecNum&gt;7&lt;/RecNum&gt;&lt;DisplayText&gt;&lt;style face="superscript"&gt;3&lt;/style&gt;&lt;/DisplayText&gt;&lt;record&gt;&lt;rec-number&gt;7&lt;/rec-number&gt;&lt;foreign-keys&gt;&lt;key app="EN" db-id="taa2xz5tmwatawezss9vrteztavaxffdtd50" timestamp="1645682219"&gt;7&lt;/key&gt;&lt;/foreign-keys&gt;&lt;ref-type name="Journal Article"&gt;17&lt;/ref-type&gt;&lt;contributors&gt;&lt;authors&gt;&lt;author&gt;NCCN&lt;/author&gt;&lt;/authors&gt;&lt;/contributors&gt;&lt;titles&gt;&lt;title&gt;Acute Lymphoblastic Leukemia: NCCN Clinical Practice Guidelines in Oncology&lt;/title&gt;&lt;secondary-title&gt;National Comprehensive Cancer Network&lt;/secondary-title&gt;&lt;/titles&gt;&lt;periodical&gt;&lt;full-title&gt;National Comprehensive Cancer Network&lt;/full-title&gt;&lt;/periodical&gt;&lt;volume&gt;Version 4.2021&lt;/volume&gt;&lt;number&gt;January 7, 2022&lt;/number&gt;&lt;edition&gt;January 7, 2022&lt;/edition&gt;&lt;dates&gt;&lt;year&gt;2021&lt;/year&gt;&lt;/dates&gt;&lt;urls&gt;&lt;related-urls&gt;&lt;url&gt;https://www.nccn.org/professionals/physician_gls/pdf/all.pdf&lt;/url&gt;&lt;/related-urls&gt;&lt;/urls&gt;&lt;/record&gt;&lt;/Cite&gt;&lt;/EndNote&gt;</w:instrText>
      </w:r>
      <w:r w:rsidR="008B77F7" w:rsidRPr="00853C2E">
        <w:fldChar w:fldCharType="separate"/>
      </w:r>
      <w:r w:rsidR="007C0AAE" w:rsidRPr="00853C2E">
        <w:rPr>
          <w:noProof/>
          <w:vertAlign w:val="superscript"/>
        </w:rPr>
        <w:t>3</w:t>
      </w:r>
      <w:r w:rsidR="008B77F7" w:rsidRPr="00853C2E">
        <w:fldChar w:fldCharType="end"/>
      </w:r>
      <w:r w:rsidR="00A81998" w:rsidRPr="00853C2E">
        <w:t>).</w:t>
      </w:r>
    </w:p>
    <w:p w14:paraId="17F50BE8" w14:textId="77777777" w:rsidR="00944F58" w:rsidRDefault="00944F58">
      <w:pPr>
        <w:spacing w:before="0" w:after="200" w:line="276" w:lineRule="auto"/>
        <w:jc w:val="left"/>
        <w:rPr>
          <w:b/>
          <w:bCs/>
          <w:u w:val="single"/>
        </w:rPr>
      </w:pPr>
      <w:r>
        <w:rPr>
          <w:b/>
          <w:bCs/>
          <w:u w:val="single"/>
        </w:rPr>
        <w:br w:type="page"/>
      </w:r>
    </w:p>
    <w:p w14:paraId="19CF0DD2" w14:textId="78F98876" w:rsidR="00F15CA9" w:rsidRPr="00853C2E" w:rsidRDefault="00F15CA9" w:rsidP="00F15CA9">
      <w:pPr>
        <w:ind w:left="284"/>
        <w:rPr>
          <w:b/>
          <w:bCs/>
          <w:u w:val="single"/>
        </w:rPr>
      </w:pPr>
      <w:r w:rsidRPr="00853C2E">
        <w:rPr>
          <w:b/>
          <w:bCs/>
          <w:u w:val="single"/>
        </w:rPr>
        <w:lastRenderedPageBreak/>
        <w:t>Prognosis and t</w:t>
      </w:r>
      <w:r w:rsidR="00146160" w:rsidRPr="00853C2E">
        <w:rPr>
          <w:b/>
          <w:bCs/>
          <w:u w:val="single"/>
        </w:rPr>
        <w:t>reatment</w:t>
      </w:r>
    </w:p>
    <w:p w14:paraId="2487840A" w14:textId="0F2435C7" w:rsidR="00D86738" w:rsidRDefault="00F15CA9" w:rsidP="00944F58">
      <w:pPr>
        <w:ind w:left="284"/>
        <w:jc w:val="left"/>
      </w:pPr>
      <w:r w:rsidRPr="00853C2E">
        <w:t>Accurate assessment of prognosis is central to the management of ALL. Risk stratification allows the</w:t>
      </w:r>
      <w:r w:rsidRPr="00F15CA9">
        <w:t xml:space="preserve"> physician to determine the most appropriate initial treatment regimen as well as when to consider </w:t>
      </w:r>
      <w:proofErr w:type="spellStart"/>
      <w:r w:rsidR="00EF6F71">
        <w:t>a</w:t>
      </w:r>
      <w:r w:rsidRPr="00F15CA9">
        <w:t>llo</w:t>
      </w:r>
      <w:proofErr w:type="spellEnd"/>
      <w:r w:rsidRPr="00F15CA9">
        <w:t xml:space="preserve">-SCT. </w:t>
      </w:r>
      <w:r w:rsidR="00DB00A2" w:rsidRPr="00DB00A2">
        <w:t>A comprehensive diagnostic approach requires the study of cell morphology, immunophenotype, genetics/cytogenetics and genomics, as detailed in the 2008 World Health Organi</w:t>
      </w:r>
      <w:r w:rsidR="00DC5E83">
        <w:t>s</w:t>
      </w:r>
      <w:r w:rsidR="00DB00A2" w:rsidRPr="00DB00A2">
        <w:t xml:space="preserve">ation (WHO) classification </w:t>
      </w:r>
      <w:r w:rsidR="00E24FB8" w:rsidRPr="007471D5">
        <w:t>which was recently updated</w:t>
      </w:r>
      <w:r w:rsidR="00DB00A2" w:rsidRPr="007471D5">
        <w:t xml:space="preserve"> (</w:t>
      </w:r>
      <w:proofErr w:type="spellStart"/>
      <w:r w:rsidR="00DB00A2" w:rsidRPr="007471D5">
        <w:t>Hoelzer</w:t>
      </w:r>
      <w:proofErr w:type="spellEnd"/>
      <w:r w:rsidR="00DB00A2" w:rsidRPr="007471D5">
        <w:t xml:space="preserve"> </w:t>
      </w:r>
      <w:r w:rsidR="00853C2E" w:rsidRPr="007471D5">
        <w:t xml:space="preserve">et. al., </w:t>
      </w:r>
      <w:r w:rsidR="00DB00A2" w:rsidRPr="007471D5">
        <w:t>2016</w:t>
      </w:r>
      <w:r w:rsidR="007471D5" w:rsidRPr="007471D5">
        <w:fldChar w:fldCharType="begin"/>
      </w:r>
      <w:r w:rsidR="007471D5" w:rsidRPr="007471D5">
        <w:instrText xml:space="preserve"> ADDIN EN.CITE &lt;EndNote&gt;&lt;Cite ExcludeYear="1"&gt;&lt;Author&gt;Hoelzer&lt;/Author&gt;&lt;Year&gt;2016&lt;/Year&gt;&lt;RecNum&gt;4&lt;/RecNum&gt;&lt;DisplayText&gt;&lt;style face="superscript"&gt;13&lt;/style&gt;&lt;/DisplayText&gt;&lt;record&gt;&lt;rec-number&gt;4&lt;/rec-number&gt;&lt;foreign-keys&gt;&lt;key app="EN" db-id="taa2xz5tmwatawezss9vrteztavaxffdtd50" timestamp="1645681307"&gt;4&lt;/key&gt;&lt;/foreign-keys&gt;&lt;ref-type name="Journal Article"&gt;17&lt;/ref-type&gt;&lt;contributors&gt;&lt;authors&gt;&lt;author&gt;Hoelzer, D.&lt;/author&gt;&lt;author&gt;Bassan, R.&lt;/author&gt;&lt;author&gt;Dombret, H.&lt;/author&gt;&lt;author&gt;Fielding, A.&lt;/author&gt;&lt;author&gt;Ribera, J. M.&lt;/author&gt;&lt;author&gt;Buske, C.&lt;/author&gt;&lt;author&gt;Esmo Guidelines Committee&lt;/author&gt;&lt;/authors&gt;&lt;/contributors&gt;&lt;auth-address&gt;ONKOLOGIKUM Frankfurt am Museumsufer, Frankfurt, Germany.&amp;#xD;Hematology Unit, Ospedale dell&amp;apos;Angelo e Ospedale SS. Giovanni e Paolo, Mestre-Venezia, Italy.&amp;#xD;Institut Universitaire d&amp;apos;Hematologie Hopital St Louis, Paris, France.&amp;#xD;Cancer Institute, University College London, London, UK.&amp;#xD;Department of Clinical Hematology, ICO-Hospital Germans Trias i Pujol, Jose Carreras Research Institute, Universitat Autonoma de Barcelona, Barcelona, Spain.&amp;#xD;CCC Ulm, Institut fur Experimentelle Tumorforschung, Universitatsklinikum Ulm, Ulm, Germany.&lt;/auth-address&gt;&lt;titles&gt;&lt;title&gt;Acute lymphoblastic leukaemia in adult patients: ESMO Clinical Practice Guidelines for diagnosis, treatment and follow-up&lt;/title&gt;&lt;secondary-title&gt;Ann Oncol&lt;/secondary-title&gt;&lt;/titles&gt;&lt;pages&gt;v69-v82&lt;/pages&gt;&lt;volume&gt;27&lt;/volume&gt;&lt;number&gt;suppl 5&lt;/number&gt;&lt;edition&gt;20160407&lt;/edition&gt;&lt;dates&gt;&lt;year&gt;2016&lt;/year&gt;&lt;pub-dates&gt;&lt;date&gt;Sep&lt;/date&gt;&lt;/pub-dates&gt;&lt;/dates&gt;&lt;isbn&gt;1569-8041 (Electronic)&amp;#xD;0923-7534 (Linking)&lt;/isbn&gt;&lt;accession-num&gt;27056999&lt;/accession-num&gt;&lt;urls&gt;&lt;related-urls&gt;&lt;url&gt;https://www.ncbi.nlm.nih.gov/pubmed/27056999&lt;/url&gt;&lt;/related-urls&gt;&lt;/urls&gt;&lt;electronic-resource-num&gt;10.1093/annonc/mdw025&lt;/electronic-resource-num&gt;&lt;/record&gt;&lt;/Cite&gt;&lt;/EndNote&gt;</w:instrText>
      </w:r>
      <w:r w:rsidR="007471D5" w:rsidRPr="007471D5">
        <w:fldChar w:fldCharType="separate"/>
      </w:r>
      <w:r w:rsidR="007471D5" w:rsidRPr="007471D5">
        <w:rPr>
          <w:noProof/>
          <w:vertAlign w:val="superscript"/>
        </w:rPr>
        <w:t>13</w:t>
      </w:r>
      <w:r w:rsidR="007471D5" w:rsidRPr="007471D5">
        <w:fldChar w:fldCharType="end"/>
      </w:r>
      <w:r w:rsidR="00853C2E" w:rsidRPr="007471D5">
        <w:t xml:space="preserve">; </w:t>
      </w:r>
      <w:r w:rsidR="005E3382" w:rsidRPr="007471D5">
        <w:fldChar w:fldCharType="begin"/>
      </w:r>
      <w:r w:rsidR="005E3382" w:rsidRPr="007471D5">
        <w:instrText xml:space="preserve"> REF _Ref84068287 \h </w:instrText>
      </w:r>
      <w:r w:rsidR="007471D5">
        <w:instrText xml:space="preserve"> \* MERGEFORMAT </w:instrText>
      </w:r>
      <w:r w:rsidR="005E3382" w:rsidRPr="007471D5">
        <w:fldChar w:fldCharType="separate"/>
      </w:r>
      <w:r w:rsidR="007847A6" w:rsidRPr="007471D5">
        <w:t xml:space="preserve">Figure </w:t>
      </w:r>
      <w:r w:rsidR="007847A6" w:rsidRPr="007471D5">
        <w:rPr>
          <w:noProof/>
        </w:rPr>
        <w:t>1</w:t>
      </w:r>
      <w:r w:rsidR="005E3382" w:rsidRPr="007471D5">
        <w:fldChar w:fldCharType="end"/>
      </w:r>
      <w:r w:rsidR="00DB00A2" w:rsidRPr="007471D5">
        <w:t>).</w:t>
      </w:r>
      <w:r w:rsidR="00DB00A2" w:rsidRPr="00DB00A2">
        <w:t xml:space="preserve"> </w:t>
      </w:r>
    </w:p>
    <w:p w14:paraId="6A98F995" w14:textId="1927E4BE" w:rsidR="00D86738" w:rsidRDefault="00D86738" w:rsidP="00D86738">
      <w:pPr>
        <w:pStyle w:val="Caption"/>
      </w:pPr>
      <w:r>
        <w:t xml:space="preserve">       </w:t>
      </w:r>
      <w:bookmarkStart w:id="7" w:name="_Ref84068287"/>
      <w:r>
        <w:t xml:space="preserve">Figure </w:t>
      </w:r>
      <w:r w:rsidR="0013236B">
        <w:fldChar w:fldCharType="begin"/>
      </w:r>
      <w:r w:rsidR="0013236B">
        <w:instrText xml:space="preserve"> SEQ Figure \* ARABIC </w:instrText>
      </w:r>
      <w:r w:rsidR="0013236B">
        <w:fldChar w:fldCharType="separate"/>
      </w:r>
      <w:r w:rsidR="007847A6">
        <w:rPr>
          <w:noProof/>
        </w:rPr>
        <w:t>1</w:t>
      </w:r>
      <w:r w:rsidR="0013236B">
        <w:rPr>
          <w:noProof/>
        </w:rPr>
        <w:fldChar w:fldCharType="end"/>
      </w:r>
      <w:bookmarkEnd w:id="7"/>
      <w:r>
        <w:t xml:space="preserve"> Diagnostic work-up in adult ALL</w:t>
      </w:r>
      <w:r w:rsidR="00D37070">
        <w:t xml:space="preserve"> (ESMO)</w:t>
      </w:r>
    </w:p>
    <w:p w14:paraId="6D2A4F91" w14:textId="4311B00E" w:rsidR="00DB00A2" w:rsidRDefault="00DB00A2" w:rsidP="00853C2E">
      <w:pPr>
        <w:spacing w:after="0"/>
        <w:ind w:left="284"/>
      </w:pPr>
      <w:r w:rsidRPr="00DB00A2">
        <w:rPr>
          <w:noProof/>
        </w:rPr>
        <w:drawing>
          <wp:inline distT="0" distB="0" distL="0" distR="0" wp14:anchorId="4FBD66D9" wp14:editId="19C338FD">
            <wp:extent cx="5731510" cy="6229350"/>
            <wp:effectExtent l="12700" t="12700" r="8890" b="1905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pic:nvPicPr>
                  <pic:blipFill>
                    <a:blip r:embed="rId28"/>
                    <a:stretch>
                      <a:fillRect/>
                    </a:stretch>
                  </pic:blipFill>
                  <pic:spPr>
                    <a:xfrm>
                      <a:off x="0" y="0"/>
                      <a:ext cx="5731510" cy="6229350"/>
                    </a:xfrm>
                    <a:prstGeom prst="rect">
                      <a:avLst/>
                    </a:prstGeom>
                    <a:ln>
                      <a:solidFill>
                        <a:schemeClr val="tx1"/>
                      </a:solidFill>
                    </a:ln>
                  </pic:spPr>
                </pic:pic>
              </a:graphicData>
            </a:graphic>
          </wp:inline>
        </w:drawing>
      </w:r>
    </w:p>
    <w:p w14:paraId="189BD477" w14:textId="4B8364C3" w:rsidR="00853C2E" w:rsidRPr="007471D5" w:rsidRDefault="00853C2E" w:rsidP="00853C2E">
      <w:pPr>
        <w:spacing w:before="0" w:after="240"/>
        <w:ind w:left="284"/>
        <w:rPr>
          <w:sz w:val="16"/>
          <w:szCs w:val="16"/>
        </w:rPr>
      </w:pPr>
      <w:r w:rsidRPr="007471D5">
        <w:rPr>
          <w:sz w:val="16"/>
          <w:szCs w:val="16"/>
        </w:rPr>
        <w:t>Source: (</w:t>
      </w:r>
      <w:proofErr w:type="spellStart"/>
      <w:r w:rsidRPr="007471D5">
        <w:rPr>
          <w:sz w:val="16"/>
          <w:szCs w:val="16"/>
        </w:rPr>
        <w:t>Hoelzer</w:t>
      </w:r>
      <w:proofErr w:type="spellEnd"/>
      <w:r w:rsidRPr="007471D5">
        <w:rPr>
          <w:sz w:val="16"/>
          <w:szCs w:val="16"/>
        </w:rPr>
        <w:t xml:space="preserve"> et. al., 2016</w:t>
      </w:r>
      <w:r w:rsidR="007471D5" w:rsidRPr="007471D5">
        <w:rPr>
          <w:sz w:val="16"/>
          <w:szCs w:val="16"/>
        </w:rPr>
        <w:fldChar w:fldCharType="begin"/>
      </w:r>
      <w:r w:rsidR="007471D5" w:rsidRPr="007471D5">
        <w:rPr>
          <w:sz w:val="16"/>
          <w:szCs w:val="16"/>
        </w:rPr>
        <w:instrText xml:space="preserve"> ADDIN EN.CITE &lt;EndNote&gt;&lt;Cite ExcludeYear="1"&gt;&lt;Author&gt;Hoelzer&lt;/Author&gt;&lt;Year&gt;2016&lt;/Year&gt;&lt;RecNum&gt;4&lt;/RecNum&gt;&lt;DisplayText&gt;&lt;style face="superscript"&gt;13&lt;/style&gt;&lt;/DisplayText&gt;&lt;record&gt;&lt;rec-number&gt;4&lt;/rec-number&gt;&lt;foreign-keys&gt;&lt;key app="EN" db-id="taa2xz5tmwatawezss9vrteztavaxffdtd50" timestamp="1645681307"&gt;4&lt;/key&gt;&lt;/foreign-keys&gt;&lt;ref-type name="Journal Article"&gt;17&lt;/ref-type&gt;&lt;contributors&gt;&lt;authors&gt;&lt;author&gt;Hoelzer, D.&lt;/author&gt;&lt;author&gt;Bassan, R.&lt;/author&gt;&lt;author&gt;Dombret, H.&lt;/author&gt;&lt;author&gt;Fielding, A.&lt;/author&gt;&lt;author&gt;Ribera, J. M.&lt;/author&gt;&lt;author&gt;Buske, C.&lt;/author&gt;&lt;author&gt;Esmo Guidelines Committee&lt;/author&gt;&lt;/authors&gt;&lt;/contributors&gt;&lt;auth-address&gt;ONKOLOGIKUM Frankfurt am Museumsufer, Frankfurt, Germany.&amp;#xD;Hematology Unit, Ospedale dell&amp;apos;Angelo e Ospedale SS. Giovanni e Paolo, Mestre-Venezia, Italy.&amp;#xD;Institut Universitaire d&amp;apos;Hematologie Hopital St Louis, Paris, France.&amp;#xD;Cancer Institute, University College London, London, UK.&amp;#xD;Department of Clinical Hematology, ICO-Hospital Germans Trias i Pujol, Jose Carreras Research Institute, Universitat Autonoma de Barcelona, Barcelona, Spain.&amp;#xD;CCC Ulm, Institut fur Experimentelle Tumorforschung, Universitatsklinikum Ulm, Ulm, Germany.&lt;/auth-address&gt;&lt;titles&gt;&lt;title&gt;Acute lymphoblastic leukaemia in adult patients: ESMO Clinical Practice Guidelines for diagnosis, treatment and follow-up&lt;/title&gt;&lt;secondary-title&gt;Ann Oncol&lt;/secondary-title&gt;&lt;/titles&gt;&lt;pages&gt;v69-v82&lt;/pages&gt;&lt;volume&gt;27&lt;/volume&gt;&lt;number&gt;suppl 5&lt;/number&gt;&lt;edition&gt;20160407&lt;/edition&gt;&lt;dates&gt;&lt;year&gt;2016&lt;/year&gt;&lt;pub-dates&gt;&lt;date&gt;Sep&lt;/date&gt;&lt;/pub-dates&gt;&lt;/dates&gt;&lt;isbn&gt;1569-8041 (Electronic)&amp;#xD;0923-7534 (Linking)&lt;/isbn&gt;&lt;accession-num&gt;27056999&lt;/accession-num&gt;&lt;urls&gt;&lt;related-urls&gt;&lt;url&gt;https://www.ncbi.nlm.nih.gov/pubmed/27056999&lt;/url&gt;&lt;/related-urls&gt;&lt;/urls&gt;&lt;electronic-resource-num&gt;10.1093/annonc/mdw025&lt;/electronic-resource-num&gt;&lt;/record&gt;&lt;/Cite&gt;&lt;/EndNote&gt;</w:instrText>
      </w:r>
      <w:r w:rsidR="007471D5" w:rsidRPr="007471D5">
        <w:rPr>
          <w:sz w:val="16"/>
          <w:szCs w:val="16"/>
        </w:rPr>
        <w:fldChar w:fldCharType="separate"/>
      </w:r>
      <w:r w:rsidR="007471D5" w:rsidRPr="007471D5">
        <w:rPr>
          <w:noProof/>
          <w:sz w:val="16"/>
          <w:szCs w:val="16"/>
          <w:vertAlign w:val="superscript"/>
        </w:rPr>
        <w:t>13</w:t>
      </w:r>
      <w:r w:rsidR="007471D5" w:rsidRPr="007471D5">
        <w:rPr>
          <w:sz w:val="16"/>
          <w:szCs w:val="16"/>
        </w:rPr>
        <w:fldChar w:fldCharType="end"/>
      </w:r>
      <w:r w:rsidRPr="007471D5">
        <w:rPr>
          <w:sz w:val="16"/>
          <w:szCs w:val="16"/>
        </w:rPr>
        <w:t>)</w:t>
      </w:r>
    </w:p>
    <w:p w14:paraId="7D2DBDE8" w14:textId="7CBFD875" w:rsidR="008F6B83" w:rsidRPr="007471D5" w:rsidRDefault="008F6B83" w:rsidP="00944F58">
      <w:pPr>
        <w:ind w:left="284"/>
        <w:jc w:val="left"/>
      </w:pPr>
      <w:r w:rsidRPr="007471D5">
        <w:t xml:space="preserve">The mainstay treatment for adult ALL patients with B-ALL is induction chemotherapy, followed by consolidation, and long-term maintenance therapy along with central nervous system (CNS) prophylaxis interwoven during the first year of treatment. The purpose of this multi-drug treatment approach is to eradicate the disease and restore normal haematopoiesis, provide prophylaxis to “sanctuary sites,” and prevent an upsurge of resistant clones that may lead to relapse </w:t>
      </w:r>
      <w:r w:rsidR="00700D33" w:rsidRPr="007471D5">
        <w:t>(Paul et al., 2016</w: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 </w:instrTex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EN.CITE.DATA </w:instrText>
      </w:r>
      <w:r w:rsidR="008B77F7" w:rsidRPr="007471D5">
        <w:fldChar w:fldCharType="end"/>
      </w:r>
      <w:r w:rsidR="008B77F7" w:rsidRPr="007471D5">
        <w:fldChar w:fldCharType="separate"/>
      </w:r>
      <w:r w:rsidR="008B77F7" w:rsidRPr="007471D5">
        <w:rPr>
          <w:noProof/>
          <w:vertAlign w:val="superscript"/>
        </w:rPr>
        <w:t>1</w:t>
      </w:r>
      <w:r w:rsidR="008B77F7" w:rsidRPr="007471D5">
        <w:fldChar w:fldCharType="end"/>
      </w:r>
      <w:r w:rsidR="00700D33" w:rsidRPr="007471D5">
        <w:t>).</w:t>
      </w:r>
      <w:r w:rsidRPr="007471D5">
        <w:t xml:space="preserve"> </w:t>
      </w:r>
      <w:proofErr w:type="spellStart"/>
      <w:r w:rsidR="004B1547" w:rsidRPr="007471D5">
        <w:t>A</w:t>
      </w:r>
      <w:r w:rsidRPr="007471D5">
        <w:t>llo</w:t>
      </w:r>
      <w:proofErr w:type="spellEnd"/>
      <w:r w:rsidRPr="007471D5">
        <w:t>-SCT is recommended following consolidation in selected high-risk groups (</w:t>
      </w:r>
      <w:proofErr w:type="spellStart"/>
      <w:r w:rsidR="008B77F7" w:rsidRPr="007471D5">
        <w:t>Bassan</w:t>
      </w:r>
      <w:proofErr w:type="spellEnd"/>
      <w:r w:rsidR="008B77F7" w:rsidRPr="007471D5">
        <w:t xml:space="preserve"> et. al., 2019</w:t>
      </w:r>
      <w:r w:rsidR="008B77F7" w:rsidRPr="007471D5">
        <w:fldChar w:fldCharType="begin"/>
      </w:r>
      <w:r w:rsidR="007C0AAE" w:rsidRPr="007471D5">
        <w:instrText xml:space="preserve"> ADDIN EN.CITE &lt;EndNote&gt;&lt;Cite ExcludeYear="1"&gt;&lt;Author&gt;Bassan&lt;/Author&gt;&lt;Year&gt;2019&lt;/Year&gt;&lt;RecNum&gt;1&lt;/RecNum&gt;&lt;DisplayText&gt;&lt;style face="superscript"&gt;5&lt;/style&gt;&lt;/DisplayText&gt;&lt;record&gt;&lt;rec-number&gt;1&lt;/rec-number&gt;&lt;foreign-keys&gt;&lt;key app="EN" db-id="taa2xz5tmwatawezss9vrteztavaxffdtd50" timestamp="1645680983"&gt;1&lt;/key&gt;&lt;/foreign-keys&gt;&lt;ref-type name="Journal Article"&gt;17&lt;/ref-type&gt;&lt;contributors&gt;&lt;authors&gt;&lt;author&gt;Bassan, R.&lt;/author&gt;&lt;author&gt;Bruggemann, M.&lt;/author&gt;&lt;author&gt;Radcliffe, H. S.&lt;/author&gt;&lt;author&gt;Hartfield, E.&lt;/author&gt;&lt;author&gt;Kreuzbauer, G.&lt;/author&gt;&lt;author&gt;Wetten, S.&lt;/author&gt;&lt;/authors&gt;&lt;/contributors&gt;&lt;auth-address&gt;Complex Operative Unit of Haematology, dell&amp;apos;Angelo Hospital and Santissimi Giovanni and Paolo Hospital, Mestre and Venice, Italy renato.bassan@aulss3.veneto.it.&amp;#xD;Department of Medicine II, Schleswig-Holstein University Hospital, Kiel, Germany.&amp;#xD;Amgen Ltd, Uxbridge, UK.&amp;#xD;Oxford PharmaGenesis, Oxford, UK and.&amp;#xD;Amgen (Europe) GmbH, Zug, Switzerland.&lt;/auth-address&gt;&lt;titles&gt;&lt;title&gt;A systematic literature review and meta-analysis of minimal residual disease as a prognostic indicator in adult B-cell acute lymphoblastic leukemia&lt;/title&gt;&lt;secondary-title&gt;Haematologica&lt;/secondary-title&gt;&lt;/titles&gt;&lt;pages&gt;2028-2039&lt;/pages&gt;&lt;volume&gt;104&lt;/volume&gt;&lt;number&gt;10&lt;/number&gt;&lt;edition&gt;20190319&lt;/edition&gt;&lt;keywords&gt;&lt;keyword&gt;Adult&lt;/keyword&gt;&lt;keyword&gt;Humans&lt;/keyword&gt;&lt;keyword&gt;Neoplasm, Residual&lt;/keyword&gt;&lt;keyword&gt;Precursor B-Cell Lymphoblastic Leukemia-Lymphoma/*blood/*diagnosis/*therapy&lt;/keyword&gt;&lt;keyword&gt;Prognosis&lt;/keyword&gt;&lt;keyword&gt;Remission Induction&lt;/keyword&gt;&lt;/keywords&gt;&lt;dates&gt;&lt;year&gt;2019&lt;/year&gt;&lt;pub-dates&gt;&lt;date&gt;Oct&lt;/date&gt;&lt;/pub-dates&gt;&lt;/dates&gt;&lt;isbn&gt;1592-8721 (Electronic)&amp;#xD;0390-6078 (Linking)&lt;/isbn&gt;&lt;accession-num&gt;30890593&lt;/accession-num&gt;&lt;urls&gt;&lt;related-urls&gt;&lt;url&gt;https://www.ncbi.nlm.nih.gov/pubmed/30890593&lt;/url&gt;&lt;/related-urls&gt;&lt;/urls&gt;&lt;custom2&gt;PMC6886415&lt;/custom2&gt;&lt;electronic-resource-num&gt;10.3324/haematol.2018.201053&lt;/electronic-resource-num&gt;&lt;/record&gt;&lt;/Cite&gt;&lt;/EndNote&gt;</w:instrText>
      </w:r>
      <w:r w:rsidR="008B77F7" w:rsidRPr="007471D5">
        <w:fldChar w:fldCharType="separate"/>
      </w:r>
      <w:r w:rsidR="007C0AAE" w:rsidRPr="007471D5">
        <w:rPr>
          <w:noProof/>
          <w:vertAlign w:val="superscript"/>
        </w:rPr>
        <w:t>5</w:t>
      </w:r>
      <w:r w:rsidR="008B77F7" w:rsidRPr="007471D5">
        <w:fldChar w:fldCharType="end"/>
      </w:r>
      <w:r w:rsidRPr="007471D5">
        <w:t>).</w:t>
      </w:r>
    </w:p>
    <w:p w14:paraId="48A97FA8" w14:textId="36D5CDFF" w:rsidR="00B87234" w:rsidRDefault="008F6B83" w:rsidP="00E25935">
      <w:pPr>
        <w:ind w:left="284"/>
        <w:jc w:val="left"/>
      </w:pPr>
      <w:r w:rsidRPr="007471D5">
        <w:lastRenderedPageBreak/>
        <w:t>Although adults with B-</w:t>
      </w:r>
      <w:r w:rsidR="006455A5" w:rsidRPr="007471D5">
        <w:t>ALL</w:t>
      </w:r>
      <w:r w:rsidRPr="007471D5">
        <w:t xml:space="preserve"> respond to initial treatment, 40–50% of patients relapse with poor prognosis </w:t>
      </w:r>
      <w:r w:rsidR="00700D33" w:rsidRPr="007471D5">
        <w:t>(Paul et al., 2016</w: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 </w:instrTex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EN.CITE.DATA </w:instrText>
      </w:r>
      <w:r w:rsidR="008B77F7" w:rsidRPr="007471D5">
        <w:fldChar w:fldCharType="end"/>
      </w:r>
      <w:r w:rsidR="008B77F7" w:rsidRPr="007471D5">
        <w:fldChar w:fldCharType="separate"/>
      </w:r>
      <w:r w:rsidR="008B77F7" w:rsidRPr="007471D5">
        <w:rPr>
          <w:noProof/>
          <w:vertAlign w:val="superscript"/>
        </w:rPr>
        <w:t>1</w:t>
      </w:r>
      <w:r w:rsidR="008B77F7" w:rsidRPr="007471D5">
        <w:fldChar w:fldCharType="end"/>
      </w:r>
      <w:r w:rsidR="00700D33" w:rsidRPr="007471D5">
        <w:t xml:space="preserve">). </w:t>
      </w:r>
      <w:r w:rsidRPr="007471D5">
        <w:t>The 1-year overall survival rate is 26% after first salvage therapy and decreases with subsequent relapses (</w:t>
      </w:r>
      <w:proofErr w:type="spellStart"/>
      <w:r w:rsidR="008B77F7" w:rsidRPr="007471D5">
        <w:t>Gokbuget</w:t>
      </w:r>
      <w:proofErr w:type="spellEnd"/>
      <w:r w:rsidR="008B77F7" w:rsidRPr="007471D5">
        <w:t xml:space="preserve"> et. al., 2016</w:t>
      </w:r>
      <w:r w:rsidR="008B77F7" w:rsidRPr="007471D5">
        <w:fldChar w:fldCharType="begin">
          <w:fldData xml:space="preserve">PEVuZE5vdGU+PENpdGUgRXhjbHVkZVllYXI9IjEiPjxBdXRob3I+R29rYnVnZXQ8L0F1dGhvcj48
WWVhcj4yMDE2PC9ZZWFyPjxSZWNOdW0+MzwvUmVjTnVtPjxEaXNwbGF5VGV4dD48c3R5bGUgZmFj
ZT0ic3VwZXJzY3JpcHQiPjc8L3N0eWxlPjwvRGlzcGxheVRleHQ+PHJlY29yZD48cmVjLW51bWJl
cj4zPC9yZWMtbnVtYmVyPjxmb3JlaWduLWtleXM+PGtleSBhcHA9IkVOIiBkYi1pZD0idGFhMnh6
NXRtd2F0YXdlenNzOXZydGV6dGF2YXhmZmR0ZDUwIiB0aW1lc3RhbXA9IjE2NDU2ODEyNDAiPjM8
L2tleT48L2ZvcmVpZ24ta2V5cz48cmVmLXR5cGUgbmFtZT0iSm91cm5hbCBBcnRpY2xlIj4xNzwv
cmVmLXR5cGU+PGNvbnRyaWJ1dG9ycz48YXV0aG9ycz48YXV0aG9yPkdva2J1Z2V0LCBOLjwvYXV0
aG9yPjxhdXRob3I+RG9tYnJldCwgSC48L2F1dGhvcj48YXV0aG9yPlJpYmVyYSwgSi4gTS48L2F1
dGhvcj48YXV0aG9yPkZpZWxkaW5nLCBBLiBLLjwvYXV0aG9yPjxhdXRob3I+QWR2YW5pLCBBLjwv
YXV0aG9yPjxhdXRob3I+QmFzc2FuLCBSLjwvYXV0aG9yPjxhdXRob3I+Q2hpYSwgVi48L2F1dGhv
cj48YXV0aG9yPkRvdWJlaywgTS48L2F1dGhvcj48YXV0aG9yPkdpZWJlbCwgUy48L2F1dGhvcj48
YXV0aG9yPkhvZWx6ZXIsIEQuPC9hdXRob3I+PGF1dGhvcj5JZnJhaCwgTi48L2F1dGhvcj48YXV0
aG9yPkthdHosIEEuPC9hdXRob3I+PGF1dGhvcj5LZWxzaCwgTS48L2F1dGhvcj48YXV0aG9yPk1h
cnRpbmVsbGksIEcuPC9hdXRob3I+PGF1dGhvcj5Nb3JnYWRlcywgTS48L2F1dGhvcj48YXV0aG9y
Pk8mYXBvcztCcmllbiwgUy48L2F1dGhvcj48YXV0aG9yPlJvd2UsIEouIE0uPC9hdXRob3I+PGF1
dGhvcj5TdGllZ2xtYWllciwgSi48L2F1dGhvcj48YXV0aG9yPldhZGxlaWdoLCBNLjwvYXV0aG9y
PjxhdXRob3I+S2FudGFyamlhbiwgSC48L2F1dGhvcj48L2F1dGhvcnM+PC9jb250cmlidXRvcnM+
PGF1dGgtYWRkcmVzcz5Vbml2ZXJzaXR5IEhvc3BpdGFsLCBHb2V0aGUgVW5pdmVyc2l0eSwgRnJh
bmtmdXJ0LCBHZXJtYW55IGdvZWtidWdldEBlbS51bmktZnJhbmtmdXJ0LmRlLiYjeEQ7SG9waXRh
bCBTYWludC1Mb3VpcywgUGFyaXMsIEZyYW5jZS4mI3hEO0lDTy1Ib3NwaXRhbCBHZXJtYW5zIFRy
aWFzIEkgUHVqb2wsIEpvc2UgQ2FycmVyYXMgUmVzZWFyY2ggSW5zdGl0dXRlLCBCYXJjZWxvbmEs
IFNwYWluLiYjeEQ7VUNMIENhbmNlciBJbnN0aXR1dGUsIExvbmRvbiwgVUsuJiN4RDtDbGV2ZWxh
bmQgQ2xpbmljLCBPaGlvLCBVU0EuJiN4RDtVT0MgRW1hdG9sb2dpYSwgT3NwZWRhbGUgZGVsbCZh
cG9zO0FuZ2VsbywgTWVzdHJlLVZlbmV6aWEsIEl0YWx5LiYjeEQ7Q2VudGVyIGZvciBPYnNlcnZh
dGlvbmFsIFJlc2VhcmNoLCBBbWdlbiwgVVNBLiYjeEQ7VW5pdmVyc2l0eSBIb3NwaXRhbCwgQnJu
bywgQ3plY2ggUmVwdWJsaWMuJiN4RDtNYXJpYSBTa2xvZG93c2thIEN1cmllIE1lbW9yaWFsIENh
bmNlciBDZW50ZXIgYW5kIEluc3RpdHV0ZSBvZiBPbmNvbG9neSwgR2xpd2ljZSwgUG9sYW5kLiYj
eEQ7VW5pdmVyc2l0eSBIb3NwaXRhbCwgR29ldGhlIFVuaXZlcnNpdHksIEZyYW5rZnVydCwgR2Vy
bWFueS4mI3hEO0NlbnRlciBIb3NwaXRhbGllciBVbml2ZXJzaXRhaXJlLCBBbmdlcnMsIEZyYW5j
ZS4mI3hEO1BvbGljbGluaWNvIFNhbnQmYXBvcztPcnNvbGEsIElzdGl0dXRvIFNlcmFnbm9saSwg
Qm9sb2duYSwgSXRhbHkuJiN4RDtVbml2ZXJzaXR5IG9mIFRleGFzLCBNRCBBbmRlcnNvbiBDYW5j
ZXIgQ2VudGVyLCBIb3VzdG9uLCBVU0EuJiN4RDtSYW1iYW0gTWVkaWNhbCBDZW50ZXIsIEhhaWZh
LCBJc3JhZWwuJiN4RDtDbGluaWNhbCBEZXZlbG9wbWVudCwgQW1nZW4sIEdlcm1hbnkuJiN4RDtE
YW5hIEZhcmJlciBDYW5jZXIgSW5zdGl0dXRlLCBCb3N0b24sIE1hc3NhY2h1c2V0dHMsIFVTQS48
L2F1dGgtYWRkcmVzcz48dGl0bGVzPjx0aXRsZT5JbnRlcm5hdGlvbmFsIHJlZmVyZW5jZSBhbmFs
eXNpcyBvZiBvdXRjb21lcyBpbiBhZHVsdHMgd2l0aCBCLXByZWN1cnNvciBQaC1uZWdhdGl2ZSBy
ZWxhcHNlZC9yZWZyYWN0b3J5IGFjdXRlIGx5bXBob2JsYXN0aWMgbGV1a2VtaWE8L3RpdGxlPjxz
ZWNvbmRhcnktdGl0bGU+SGFlbWF0b2xvZ2ljYTwvc2Vjb25kYXJ5LXRpdGxlPjwvdGl0bGVzPjxw
YWdlcz4xNTI0LTE1MzM8L3BhZ2VzPjx2b2x1bWU+MTAxPC92b2x1bWU+PG51bWJlcj4xMjwvbnVt
YmVyPjxlZGl0aW9uPjIwMTYwOTAxPC9lZGl0aW9uPjxrZXl3b3Jkcz48a2V5d29yZD5BZG9sZXNj
ZW50PC9rZXl3b3JkPjxrZXl3b3JkPkFkdWx0PC9rZXl3b3JkPjxrZXl3b3JkPkFnZWQ8L2tleXdv
cmQ+PGtleXdvcmQ+QWdlZCwgODAgYW5kIG92ZXI8L2tleXdvcmQ+PGtleXdvcmQ+Q29tYmluZWQg
TW9kYWxpdHkgVGhlcmFweTwva2V5d29yZD48a2V5d29yZD5EcnVnIFJlc2lzdGFuY2UsIE5lb3Bs
YXNtPC9rZXl3b3JkPjxrZXl3b3JkPkZlbWFsZTwva2V5d29yZD48a2V5d29yZD5IZWFsdGggQ2Fy
ZSBTdXJ2ZXlzPC9rZXl3b3JkPjxrZXl3b3JkPkh1bWFuczwva2V5d29yZD48a2V5d29yZD5NYWxl
PC9rZXl3b3JkPjxrZXl3b3JkPk1pZGRsZSBBZ2VkPC9rZXl3b3JkPjxrZXl3b3JkPipQaGlsYWRl
bHBoaWEgQ2hyb21vc29tZTwva2V5d29yZD48a2V5d29yZD5QcmVjdXJzb3IgQi1DZWxsIEx5bXBo
b2JsYXN0aWM8L2tleXdvcmQ+PGtleXdvcmQ+TGV1a2VtaWEtTHltcGhvbWEvZGlhZ25vc2lzLypn
ZW5ldGljcy8qbW9ydGFsaXR5L3RoZXJhcHk8L2tleXdvcmQ+PGtleXdvcmQ+UHJvZ25vc2lzPC9r
ZXl3b3JkPjxrZXl3b3JkPlJlY3VycmVuY2U8L2tleXdvcmQ+PGtleXdvcmQ+UmVtaXNzaW9uIElu
ZHVjdGlvbjwva2V5d29yZD48a2V5d29yZD5SZXRyZWF0bWVudDwva2V5d29yZD48a2V5d29yZD5S
ZXRyb3NwZWN0aXZlIFN0dWRpZXM8L2tleXdvcmQ+PGtleXdvcmQ+U3Vydml2YWwgQW5hbHlzaXM8
L2tleXdvcmQ+PGtleXdvcmQ+VHJlYXRtZW50IE91dGNvbWU8L2tleXdvcmQ+PGtleXdvcmQ+WW91
bmcgQWR1bHQ8L2tleXdvcmQ+PC9rZXl3b3Jkcz48ZGF0ZXM+PHllYXI+MjAxNjwveWVhcj48cHVi
LWRhdGVzPjxkYXRlPkRlYzwvZGF0ZT48L3B1Yi1kYXRlcz48L2RhdGVzPjxpc2JuPjE1OTItODcy
MSAoRWxlY3Ryb25pYykmI3hEOzAzOTAtNjA3OCAoTGlua2luZyk8L2lzYm4+PGFjY2Vzc2lvbi1u
dW0+Mjc1ODczODA8L2FjY2Vzc2lvbi1udW0+PHVybHM+PHJlbGF0ZWQtdXJscz48dXJsPmh0dHBz
Oi8vd3d3Lm5jYmkubmxtLm5paC5nb3YvcHVibWVkLzI3NTg3MzgwPC91cmw+PC9yZWxhdGVkLXVy
bHM+PC91cmxzPjxjdXN0b20yPlBNQzU0Nzk2MDU8L2N1c3RvbTI+PGVsZWN0cm9uaWMtcmVzb3Vy
Y2UtbnVtPjEwLjMzMjQvaGFlbWF0b2wuMjAxNi4xNDQzMTE8L2VsZWN0cm9uaWMtcmVzb3VyY2Ut
bnVtPjwvcmVjb3JkPjwvQ2l0ZT48L0VuZE5vdGU+
</w:fldData>
        </w:fldChar>
      </w:r>
      <w:r w:rsidR="007C0AAE" w:rsidRPr="007471D5">
        <w:instrText xml:space="preserve"> ADDIN EN.CITE </w:instrText>
      </w:r>
      <w:r w:rsidR="007C0AAE" w:rsidRPr="007471D5">
        <w:fldChar w:fldCharType="begin">
          <w:fldData xml:space="preserve">PEVuZE5vdGU+PENpdGUgRXhjbHVkZVllYXI9IjEiPjxBdXRob3I+R29rYnVnZXQ8L0F1dGhvcj48
WWVhcj4yMDE2PC9ZZWFyPjxSZWNOdW0+MzwvUmVjTnVtPjxEaXNwbGF5VGV4dD48c3R5bGUgZmFj
ZT0ic3VwZXJzY3JpcHQiPjc8L3N0eWxlPjwvRGlzcGxheVRleHQ+PHJlY29yZD48cmVjLW51bWJl
cj4zPC9yZWMtbnVtYmVyPjxmb3JlaWduLWtleXM+PGtleSBhcHA9IkVOIiBkYi1pZD0idGFhMnh6
NXRtd2F0YXdlenNzOXZydGV6dGF2YXhmZmR0ZDUwIiB0aW1lc3RhbXA9IjE2NDU2ODEyNDAiPjM8
L2tleT48L2ZvcmVpZ24ta2V5cz48cmVmLXR5cGUgbmFtZT0iSm91cm5hbCBBcnRpY2xlIj4xNzwv
cmVmLXR5cGU+PGNvbnRyaWJ1dG9ycz48YXV0aG9ycz48YXV0aG9yPkdva2J1Z2V0LCBOLjwvYXV0
aG9yPjxhdXRob3I+RG9tYnJldCwgSC48L2F1dGhvcj48YXV0aG9yPlJpYmVyYSwgSi4gTS48L2F1
dGhvcj48YXV0aG9yPkZpZWxkaW5nLCBBLiBLLjwvYXV0aG9yPjxhdXRob3I+QWR2YW5pLCBBLjwv
YXV0aG9yPjxhdXRob3I+QmFzc2FuLCBSLjwvYXV0aG9yPjxhdXRob3I+Q2hpYSwgVi48L2F1dGhv
cj48YXV0aG9yPkRvdWJlaywgTS48L2F1dGhvcj48YXV0aG9yPkdpZWJlbCwgUy48L2F1dGhvcj48
YXV0aG9yPkhvZWx6ZXIsIEQuPC9hdXRob3I+PGF1dGhvcj5JZnJhaCwgTi48L2F1dGhvcj48YXV0
aG9yPkthdHosIEEuPC9hdXRob3I+PGF1dGhvcj5LZWxzaCwgTS48L2F1dGhvcj48YXV0aG9yPk1h
cnRpbmVsbGksIEcuPC9hdXRob3I+PGF1dGhvcj5Nb3JnYWRlcywgTS48L2F1dGhvcj48YXV0aG9y
Pk8mYXBvcztCcmllbiwgUy48L2F1dGhvcj48YXV0aG9yPlJvd2UsIEouIE0uPC9hdXRob3I+PGF1
dGhvcj5TdGllZ2xtYWllciwgSi48L2F1dGhvcj48YXV0aG9yPldhZGxlaWdoLCBNLjwvYXV0aG9y
PjxhdXRob3I+S2FudGFyamlhbiwgSC48L2F1dGhvcj48L2F1dGhvcnM+PC9jb250cmlidXRvcnM+
PGF1dGgtYWRkcmVzcz5Vbml2ZXJzaXR5IEhvc3BpdGFsLCBHb2V0aGUgVW5pdmVyc2l0eSwgRnJh
bmtmdXJ0LCBHZXJtYW55IGdvZWtidWdldEBlbS51bmktZnJhbmtmdXJ0LmRlLiYjeEQ7SG9waXRh
bCBTYWludC1Mb3VpcywgUGFyaXMsIEZyYW5jZS4mI3hEO0lDTy1Ib3NwaXRhbCBHZXJtYW5zIFRy
aWFzIEkgUHVqb2wsIEpvc2UgQ2FycmVyYXMgUmVzZWFyY2ggSW5zdGl0dXRlLCBCYXJjZWxvbmEs
IFNwYWluLiYjeEQ7VUNMIENhbmNlciBJbnN0aXR1dGUsIExvbmRvbiwgVUsuJiN4RDtDbGV2ZWxh
bmQgQ2xpbmljLCBPaGlvLCBVU0EuJiN4RDtVT0MgRW1hdG9sb2dpYSwgT3NwZWRhbGUgZGVsbCZh
cG9zO0FuZ2VsbywgTWVzdHJlLVZlbmV6aWEsIEl0YWx5LiYjeEQ7Q2VudGVyIGZvciBPYnNlcnZh
dGlvbmFsIFJlc2VhcmNoLCBBbWdlbiwgVVNBLiYjeEQ7VW5pdmVyc2l0eSBIb3NwaXRhbCwgQnJu
bywgQ3plY2ggUmVwdWJsaWMuJiN4RDtNYXJpYSBTa2xvZG93c2thIEN1cmllIE1lbW9yaWFsIENh
bmNlciBDZW50ZXIgYW5kIEluc3RpdHV0ZSBvZiBPbmNvbG9neSwgR2xpd2ljZSwgUG9sYW5kLiYj
eEQ7VW5pdmVyc2l0eSBIb3NwaXRhbCwgR29ldGhlIFVuaXZlcnNpdHksIEZyYW5rZnVydCwgR2Vy
bWFueS4mI3hEO0NlbnRlciBIb3NwaXRhbGllciBVbml2ZXJzaXRhaXJlLCBBbmdlcnMsIEZyYW5j
ZS4mI3hEO1BvbGljbGluaWNvIFNhbnQmYXBvcztPcnNvbGEsIElzdGl0dXRvIFNlcmFnbm9saSwg
Qm9sb2duYSwgSXRhbHkuJiN4RDtVbml2ZXJzaXR5IG9mIFRleGFzLCBNRCBBbmRlcnNvbiBDYW5j
ZXIgQ2VudGVyLCBIb3VzdG9uLCBVU0EuJiN4RDtSYW1iYW0gTWVkaWNhbCBDZW50ZXIsIEhhaWZh
LCBJc3JhZWwuJiN4RDtDbGluaWNhbCBEZXZlbG9wbWVudCwgQW1nZW4sIEdlcm1hbnkuJiN4RDtE
YW5hIEZhcmJlciBDYW5jZXIgSW5zdGl0dXRlLCBCb3N0b24sIE1hc3NhY2h1c2V0dHMsIFVTQS48
L2F1dGgtYWRkcmVzcz48dGl0bGVzPjx0aXRsZT5JbnRlcm5hdGlvbmFsIHJlZmVyZW5jZSBhbmFs
eXNpcyBvZiBvdXRjb21lcyBpbiBhZHVsdHMgd2l0aCBCLXByZWN1cnNvciBQaC1uZWdhdGl2ZSBy
ZWxhcHNlZC9yZWZyYWN0b3J5IGFjdXRlIGx5bXBob2JsYXN0aWMgbGV1a2VtaWE8L3RpdGxlPjxz
ZWNvbmRhcnktdGl0bGU+SGFlbWF0b2xvZ2ljYTwvc2Vjb25kYXJ5LXRpdGxlPjwvdGl0bGVzPjxw
YWdlcz4xNTI0LTE1MzM8L3BhZ2VzPjx2b2x1bWU+MTAxPC92b2x1bWU+PG51bWJlcj4xMjwvbnVt
YmVyPjxlZGl0aW9uPjIwMTYwOTAxPC9lZGl0aW9uPjxrZXl3b3Jkcz48a2V5d29yZD5BZG9sZXNj
ZW50PC9rZXl3b3JkPjxrZXl3b3JkPkFkdWx0PC9rZXl3b3JkPjxrZXl3b3JkPkFnZWQ8L2tleXdv
cmQ+PGtleXdvcmQ+QWdlZCwgODAgYW5kIG92ZXI8L2tleXdvcmQ+PGtleXdvcmQ+Q29tYmluZWQg
TW9kYWxpdHkgVGhlcmFweTwva2V5d29yZD48a2V5d29yZD5EcnVnIFJlc2lzdGFuY2UsIE5lb3Bs
YXNtPC9rZXl3b3JkPjxrZXl3b3JkPkZlbWFsZTwva2V5d29yZD48a2V5d29yZD5IZWFsdGggQ2Fy
ZSBTdXJ2ZXlzPC9rZXl3b3JkPjxrZXl3b3JkPkh1bWFuczwva2V5d29yZD48a2V5d29yZD5NYWxl
PC9rZXl3b3JkPjxrZXl3b3JkPk1pZGRsZSBBZ2VkPC9rZXl3b3JkPjxrZXl3b3JkPipQaGlsYWRl
bHBoaWEgQ2hyb21vc29tZTwva2V5d29yZD48a2V5d29yZD5QcmVjdXJzb3IgQi1DZWxsIEx5bXBo
b2JsYXN0aWM8L2tleXdvcmQ+PGtleXdvcmQ+TGV1a2VtaWEtTHltcGhvbWEvZGlhZ25vc2lzLypn
ZW5ldGljcy8qbW9ydGFsaXR5L3RoZXJhcHk8L2tleXdvcmQ+PGtleXdvcmQ+UHJvZ25vc2lzPC9r
ZXl3b3JkPjxrZXl3b3JkPlJlY3VycmVuY2U8L2tleXdvcmQ+PGtleXdvcmQ+UmVtaXNzaW9uIElu
ZHVjdGlvbjwva2V5d29yZD48a2V5d29yZD5SZXRyZWF0bWVudDwva2V5d29yZD48a2V5d29yZD5S
ZXRyb3NwZWN0aXZlIFN0dWRpZXM8L2tleXdvcmQ+PGtleXdvcmQ+U3Vydml2YWwgQW5hbHlzaXM8
L2tleXdvcmQ+PGtleXdvcmQ+VHJlYXRtZW50IE91dGNvbWU8L2tleXdvcmQ+PGtleXdvcmQ+WW91
bmcgQWR1bHQ8L2tleXdvcmQ+PC9rZXl3b3Jkcz48ZGF0ZXM+PHllYXI+MjAxNjwveWVhcj48cHVi
LWRhdGVzPjxkYXRlPkRlYzwvZGF0ZT48L3B1Yi1kYXRlcz48L2RhdGVzPjxpc2JuPjE1OTItODcy
MSAoRWxlY3Ryb25pYykmI3hEOzAzOTAtNjA3OCAoTGlua2luZyk8L2lzYm4+PGFjY2Vzc2lvbi1u
dW0+Mjc1ODczODA8L2FjY2Vzc2lvbi1udW0+PHVybHM+PHJlbGF0ZWQtdXJscz48dXJsPmh0dHBz
Oi8vd3d3Lm5jYmkubmxtLm5paC5nb3YvcHVibWVkLzI3NTg3MzgwPC91cmw+PC9yZWxhdGVkLXVy
bHM+PC91cmxzPjxjdXN0b20yPlBNQzU0Nzk2MDU8L2N1c3RvbTI+PGVsZWN0cm9uaWMtcmVzb3Vy
Y2UtbnVtPjEwLjMzMjQvaGFlbWF0b2wuMjAxNi4xNDQzMTE8L2VsZWN0cm9uaWMtcmVzb3VyY2Ut
bnVtPjwvcmVjb3JkPjwvQ2l0ZT48L0VuZE5vdGU+
</w:fldData>
        </w:fldChar>
      </w:r>
      <w:r w:rsidR="007C0AAE" w:rsidRPr="007471D5">
        <w:instrText xml:space="preserve"> ADDIN EN.CITE.DATA </w:instrText>
      </w:r>
      <w:r w:rsidR="007C0AAE" w:rsidRPr="007471D5">
        <w:fldChar w:fldCharType="end"/>
      </w:r>
      <w:r w:rsidR="008B77F7" w:rsidRPr="007471D5">
        <w:fldChar w:fldCharType="separate"/>
      </w:r>
      <w:r w:rsidR="007C0AAE" w:rsidRPr="007471D5">
        <w:rPr>
          <w:noProof/>
          <w:vertAlign w:val="superscript"/>
        </w:rPr>
        <w:t>7</w:t>
      </w:r>
      <w:r w:rsidR="008B77F7" w:rsidRPr="007471D5">
        <w:fldChar w:fldCharType="end"/>
      </w:r>
      <w:r w:rsidRPr="007471D5">
        <w:t xml:space="preserve">; </w:t>
      </w:r>
      <w:r w:rsidR="00700D33" w:rsidRPr="007471D5">
        <w:t>Paul et al., 2016</w: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 </w:instrText>
      </w:r>
      <w:r w:rsidR="008B77F7" w:rsidRPr="007471D5">
        <w:fldChar w:fldCharType="begin">
          <w:fldData xml:space="preserve">PEVuZE5vdGU+PENpdGUgRXhjbHVkZVllYXI9IjEiPjxBdXRob3I+UGF1bDwvQXV0aG9yPjxZZWFy
PjIwMTY8L1llYXI+PFJlY051bT41PC9SZWNOdW0+PERpc3BsYXlUZXh0PjxzdHlsZSBmYWNlPSJz
dXBlcnNjcmlwdCI+MTwvc3R5bGU+PC9EaXNwbGF5VGV4dD48cmVjb3JkPjxyZWMtbnVtYmVyPjU8
L3JlYy1udW1iZXI+PGZvcmVpZ24ta2V5cz48a2V5IGFwcD0iRU4iIGRiLWlkPSJ0YWEyeHo1dG13
YXRhd2V6c3M5dnJ0ZXp0YXZheGZmZHRkNTAiIHRpbWVzdGFtcD0iMTY0NTY4MTM5OSI+NTwva2V5
PjwvZm9yZWlnbi1rZXlzPjxyZWYtdHlwZSBuYW1lPSJKb3VybmFsIEFydGljbGUiPjE3PC9yZWYt
dHlwZT48Y29udHJpYnV0b3JzPjxhdXRob3JzPjxhdXRob3I+UGF1bCwgUy48L2F1dGhvcj48YXV0
aG9yPkthbnRhcmppYW4sIEguPC9hdXRob3I+PGF1dGhvcj5KYWJib3VyLCBFLiBKLjwvYXV0aG9y
PjwvYXV0aG9ycz48L2NvbnRyaWJ1dG9ycz48YXV0aC1hZGRyZXNzPkRlcGFydG1lbnQgb2YgTGV1
a2VtaWEsIFVuaXZlcnNpdHkgb2YgVGV4YXMgTUQgQW5kZXJzb24gQ2FuY2VyIENlbnRlciwgSG91
c3RvbiwgVFguJiN4RDtEZXBhcnRtZW50IG9mIExldWtlbWlhLCBVbml2ZXJzaXR5IG9mIFRleGFz
IE1EIEFuZGVyc29uIENhbmNlciBDZW50ZXIsIEhvdXN0b24sIFRYLiBFbGVjdHJvbmljIGFkZHJl
c3M6IGVqYWJib3VyQG1kYW5kZXJzb24ub3JnLjwvYXV0aC1hZGRyZXNzPjx0aXRsZXM+PHRpdGxl
PkFkdWx0IEFjdXRlIEx5bXBob2JsYXN0aWMgTGV1a2VtaWE8L3RpdGxlPjxzZWNvbmRhcnktdGl0
bGU+TWF5byBDbGluIFByb2M8L3NlY29uZGFyeS10aXRsZT48L3RpdGxlcz48cGFnZXM+MTY0NS0x
NjY2PC9wYWdlcz48dm9sdW1lPjkxPC92b2x1bWU+PG51bWJlcj4xMTwvbnVtYmVyPjxrZXl3b3Jk
cz48a2V5d29yZD5BZHVsdDwva2V5d29yZD48a2V5d29yZD5BbnRpYm9kaWVzLCBCaXNwZWNpZmlj
L3RoZXJhcGV1dGljIHVzZTwva2V5d29yZD48a2V5d29yZD5BbnRpYm9kaWVzLCBNb25vY2xvbmFs
L3RoZXJhcGV1dGljIHVzZTwva2V5d29yZD48a2V5d29yZD5BbnRpYm9kaWVzLCBNb25vY2xvbmFs
LCBIdW1hbml6ZWQvdGhlcmFwZXV0aWMgdXNlPC9rZXl3b3JkPjxrZXl3b3JkPkFudGluZW9wbGFz
dGljIEFnZW50cy90aGVyYXBldXRpYyB1c2U8L2tleXdvcmQ+PGtleXdvcmQ+QW50aW5lb3BsYXN0
aWMgQ29tYmluZWQgQ2hlbW90aGVyYXB5IFByb3RvY29scy90aGVyYXBldXRpYyB1c2U8L2tleXdv
cmQ+PGtleXdvcmQ+Qm9uZSBNYXJyb3cvcGF0aG9sb2d5PC9rZXl3b3JkPjxrZXl3b3JkPkNlbnRy
YWwgTmVydm91cyBTeXN0ZW0gTmVvcGxhc21zL3ByZXZlbnRpb24gJmFtcDsgY29udHJvbDwva2V5
d29yZD48a2V5d29yZD5IdW1hbnM8L2tleXdvcmQ+PGtleXdvcmQ+SW1tdW5vdGhlcmFweSwgQWRv
cHRpdmU8L2tleXdvcmQ+PGtleXdvcmQ+SW5vdHV6dW1hYiBPem9nYW1pY2luPC9rZXl3b3JkPjxr
ZXl3b3JkPk5lb3BsYXNtLCBSZXNpZHVhbDwva2V5d29yZD48a2V5d29yZD5QcmVjdXJzb3IgQ2Vs
bCBMeW1waG9ibGFzdGljPC9rZXl3b3JkPjxrZXl3b3JkPkxldWtlbWlhLUx5bXBob21hLypkaWFn
bm9zaXMvZXBpZGVtaW9sb2d5L2V0aW9sb2d5Lyp0aGVyYXB5PC9rZXl3b3JkPjxrZXl3b3JkPlBy
b3RlaW4gS2luYXNlIEluaGliaXRvcnMvdGhlcmFwZXV0aWMgdXNlPC9rZXl3b3JkPjxrZXl3b3Jk
PlJlY2VwdG9ycywgQW50aWdlbiwgVC1DZWxsL2ltbXVub2xvZ3k8L2tleXdvcmQ+PGtleXdvcmQ+
U2FsdmFnZSBUaGVyYXB5PC9rZXl3b3JkPjxrZXl3b3JkPlN0ZW0gQ2VsbCBUcmFuc3BsYW50YXRp
b248L2tleXdvcmQ+PGtleXdvcmQ+VC1MeW1waG9jeXRlcy9pbW11bm9sb2d5L3RyYW5zcGxhbnRh
dGlvbjwva2V5d29yZD48L2tleXdvcmRzPjxkYXRlcz48eWVhcj4yMDE2PC95ZWFyPjxwdWItZGF0
ZXM+PGRhdGU+Tm92PC9kYXRlPjwvcHViLWRhdGVzPjwvZGF0ZXM+PGlzYm4+MTk0Mi01NTQ2IChF
bGVjdHJvbmljKSYjeEQ7MDAyNS02MTk2IChMaW5raW5nKTwvaXNibj48YWNjZXNzaW9uLW51bT4y
NzgxNDgzOTwvYWNjZXNzaW9uLW51bT48dXJscz48cmVsYXRlZC11cmxzPjx1cmw+aHR0cHM6Ly93
d3cubmNiaS5ubG0ubmloLmdvdi9wdWJtZWQvMjc4MTQ4Mzk8L3VybD48L3JlbGF0ZWQtdXJscz48
L3VybHM+PGVsZWN0cm9uaWMtcmVzb3VyY2UtbnVtPjEwLjEwMTYvai5tYXlvY3AuMjAxNi4wOS4w
MTA8L2VsZWN0cm9uaWMtcmVzb3VyY2UtbnVtPjwvcmVjb3JkPjwvQ2l0ZT48L0VuZE5vdGU+AG==
</w:fldData>
        </w:fldChar>
      </w:r>
      <w:r w:rsidR="008B77F7" w:rsidRPr="007471D5">
        <w:instrText xml:space="preserve"> ADDIN EN.CITE.DATA </w:instrText>
      </w:r>
      <w:r w:rsidR="008B77F7" w:rsidRPr="007471D5">
        <w:fldChar w:fldCharType="end"/>
      </w:r>
      <w:r w:rsidR="008B77F7" w:rsidRPr="007471D5">
        <w:fldChar w:fldCharType="separate"/>
      </w:r>
      <w:r w:rsidR="008B77F7" w:rsidRPr="007471D5">
        <w:rPr>
          <w:noProof/>
          <w:vertAlign w:val="superscript"/>
        </w:rPr>
        <w:t>1</w:t>
      </w:r>
      <w:r w:rsidR="008B77F7" w:rsidRPr="007471D5">
        <w:fldChar w:fldCharType="end"/>
      </w:r>
      <w:r w:rsidR="00700D33" w:rsidRPr="007471D5">
        <w:t>).</w:t>
      </w:r>
      <w:r w:rsidRPr="007471D5">
        <w:t xml:space="preserve"> Although the novel agents blinatumomab and </w:t>
      </w:r>
      <w:proofErr w:type="spellStart"/>
      <w:r w:rsidR="005C055A" w:rsidRPr="007471D5">
        <w:t>i</w:t>
      </w:r>
      <w:r w:rsidRPr="007471D5">
        <w:t>notuzumab</w:t>
      </w:r>
      <w:proofErr w:type="spellEnd"/>
      <w:r w:rsidRPr="007471D5">
        <w:t xml:space="preserve"> </w:t>
      </w:r>
      <w:proofErr w:type="spellStart"/>
      <w:r w:rsidRPr="007471D5">
        <w:t>ozogamicin</w:t>
      </w:r>
      <w:proofErr w:type="spellEnd"/>
      <w:r w:rsidRPr="007471D5">
        <w:t xml:space="preserve"> lead to a proportion of patients with complete remission or complete remission with incomplete haematological recovery of 35</w:t>
      </w:r>
      <w:r w:rsidR="001D317C">
        <w:t>.</w:t>
      </w:r>
      <w:r w:rsidRPr="007471D5">
        <w:t>1% (blinatumomab) and 80</w:t>
      </w:r>
      <w:r w:rsidR="001D317C">
        <w:t>.</w:t>
      </w:r>
      <w:r w:rsidRPr="007471D5">
        <w:t>7% (</w:t>
      </w:r>
      <w:proofErr w:type="spellStart"/>
      <w:r w:rsidRPr="007471D5">
        <w:t>inotuzumab</w:t>
      </w:r>
      <w:proofErr w:type="spellEnd"/>
      <w:r w:rsidRPr="007471D5">
        <w:t xml:space="preserve"> </w:t>
      </w:r>
      <w:proofErr w:type="spellStart"/>
      <w:r w:rsidRPr="007471D5">
        <w:t>ozogamicin</w:t>
      </w:r>
      <w:proofErr w:type="spellEnd"/>
      <w:r w:rsidRPr="007471D5">
        <w:t xml:space="preserve">), median overall survival remains at less than 8 months and is largely contingent on </w:t>
      </w:r>
      <w:proofErr w:type="spellStart"/>
      <w:r w:rsidR="004B1547" w:rsidRPr="007471D5">
        <w:t>a</w:t>
      </w:r>
      <w:r w:rsidRPr="007471D5">
        <w:t>llo</w:t>
      </w:r>
      <w:proofErr w:type="spellEnd"/>
      <w:r w:rsidRPr="007471D5">
        <w:t xml:space="preserve">-SCT consolidation (Shah </w:t>
      </w:r>
      <w:r w:rsidR="007C0AAE" w:rsidRPr="007471D5">
        <w:t xml:space="preserve">et. al., </w:t>
      </w:r>
      <w:r w:rsidRPr="007471D5">
        <w:t>20</w:t>
      </w:r>
      <w:r w:rsidR="004B1547" w:rsidRPr="007471D5">
        <w:t>2</w:t>
      </w:r>
      <w:r w:rsidRPr="007471D5">
        <w:t>1</w:t>
      </w:r>
      <w:r w:rsidR="00B570A1" w:rsidRPr="007471D5">
        <w:fldChar w:fldCharType="begin">
          <w:fldData xml:space="preserve">PEVuZE5vdGU+PENpdGUgRXhjbHVkZVllYXI9IjEiPjxBdXRob3I+U2hhaDwvQXV0aG9yPjxZZWFy
PjIwMjE8L1llYXI+PFJlY051bT4xMTwvUmVjTnVtPjxEaXNwbGF5VGV4dD48c3R5bGUgZmFjZT0i
c3VwZXJzY3JpcHQiPjk8L3N0eWxlPjwvRGlzcGxheVRleHQ+PHJlY29yZD48cmVjLW51bWJlcj4x
MTwvcmVjLW51bWJlcj48Zm9yZWlnbi1rZXlzPjxrZXkgYXBwPSJFTiIgZGItaWQ9InRhYTJ4ejV0
bXdhdGF3ZXpzczl2cnRlenRhdmF4ZmZkdGQ1MCIgdGltZXN0YW1wPSIxNjQ2Nzc5NDEzIj4xMTwv
a2V5PjwvZm9yZWlnbi1rZXlzPjxyZWYtdHlwZSBuYW1lPSJKb3VybmFsIEFydGljbGUiPjE3PC9y
ZWYtdHlwZT48Y29udHJpYnV0b3JzPjxhdXRob3JzPjxhdXRob3I+U2hhaCwgQi4gRC48L2F1dGhv
cj48YXV0aG9yPkJpc2hvcCwgTS4gUi48L2F1dGhvcj48YXV0aG9yPk9sdXdvbGUsIE8uIE8uPC9h
dXRob3I+PGF1dGhvcj5Mb2dhbiwgQS4gQy48L2F1dGhvcj48YXV0aG9yPkJhZXIsIE0uIFIuPC9h
dXRob3I+PGF1dGhvcj5Eb25uZWxsYW4sIFcuIEIuPC9hdXRob3I+PGF1dGhvcj5PJmFwb3M7RHd5
ZXIsIEsuIE0uPC9hdXRob3I+PGF1dGhvcj5Ib2xtZXMsIEguPC9hdXRob3I+PGF1dGhvcj5BcmVs
bGFubywgTS4gTC48L2F1dGhvcj48YXV0aG9yPkdob2JhZGksIEEuPC9hdXRob3I+PGF1dGhvcj5Q
YWdlbCwgSi4gTS48L2F1dGhvcj48YXV0aG9yPkxpbiwgWS48L2F1dGhvcj48YXV0aG9yPkNhc3Nh
ZGF5LCBSLiBELjwvYXV0aG9yPjxhdXRob3I+UGFyaywgSi4gSC48L2F1dGhvcj48YXV0aG9yPkFi
ZWRpLCBNLjwvYXV0aG9yPjxhdXRob3I+Q2FzdHJvLCBKLiBFLjwvYXV0aG9yPjxhdXRob3I+RGVB
bmdlbG8sIEQuIEouPC9hdXRob3I+PGF1dGhvcj5NYWxvbmUsIEEuIEsuPC9hdXRob3I+PGF1dGhv
cj5NYXdhZCwgUi48L2F1dGhvcj48YXV0aG9yPlNjaGlsbGVyLCBHLiBKLjwvYXV0aG9yPjxhdXRo
b3I+Um9zc2ksIEouIE0uPC9hdXRob3I+PGF1dGhvcj5Cb3QsIEEuPC9hdXRob3I+PGF1dGhvcj5T
aGVuLCBULjwvYXV0aG9yPjxhdXRob3I+R295YWwsIEwuPC9hdXRob3I+PGF1dGhvcj5KYWluLCBS
LiBLLjwvYXV0aG9yPjxhdXRob3I+VmV6YW4sIFIuPC9hdXRob3I+PGF1dGhvcj5XaWVyZGEsIFcu
IEcuPC9hdXRob3I+PC9hdXRob3JzPjwvY29udHJpYnV0b3JzPjxhdXRoLWFkZHJlc3M+RGl2aXNp
b24gb2YgSGVtYXRvbG9neS9PbmNvbG9neSwgRGVwYXJ0bWVudCBvZiBNYWxpZ25hbnQgSGVtYXRv
bG9neSwgTW9mZml0dCBDYW5jZXIgQ2VudGVyLCBUYW1wYSwgRkwuJiN4RDtEaXZpc2lvbiBvZiBI
ZW1hdG9sb2d5L09uY29sb2d5LCBUaGUgVW5pdmVyc2l0eSBvZiBDaGljYWdvIE1lZGljaW5lLCBD
aGljYWdvLCBJTC4mI3hEO0RpdmlzaW9uIG9mIEhlbWF0b2xvZ3kvT25jb2xvZ3ksIFZhbmRlcmJp
bHQtSW5ncmFtIENhbmNlciBDZW50ZXIsIFZhbmRlcmJpbHQgVW5pdmVyc2l0eSBTY2hvb2wgb2Yg
TWVkaWNpbmUsIE5hc2h2aWxsZSwgVE4uJiN4RDtEaXZpc2lvbiBvZiBIZW1hdG9sb2d5L09uY29s
b2d5LCBIZWxlbiBEaWxsZXIgQ29tcHJlaGVuc2l2ZSBDYW5jZXIgQ2VudGVyLCBVbml2ZXJzaXR5
IG9mIENhbGlmb3JuaWEgU2FuIEZyYW5jaXNjbywgU2FuIEZyYW5jaXNjbywgQ0EuJiN4RDtNYXJs
ZW5lIGFuZCBTdGV3YXJ0IEdyZWVuZWJhdW0gQ2FuY2VyIENlbnRlciwgVW5pdmVyc2l0eSBvZiBN
YXJ5bGFuZCBTY2hvb2wgb2YgTWVkaWNpbmUsIEJhbHRpbW9yZSwgTUQuJiN4RDtTYXJhaCBDYW5u
b24gUmVzZWFyY2ggSW5zdGl0dXRlLCBOYXNodmlsbGUsIFROLiYjeEQ7QWN1dGUgTGV1a2VtaWEg
UHJvZ3JhbSwgV2lsbW90IENhbmNlciBJbnN0aXR1dGUsIFVuaXZlcnNpdHkgb2YgUm9jaGVzdGVy
IE1lZGljYWwgQ2VudGVyLCBSb2NoZXN0ZXIsIE5ZLiYjeEQ7VGV4YXMgT25jb2xvZ3ktQmF5bG9y
IENoYXJsZXMgQS4gU2FtbW9ucyBDYW5jZXIgQ2VudGVyLCBEYWxsYXMsIFRYLiYjeEQ7RGl2aXNp
b24gb2YgSGVtYXRvbG9neS9PbmNvbG9neSwgV2luc2hpcCBDYW5jZXIgSW5zdGl0dXRlLCBFbW9y
eSBVbml2ZXJzaXR5LCBBdGxhbnRhLCBHQS4mI3hEO1NlY3Rpb24gb2YgU3RlbSBDZWxsIFRyYW5z
cGxhbnQgYW5kIExldWtlbWlhLCBEaXZpc2lvbiBvZiBNZWRpY2FsIE9uY29sb2d5LCBXYXNoaW5n
dG9uIFVuaXZlcnNpdHkgU2Nob29sIG9mIE1lZGljaW5lLVNpdGVtYW4gQ2FuY2VyIENlbnRlciwg
U3QgTG91aXMsIE1PLiYjeEQ7Q2VudGVyIGZvciBCbG9vZCBEaXNvcmRlcnMgYW5kIFN0ZW0gQ2Vs
bCBUcmFuc3BsYW50YXRpb24sIFN3ZWRpc2ggQ2FuY2VyIEluc3RpdHV0ZSwgU2VhdHRsZSwgV0Eu
JiN4RDtEaXZpc2lvbiBvZiBIZW1hdG9sb2d5LCBEZXBhcnRtZW50IG9mIEludGVybmFsIE1lZGlj
aW5lLCBNYXlvIENsaW5pYywgUm9jaGVzdGVyLCBNTi4mI3hEO0RpdmlzaW9uIG9mIEhlbWF0b2xv
Z3kgYW5kIENsaW5pY2FsIFJlc2VhcmNoLCBVbml2ZXJzaXR5IG9mIFdhc2hpbmd0b24gU2Nob29s
IG9mIE1lZGljaW5lLUZyZWQgSHV0Y2hpbnNvbiBDYW5jZXIgUmVzZWFyY2ggQ2VudGVyLCBTZWF0
dGxlLCBXQS4mI3hEO0RpdmlzaW9uIG9mIEhlbWF0b2xvZ2ljIE1hbGlnbmFuY2llcywgRGVwYXJ0
bWVudCBvZiBNZWRpY2luZSwgTWVtb3JpYWwgU2xvYW4gS2V0dGVyaW5nIENhbmNlciBDZW50ZXIs
IE5ldyBZb3JrLCBOWS4mI3hEO0RlcGFydG1lbnQgb2YgSW50ZXJuYWwgTWVkaWNpbmUsIFVuaXZl
cnNpdHkgb2YgQ2FsaWZvcm5pYSBEYXZpcyBNZWRpY2FsIENlbnRlciwgU2FjcmFtZW50bywgQ0Eu
JiN4RDtEaXZpc2lvbiBvZiBIZW1hdG9sb2d5LU9uY29sb2d5LCBNYXlvIENsaW5pYywgUGhvZW5p
eCwgQVouJiN4RDtEaXZpc2lvbiBvZiBIZW1hdG9sb2dpYyBPbmNvbG9neSwgRGFuYS1GYXJiZXIg
Q2FuY2VyIEluc3RpdHV0ZSwgQm9zdG9uLCBNQS4mI3hEO0RpdmlzaW9uIG9mIEhlbWF0b2xvZ3kg
YW5kIE1lZGljYWwgT25jb2xvZ3ksIEljYWhuIFNjaG9vbCBvZiBNZWRpY2luZSBhdCBNb3VudCBT
aW5haSwgTmV3IFlvcmssIE5ZLiYjeEQ7Q2VudGVyIGZvciBCbG9vZCBEaXNvcmRlcnMgYW5kIFN0
ZW0gQ2VsbCBUcmFuc3BsYW50YXRpb24sIFN3ZWRpc2ggTWVkaWNhbCBDZW50ZXIsIFNlYXR0bGUs
IFdBLiYjeEQ7RGl2aXNpb24gb2YgSGVtYXRvbG9neS9PbmNvbG9neSwgRGVwYXJ0bWVudCBvZiBN
ZWRpY2luZSwgRGF2aWQgR2VmZmVuIFNjaG9vbCBvZiBNZWRpY2luZSwgVW5pdmVyc2l0eSBvZiBD
YWxpZm9ybmlhIGF0IExvcyBBbmdlbGVzLCBMb3MgQW5nZWxlcywgQ0EuJiN4RDtLaXRlLCBhIEdp
bGVhZCBDb21wYW55LCBTYW50YSBNb25pY2EsIENBOyBhbmQuJiN4RDtEaXZpc2lvbiBvZiBDYW5j
ZXIgTWVkaWNpbmUsIERlcGFydG1lbnQgb2YgTGV1a2VtaWEsIFRoZSBVbml2ZXJzaXR5IG9mIFRl
eGFzIE1EIEFuZGVyc29uIENhbmNlciBDZW50ZXIsIEhvdXN0b24sIFRYLjwvYXV0aC1hZGRyZXNz
Pjx0aXRsZXM+PHRpdGxlPktURS1YMTkgYW50aS1DRDE5IENBUiBULWNlbGwgdGhlcmFweSBpbiBh
ZHVsdCByZWxhcHNlZC9yZWZyYWN0b3J5IGFjdXRlIGx5bXBob2JsYXN0aWMgbGV1a2VtaWE6IFpV
TUEtMyBwaGFzZSAxIHJlc3VsdHM8L3RpdGxlPjxzZWNvbmRhcnktdGl0bGU+Qmxvb2Q8L3NlY29u
ZGFyeS10aXRsZT48L3RpdGxlcz48cGVyaW9kaWNhbD48ZnVsbC10aXRsZT5CTE9PRDwvZnVsbC10
aXRsZT48L3BlcmlvZGljYWw+PHBhZ2VzPjExLTIyPC9wYWdlcz48dm9sdW1lPjEzODwvdm9sdW1l
PjxudW1iZXI+MTwvbnVtYmVyPjxrZXl3b3Jkcz48a2V5d29yZD5BZG9sZXNjZW50PC9rZXl3b3Jk
PjxrZXl3b3JkPkFkdWx0PC9rZXl3b3JkPjxrZXl3b3JkPkFnZWQ8L2tleXdvcmQ+PGtleXdvcmQ+
QW50aWdlbnMsIENEMTkvKm1ldGFib2xpc208L2tleXdvcmQ+PGtleXdvcmQ+QmlvbWFya2Vycywg
VHVtb3IvbWV0YWJvbGlzbTwva2V5d29yZD48a2V5d29yZD5DZWxsIFByb2xpZmVyYXRpb248L2tl
eXdvcmQ+PGtleXdvcmQ+Q3l0b2tpbmUgUmVsZWFzZSBTeW5kcm9tZS9jaGVtaWNhbGx5IGluZHVj
ZWQ8L2tleXdvcmQ+PGtleXdvcmQ+RGlzZWFzZS1GcmVlIFN1cnZpdmFsPC9rZXl3b3JkPjxrZXl3
b3JkPkRvc2UtUmVzcG9uc2UgUmVsYXRpb25zaGlwLCBEcnVnPC9rZXl3b3JkPjxrZXl3b3JkPkZl
bWFsZTwva2V5d29yZD48a2V5d29yZD5IdW1hbnM8L2tleXdvcmQ+PGtleXdvcmQ+KkltbXVub3Ro
ZXJhcHksIEFkb3B0aXZlL2FkdmVyc2UgZWZmZWN0czwva2V5d29yZD48a2V5d29yZD5JbmZsYW1t
YXRpb24gTWVkaWF0b3JzL21ldGFib2xpc208L2tleXdvcmQ+PGtleXdvcmQ+TWFsZTwva2V5d29y
ZD48a2V5d29yZD5NaWRkbGUgQWdlZDwva2V5d29yZD48a2V5d29yZD5OZW9wbGFzbSwgUmVzaWR1
YWwvcGF0aG9sb2d5PC9rZXl3b3JkPjxrZXl3b3JkPlByZWN1cnNvciBDZWxsIEx5bXBob2JsYXN0
aWMgTGV1a2VtaWEtTHltcGhvbWEvKmRydWcgdGhlcmFweTwva2V5d29yZD48a2V5d29yZD5SZWNl
cHRvcnMsIENoaW1lcmljIEFudGlnZW4vKnRoZXJhcGV1dGljIHVzZTwva2V5d29yZD48a2V5d29y
ZD5UcmVhdG1lbnQgT3V0Y29tZTwva2V5d29yZD48a2V5d29yZD5Zb3VuZyBBZHVsdDwva2V5d29y
ZD48L2tleXdvcmRzPjxkYXRlcz48eWVhcj4yMDIxPC95ZWFyPjxwdWItZGF0ZXM+PGRhdGU+SnVs
IDg8L2RhdGU+PC9wdWItZGF0ZXM+PC9kYXRlcz48aXNibj4xNTI4LTAwMjAgKEVsZWN0cm9uaWMp
JiN4RDswMDA2LTQ5NzEgKExpbmtpbmcpPC9pc2JuPjxhY2Nlc3Npb24tbnVtPjMzODI3MTE2PC9h
Y2Nlc3Npb24tbnVtPjx1cmxzPjxyZWxhdGVkLXVybHM+PHVybD5odHRwczovL3d3dy5uY2JpLm5s
bS5uaWguZ292L3B1Ym1lZC8zMzgyNzExNjwvdXJsPjwvcmVsYXRlZC11cmxzPjwvdXJscz48ZWxl
Y3Ryb25pYy1yZXNvdXJjZS1udW0+MTAuMTE4Mi9ibG9vZC4yMDIwMDA5MDk4PC9lbGVjdHJvbmlj
LXJlc291cmNlLW51bT48L3JlY29yZD48L0NpdGU+PC9FbmROb3RlPgB=
</w:fldData>
        </w:fldChar>
      </w:r>
      <w:r w:rsidR="00B570A1" w:rsidRPr="007471D5">
        <w:instrText xml:space="preserve"> ADDIN EN.CITE </w:instrText>
      </w:r>
      <w:r w:rsidR="00B570A1" w:rsidRPr="007471D5">
        <w:fldChar w:fldCharType="begin">
          <w:fldData xml:space="preserve">PEVuZE5vdGU+PENpdGUgRXhjbHVkZVllYXI9IjEiPjxBdXRob3I+U2hhaDwvQXV0aG9yPjxZZWFy
PjIwMjE8L1llYXI+PFJlY051bT4xMTwvUmVjTnVtPjxEaXNwbGF5VGV4dD48c3R5bGUgZmFjZT0i
c3VwZXJzY3JpcHQiPjk8L3N0eWxlPjwvRGlzcGxheVRleHQ+PHJlY29yZD48cmVjLW51bWJlcj4x
MTwvcmVjLW51bWJlcj48Zm9yZWlnbi1rZXlzPjxrZXkgYXBwPSJFTiIgZGItaWQ9InRhYTJ4ejV0
bXdhdGF3ZXpzczl2cnRlenRhdmF4ZmZkdGQ1MCIgdGltZXN0YW1wPSIxNjQ2Nzc5NDEzIj4xMTwv
a2V5PjwvZm9yZWlnbi1rZXlzPjxyZWYtdHlwZSBuYW1lPSJKb3VybmFsIEFydGljbGUiPjE3PC9y
ZWYtdHlwZT48Y29udHJpYnV0b3JzPjxhdXRob3JzPjxhdXRob3I+U2hhaCwgQi4gRC48L2F1dGhv
cj48YXV0aG9yPkJpc2hvcCwgTS4gUi48L2F1dGhvcj48YXV0aG9yPk9sdXdvbGUsIE8uIE8uPC9h
dXRob3I+PGF1dGhvcj5Mb2dhbiwgQS4gQy48L2F1dGhvcj48YXV0aG9yPkJhZXIsIE0uIFIuPC9h
dXRob3I+PGF1dGhvcj5Eb25uZWxsYW4sIFcuIEIuPC9hdXRob3I+PGF1dGhvcj5PJmFwb3M7RHd5
ZXIsIEsuIE0uPC9hdXRob3I+PGF1dGhvcj5Ib2xtZXMsIEguPC9hdXRob3I+PGF1dGhvcj5BcmVs
bGFubywgTS4gTC48L2F1dGhvcj48YXV0aG9yPkdob2JhZGksIEEuPC9hdXRob3I+PGF1dGhvcj5Q
YWdlbCwgSi4gTS48L2F1dGhvcj48YXV0aG9yPkxpbiwgWS48L2F1dGhvcj48YXV0aG9yPkNhc3Nh
ZGF5LCBSLiBELjwvYXV0aG9yPjxhdXRob3I+UGFyaywgSi4gSC48L2F1dGhvcj48YXV0aG9yPkFi
ZWRpLCBNLjwvYXV0aG9yPjxhdXRob3I+Q2FzdHJvLCBKLiBFLjwvYXV0aG9yPjxhdXRob3I+RGVB
bmdlbG8sIEQuIEouPC9hdXRob3I+PGF1dGhvcj5NYWxvbmUsIEEuIEsuPC9hdXRob3I+PGF1dGhv
cj5NYXdhZCwgUi48L2F1dGhvcj48YXV0aG9yPlNjaGlsbGVyLCBHLiBKLjwvYXV0aG9yPjxhdXRo
b3I+Um9zc2ksIEouIE0uPC9hdXRob3I+PGF1dGhvcj5Cb3QsIEEuPC9hdXRob3I+PGF1dGhvcj5T
aGVuLCBULjwvYXV0aG9yPjxhdXRob3I+R295YWwsIEwuPC9hdXRob3I+PGF1dGhvcj5KYWluLCBS
LiBLLjwvYXV0aG9yPjxhdXRob3I+VmV6YW4sIFIuPC9hdXRob3I+PGF1dGhvcj5XaWVyZGEsIFcu
IEcuPC9hdXRob3I+PC9hdXRob3JzPjwvY29udHJpYnV0b3JzPjxhdXRoLWFkZHJlc3M+RGl2aXNp
b24gb2YgSGVtYXRvbG9neS9PbmNvbG9neSwgRGVwYXJ0bWVudCBvZiBNYWxpZ25hbnQgSGVtYXRv
bG9neSwgTW9mZml0dCBDYW5jZXIgQ2VudGVyLCBUYW1wYSwgRkwuJiN4RDtEaXZpc2lvbiBvZiBI
ZW1hdG9sb2d5L09uY29sb2d5LCBUaGUgVW5pdmVyc2l0eSBvZiBDaGljYWdvIE1lZGljaW5lLCBD
aGljYWdvLCBJTC4mI3hEO0RpdmlzaW9uIG9mIEhlbWF0b2xvZ3kvT25jb2xvZ3ksIFZhbmRlcmJp
bHQtSW5ncmFtIENhbmNlciBDZW50ZXIsIFZhbmRlcmJpbHQgVW5pdmVyc2l0eSBTY2hvb2wgb2Yg
TWVkaWNpbmUsIE5hc2h2aWxsZSwgVE4uJiN4RDtEaXZpc2lvbiBvZiBIZW1hdG9sb2d5L09uY29s
b2d5LCBIZWxlbiBEaWxsZXIgQ29tcHJlaGVuc2l2ZSBDYW5jZXIgQ2VudGVyLCBVbml2ZXJzaXR5
IG9mIENhbGlmb3JuaWEgU2FuIEZyYW5jaXNjbywgU2FuIEZyYW5jaXNjbywgQ0EuJiN4RDtNYXJs
ZW5lIGFuZCBTdGV3YXJ0IEdyZWVuZWJhdW0gQ2FuY2VyIENlbnRlciwgVW5pdmVyc2l0eSBvZiBN
YXJ5bGFuZCBTY2hvb2wgb2YgTWVkaWNpbmUsIEJhbHRpbW9yZSwgTUQuJiN4RDtTYXJhaCBDYW5u
b24gUmVzZWFyY2ggSW5zdGl0dXRlLCBOYXNodmlsbGUsIFROLiYjeEQ7QWN1dGUgTGV1a2VtaWEg
UHJvZ3JhbSwgV2lsbW90IENhbmNlciBJbnN0aXR1dGUsIFVuaXZlcnNpdHkgb2YgUm9jaGVzdGVy
IE1lZGljYWwgQ2VudGVyLCBSb2NoZXN0ZXIsIE5ZLiYjeEQ7VGV4YXMgT25jb2xvZ3ktQmF5bG9y
IENoYXJsZXMgQS4gU2FtbW9ucyBDYW5jZXIgQ2VudGVyLCBEYWxsYXMsIFRYLiYjeEQ7RGl2aXNp
b24gb2YgSGVtYXRvbG9neS9PbmNvbG9neSwgV2luc2hpcCBDYW5jZXIgSW5zdGl0dXRlLCBFbW9y
eSBVbml2ZXJzaXR5LCBBdGxhbnRhLCBHQS4mI3hEO1NlY3Rpb24gb2YgU3RlbSBDZWxsIFRyYW5z
cGxhbnQgYW5kIExldWtlbWlhLCBEaXZpc2lvbiBvZiBNZWRpY2FsIE9uY29sb2d5LCBXYXNoaW5n
dG9uIFVuaXZlcnNpdHkgU2Nob29sIG9mIE1lZGljaW5lLVNpdGVtYW4gQ2FuY2VyIENlbnRlciwg
U3QgTG91aXMsIE1PLiYjeEQ7Q2VudGVyIGZvciBCbG9vZCBEaXNvcmRlcnMgYW5kIFN0ZW0gQ2Vs
bCBUcmFuc3BsYW50YXRpb24sIFN3ZWRpc2ggQ2FuY2VyIEluc3RpdHV0ZSwgU2VhdHRsZSwgV0Eu
JiN4RDtEaXZpc2lvbiBvZiBIZW1hdG9sb2d5LCBEZXBhcnRtZW50IG9mIEludGVybmFsIE1lZGlj
aW5lLCBNYXlvIENsaW5pYywgUm9jaGVzdGVyLCBNTi4mI3hEO0RpdmlzaW9uIG9mIEhlbWF0b2xv
Z3kgYW5kIENsaW5pY2FsIFJlc2VhcmNoLCBVbml2ZXJzaXR5IG9mIFdhc2hpbmd0b24gU2Nob29s
IG9mIE1lZGljaW5lLUZyZWQgSHV0Y2hpbnNvbiBDYW5jZXIgUmVzZWFyY2ggQ2VudGVyLCBTZWF0
dGxlLCBXQS4mI3hEO0RpdmlzaW9uIG9mIEhlbWF0b2xvZ2ljIE1hbGlnbmFuY2llcywgRGVwYXJ0
bWVudCBvZiBNZWRpY2luZSwgTWVtb3JpYWwgU2xvYW4gS2V0dGVyaW5nIENhbmNlciBDZW50ZXIs
IE5ldyBZb3JrLCBOWS4mI3hEO0RlcGFydG1lbnQgb2YgSW50ZXJuYWwgTWVkaWNpbmUsIFVuaXZl
cnNpdHkgb2YgQ2FsaWZvcm5pYSBEYXZpcyBNZWRpY2FsIENlbnRlciwgU2FjcmFtZW50bywgQ0Eu
JiN4RDtEaXZpc2lvbiBvZiBIZW1hdG9sb2d5LU9uY29sb2d5LCBNYXlvIENsaW5pYywgUGhvZW5p
eCwgQVouJiN4RDtEaXZpc2lvbiBvZiBIZW1hdG9sb2dpYyBPbmNvbG9neSwgRGFuYS1GYXJiZXIg
Q2FuY2VyIEluc3RpdHV0ZSwgQm9zdG9uLCBNQS4mI3hEO0RpdmlzaW9uIG9mIEhlbWF0b2xvZ3kg
YW5kIE1lZGljYWwgT25jb2xvZ3ksIEljYWhuIFNjaG9vbCBvZiBNZWRpY2luZSBhdCBNb3VudCBT
aW5haSwgTmV3IFlvcmssIE5ZLiYjeEQ7Q2VudGVyIGZvciBCbG9vZCBEaXNvcmRlcnMgYW5kIFN0
ZW0gQ2VsbCBUcmFuc3BsYW50YXRpb24sIFN3ZWRpc2ggTWVkaWNhbCBDZW50ZXIsIFNlYXR0bGUs
IFdBLiYjeEQ7RGl2aXNpb24gb2YgSGVtYXRvbG9neS9PbmNvbG9neSwgRGVwYXJ0bWVudCBvZiBN
ZWRpY2luZSwgRGF2aWQgR2VmZmVuIFNjaG9vbCBvZiBNZWRpY2luZSwgVW5pdmVyc2l0eSBvZiBD
YWxpZm9ybmlhIGF0IExvcyBBbmdlbGVzLCBMb3MgQW5nZWxlcywgQ0EuJiN4RDtLaXRlLCBhIEdp
bGVhZCBDb21wYW55LCBTYW50YSBNb25pY2EsIENBOyBhbmQuJiN4RDtEaXZpc2lvbiBvZiBDYW5j
ZXIgTWVkaWNpbmUsIERlcGFydG1lbnQgb2YgTGV1a2VtaWEsIFRoZSBVbml2ZXJzaXR5IG9mIFRl
eGFzIE1EIEFuZGVyc29uIENhbmNlciBDZW50ZXIsIEhvdXN0b24sIFRYLjwvYXV0aC1hZGRyZXNz
Pjx0aXRsZXM+PHRpdGxlPktURS1YMTkgYW50aS1DRDE5IENBUiBULWNlbGwgdGhlcmFweSBpbiBh
ZHVsdCByZWxhcHNlZC9yZWZyYWN0b3J5IGFjdXRlIGx5bXBob2JsYXN0aWMgbGV1a2VtaWE6IFpV
TUEtMyBwaGFzZSAxIHJlc3VsdHM8L3RpdGxlPjxzZWNvbmRhcnktdGl0bGU+Qmxvb2Q8L3NlY29u
ZGFyeS10aXRsZT48L3RpdGxlcz48cGVyaW9kaWNhbD48ZnVsbC10aXRsZT5CTE9PRDwvZnVsbC10
aXRsZT48L3BlcmlvZGljYWw+PHBhZ2VzPjExLTIyPC9wYWdlcz48dm9sdW1lPjEzODwvdm9sdW1l
PjxudW1iZXI+MTwvbnVtYmVyPjxrZXl3b3Jkcz48a2V5d29yZD5BZG9sZXNjZW50PC9rZXl3b3Jk
PjxrZXl3b3JkPkFkdWx0PC9rZXl3b3JkPjxrZXl3b3JkPkFnZWQ8L2tleXdvcmQ+PGtleXdvcmQ+
QW50aWdlbnMsIENEMTkvKm1ldGFib2xpc208L2tleXdvcmQ+PGtleXdvcmQ+QmlvbWFya2Vycywg
VHVtb3IvbWV0YWJvbGlzbTwva2V5d29yZD48a2V5d29yZD5DZWxsIFByb2xpZmVyYXRpb248L2tl
eXdvcmQ+PGtleXdvcmQ+Q3l0b2tpbmUgUmVsZWFzZSBTeW5kcm9tZS9jaGVtaWNhbGx5IGluZHVj
ZWQ8L2tleXdvcmQ+PGtleXdvcmQ+RGlzZWFzZS1GcmVlIFN1cnZpdmFsPC9rZXl3b3JkPjxrZXl3
b3JkPkRvc2UtUmVzcG9uc2UgUmVsYXRpb25zaGlwLCBEcnVnPC9rZXl3b3JkPjxrZXl3b3JkPkZl
bWFsZTwva2V5d29yZD48a2V5d29yZD5IdW1hbnM8L2tleXdvcmQ+PGtleXdvcmQ+KkltbXVub3Ro
ZXJhcHksIEFkb3B0aXZlL2FkdmVyc2UgZWZmZWN0czwva2V5d29yZD48a2V5d29yZD5JbmZsYW1t
YXRpb24gTWVkaWF0b3JzL21ldGFib2xpc208L2tleXdvcmQ+PGtleXdvcmQ+TWFsZTwva2V5d29y
ZD48a2V5d29yZD5NaWRkbGUgQWdlZDwva2V5d29yZD48a2V5d29yZD5OZW9wbGFzbSwgUmVzaWR1
YWwvcGF0aG9sb2d5PC9rZXl3b3JkPjxrZXl3b3JkPlByZWN1cnNvciBDZWxsIEx5bXBob2JsYXN0
aWMgTGV1a2VtaWEtTHltcGhvbWEvKmRydWcgdGhlcmFweTwva2V5d29yZD48a2V5d29yZD5SZWNl
cHRvcnMsIENoaW1lcmljIEFudGlnZW4vKnRoZXJhcGV1dGljIHVzZTwva2V5d29yZD48a2V5d29y
ZD5UcmVhdG1lbnQgT3V0Y29tZTwva2V5d29yZD48a2V5d29yZD5Zb3VuZyBBZHVsdDwva2V5d29y
ZD48L2tleXdvcmRzPjxkYXRlcz48eWVhcj4yMDIxPC95ZWFyPjxwdWItZGF0ZXM+PGRhdGU+SnVs
IDg8L2RhdGU+PC9wdWItZGF0ZXM+PC9kYXRlcz48aXNibj4xNTI4LTAwMjAgKEVsZWN0cm9uaWMp
JiN4RDswMDA2LTQ5NzEgKExpbmtpbmcpPC9pc2JuPjxhY2Nlc3Npb24tbnVtPjMzODI3MTE2PC9h
Y2Nlc3Npb24tbnVtPjx1cmxzPjxyZWxhdGVkLXVybHM+PHVybD5odHRwczovL3d3dy5uY2JpLm5s
bS5uaWguZ292L3B1Ym1lZC8zMzgyNzExNjwvdXJsPjwvcmVsYXRlZC11cmxzPjwvdXJscz48ZWxl
Y3Ryb25pYy1yZXNvdXJjZS1udW0+MTAuMTE4Mi9ibG9vZC4yMDIwMDA5MDk4PC9lbGVjdHJvbmlj
LXJlc291cmNlLW51bT48L3JlY29yZD48L0NpdGU+PC9FbmROb3RlPgB=
</w:fldData>
        </w:fldChar>
      </w:r>
      <w:r w:rsidR="00B570A1" w:rsidRPr="007471D5">
        <w:instrText xml:space="preserve"> ADDIN EN.CITE.DATA </w:instrText>
      </w:r>
      <w:r w:rsidR="00B570A1" w:rsidRPr="007471D5">
        <w:fldChar w:fldCharType="end"/>
      </w:r>
      <w:r w:rsidR="00B570A1" w:rsidRPr="007471D5">
        <w:fldChar w:fldCharType="separate"/>
      </w:r>
      <w:r w:rsidR="00B570A1" w:rsidRPr="007471D5">
        <w:rPr>
          <w:noProof/>
          <w:vertAlign w:val="superscript"/>
        </w:rPr>
        <w:t>9</w:t>
      </w:r>
      <w:r w:rsidR="00B570A1" w:rsidRPr="007471D5">
        <w:fldChar w:fldCharType="end"/>
      </w:r>
      <w:r w:rsidR="007C0AAE" w:rsidRPr="007471D5">
        <w:t>; Shah et. al., 2021</w:t>
      </w:r>
      <w:r w:rsidR="00B570A1" w:rsidRPr="007471D5">
        <w:fldChar w:fldCharType="begin"/>
      </w:r>
      <w:r w:rsidR="00B570A1" w:rsidRPr="007471D5">
        <w:instrText xml:space="preserve"> ADDIN EN.CITE &lt;EndNote&gt;&lt;Cite ExcludeYear="1"&gt;&lt;Author&gt;Shah&lt;/Author&gt;&lt;Year&gt;2021&lt;/Year&gt;&lt;RecNum&gt;10&lt;/RecNum&gt;&lt;DisplayText&gt;&lt;style face="superscript"&gt;8&lt;/style&gt;&lt;/DisplayText&gt;&lt;record&gt;&lt;rec-number&gt;10&lt;/rec-number&gt;&lt;foreign-keys&gt;&lt;key app="EN" db-id="taa2xz5tmwatawezss9vrteztavaxffdtd50" timestamp="1646779250"&gt;10&lt;/key&gt;&lt;/foreign-keys&gt;&lt;ref-type name="Journal Article"&gt;17&lt;/ref-type&gt;&lt;contributors&gt;&lt;authors&gt;&lt;author&gt;Shah, Bijal D.&lt;/author&gt;&lt;author&gt;Ghobadi, Armin&lt;/author&gt;&lt;author&gt;Oluwole, Olalekan O.&lt;/author&gt;&lt;author&gt;Logan, Aaron C.&lt;/author&gt;&lt;author&gt;Boissel, Nicolas&lt;/author&gt;&lt;author&gt;Cassaday, Ryan D.&lt;/author&gt;&lt;author&gt;Leguay, Thibaut&lt;/author&gt;&lt;author&gt;Bishop, Michael R.&lt;/author&gt;&lt;author&gt;Topp, Max S.&lt;/author&gt;&lt;author&gt;Tzachanis, Dimitrios&lt;/author&gt;&lt;author&gt;O&amp;apos;Dwyer, Kristen M.&lt;/author&gt;&lt;author&gt;Arellano, Martha L.&lt;/author&gt;&lt;author&gt;Lin, Yi&lt;/author&gt;&lt;author&gt;Baer, Maria R.&lt;/author&gt;&lt;author&gt;Schiller, Gary J.&lt;/author&gt;&lt;author&gt;Park, Jae H.&lt;/author&gt;&lt;author&gt;Subklewe, Marion&lt;/author&gt;&lt;author&gt;Abedi, Mehrdad&lt;/author&gt;&lt;author&gt;Minnema, Monique C.&lt;/author&gt;&lt;author&gt;Wierda, William G.&lt;/author&gt;&lt;author&gt;DeAngelo, Daniel J.&lt;/author&gt;&lt;author&gt;Stiff, Patrick&lt;/author&gt;&lt;author&gt;Jeyakumar, Deepa&lt;/author&gt;&lt;author&gt;Feng, Chaoling&lt;/author&gt;&lt;author&gt;Dong, Jinghui&lt;/author&gt;&lt;author&gt;Shen, Tong&lt;/author&gt;&lt;author&gt;Milletti, Francesca&lt;/author&gt;&lt;author&gt;Rossi, John M.&lt;/author&gt;&lt;author&gt;Vezan, Remus&lt;/author&gt;&lt;author&gt;Masouleh, Behzad Kharabi&lt;/author&gt;&lt;author&gt;Houot, Roch&lt;/author&gt;&lt;/authors&gt;&lt;/contributors&gt;&lt;titles&gt;&lt;title&gt;KTE-X19 for relapsed or refractory adult B-cell acute lymphoblastic leukaemia: phase 2 results of the single-arm, open-label, multicentre ZUMA-3 study&lt;/title&gt;&lt;secondary-title&gt;The Lancet&lt;/secondary-title&gt;&lt;/titles&gt;&lt;pages&gt;491-502&lt;/pages&gt;&lt;volume&gt;398&lt;/volume&gt;&lt;number&gt;10299&lt;/number&gt;&lt;section&gt;491&lt;/section&gt;&lt;dates&gt;&lt;year&gt;2021&lt;/year&gt;&lt;/dates&gt;&lt;isbn&gt;01406736&lt;/isbn&gt;&lt;urls&gt;&lt;/urls&gt;&lt;electronic-resource-num&gt;10.1016/s0140-6736(21)01222-8&lt;/electronic-resource-num&gt;&lt;/record&gt;&lt;/Cite&gt;&lt;/EndNote&gt;</w:instrText>
      </w:r>
      <w:r w:rsidR="00B570A1" w:rsidRPr="007471D5">
        <w:fldChar w:fldCharType="separate"/>
      </w:r>
      <w:r w:rsidR="00B570A1" w:rsidRPr="007471D5">
        <w:rPr>
          <w:noProof/>
          <w:vertAlign w:val="superscript"/>
        </w:rPr>
        <w:t>8</w:t>
      </w:r>
      <w:r w:rsidR="00B570A1" w:rsidRPr="007471D5">
        <w:fldChar w:fldCharType="end"/>
      </w:r>
      <w:r w:rsidRPr="007471D5">
        <w:t>).</w:t>
      </w:r>
    </w:p>
    <w:p w14:paraId="0FD1DF1E"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0E0CECEF" w14:textId="30886768" w:rsidR="005E3382" w:rsidRDefault="005E3382" w:rsidP="005E3382">
      <w:pPr>
        <w:ind w:left="426"/>
      </w:pPr>
      <w:r>
        <w:t>The population for whom reimbursement of brexucabtagene autoleucel is proposed is intended to be</w:t>
      </w:r>
      <w:r>
        <w:rPr>
          <w:spacing w:val="1"/>
        </w:rPr>
        <w:t xml:space="preserve"> </w:t>
      </w:r>
      <w:r>
        <w:t>consistent with the proposed indication for brexucabtagene autoleucel and the eligibility criteria that</w:t>
      </w:r>
      <w:r>
        <w:rPr>
          <w:spacing w:val="1"/>
        </w:rPr>
        <w:t xml:space="preserve"> </w:t>
      </w:r>
      <w:r>
        <w:t>were applied in recruiting patients to the ZUMA-</w:t>
      </w:r>
      <w:r w:rsidR="00107459">
        <w:t>3</w:t>
      </w:r>
      <w:r>
        <w:t xml:space="preserve"> pivotal study investigating the efficacy and safety of</w:t>
      </w:r>
      <w:r>
        <w:rPr>
          <w:spacing w:val="-43"/>
        </w:rPr>
        <w:t xml:space="preserve"> </w:t>
      </w:r>
      <w:r>
        <w:t>brexucabtagene autoleucel. The population of patients for whom it is proposed that brexucabtagene</w:t>
      </w:r>
      <w:r>
        <w:rPr>
          <w:spacing w:val="1"/>
        </w:rPr>
        <w:t xml:space="preserve"> </w:t>
      </w:r>
      <w:r>
        <w:t>autoleucel</w:t>
      </w:r>
      <w:r>
        <w:rPr>
          <w:spacing w:val="-2"/>
        </w:rPr>
        <w:t xml:space="preserve"> </w:t>
      </w:r>
      <w:r>
        <w:t>be</w:t>
      </w:r>
      <w:r>
        <w:rPr>
          <w:spacing w:val="-3"/>
        </w:rPr>
        <w:t xml:space="preserve"> </w:t>
      </w:r>
      <w:r>
        <w:t>made available</w:t>
      </w:r>
      <w:r>
        <w:rPr>
          <w:spacing w:val="-1"/>
        </w:rPr>
        <w:t xml:space="preserve"> </w:t>
      </w:r>
      <w:r>
        <w:t>can</w:t>
      </w:r>
      <w:r>
        <w:rPr>
          <w:spacing w:val="-1"/>
        </w:rPr>
        <w:t xml:space="preserve"> </w:t>
      </w:r>
      <w:r>
        <w:t>be</w:t>
      </w:r>
      <w:r>
        <w:rPr>
          <w:spacing w:val="-2"/>
        </w:rPr>
        <w:t xml:space="preserve"> </w:t>
      </w:r>
      <w:r>
        <w:t>summarised as follows:</w:t>
      </w:r>
    </w:p>
    <w:p w14:paraId="08B7CBA6" w14:textId="60B5BB0D" w:rsidR="00813072" w:rsidRPr="00E25935" w:rsidRDefault="00E25935" w:rsidP="00E25935">
      <w:pPr>
        <w:ind w:firstLine="426"/>
        <w:rPr>
          <w:b/>
          <w:bCs/>
        </w:rPr>
      </w:pPr>
      <w:r w:rsidRPr="00E25935">
        <w:rPr>
          <w:b/>
          <w:bCs/>
        </w:rPr>
        <w:t>REDACTED</w:t>
      </w:r>
    </w:p>
    <w:p w14:paraId="1EB97AD3" w14:textId="1BB46422" w:rsidR="00A113BA" w:rsidRDefault="00A113BA" w:rsidP="00813072">
      <w:pPr>
        <w:ind w:left="426"/>
      </w:pPr>
      <w:r>
        <w:t xml:space="preserve">Depending on clinical circumstances, patients could have received previous blinatumomab, </w:t>
      </w:r>
      <w:proofErr w:type="spellStart"/>
      <w:r>
        <w:t>inotuzumab</w:t>
      </w:r>
      <w:proofErr w:type="spellEnd"/>
      <w:r>
        <w:t xml:space="preserve"> </w:t>
      </w:r>
      <w:proofErr w:type="spellStart"/>
      <w:r>
        <w:t>ozogamicin</w:t>
      </w:r>
      <w:proofErr w:type="spellEnd"/>
      <w:r w:rsidR="00354F28">
        <w:t xml:space="preserve"> or tyrosine kinase inhibitors (if </w:t>
      </w:r>
      <w:r w:rsidR="00ED05B0">
        <w:t>Ph-</w:t>
      </w:r>
      <w:r w:rsidR="00354F28">
        <w:t>positive).</w:t>
      </w:r>
    </w:p>
    <w:p w14:paraId="0AC43E8D" w14:textId="6FCACD42" w:rsidR="00813072" w:rsidRDefault="00813072" w:rsidP="00813072">
      <w:pPr>
        <w:ind w:left="426"/>
      </w:pPr>
      <w:r w:rsidRPr="00F15CA9">
        <w:t>On the basis of what is known about prognostic factors in adult ALL, the National Comprehensive Cancer Network (NCCN) has developed recommendations to approach risk stratification.</w:t>
      </w:r>
      <w:r>
        <w:t xml:space="preserve"> </w:t>
      </w:r>
      <w:r w:rsidRPr="00F15CA9">
        <w:t>The National Cancer Institute defines adolescent and young adults (AYA) to be those aged 15</w:t>
      </w:r>
      <w:r w:rsidR="00107459">
        <w:t>-</w:t>
      </w:r>
      <w:r w:rsidRPr="00F15CA9">
        <w:t>39 years. Both age groups are then stratified into high-risk Ph-positive and standard-risk Ph-negative subgroups. The Ph-negative subgroup can further be categori</w:t>
      </w:r>
      <w:r>
        <w:t>s</w:t>
      </w:r>
      <w:r w:rsidRPr="00F15CA9">
        <w:t>ed as high-risk based on the presence of MRD, elevated WBC (</w:t>
      </w:r>
      <w:r>
        <w:t>≥30 x 10</w:t>
      </w:r>
      <w:r>
        <w:rPr>
          <w:vertAlign w:val="superscript"/>
        </w:rPr>
        <w:t>9</w:t>
      </w:r>
      <w:r>
        <w:t>/L for B lineage or ≥100 x 10</w:t>
      </w:r>
      <w:r>
        <w:rPr>
          <w:vertAlign w:val="superscript"/>
        </w:rPr>
        <w:t>9</w:t>
      </w:r>
      <w:r>
        <w:t>/L for T lineage</w:t>
      </w:r>
      <w:r w:rsidRPr="00F15CA9">
        <w:t>) or unfavourable cytogenetics (</w:t>
      </w:r>
      <w:r w:rsidR="00E05451">
        <w:fldChar w:fldCharType="begin"/>
      </w:r>
      <w:r w:rsidR="00E05451">
        <w:instrText xml:space="preserve"> REF _Ref96170411 \h </w:instrText>
      </w:r>
      <w:r w:rsidR="00E05451">
        <w:fldChar w:fldCharType="separate"/>
      </w:r>
      <w:r w:rsidR="00E24FB8">
        <w:t xml:space="preserve">Table </w:t>
      </w:r>
      <w:r w:rsidR="00E24FB8">
        <w:rPr>
          <w:noProof/>
        </w:rPr>
        <w:t>1</w:t>
      </w:r>
      <w:r w:rsidR="00E05451">
        <w:fldChar w:fldCharType="end"/>
      </w:r>
      <w:r w:rsidRPr="00F15CA9">
        <w:t xml:space="preserve">). </w:t>
      </w:r>
    </w:p>
    <w:p w14:paraId="221F88E8" w14:textId="56140159" w:rsidR="003923FC" w:rsidRPr="00C84F4C" w:rsidRDefault="00813072" w:rsidP="00062104">
      <w:pPr>
        <w:pStyle w:val="Caption"/>
      </w:pPr>
      <w:r>
        <w:t xml:space="preserve">       </w:t>
      </w:r>
      <w:bookmarkStart w:id="8" w:name="_Ref96170411"/>
      <w:r w:rsidR="00E05451">
        <w:t xml:space="preserve">Table </w:t>
      </w:r>
      <w:r w:rsidR="0013236B">
        <w:fldChar w:fldCharType="begin"/>
      </w:r>
      <w:r w:rsidR="0013236B">
        <w:instrText xml:space="preserve"> SEQ Table \* ARABIC </w:instrText>
      </w:r>
      <w:r w:rsidR="0013236B">
        <w:fldChar w:fldCharType="separate"/>
      </w:r>
      <w:r w:rsidR="009A1DAB">
        <w:rPr>
          <w:noProof/>
        </w:rPr>
        <w:t>1</w:t>
      </w:r>
      <w:r w:rsidR="0013236B">
        <w:rPr>
          <w:noProof/>
        </w:rPr>
        <w:fldChar w:fldCharType="end"/>
      </w:r>
      <w:bookmarkEnd w:id="8"/>
      <w:r w:rsidR="00E05451">
        <w:t xml:space="preserve"> </w:t>
      </w:r>
      <w:r w:rsidR="004B1547">
        <w:t>Cytogenetic risk groups for B-ALL (NCCN)</w:t>
      </w:r>
    </w:p>
    <w:tbl>
      <w:tblPr>
        <w:tblStyle w:val="TableGrid"/>
        <w:tblW w:w="0" w:type="auto"/>
        <w:tblInd w:w="279" w:type="dxa"/>
        <w:tblLook w:val="04A0" w:firstRow="1" w:lastRow="0" w:firstColumn="1" w:lastColumn="0" w:noHBand="0" w:noVBand="1"/>
      </w:tblPr>
      <w:tblGrid>
        <w:gridCol w:w="1559"/>
        <w:gridCol w:w="7178"/>
      </w:tblGrid>
      <w:tr w:rsidR="00C84F4C" w:rsidRPr="00DF3451" w14:paraId="4E8D3A97" w14:textId="77777777" w:rsidTr="00DF3451">
        <w:tc>
          <w:tcPr>
            <w:tcW w:w="1559" w:type="dxa"/>
            <w:shd w:val="pct20" w:color="auto" w:fill="auto"/>
          </w:tcPr>
          <w:p w14:paraId="756854CC" w14:textId="360EA976" w:rsidR="00C84F4C" w:rsidRPr="00DF3451" w:rsidRDefault="00C84F4C" w:rsidP="003923FC">
            <w:pPr>
              <w:spacing w:before="0" w:after="0"/>
              <w:rPr>
                <w:b/>
                <w:bCs/>
                <w:sz w:val="18"/>
                <w:szCs w:val="18"/>
              </w:rPr>
            </w:pPr>
            <w:r w:rsidRPr="00DF3451">
              <w:rPr>
                <w:b/>
                <w:bCs/>
                <w:sz w:val="18"/>
                <w:szCs w:val="18"/>
              </w:rPr>
              <w:t>Risk Groups</w:t>
            </w:r>
          </w:p>
        </w:tc>
        <w:tc>
          <w:tcPr>
            <w:tcW w:w="7178" w:type="dxa"/>
            <w:shd w:val="pct20" w:color="auto" w:fill="auto"/>
          </w:tcPr>
          <w:p w14:paraId="3E89FBCA" w14:textId="6C7878F9" w:rsidR="00C84F4C" w:rsidRPr="00DF3451" w:rsidRDefault="00C84F4C" w:rsidP="003923FC">
            <w:pPr>
              <w:spacing w:before="0" w:after="0"/>
              <w:rPr>
                <w:b/>
                <w:bCs/>
                <w:sz w:val="18"/>
                <w:szCs w:val="18"/>
              </w:rPr>
            </w:pPr>
            <w:r w:rsidRPr="00DF3451">
              <w:rPr>
                <w:b/>
                <w:bCs/>
                <w:sz w:val="18"/>
                <w:szCs w:val="18"/>
              </w:rPr>
              <w:t>Cytogenetics</w:t>
            </w:r>
          </w:p>
        </w:tc>
      </w:tr>
      <w:tr w:rsidR="00C84F4C" w:rsidRPr="003923FC" w14:paraId="08ED3598" w14:textId="77777777" w:rsidTr="00DF3451">
        <w:tc>
          <w:tcPr>
            <w:tcW w:w="1559" w:type="dxa"/>
            <w:vAlign w:val="center"/>
          </w:tcPr>
          <w:p w14:paraId="1B0D9444" w14:textId="3E7CE2AD" w:rsidR="00C84F4C" w:rsidRPr="00E24FB8" w:rsidRDefault="00C84F4C" w:rsidP="00DF3451">
            <w:pPr>
              <w:spacing w:before="0" w:after="0"/>
              <w:jc w:val="left"/>
              <w:rPr>
                <w:sz w:val="18"/>
                <w:szCs w:val="18"/>
              </w:rPr>
            </w:pPr>
            <w:r w:rsidRPr="00E24FB8">
              <w:rPr>
                <w:sz w:val="18"/>
                <w:szCs w:val="18"/>
              </w:rPr>
              <w:t>Good risk</w:t>
            </w:r>
          </w:p>
        </w:tc>
        <w:tc>
          <w:tcPr>
            <w:tcW w:w="7178" w:type="dxa"/>
          </w:tcPr>
          <w:p w14:paraId="07E9B2EF" w14:textId="77777777" w:rsidR="00C84F4C" w:rsidRPr="00E24FB8" w:rsidRDefault="00C84F4C" w:rsidP="00E24FB8">
            <w:pPr>
              <w:pStyle w:val="ListParagraph"/>
              <w:numPr>
                <w:ilvl w:val="0"/>
                <w:numId w:val="28"/>
              </w:numPr>
              <w:spacing w:before="0" w:after="0"/>
              <w:rPr>
                <w:sz w:val="18"/>
                <w:szCs w:val="18"/>
              </w:rPr>
            </w:pPr>
            <w:proofErr w:type="spellStart"/>
            <w:r w:rsidRPr="00E24FB8">
              <w:rPr>
                <w:sz w:val="18"/>
                <w:szCs w:val="18"/>
              </w:rPr>
              <w:t>Hyperdiploidy</w:t>
            </w:r>
            <w:proofErr w:type="spellEnd"/>
            <w:r w:rsidRPr="00E24FB8">
              <w:rPr>
                <w:sz w:val="18"/>
                <w:szCs w:val="18"/>
              </w:rPr>
              <w:t xml:space="preserve"> (51-65 chromosomes)</w:t>
            </w:r>
          </w:p>
          <w:p w14:paraId="597C5D3F" w14:textId="77777777" w:rsidR="00C84F4C" w:rsidRPr="00E24FB8" w:rsidRDefault="00C84F4C" w:rsidP="00E24FB8">
            <w:pPr>
              <w:pStyle w:val="ListParagraph"/>
              <w:numPr>
                <w:ilvl w:val="0"/>
                <w:numId w:val="27"/>
              </w:numPr>
              <w:spacing w:before="0" w:after="0"/>
              <w:rPr>
                <w:sz w:val="18"/>
                <w:szCs w:val="18"/>
              </w:rPr>
            </w:pPr>
            <w:r w:rsidRPr="00E24FB8">
              <w:rPr>
                <w:sz w:val="18"/>
                <w:szCs w:val="18"/>
              </w:rPr>
              <w:t>Cases with trisomy of chromosomes 4, 10, and 17 appear to have the most favourable outcome</w:t>
            </w:r>
          </w:p>
          <w:p w14:paraId="72FDAD45" w14:textId="78F9E97C" w:rsidR="00C84F4C" w:rsidRPr="00E24FB8" w:rsidRDefault="00C84F4C" w:rsidP="00E24FB8">
            <w:pPr>
              <w:pStyle w:val="ListParagraph"/>
              <w:numPr>
                <w:ilvl w:val="0"/>
                <w:numId w:val="28"/>
              </w:numPr>
              <w:spacing w:before="0" w:after="0"/>
              <w:rPr>
                <w:sz w:val="18"/>
                <w:szCs w:val="18"/>
              </w:rPr>
            </w:pPr>
            <w:r w:rsidRPr="00E24FB8">
              <w:rPr>
                <w:sz w:val="18"/>
                <w:szCs w:val="18"/>
              </w:rPr>
              <w:t xml:space="preserve">t(12; 21)(p13;q22): </w:t>
            </w:r>
            <w:r w:rsidRPr="00E24FB8">
              <w:rPr>
                <w:i/>
                <w:iCs/>
                <w:sz w:val="18"/>
                <w:szCs w:val="18"/>
              </w:rPr>
              <w:t>ETV6-RUNX1</w:t>
            </w:r>
            <w:r w:rsidRPr="00E24FB8">
              <w:rPr>
                <w:sz w:val="18"/>
                <w:szCs w:val="18"/>
              </w:rPr>
              <w:t xml:space="preserve"> </w:t>
            </w:r>
          </w:p>
        </w:tc>
      </w:tr>
      <w:tr w:rsidR="00C84F4C" w:rsidRPr="003923FC" w14:paraId="1C1B2721" w14:textId="77777777" w:rsidTr="00DF3451">
        <w:tc>
          <w:tcPr>
            <w:tcW w:w="1559" w:type="dxa"/>
            <w:vAlign w:val="center"/>
          </w:tcPr>
          <w:p w14:paraId="0F2DAFB6" w14:textId="7C6ECB3D" w:rsidR="00C84F4C" w:rsidRPr="00E24FB8" w:rsidRDefault="00C84F4C" w:rsidP="00DF3451">
            <w:pPr>
              <w:spacing w:before="0" w:after="0"/>
              <w:jc w:val="left"/>
              <w:rPr>
                <w:sz w:val="18"/>
                <w:szCs w:val="18"/>
              </w:rPr>
            </w:pPr>
            <w:r w:rsidRPr="00E24FB8">
              <w:rPr>
                <w:sz w:val="18"/>
                <w:szCs w:val="18"/>
              </w:rPr>
              <w:t>Poor risk</w:t>
            </w:r>
          </w:p>
        </w:tc>
        <w:tc>
          <w:tcPr>
            <w:tcW w:w="7178" w:type="dxa"/>
          </w:tcPr>
          <w:p w14:paraId="58C8F33D" w14:textId="39F389EE" w:rsidR="00C84F4C" w:rsidRPr="00E24FB8" w:rsidRDefault="00C84F4C" w:rsidP="00E24FB8">
            <w:pPr>
              <w:pStyle w:val="ListParagraph"/>
              <w:numPr>
                <w:ilvl w:val="0"/>
                <w:numId w:val="28"/>
              </w:numPr>
              <w:spacing w:before="0" w:after="0"/>
              <w:rPr>
                <w:sz w:val="18"/>
                <w:szCs w:val="18"/>
              </w:rPr>
            </w:pPr>
            <w:proofErr w:type="spellStart"/>
            <w:r w:rsidRPr="00E24FB8">
              <w:rPr>
                <w:sz w:val="18"/>
                <w:szCs w:val="18"/>
              </w:rPr>
              <w:t>Hyperdiploidy</w:t>
            </w:r>
            <w:proofErr w:type="spellEnd"/>
            <w:r w:rsidRPr="00E24FB8">
              <w:rPr>
                <w:sz w:val="18"/>
                <w:szCs w:val="18"/>
              </w:rPr>
              <w:t xml:space="preserve"> (&lt;44 chromosomes)</w:t>
            </w:r>
          </w:p>
          <w:p w14:paraId="4EFF44E1" w14:textId="1D0541C5" w:rsidR="00845031" w:rsidRPr="00E24FB8" w:rsidRDefault="00845031" w:rsidP="00E24FB8">
            <w:pPr>
              <w:pStyle w:val="ListParagraph"/>
              <w:numPr>
                <w:ilvl w:val="0"/>
                <w:numId w:val="28"/>
              </w:numPr>
              <w:spacing w:before="0" w:after="0"/>
              <w:rPr>
                <w:sz w:val="18"/>
                <w:szCs w:val="18"/>
              </w:rPr>
            </w:pPr>
            <w:r w:rsidRPr="00E24FB8">
              <w:rPr>
                <w:i/>
                <w:iCs/>
                <w:sz w:val="18"/>
                <w:szCs w:val="18"/>
              </w:rPr>
              <w:t xml:space="preserve">KMT2A </w:t>
            </w:r>
            <w:r w:rsidRPr="00E24FB8">
              <w:rPr>
                <w:sz w:val="18"/>
                <w:szCs w:val="18"/>
              </w:rPr>
              <w:t>rearranged (t[4;11] or others)</w:t>
            </w:r>
          </w:p>
          <w:p w14:paraId="6DB8E0FB" w14:textId="1D08BF3E" w:rsidR="00845031" w:rsidRPr="00E24FB8" w:rsidRDefault="00845031" w:rsidP="00E24FB8">
            <w:pPr>
              <w:pStyle w:val="ListParagraph"/>
              <w:numPr>
                <w:ilvl w:val="0"/>
                <w:numId w:val="28"/>
              </w:numPr>
              <w:spacing w:before="0" w:after="0"/>
              <w:rPr>
                <w:sz w:val="18"/>
                <w:szCs w:val="18"/>
              </w:rPr>
            </w:pPr>
            <w:r w:rsidRPr="00E24FB8">
              <w:rPr>
                <w:sz w:val="18"/>
                <w:szCs w:val="18"/>
              </w:rPr>
              <w:t>t(v;14q32)/</w:t>
            </w:r>
            <w:proofErr w:type="spellStart"/>
            <w:r w:rsidRPr="00E24FB8">
              <w:rPr>
                <w:sz w:val="18"/>
                <w:szCs w:val="18"/>
              </w:rPr>
              <w:t>lgH</w:t>
            </w:r>
            <w:proofErr w:type="spellEnd"/>
          </w:p>
          <w:p w14:paraId="739D7035" w14:textId="3F59B29F" w:rsidR="00845031" w:rsidRPr="00E24FB8" w:rsidRDefault="00845031" w:rsidP="00E24FB8">
            <w:pPr>
              <w:pStyle w:val="ListParagraph"/>
              <w:numPr>
                <w:ilvl w:val="0"/>
                <w:numId w:val="28"/>
              </w:numPr>
              <w:spacing w:before="0" w:after="0"/>
              <w:rPr>
                <w:sz w:val="18"/>
                <w:szCs w:val="18"/>
              </w:rPr>
            </w:pPr>
            <w:r w:rsidRPr="00E24FB8">
              <w:rPr>
                <w:sz w:val="18"/>
                <w:szCs w:val="18"/>
              </w:rPr>
              <w:t xml:space="preserve">t(9;22)(q34;q11.2): </w:t>
            </w:r>
            <w:r w:rsidRPr="00E24FB8">
              <w:rPr>
                <w:i/>
                <w:iCs/>
                <w:sz w:val="18"/>
                <w:szCs w:val="18"/>
              </w:rPr>
              <w:t xml:space="preserve">BCR-ABL1 </w:t>
            </w:r>
            <w:r w:rsidRPr="00E24FB8">
              <w:rPr>
                <w:sz w:val="18"/>
                <w:szCs w:val="18"/>
              </w:rPr>
              <w:t>(defined as high risk in the pre-TKI era)</w:t>
            </w:r>
          </w:p>
          <w:p w14:paraId="6F264850" w14:textId="39E43B2C" w:rsidR="00845031" w:rsidRPr="00E24FB8" w:rsidRDefault="00845031" w:rsidP="00E24FB8">
            <w:pPr>
              <w:pStyle w:val="ListParagraph"/>
              <w:numPr>
                <w:ilvl w:val="0"/>
                <w:numId w:val="28"/>
              </w:numPr>
              <w:spacing w:before="0" w:after="0"/>
              <w:rPr>
                <w:sz w:val="18"/>
                <w:szCs w:val="18"/>
              </w:rPr>
            </w:pPr>
            <w:r w:rsidRPr="00E24FB8">
              <w:rPr>
                <w:sz w:val="18"/>
                <w:szCs w:val="18"/>
              </w:rPr>
              <w:t>Complex karyotype (5 or more chromosome abnormalities)</w:t>
            </w:r>
          </w:p>
          <w:p w14:paraId="03BEDD28" w14:textId="1F6251FE" w:rsidR="00845031" w:rsidRPr="00E24FB8" w:rsidRDefault="00845031" w:rsidP="00E24FB8">
            <w:pPr>
              <w:pStyle w:val="ListParagraph"/>
              <w:numPr>
                <w:ilvl w:val="0"/>
                <w:numId w:val="28"/>
              </w:numPr>
              <w:spacing w:before="0" w:after="0"/>
              <w:rPr>
                <w:sz w:val="18"/>
                <w:szCs w:val="18"/>
              </w:rPr>
            </w:pPr>
            <w:r w:rsidRPr="00E24FB8">
              <w:rPr>
                <w:i/>
                <w:iCs/>
                <w:sz w:val="18"/>
                <w:szCs w:val="18"/>
              </w:rPr>
              <w:t>BCR-ABL1</w:t>
            </w:r>
            <w:r w:rsidRPr="00E24FB8">
              <w:rPr>
                <w:sz w:val="18"/>
                <w:szCs w:val="18"/>
              </w:rPr>
              <w:t>-Like (Ph-like) ALL</w:t>
            </w:r>
          </w:p>
          <w:p w14:paraId="19F04D86" w14:textId="029AFAF6" w:rsidR="00845031" w:rsidRPr="00E24FB8" w:rsidRDefault="00845031" w:rsidP="00E24FB8">
            <w:pPr>
              <w:pStyle w:val="ListParagraph"/>
              <w:numPr>
                <w:ilvl w:val="0"/>
                <w:numId w:val="27"/>
              </w:numPr>
              <w:spacing w:before="0" w:after="0"/>
              <w:rPr>
                <w:sz w:val="18"/>
                <w:szCs w:val="18"/>
              </w:rPr>
            </w:pPr>
            <w:r w:rsidRPr="00E24FB8">
              <w:rPr>
                <w:sz w:val="18"/>
                <w:szCs w:val="18"/>
              </w:rPr>
              <w:t>JAK-STAT (</w:t>
            </w:r>
            <w:r w:rsidRPr="00E24FB8">
              <w:rPr>
                <w:i/>
                <w:iCs/>
                <w:sz w:val="18"/>
                <w:szCs w:val="18"/>
              </w:rPr>
              <w:t xml:space="preserve">CRLF2r, </w:t>
            </w:r>
            <w:proofErr w:type="spellStart"/>
            <w:r w:rsidR="00391A8D">
              <w:rPr>
                <w:i/>
                <w:iCs/>
                <w:sz w:val="18"/>
                <w:szCs w:val="18"/>
              </w:rPr>
              <w:t>EPORr</w:t>
            </w:r>
            <w:proofErr w:type="spellEnd"/>
            <w:r w:rsidR="00391A8D">
              <w:rPr>
                <w:i/>
                <w:iCs/>
                <w:sz w:val="18"/>
                <w:szCs w:val="18"/>
              </w:rPr>
              <w:t xml:space="preserve">, </w:t>
            </w:r>
            <w:r w:rsidRPr="00E24FB8">
              <w:rPr>
                <w:i/>
                <w:iCs/>
                <w:sz w:val="18"/>
                <w:szCs w:val="18"/>
              </w:rPr>
              <w:t xml:space="preserve">JAK1/2/2r, TYK2r, </w:t>
            </w:r>
            <w:r w:rsidRPr="00E24FB8">
              <w:rPr>
                <w:sz w:val="18"/>
                <w:szCs w:val="18"/>
              </w:rPr>
              <w:t xml:space="preserve">mutations of </w:t>
            </w:r>
            <w:r w:rsidRPr="00E24FB8">
              <w:rPr>
                <w:i/>
                <w:iCs/>
                <w:sz w:val="18"/>
                <w:szCs w:val="18"/>
              </w:rPr>
              <w:t>SH2B3, IL7R, JAK1/2/3</w:t>
            </w:r>
            <w:r w:rsidRPr="00E24FB8">
              <w:rPr>
                <w:sz w:val="18"/>
                <w:szCs w:val="18"/>
              </w:rPr>
              <w:t>)</w:t>
            </w:r>
          </w:p>
          <w:p w14:paraId="1CE91035" w14:textId="2CD7215F" w:rsidR="00845031" w:rsidRPr="00E24FB8" w:rsidRDefault="00845031" w:rsidP="00E24FB8">
            <w:pPr>
              <w:pStyle w:val="ListParagraph"/>
              <w:numPr>
                <w:ilvl w:val="0"/>
                <w:numId w:val="27"/>
              </w:numPr>
              <w:spacing w:before="0" w:after="0"/>
              <w:rPr>
                <w:sz w:val="18"/>
                <w:szCs w:val="18"/>
              </w:rPr>
            </w:pPr>
            <w:r w:rsidRPr="00E24FB8">
              <w:rPr>
                <w:sz w:val="18"/>
                <w:szCs w:val="18"/>
              </w:rPr>
              <w:t xml:space="preserve">ABL class (rearrangements of </w:t>
            </w:r>
            <w:r w:rsidRPr="00E24FB8">
              <w:rPr>
                <w:i/>
                <w:iCs/>
                <w:sz w:val="18"/>
                <w:szCs w:val="18"/>
              </w:rPr>
              <w:t>ABL1, ABL2, PDGFRA, PDGFRB, FGFR</w:t>
            </w:r>
            <w:r w:rsidRPr="00E24FB8">
              <w:rPr>
                <w:sz w:val="18"/>
                <w:szCs w:val="18"/>
              </w:rPr>
              <w:t>)</w:t>
            </w:r>
          </w:p>
          <w:p w14:paraId="5427FB73" w14:textId="442C01D7" w:rsidR="00845031" w:rsidRPr="00E24FB8" w:rsidRDefault="00845031" w:rsidP="00E24FB8">
            <w:pPr>
              <w:pStyle w:val="ListParagraph"/>
              <w:numPr>
                <w:ilvl w:val="0"/>
                <w:numId w:val="27"/>
              </w:numPr>
              <w:spacing w:before="0" w:after="0"/>
              <w:rPr>
                <w:sz w:val="18"/>
                <w:szCs w:val="18"/>
              </w:rPr>
            </w:pPr>
            <w:r w:rsidRPr="00E24FB8">
              <w:rPr>
                <w:sz w:val="18"/>
                <w:szCs w:val="18"/>
              </w:rPr>
              <w:t>Other (</w:t>
            </w:r>
            <w:proofErr w:type="spellStart"/>
            <w:r w:rsidRPr="00E24FB8">
              <w:rPr>
                <w:i/>
                <w:iCs/>
                <w:sz w:val="18"/>
                <w:szCs w:val="18"/>
              </w:rPr>
              <w:t>NTRKr</w:t>
            </w:r>
            <w:proofErr w:type="spellEnd"/>
            <w:r w:rsidRPr="00E24FB8">
              <w:rPr>
                <w:i/>
                <w:iCs/>
                <w:sz w:val="18"/>
                <w:szCs w:val="18"/>
              </w:rPr>
              <w:t xml:space="preserve">, FLT3r, </w:t>
            </w:r>
            <w:proofErr w:type="spellStart"/>
            <w:r w:rsidRPr="00E24FB8">
              <w:rPr>
                <w:i/>
                <w:iCs/>
                <w:sz w:val="18"/>
                <w:szCs w:val="18"/>
              </w:rPr>
              <w:t>LYNr</w:t>
            </w:r>
            <w:proofErr w:type="spellEnd"/>
            <w:r w:rsidRPr="00E24FB8">
              <w:rPr>
                <w:i/>
                <w:iCs/>
                <w:sz w:val="18"/>
                <w:szCs w:val="18"/>
              </w:rPr>
              <w:t>, PTL2Br</w:t>
            </w:r>
            <w:r w:rsidRPr="00E24FB8">
              <w:rPr>
                <w:sz w:val="18"/>
                <w:szCs w:val="18"/>
              </w:rPr>
              <w:t>)</w:t>
            </w:r>
          </w:p>
          <w:p w14:paraId="674F6427" w14:textId="7FCFF467" w:rsidR="00845031" w:rsidRPr="00E24FB8" w:rsidRDefault="00845031" w:rsidP="00E24FB8">
            <w:pPr>
              <w:pStyle w:val="ListParagraph"/>
              <w:numPr>
                <w:ilvl w:val="0"/>
                <w:numId w:val="29"/>
              </w:numPr>
              <w:spacing w:before="0" w:after="0"/>
              <w:rPr>
                <w:sz w:val="18"/>
                <w:szCs w:val="18"/>
              </w:rPr>
            </w:pPr>
            <w:r w:rsidRPr="00E24FB8">
              <w:rPr>
                <w:sz w:val="18"/>
                <w:szCs w:val="18"/>
              </w:rPr>
              <w:t>Intrachromosomal amplification of chromosome 21 (iAMP21)</w:t>
            </w:r>
          </w:p>
          <w:p w14:paraId="67E00768" w14:textId="178D95D9" w:rsidR="00845031" w:rsidRPr="00E24FB8" w:rsidRDefault="00845031" w:rsidP="00E24FB8">
            <w:pPr>
              <w:pStyle w:val="ListParagraph"/>
              <w:numPr>
                <w:ilvl w:val="0"/>
                <w:numId w:val="29"/>
              </w:numPr>
              <w:spacing w:before="0" w:after="0"/>
              <w:rPr>
                <w:sz w:val="18"/>
                <w:szCs w:val="18"/>
              </w:rPr>
            </w:pPr>
            <w:r w:rsidRPr="00E24FB8">
              <w:rPr>
                <w:sz w:val="18"/>
                <w:szCs w:val="18"/>
              </w:rPr>
              <w:t xml:space="preserve">t(17;19): </w:t>
            </w:r>
            <w:r w:rsidRPr="00E24FB8">
              <w:rPr>
                <w:i/>
                <w:iCs/>
                <w:sz w:val="18"/>
                <w:szCs w:val="18"/>
              </w:rPr>
              <w:t xml:space="preserve">TCF3-HLF </w:t>
            </w:r>
            <w:r w:rsidRPr="00E24FB8">
              <w:rPr>
                <w:sz w:val="18"/>
                <w:szCs w:val="18"/>
              </w:rPr>
              <w:t>fusion</w:t>
            </w:r>
          </w:p>
          <w:p w14:paraId="66BA8207" w14:textId="4EEB2F38" w:rsidR="00C84F4C" w:rsidRPr="00E24FB8" w:rsidRDefault="00845031" w:rsidP="00E24FB8">
            <w:pPr>
              <w:pStyle w:val="ListParagraph"/>
              <w:numPr>
                <w:ilvl w:val="0"/>
                <w:numId w:val="29"/>
              </w:numPr>
              <w:spacing w:before="0" w:after="0"/>
              <w:rPr>
                <w:sz w:val="18"/>
                <w:szCs w:val="18"/>
              </w:rPr>
            </w:pPr>
            <w:r w:rsidRPr="00E24FB8">
              <w:rPr>
                <w:sz w:val="18"/>
                <w:szCs w:val="18"/>
              </w:rPr>
              <w:t xml:space="preserve">Alteration of </w:t>
            </w:r>
            <w:r w:rsidRPr="00E24FB8">
              <w:rPr>
                <w:i/>
                <w:iCs/>
                <w:sz w:val="18"/>
                <w:szCs w:val="18"/>
              </w:rPr>
              <w:t>IKZF1</w:t>
            </w:r>
          </w:p>
        </w:tc>
      </w:tr>
    </w:tbl>
    <w:p w14:paraId="06EAD5F4" w14:textId="1E2EB2F3" w:rsidR="00813072" w:rsidRPr="00E24FB8" w:rsidRDefault="00813072" w:rsidP="00813072">
      <w:pPr>
        <w:rPr>
          <w:i/>
          <w:iCs/>
        </w:rPr>
      </w:pPr>
    </w:p>
    <w:p w14:paraId="2E0EAD20" w14:textId="77777777" w:rsidR="00944F58" w:rsidRDefault="00944F58">
      <w:pPr>
        <w:spacing w:before="0" w:after="200" w:line="276" w:lineRule="auto"/>
        <w:jc w:val="left"/>
        <w:rPr>
          <w:b/>
          <w:i/>
          <w:szCs w:val="20"/>
          <w:u w:val="single"/>
        </w:rPr>
      </w:pPr>
      <w:r>
        <w:br w:type="page"/>
      </w:r>
    </w:p>
    <w:p w14:paraId="3D0BEBB8" w14:textId="688AC0AD" w:rsidR="002A50FD" w:rsidRPr="00881F93" w:rsidRDefault="005C3AE7" w:rsidP="00944F58">
      <w:pPr>
        <w:pStyle w:val="Subtitle"/>
        <w:ind w:left="0"/>
      </w:pPr>
      <w:r>
        <w:lastRenderedPageBreak/>
        <w:t xml:space="preserve">PART 6b – </w:t>
      </w:r>
      <w:r w:rsidR="002A50FD" w:rsidRPr="00881F93">
        <w:t>INFORMATION ABOUT THE INTERVENTION</w:t>
      </w:r>
    </w:p>
    <w:p w14:paraId="0D5EC4F2"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5949AA0F" w14:textId="434F2E8F" w:rsidR="00285DBA" w:rsidRDefault="00285DBA" w:rsidP="00944F58">
      <w:pPr>
        <w:ind w:left="426"/>
        <w:jc w:val="left"/>
      </w:pPr>
      <w:r>
        <w:t>Brexucabtagene autoleucel is a CAR T-cell product that is unique to each patient. Each individual patient’s</w:t>
      </w:r>
      <w:r w:rsidRPr="00285DBA">
        <w:rPr>
          <w:spacing w:val="-43"/>
        </w:rPr>
        <w:t xml:space="preserve"> </w:t>
      </w:r>
      <w:r>
        <w:t>T-cells (immune cells with anticancer activity) are collected and genetically modified in the laboratory to</w:t>
      </w:r>
      <w:r w:rsidRPr="00285DBA">
        <w:rPr>
          <w:spacing w:val="1"/>
        </w:rPr>
        <w:t xml:space="preserve"> </w:t>
      </w:r>
      <w:r>
        <w:t>recognise cancer cells that express CD19 on their surface. The modified T-cells are then expanded to</w:t>
      </w:r>
      <w:r w:rsidRPr="00285DBA">
        <w:rPr>
          <w:spacing w:val="1"/>
        </w:rPr>
        <w:t xml:space="preserve"> </w:t>
      </w:r>
      <w:r>
        <w:t>several million and the modified cells are then infused back into the patient. The steps involved in</w:t>
      </w:r>
      <w:r w:rsidRPr="00285DBA">
        <w:rPr>
          <w:spacing w:val="1"/>
        </w:rPr>
        <w:t xml:space="preserve"> </w:t>
      </w:r>
      <w:r>
        <w:t xml:space="preserve">developing and eventually delivering the product </w:t>
      </w:r>
      <w:r w:rsidRPr="00F402A0">
        <w:rPr>
          <w:rFonts w:cstheme="minorHAnsi"/>
        </w:rPr>
        <w:t>are</w:t>
      </w:r>
      <w:r>
        <w:t xml:space="preserve"> described in greater</w:t>
      </w:r>
      <w:r w:rsidRPr="00285DBA">
        <w:rPr>
          <w:spacing w:val="1"/>
        </w:rPr>
        <w:t xml:space="preserve"> </w:t>
      </w:r>
      <w:bookmarkStart w:id="9" w:name="1._Leukapheresis_and_harvesting_of_perip"/>
      <w:bookmarkEnd w:id="9"/>
      <w:r>
        <w:t>detail</w:t>
      </w:r>
      <w:r w:rsidR="003C5212">
        <w:t xml:space="preserve"> below</w:t>
      </w:r>
      <w:r>
        <w:t>:</w:t>
      </w:r>
    </w:p>
    <w:p w14:paraId="7A0DE3FA" w14:textId="5FCFC8A4" w:rsidR="00285DBA" w:rsidRDefault="00285DBA" w:rsidP="00944F58">
      <w:pPr>
        <w:pStyle w:val="ListParagraph"/>
        <w:widowControl w:val="0"/>
        <w:numPr>
          <w:ilvl w:val="0"/>
          <w:numId w:val="16"/>
        </w:numPr>
        <w:tabs>
          <w:tab w:val="left" w:pos="939"/>
          <w:tab w:val="left" w:pos="940"/>
        </w:tabs>
        <w:autoSpaceDE w:val="0"/>
        <w:autoSpaceDN w:val="0"/>
        <w:spacing w:before="0" w:after="0"/>
        <w:ind w:right="572"/>
        <w:contextualSpacing w:val="0"/>
        <w:jc w:val="left"/>
      </w:pPr>
      <w:r>
        <w:rPr>
          <w:u w:val="single"/>
        </w:rPr>
        <w:t>Leukapheresis and harvesting of peripheral blood mononuclear cells</w:t>
      </w:r>
      <w:r w:rsidRPr="002112B9">
        <w:rPr>
          <w:u w:val="single"/>
        </w:rPr>
        <w:t>:</w:t>
      </w:r>
      <w:r>
        <w:t xml:space="preserve"> </w:t>
      </w:r>
      <w:r w:rsidR="007934C3">
        <w:t>A</w:t>
      </w:r>
      <w:r>
        <w:t xml:space="preserve"> sufficient amount of blood is</w:t>
      </w:r>
      <w:r w:rsidRPr="006455A5">
        <w:t xml:space="preserve"> </w:t>
      </w:r>
      <w:r>
        <w:t xml:space="preserve">drawn from patients to obtain enough peripheral blood </w:t>
      </w:r>
      <w:r w:rsidR="00636A63">
        <w:t>mononuclear</w:t>
      </w:r>
      <w:r>
        <w:t xml:space="preserve"> cells to support the</w:t>
      </w:r>
      <w:r w:rsidRPr="006455A5">
        <w:t xml:space="preserve"> </w:t>
      </w:r>
      <w:r>
        <w:t>manufacture of engineered T-cells. The remaining blood products are transfused back into the</w:t>
      </w:r>
      <w:r w:rsidRPr="006455A5">
        <w:t xml:space="preserve"> </w:t>
      </w:r>
      <w:r>
        <w:t xml:space="preserve">patient. </w:t>
      </w:r>
      <w:r w:rsidRPr="006455A5">
        <w:t>T</w:t>
      </w:r>
      <w:r>
        <w:t xml:space="preserve">he collected peripheral blood </w:t>
      </w:r>
      <w:r w:rsidR="00636A63">
        <w:t>mononuclear</w:t>
      </w:r>
      <w:r>
        <w:t xml:space="preserve"> cells are then transported immediately to the</w:t>
      </w:r>
      <w:r w:rsidR="006455A5">
        <w:t xml:space="preserve"> </w:t>
      </w:r>
      <w:bookmarkStart w:id="10" w:name="2._Isolation_of_T-cells:_In_the_laborato"/>
      <w:bookmarkEnd w:id="10"/>
      <w:r>
        <w:t>brexucabtagene</w:t>
      </w:r>
      <w:r w:rsidRPr="006455A5">
        <w:t xml:space="preserve"> </w:t>
      </w:r>
      <w:r>
        <w:t>autoleucel manufacturing</w:t>
      </w:r>
      <w:r w:rsidRPr="006455A5">
        <w:t xml:space="preserve"> </w:t>
      </w:r>
      <w:r>
        <w:t>facility.</w:t>
      </w:r>
    </w:p>
    <w:p w14:paraId="01EFE88F" w14:textId="6DDDA3D7" w:rsidR="00285DBA" w:rsidRDefault="00285DBA" w:rsidP="00944F58">
      <w:pPr>
        <w:pStyle w:val="ListParagraph"/>
        <w:widowControl w:val="0"/>
        <w:numPr>
          <w:ilvl w:val="0"/>
          <w:numId w:val="16"/>
        </w:numPr>
        <w:tabs>
          <w:tab w:val="left" w:pos="939"/>
          <w:tab w:val="left" w:pos="940"/>
        </w:tabs>
        <w:autoSpaceDE w:val="0"/>
        <w:autoSpaceDN w:val="0"/>
        <w:spacing w:before="0" w:after="0"/>
        <w:ind w:left="940" w:right="398"/>
        <w:contextualSpacing w:val="0"/>
        <w:jc w:val="left"/>
      </w:pPr>
      <w:r w:rsidRPr="006455A5">
        <w:rPr>
          <w:u w:val="single"/>
        </w:rPr>
        <w:t>Isolation of T-cells:</w:t>
      </w:r>
      <w:r>
        <w:t xml:space="preserve"> In the laboratory, T-cells are purified from the peripheral blood cells that were</w:t>
      </w:r>
      <w:r w:rsidRPr="006455A5">
        <w:t xml:space="preserve"> </w:t>
      </w:r>
      <w:r>
        <w:t xml:space="preserve">collected from patients. </w:t>
      </w:r>
      <w:r w:rsidR="00AB2542">
        <w:t>T</w:t>
      </w:r>
      <w:r>
        <w:t>he manufacturing process for brexucabtagene</w:t>
      </w:r>
      <w:r w:rsidRPr="006455A5">
        <w:t xml:space="preserve"> </w:t>
      </w:r>
      <w:r>
        <w:t>autoleucel includes a CD4+ and CD8+ T-cell enrichment step (to separate circulating tumour cells from</w:t>
      </w:r>
      <w:r w:rsidRPr="006455A5">
        <w:t xml:space="preserve"> </w:t>
      </w:r>
      <w:r>
        <w:t>T</w:t>
      </w:r>
      <w:r w:rsidR="006455A5">
        <w:t>-</w:t>
      </w:r>
      <w:r>
        <w:t>cells)</w:t>
      </w:r>
      <w:r w:rsidRPr="006455A5">
        <w:t xml:space="preserve"> </w:t>
      </w:r>
      <w:r>
        <w:t>to</w:t>
      </w:r>
      <w:r w:rsidRPr="006455A5">
        <w:t xml:space="preserve"> </w:t>
      </w:r>
      <w:r>
        <w:t>address</w:t>
      </w:r>
      <w:r w:rsidRPr="006455A5">
        <w:t xml:space="preserve"> </w:t>
      </w:r>
      <w:r>
        <w:t>the</w:t>
      </w:r>
      <w:r w:rsidRPr="006455A5">
        <w:t xml:space="preserve"> </w:t>
      </w:r>
      <w:r>
        <w:t>potential</w:t>
      </w:r>
      <w:r w:rsidRPr="006455A5">
        <w:t xml:space="preserve"> </w:t>
      </w:r>
      <w:r>
        <w:t>negative</w:t>
      </w:r>
      <w:r w:rsidRPr="006455A5">
        <w:t xml:space="preserve"> </w:t>
      </w:r>
      <w:r>
        <w:t>impact</w:t>
      </w:r>
      <w:r w:rsidRPr="006455A5">
        <w:t xml:space="preserve"> </w:t>
      </w:r>
      <w:r>
        <w:t>of</w:t>
      </w:r>
      <w:r w:rsidRPr="006455A5">
        <w:t xml:space="preserve"> </w:t>
      </w:r>
      <w:r>
        <w:t>high</w:t>
      </w:r>
      <w:r w:rsidRPr="006455A5">
        <w:t xml:space="preserve"> </w:t>
      </w:r>
      <w:r>
        <w:t>levels</w:t>
      </w:r>
      <w:r w:rsidRPr="006455A5">
        <w:t xml:space="preserve"> </w:t>
      </w:r>
      <w:r>
        <w:t>of</w:t>
      </w:r>
      <w:r w:rsidRPr="006455A5">
        <w:t xml:space="preserve"> </w:t>
      </w:r>
      <w:r>
        <w:t>cellular impurities</w:t>
      </w:r>
      <w:r w:rsidRPr="006455A5">
        <w:t xml:space="preserve"> </w:t>
      </w:r>
      <w:r>
        <w:t>on</w:t>
      </w:r>
      <w:r w:rsidRPr="006455A5">
        <w:t xml:space="preserve"> </w:t>
      </w:r>
      <w:r>
        <w:t>the</w:t>
      </w:r>
      <w:r w:rsidRPr="006455A5">
        <w:t xml:space="preserve"> </w:t>
      </w:r>
      <w:r>
        <w:t>activation and expansion</w:t>
      </w:r>
      <w:r w:rsidRPr="006455A5">
        <w:t xml:space="preserve"> </w:t>
      </w:r>
      <w:r>
        <w:t>of T-cells</w:t>
      </w:r>
      <w:r w:rsidRPr="006455A5">
        <w:t xml:space="preserve"> </w:t>
      </w:r>
      <w:r>
        <w:t>in the laboratory.</w:t>
      </w:r>
    </w:p>
    <w:p w14:paraId="6BB95771" w14:textId="77777777" w:rsidR="00285DBA" w:rsidRDefault="00285DBA" w:rsidP="00944F58">
      <w:pPr>
        <w:pStyle w:val="ListParagraph"/>
        <w:widowControl w:val="0"/>
        <w:numPr>
          <w:ilvl w:val="0"/>
          <w:numId w:val="16"/>
        </w:numPr>
        <w:tabs>
          <w:tab w:val="left" w:pos="939"/>
          <w:tab w:val="left" w:pos="940"/>
        </w:tabs>
        <w:autoSpaceDE w:val="0"/>
        <w:autoSpaceDN w:val="0"/>
        <w:spacing w:before="0" w:after="0"/>
        <w:ind w:left="940" w:right="574"/>
        <w:contextualSpacing w:val="0"/>
        <w:jc w:val="left"/>
      </w:pPr>
      <w:bookmarkStart w:id="11" w:name="3._Modification_of_T-cells:_The_T-cells_"/>
      <w:bookmarkEnd w:id="11"/>
      <w:r w:rsidRPr="00E27555">
        <w:rPr>
          <w:u w:val="single"/>
        </w:rPr>
        <w:t>Modification of T-cells:</w:t>
      </w:r>
      <w:r>
        <w:t xml:space="preserve"> The T-cells are then genetically modified by retroviral transfection to encode</w:t>
      </w:r>
      <w:r w:rsidRPr="006455A5">
        <w:t xml:space="preserve"> </w:t>
      </w:r>
      <w:r>
        <w:t>receptors</w:t>
      </w:r>
      <w:r w:rsidRPr="006455A5">
        <w:t xml:space="preserve"> </w:t>
      </w:r>
      <w:r>
        <w:t>that</w:t>
      </w:r>
      <w:r w:rsidRPr="006455A5">
        <w:t xml:space="preserve"> </w:t>
      </w:r>
      <w:r>
        <w:t>recognise</w:t>
      </w:r>
      <w:r w:rsidRPr="006455A5">
        <w:t xml:space="preserve"> </w:t>
      </w:r>
      <w:r>
        <w:t>cancer-specific antigen</w:t>
      </w:r>
      <w:r w:rsidRPr="006455A5">
        <w:t xml:space="preserve"> </w:t>
      </w:r>
      <w:r>
        <w:t>and</w:t>
      </w:r>
      <w:r w:rsidRPr="006455A5">
        <w:t xml:space="preserve"> </w:t>
      </w:r>
      <w:r>
        <w:t>activate T-cells.</w:t>
      </w:r>
    </w:p>
    <w:p w14:paraId="405C6B4F" w14:textId="77777777" w:rsidR="00285DBA" w:rsidRDefault="00285DBA" w:rsidP="00944F58">
      <w:pPr>
        <w:pStyle w:val="ListParagraph"/>
        <w:widowControl w:val="0"/>
        <w:numPr>
          <w:ilvl w:val="0"/>
          <w:numId w:val="16"/>
        </w:numPr>
        <w:tabs>
          <w:tab w:val="left" w:pos="939"/>
          <w:tab w:val="left" w:pos="940"/>
        </w:tabs>
        <w:autoSpaceDE w:val="0"/>
        <w:autoSpaceDN w:val="0"/>
        <w:spacing w:before="0" w:after="0"/>
        <w:ind w:left="940" w:right="938"/>
        <w:contextualSpacing w:val="0"/>
        <w:jc w:val="left"/>
      </w:pPr>
      <w:bookmarkStart w:id="12" w:name="4._Expansion_of_CAR_T-cells:_Following_m"/>
      <w:bookmarkEnd w:id="12"/>
      <w:r w:rsidRPr="00E27555">
        <w:rPr>
          <w:u w:val="single"/>
        </w:rPr>
        <w:t>Expansion of CAR T-cells:</w:t>
      </w:r>
      <w:r>
        <w:t xml:space="preserve"> Following modification, the T-cells are then cultured in the laboratory.</w:t>
      </w:r>
      <w:r w:rsidRPr="006455A5">
        <w:t xml:space="preserve"> </w:t>
      </w:r>
      <w:bookmarkStart w:id="13" w:name="5._Testing_and_shipping_of_CAR_T-cells:_"/>
      <w:bookmarkEnd w:id="13"/>
      <w:r>
        <w:t>Cytokines</w:t>
      </w:r>
      <w:r w:rsidRPr="006455A5">
        <w:t xml:space="preserve"> </w:t>
      </w:r>
      <w:r>
        <w:t>are</w:t>
      </w:r>
      <w:r w:rsidRPr="006455A5">
        <w:t xml:space="preserve"> </w:t>
      </w:r>
      <w:r>
        <w:t>used to</w:t>
      </w:r>
      <w:r w:rsidRPr="006455A5">
        <w:t xml:space="preserve"> </w:t>
      </w:r>
      <w:r>
        <w:t>stimulate the</w:t>
      </w:r>
      <w:r w:rsidRPr="006455A5">
        <w:t xml:space="preserve"> </w:t>
      </w:r>
      <w:r>
        <w:t>expansion of</w:t>
      </w:r>
      <w:r w:rsidRPr="006455A5">
        <w:t xml:space="preserve"> </w:t>
      </w:r>
      <w:r>
        <w:t>CAR</w:t>
      </w:r>
      <w:r w:rsidRPr="006455A5">
        <w:t xml:space="preserve"> </w:t>
      </w:r>
      <w:r>
        <w:t>T-cells.</w:t>
      </w:r>
    </w:p>
    <w:p w14:paraId="348D9DC7" w14:textId="77777777" w:rsidR="00285DBA" w:rsidRDefault="00285DBA" w:rsidP="00944F58">
      <w:pPr>
        <w:pStyle w:val="ListParagraph"/>
        <w:widowControl w:val="0"/>
        <w:numPr>
          <w:ilvl w:val="0"/>
          <w:numId w:val="16"/>
        </w:numPr>
        <w:tabs>
          <w:tab w:val="left" w:pos="939"/>
          <w:tab w:val="left" w:pos="940"/>
        </w:tabs>
        <w:autoSpaceDE w:val="0"/>
        <w:autoSpaceDN w:val="0"/>
        <w:spacing w:before="0" w:after="0"/>
        <w:ind w:right="562"/>
        <w:contextualSpacing w:val="0"/>
        <w:jc w:val="left"/>
      </w:pPr>
      <w:r w:rsidRPr="00E27555">
        <w:rPr>
          <w:u w:val="single"/>
        </w:rPr>
        <w:t>Testing and shipping of CAR T-cells:</w:t>
      </w:r>
      <w:r>
        <w:t xml:space="preserve"> The final product is washed, formulated into a suspension,</w:t>
      </w:r>
      <w:r w:rsidRPr="006455A5">
        <w:t xml:space="preserve"> </w:t>
      </w:r>
      <w:proofErr w:type="gramStart"/>
      <w:r>
        <w:t>cryopreserved</w:t>
      </w:r>
      <w:proofErr w:type="gramEnd"/>
      <w:r>
        <w:t xml:space="preserve"> and tested for identity, potency, and sterility. After establishing that the final product</w:t>
      </w:r>
      <w:r w:rsidRPr="006455A5">
        <w:t xml:space="preserve"> </w:t>
      </w:r>
      <w:r>
        <w:t>meets all quality control requirements, the product is transported back to the patient’s qualified</w:t>
      </w:r>
      <w:r w:rsidRPr="006455A5">
        <w:t xml:space="preserve"> </w:t>
      </w:r>
      <w:bookmarkStart w:id="14" w:name="6._Bridging_therapy_(if_necessary):_Pati"/>
      <w:bookmarkEnd w:id="14"/>
      <w:r>
        <w:t>delivery</w:t>
      </w:r>
      <w:r w:rsidRPr="006455A5">
        <w:t xml:space="preserve"> </w:t>
      </w:r>
      <w:r>
        <w:t>centre</w:t>
      </w:r>
      <w:r w:rsidRPr="006455A5">
        <w:t xml:space="preserve"> </w:t>
      </w:r>
      <w:r>
        <w:t>using</w:t>
      </w:r>
      <w:r w:rsidRPr="006455A5">
        <w:t xml:space="preserve"> </w:t>
      </w:r>
      <w:r>
        <w:t>a validated</w:t>
      </w:r>
      <w:r w:rsidRPr="006455A5">
        <w:t xml:space="preserve"> </w:t>
      </w:r>
      <w:r>
        <w:t>cryo-shipper.</w:t>
      </w:r>
    </w:p>
    <w:p w14:paraId="37EA9A3C" w14:textId="455F344D" w:rsidR="00285DBA" w:rsidRDefault="00285DBA" w:rsidP="00944F58">
      <w:pPr>
        <w:pStyle w:val="ListParagraph"/>
        <w:widowControl w:val="0"/>
        <w:numPr>
          <w:ilvl w:val="0"/>
          <w:numId w:val="16"/>
        </w:numPr>
        <w:tabs>
          <w:tab w:val="left" w:pos="939"/>
          <w:tab w:val="left" w:pos="940"/>
        </w:tabs>
        <w:autoSpaceDE w:val="0"/>
        <w:autoSpaceDN w:val="0"/>
        <w:spacing w:before="0" w:after="0"/>
        <w:ind w:left="940" w:right="587"/>
        <w:contextualSpacing w:val="0"/>
        <w:jc w:val="left"/>
      </w:pPr>
      <w:r w:rsidRPr="00A415D7">
        <w:rPr>
          <w:u w:val="single"/>
        </w:rPr>
        <w:t>Bridging therapy (if necessary):</w:t>
      </w:r>
      <w:r>
        <w:t xml:space="preserve"> Patients are monitored while the production of CAR T-cells is in</w:t>
      </w:r>
      <w:r w:rsidRPr="006455A5">
        <w:t xml:space="preserve"> </w:t>
      </w:r>
      <w:r>
        <w:t>progress. If necessary, patients may receive bridging therapy to</w:t>
      </w:r>
      <w:r w:rsidRPr="006455A5">
        <w:t xml:space="preserve"> </w:t>
      </w:r>
      <w:r>
        <w:t>ensure</w:t>
      </w:r>
      <w:r w:rsidRPr="006455A5">
        <w:t xml:space="preserve"> </w:t>
      </w:r>
      <w:r>
        <w:t>the</w:t>
      </w:r>
      <w:r w:rsidRPr="006455A5">
        <w:t xml:space="preserve"> </w:t>
      </w:r>
      <w:r>
        <w:t>patient</w:t>
      </w:r>
      <w:r w:rsidRPr="006455A5">
        <w:t xml:space="preserve"> </w:t>
      </w:r>
      <w:r>
        <w:t>remains</w:t>
      </w:r>
      <w:r w:rsidRPr="006455A5">
        <w:t xml:space="preserve"> </w:t>
      </w:r>
      <w:r>
        <w:t>viable</w:t>
      </w:r>
      <w:r w:rsidRPr="006455A5">
        <w:t xml:space="preserve"> </w:t>
      </w:r>
      <w:r>
        <w:t>for</w:t>
      </w:r>
      <w:r w:rsidRPr="006455A5">
        <w:t xml:space="preserve"> </w:t>
      </w:r>
      <w:r>
        <w:t>infusion</w:t>
      </w:r>
      <w:r w:rsidRPr="006455A5">
        <w:t xml:space="preserve"> </w:t>
      </w:r>
      <w:r>
        <w:t>of</w:t>
      </w:r>
      <w:r w:rsidRPr="006455A5">
        <w:t xml:space="preserve"> </w:t>
      </w:r>
      <w:r>
        <w:t>brexucabtagene</w:t>
      </w:r>
      <w:r w:rsidRPr="006455A5">
        <w:t xml:space="preserve"> </w:t>
      </w:r>
      <w:r>
        <w:t>autoleucel.</w:t>
      </w:r>
    </w:p>
    <w:p w14:paraId="635B6AC1" w14:textId="49259CC6" w:rsidR="002112B9" w:rsidRPr="002112B9" w:rsidRDefault="002112B9" w:rsidP="00944F58">
      <w:pPr>
        <w:pStyle w:val="NormalWeb"/>
        <w:numPr>
          <w:ilvl w:val="0"/>
          <w:numId w:val="16"/>
        </w:numPr>
        <w:jc w:val="left"/>
        <w:rPr>
          <w:rFonts w:asciiTheme="minorHAnsi" w:eastAsiaTheme="minorHAnsi" w:hAnsiTheme="minorHAnsi" w:cstheme="minorBidi"/>
          <w:sz w:val="20"/>
          <w:szCs w:val="22"/>
          <w:lang w:eastAsia="en-US"/>
        </w:rPr>
      </w:pPr>
      <w:r w:rsidRPr="00A415D7">
        <w:rPr>
          <w:rFonts w:asciiTheme="minorHAnsi" w:eastAsiaTheme="minorHAnsi" w:hAnsiTheme="minorHAnsi" w:cstheme="minorBidi"/>
          <w:sz w:val="20"/>
          <w:szCs w:val="22"/>
          <w:u w:val="single"/>
          <w:lang w:eastAsia="en-US"/>
        </w:rPr>
        <w:t>Cerebrospinal fluid (CSF) prophylaxis:</w:t>
      </w:r>
      <w:r>
        <w:rPr>
          <w:rFonts w:asciiTheme="minorHAnsi" w:eastAsiaTheme="minorHAnsi" w:hAnsiTheme="minorHAnsi" w:cstheme="minorBidi"/>
          <w:sz w:val="20"/>
          <w:szCs w:val="22"/>
          <w:lang w:eastAsia="en-US"/>
        </w:rPr>
        <w:t xml:space="preserve"> Patients </w:t>
      </w:r>
      <w:r w:rsidRPr="002112B9">
        <w:rPr>
          <w:rFonts w:asciiTheme="minorHAnsi" w:eastAsiaTheme="minorHAnsi" w:hAnsiTheme="minorHAnsi" w:cstheme="minorBidi"/>
          <w:sz w:val="20"/>
          <w:szCs w:val="22"/>
          <w:lang w:eastAsia="en-US"/>
        </w:rPr>
        <w:t xml:space="preserve">to receive CSF prophylaxis, consisting of an </w:t>
      </w:r>
      <w:r w:rsidR="006455A5" w:rsidRPr="002112B9">
        <w:rPr>
          <w:rFonts w:asciiTheme="minorHAnsi" w:eastAsiaTheme="minorHAnsi" w:hAnsiTheme="minorHAnsi" w:cstheme="minorBidi"/>
          <w:sz w:val="20"/>
          <w:szCs w:val="22"/>
          <w:lang w:eastAsia="en-US"/>
        </w:rPr>
        <w:t>intrathecal regimen</w:t>
      </w:r>
      <w:r w:rsidR="00745AA8">
        <w:rPr>
          <w:rFonts w:asciiTheme="minorHAnsi" w:eastAsiaTheme="minorHAnsi" w:hAnsiTheme="minorHAnsi" w:cstheme="minorBidi"/>
          <w:sz w:val="20"/>
          <w:szCs w:val="22"/>
          <w:lang w:eastAsia="en-US"/>
        </w:rPr>
        <w:t xml:space="preserve"> according to institutional or national guidelines</w:t>
      </w:r>
      <w:r w:rsidR="006455A5" w:rsidRPr="002112B9">
        <w:rPr>
          <w:rFonts w:asciiTheme="minorHAnsi" w:eastAsiaTheme="minorHAnsi" w:hAnsiTheme="minorHAnsi" w:cstheme="minorBidi"/>
          <w:sz w:val="20"/>
          <w:szCs w:val="22"/>
          <w:lang w:eastAsia="en-US"/>
        </w:rPr>
        <w:t xml:space="preserve"> </w:t>
      </w:r>
      <w:r w:rsidRPr="002112B9">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2112B9">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2112B9">
        <w:rPr>
          <w:rFonts w:asciiTheme="minorHAnsi" w:eastAsiaTheme="minorHAnsi" w:hAnsiTheme="minorHAnsi" w:cstheme="minorBidi"/>
          <w:sz w:val="20"/>
          <w:szCs w:val="22"/>
          <w:lang w:eastAsia="en-US"/>
        </w:rPr>
        <w:t xml:space="preserve"> methotrexate 12 to 15 mg, cytosine arabinoside 40 mg, or dexamethasone 4 mg or equivalent steroid dose). </w:t>
      </w:r>
    </w:p>
    <w:p w14:paraId="3E2BB974" w14:textId="1CA4A1D8" w:rsidR="00285DBA" w:rsidRDefault="00285DBA" w:rsidP="00944F58">
      <w:pPr>
        <w:pStyle w:val="ListParagraph"/>
        <w:widowControl w:val="0"/>
        <w:numPr>
          <w:ilvl w:val="0"/>
          <w:numId w:val="16"/>
        </w:numPr>
        <w:tabs>
          <w:tab w:val="left" w:pos="939"/>
          <w:tab w:val="left" w:pos="940"/>
        </w:tabs>
        <w:autoSpaceDE w:val="0"/>
        <w:autoSpaceDN w:val="0"/>
        <w:spacing w:before="0" w:after="0"/>
        <w:ind w:right="435"/>
        <w:contextualSpacing w:val="0"/>
        <w:jc w:val="left"/>
      </w:pPr>
      <w:bookmarkStart w:id="15" w:name="7._Conditioning_chemotherapy:_Prior_to_i"/>
      <w:bookmarkEnd w:id="15"/>
      <w:r w:rsidRPr="00A415D7">
        <w:rPr>
          <w:u w:val="single"/>
        </w:rPr>
        <w:t>Conditioning chemotherapy:</w:t>
      </w:r>
      <w:r>
        <w:t xml:space="preserve"> Prior to infusion of brexucabtagene autoleucel, patients are treated with</w:t>
      </w:r>
      <w:r w:rsidRPr="006455A5">
        <w:t xml:space="preserve"> </w:t>
      </w:r>
      <w:r>
        <w:t>low-dose lymphodepleting chemotherapy to eliminate the patient’s lymphocytes and allow space for</w:t>
      </w:r>
      <w:r w:rsidRPr="006455A5">
        <w:t xml:space="preserve"> </w:t>
      </w:r>
      <w:r>
        <w:t xml:space="preserve">the T-cells to expand. Lymphodepleting chemotherapy consists of </w:t>
      </w:r>
      <w:r w:rsidR="002112B9">
        <w:t>fludarabine 25 mg/m</w:t>
      </w:r>
      <w:r w:rsidR="002112B9" w:rsidRPr="003E3118">
        <w:rPr>
          <w:vertAlign w:val="superscript"/>
        </w:rPr>
        <w:t>2</w:t>
      </w:r>
      <w:r w:rsidR="002112B9">
        <w:t xml:space="preserve"> intravenous (IV) administered on the</w:t>
      </w:r>
      <w:r w:rsidR="002112B9" w:rsidRPr="006455A5">
        <w:t xml:space="preserve"> </w:t>
      </w:r>
      <w:r w:rsidR="002112B9">
        <w:t>fourth, third and second day prior to infusion of brexucabtagene autoleucel and cyclophosphamide 900 mg/m</w:t>
      </w:r>
      <w:r w:rsidR="002112B9" w:rsidRPr="003E3118">
        <w:rPr>
          <w:vertAlign w:val="superscript"/>
        </w:rPr>
        <w:t>2</w:t>
      </w:r>
      <w:r w:rsidR="002112B9">
        <w:t xml:space="preserve"> IV administered on the</w:t>
      </w:r>
      <w:r w:rsidR="002112B9" w:rsidRPr="006455A5">
        <w:t xml:space="preserve"> </w:t>
      </w:r>
      <w:r w:rsidR="002112B9">
        <w:t xml:space="preserve">second day prior to infusion of </w:t>
      </w:r>
      <w:r>
        <w:t>brexucabtagene autoleucel on</w:t>
      </w:r>
      <w:r w:rsidRPr="006455A5">
        <w:t xml:space="preserve"> </w:t>
      </w:r>
      <w:r>
        <w:t>Day</w:t>
      </w:r>
      <w:r w:rsidRPr="006455A5">
        <w:t xml:space="preserve"> </w:t>
      </w:r>
      <w:r>
        <w:t>0).</w:t>
      </w:r>
    </w:p>
    <w:p w14:paraId="2E765FD3" w14:textId="5098F90C" w:rsidR="00285DBA" w:rsidRDefault="00285DBA" w:rsidP="00944F58">
      <w:pPr>
        <w:pStyle w:val="ListParagraph"/>
        <w:widowControl w:val="0"/>
        <w:numPr>
          <w:ilvl w:val="0"/>
          <w:numId w:val="16"/>
        </w:numPr>
        <w:tabs>
          <w:tab w:val="left" w:pos="939"/>
          <w:tab w:val="left" w:pos="940"/>
        </w:tabs>
        <w:autoSpaceDE w:val="0"/>
        <w:autoSpaceDN w:val="0"/>
        <w:spacing w:before="0" w:after="0"/>
        <w:ind w:right="474"/>
        <w:contextualSpacing w:val="0"/>
        <w:jc w:val="left"/>
      </w:pPr>
      <w:bookmarkStart w:id="16" w:name="8._Infusion_of_brexucabtagene_autoleucel"/>
      <w:bookmarkEnd w:id="16"/>
      <w:r w:rsidRPr="00A35FCD">
        <w:rPr>
          <w:u w:val="single"/>
        </w:rPr>
        <w:t>Infusion of brexucabtagene autoleucel:</w:t>
      </w:r>
      <w:r>
        <w:t xml:space="preserve"> Brexucabtagene autoleucel is a single infusion product. Each</w:t>
      </w:r>
      <w:r w:rsidRPr="006455A5">
        <w:t xml:space="preserve"> </w:t>
      </w:r>
      <w:r>
        <w:t>bag for IV infusion contains a suspension of anti-CD19 CAR T-cells. The contents of the bag containing</w:t>
      </w:r>
      <w:r w:rsidRPr="006455A5">
        <w:t xml:space="preserve"> </w:t>
      </w:r>
      <w:r>
        <w:t>brexucabtagene autoleucel is infused within 30 minutes.</w:t>
      </w:r>
      <w:r w:rsidR="00AB2542">
        <w:t xml:space="preserve"> </w:t>
      </w:r>
      <w:r w:rsidR="007471D5" w:rsidRPr="007471D5">
        <w:t>Successful infusion is the successful delivery into the patient the prescribed dose per kg</w:t>
      </w:r>
      <w:r w:rsidR="007471D5">
        <w:t xml:space="preserve">. </w:t>
      </w:r>
      <w:r>
        <w:t>Patients receiving treatment with</w:t>
      </w:r>
      <w:r w:rsidRPr="006455A5">
        <w:t xml:space="preserve"> </w:t>
      </w:r>
      <w:r>
        <w:t>brexucabtagene autoleucel are required to be hospitalised.</w:t>
      </w:r>
      <w:r w:rsidR="00A35FCD">
        <w:t xml:space="preserve">  Patients will require daily monitoring for at least 7 days at the qualified healthcare/clinical facility following infusion for signs and symptoms of CRS or neurologic toxicities.  Patients are then instructed to remain within proximity of the qualified healthcare/clinical facility for at least 4 weeks following infusion</w:t>
      </w:r>
      <w:r>
        <w:t>.</w:t>
      </w:r>
    </w:p>
    <w:p w14:paraId="712A3E5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4FB35E1" w14:textId="77777777" w:rsidR="00063FF4" w:rsidRDefault="00063FF4" w:rsidP="00A415D7">
      <w:pPr>
        <w:ind w:left="426"/>
      </w:pPr>
      <w:r>
        <w:t>Brexucabtagene autoleucel is already registered by TGA for MCL and branded TECARTUS.</w:t>
      </w:r>
    </w:p>
    <w:p w14:paraId="0BA099DF" w14:textId="04147D45" w:rsidR="00B87234" w:rsidRDefault="00063FF4" w:rsidP="00944F58">
      <w:pPr>
        <w:ind w:left="426"/>
        <w:jc w:val="left"/>
      </w:pPr>
      <w:r>
        <w:t xml:space="preserve">A separate </w:t>
      </w:r>
      <w:r w:rsidR="00981844">
        <w:t xml:space="preserve">TGA </w:t>
      </w:r>
      <w:r>
        <w:t>application is being submitted for brexucabtagene autoleucel for ALL and o</w:t>
      </w:r>
      <w:r w:rsidR="004314B5">
        <w:t xml:space="preserve">nce registered by the TGA, brexucabtagene autoleucel will be supplied as a trademarked </w:t>
      </w:r>
      <w:r>
        <w:t xml:space="preserve">(TECARTUS) </w:t>
      </w:r>
      <w:r w:rsidR="004314B5">
        <w:t>class 4</w:t>
      </w:r>
      <w:r w:rsidR="007847A6">
        <w:t xml:space="preserve"> </w:t>
      </w:r>
      <w:r w:rsidR="004314B5">
        <w:rPr>
          <w:spacing w:val="-43"/>
        </w:rPr>
        <w:t xml:space="preserve"> </w:t>
      </w:r>
      <w:r w:rsidR="004314B5">
        <w:t>biological</w:t>
      </w:r>
      <w:r w:rsidR="004314B5">
        <w:rPr>
          <w:spacing w:val="-3"/>
        </w:rPr>
        <w:t xml:space="preserve"> </w:t>
      </w:r>
      <w:r w:rsidR="004314B5">
        <w:t>product.</w:t>
      </w:r>
    </w:p>
    <w:p w14:paraId="081C3976" w14:textId="77777777" w:rsidR="00C22AD8" w:rsidRPr="00154B00" w:rsidRDefault="00C22AD8" w:rsidP="00944F58">
      <w:pPr>
        <w:pStyle w:val="Heading2"/>
        <w:jc w:val="left"/>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CD1AF0A" w14:textId="0F1B0F8C" w:rsidR="00B87234" w:rsidRPr="003E3118" w:rsidRDefault="004314B5" w:rsidP="00944F58">
      <w:pPr>
        <w:ind w:left="426"/>
        <w:jc w:val="left"/>
      </w:pPr>
      <w:r>
        <w:t>N</w:t>
      </w:r>
      <w:r w:rsidR="00944F58">
        <w:t>/A</w:t>
      </w:r>
    </w:p>
    <w:p w14:paraId="3399D4E2" w14:textId="77777777" w:rsidR="006B1B49" w:rsidRPr="00E357B9" w:rsidRDefault="006B1B49" w:rsidP="00944F58">
      <w:pPr>
        <w:pStyle w:val="Heading2"/>
        <w:jc w:val="left"/>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0496FC4F" w14:textId="21166EF9" w:rsidR="00A35FCD" w:rsidRDefault="00A415D7" w:rsidP="00944F58">
      <w:pPr>
        <w:ind w:left="426"/>
        <w:jc w:val="left"/>
      </w:pPr>
      <w:r>
        <w:t>Brexucabtagene autoleucel will be administered at select</w:t>
      </w:r>
      <w:r w:rsidR="00AB2542">
        <w:t>ed</w:t>
      </w:r>
      <w:r>
        <w:t xml:space="preserve"> tertiary public hospitals that have</w:t>
      </w:r>
      <w:r w:rsidRPr="003E3118">
        <w:t xml:space="preserve"> </w:t>
      </w:r>
      <w:r>
        <w:t>successfully completed Gilead’s rigorous site qualification process to ensure all quality and safety</w:t>
      </w:r>
      <w:r w:rsidRPr="003E3118">
        <w:t xml:space="preserve"> </w:t>
      </w:r>
      <w:r>
        <w:t xml:space="preserve">requirements are satisfied. </w:t>
      </w:r>
    </w:p>
    <w:p w14:paraId="7015D3D5" w14:textId="77777777" w:rsidR="00A35FCD" w:rsidRDefault="00A35FCD" w:rsidP="00944F58">
      <w:pPr>
        <w:widowControl w:val="0"/>
        <w:tabs>
          <w:tab w:val="left" w:pos="939"/>
          <w:tab w:val="left" w:pos="940"/>
        </w:tabs>
        <w:autoSpaceDE w:val="0"/>
        <w:autoSpaceDN w:val="0"/>
        <w:spacing w:before="0" w:after="0"/>
        <w:ind w:left="426" w:right="474"/>
        <w:jc w:val="left"/>
      </w:pPr>
      <w:r>
        <w:t xml:space="preserve">Patients will require daily monitoring for at least 7 days at the qualified healthcare/clinical facility following infusion for signs and symptoms of CRS or neurologic toxicities.  </w:t>
      </w:r>
    </w:p>
    <w:p w14:paraId="2E04298A" w14:textId="77777777" w:rsidR="00A35FCD" w:rsidRDefault="00A35FCD" w:rsidP="00944F58">
      <w:pPr>
        <w:widowControl w:val="0"/>
        <w:tabs>
          <w:tab w:val="left" w:pos="939"/>
          <w:tab w:val="left" w:pos="940"/>
        </w:tabs>
        <w:autoSpaceDE w:val="0"/>
        <w:autoSpaceDN w:val="0"/>
        <w:spacing w:before="0" w:after="0"/>
        <w:ind w:left="426" w:right="474"/>
        <w:jc w:val="left"/>
      </w:pPr>
    </w:p>
    <w:p w14:paraId="46C855E6" w14:textId="74AC150E" w:rsidR="00502001" w:rsidRPr="00487AE5" w:rsidRDefault="00A35FCD" w:rsidP="00944F58">
      <w:pPr>
        <w:widowControl w:val="0"/>
        <w:tabs>
          <w:tab w:val="left" w:pos="939"/>
          <w:tab w:val="left" w:pos="940"/>
        </w:tabs>
        <w:autoSpaceDE w:val="0"/>
        <w:autoSpaceDN w:val="0"/>
        <w:spacing w:before="0" w:after="0"/>
        <w:ind w:left="426" w:right="474"/>
        <w:jc w:val="left"/>
      </w:pPr>
      <w:r>
        <w:t>Patients are then instructed to remain within proximity of the qualified healthcare/clinical facility for at least 4 weeks following infusion.</w:t>
      </w:r>
    </w:p>
    <w:p w14:paraId="28FE3C7D" w14:textId="77777777" w:rsidR="00791C8D" w:rsidRPr="00154B00" w:rsidRDefault="00791C8D" w:rsidP="00944F58">
      <w:pPr>
        <w:pStyle w:val="Heading2"/>
        <w:jc w:val="left"/>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841C0EB" w14:textId="2A555209" w:rsidR="00412695" w:rsidRDefault="00412695" w:rsidP="00944F58">
      <w:pPr>
        <w:ind w:left="426"/>
        <w:jc w:val="left"/>
      </w:pPr>
      <w:r>
        <w:t>Bridging therapy may be administered to some patients in the period between the collection of cells and</w:t>
      </w:r>
      <w:r w:rsidRPr="00412695">
        <w:t xml:space="preserve"> </w:t>
      </w:r>
      <w:r>
        <w:t>the infusion of brexucabtagene autoleucel. Bridging therapy may be required in patients who have a high</w:t>
      </w:r>
      <w:r w:rsidRPr="00412695">
        <w:t xml:space="preserve"> </w:t>
      </w:r>
      <w:r>
        <w:t>disease burden to ensure that the patient remains viable to have the brexucabtagene autoleucel product</w:t>
      </w:r>
      <w:r w:rsidRPr="00412695">
        <w:t xml:space="preserve"> </w:t>
      </w:r>
      <w:r>
        <w:t xml:space="preserve">infused. </w:t>
      </w:r>
    </w:p>
    <w:p w14:paraId="638F71DD" w14:textId="3ACEBD49" w:rsidR="00412695" w:rsidRDefault="009F1966" w:rsidP="00944F58">
      <w:pPr>
        <w:ind w:left="426"/>
        <w:jc w:val="left"/>
      </w:pPr>
      <w:r>
        <w:t xml:space="preserve">Patients </w:t>
      </w:r>
      <w:r w:rsidRPr="002112B9">
        <w:t>to receive CSF prophylaxis, consisting of an intrathecal regimen</w:t>
      </w:r>
      <w:r>
        <w:t xml:space="preserve"> according to institutional or national guidelines</w:t>
      </w:r>
      <w:r w:rsidRPr="002112B9">
        <w:t xml:space="preserve"> (e</w:t>
      </w:r>
      <w:r>
        <w:t>.</w:t>
      </w:r>
      <w:r w:rsidRPr="002112B9">
        <w:t>g</w:t>
      </w:r>
      <w:r>
        <w:t>.</w:t>
      </w:r>
      <w:r w:rsidRPr="002112B9">
        <w:t xml:space="preserve"> methotrexate 12 to 15 mg, cytosine arabinoside 40 mg, or dexamethasone 4 mg or equivalent steroid dose). </w:t>
      </w:r>
      <w:r w:rsidR="00412695">
        <w:t>Conditioning chemotherapy is required to be administered in the days prior to infusion of</w:t>
      </w:r>
      <w:r w:rsidR="00412695" w:rsidRPr="00412695">
        <w:t xml:space="preserve"> </w:t>
      </w:r>
      <w:r w:rsidR="00412695">
        <w:t>brexucabtagene</w:t>
      </w:r>
      <w:r w:rsidR="00412695" w:rsidRPr="00412695">
        <w:t xml:space="preserve"> </w:t>
      </w:r>
      <w:r w:rsidR="00412695">
        <w:t>autoleucel.</w:t>
      </w:r>
    </w:p>
    <w:p w14:paraId="3A510ED0" w14:textId="4269569F" w:rsidR="00412695" w:rsidRDefault="00412695" w:rsidP="00944F58">
      <w:pPr>
        <w:ind w:left="426"/>
        <w:jc w:val="left"/>
      </w:pPr>
      <w:r>
        <w:t xml:space="preserve">Paracetamol </w:t>
      </w:r>
      <w:r w:rsidR="004779AA">
        <w:t>650</w:t>
      </w:r>
      <w:r>
        <w:t xml:space="preserve"> mg and diphenhydramine 12.5 mg were administered one hour prior</w:t>
      </w:r>
      <w:r w:rsidRPr="00412695">
        <w:t xml:space="preserve"> </w:t>
      </w:r>
      <w:r>
        <w:t>to</w:t>
      </w:r>
      <w:r w:rsidRPr="00412695">
        <w:t xml:space="preserve"> </w:t>
      </w:r>
      <w:r>
        <w:t>infusion in</w:t>
      </w:r>
      <w:r w:rsidRPr="00412695">
        <w:t xml:space="preserve"> </w:t>
      </w:r>
      <w:r>
        <w:t>the key ZUMA-3 trial.</w:t>
      </w:r>
    </w:p>
    <w:p w14:paraId="37FF3C8C" w14:textId="253871D3" w:rsidR="00412695" w:rsidRDefault="00412695" w:rsidP="00944F58">
      <w:pPr>
        <w:ind w:left="426"/>
        <w:jc w:val="left"/>
      </w:pPr>
      <w:r>
        <w:t>Brexucabtagene autoleucel is administered by IV infusion in an inpatient hospital setting.</w:t>
      </w:r>
      <w:r w:rsidRPr="00412695">
        <w:t xml:space="preserve"> </w:t>
      </w:r>
      <w:r>
        <w:t>Administration of brexucabtagene autoleucel is performed under the supervision of a haematologist or</w:t>
      </w:r>
      <w:r w:rsidRPr="00412695">
        <w:t xml:space="preserve"> </w:t>
      </w:r>
      <w:r>
        <w:t>haematologist-oncologist.</w:t>
      </w:r>
    </w:p>
    <w:p w14:paraId="1F389CF4" w14:textId="1C303724" w:rsidR="00B87234" w:rsidRPr="00412695" w:rsidRDefault="00412695" w:rsidP="00944F58">
      <w:pPr>
        <w:ind w:left="426"/>
        <w:jc w:val="left"/>
      </w:pPr>
      <w:r>
        <w:t>Some patients may require administration of treatments following infusion of brexucabtagene autoleucel</w:t>
      </w:r>
      <w:r w:rsidRPr="00412695">
        <w:t xml:space="preserve"> </w:t>
      </w:r>
      <w:r>
        <w:t>as</w:t>
      </w:r>
      <w:r w:rsidRPr="00412695">
        <w:t xml:space="preserve"> </w:t>
      </w:r>
      <w:r>
        <w:t>supportive</w:t>
      </w:r>
      <w:r w:rsidRPr="00412695">
        <w:t xml:space="preserve"> </w:t>
      </w:r>
      <w:r>
        <w:t>care</w:t>
      </w:r>
      <w:r w:rsidRPr="00412695">
        <w:t xml:space="preserve"> </w:t>
      </w:r>
      <w:r>
        <w:t>and</w:t>
      </w:r>
      <w:r w:rsidRPr="00412695">
        <w:t xml:space="preserve"> </w:t>
      </w:r>
      <w:r>
        <w:t>for</w:t>
      </w:r>
      <w:r w:rsidRPr="00412695">
        <w:t xml:space="preserve"> </w:t>
      </w:r>
      <w:r>
        <w:t>management</w:t>
      </w:r>
      <w:r w:rsidRPr="00412695">
        <w:t xml:space="preserve"> </w:t>
      </w:r>
      <w:r>
        <w:t>of</w:t>
      </w:r>
      <w:r w:rsidRPr="00412695">
        <w:t xml:space="preserve"> </w:t>
      </w:r>
      <w:r>
        <w:t>adverse</w:t>
      </w:r>
      <w:r w:rsidRPr="00412695">
        <w:t xml:space="preserve"> </w:t>
      </w:r>
      <w:r>
        <w:t>events</w:t>
      </w:r>
      <w:r w:rsidRPr="00412695">
        <w:t xml:space="preserve"> </w:t>
      </w:r>
      <w:r>
        <w:t>(e.g.</w:t>
      </w:r>
      <w:r w:rsidRPr="00412695">
        <w:t xml:space="preserve"> </w:t>
      </w:r>
      <w:r>
        <w:t>blood</w:t>
      </w:r>
      <w:r w:rsidRPr="00412695">
        <w:t xml:space="preserve"> </w:t>
      </w:r>
      <w:r>
        <w:t>products,</w:t>
      </w:r>
      <w:r w:rsidRPr="00412695">
        <w:t xml:space="preserve"> </w:t>
      </w:r>
      <w:r>
        <w:t>antiemetics,</w:t>
      </w:r>
      <w:r w:rsidRPr="00412695">
        <w:t xml:space="preserve"> </w:t>
      </w:r>
      <w:r>
        <w:t>tocilizumab)</w:t>
      </w:r>
      <w:r w:rsidR="00242A01">
        <w:t>.</w:t>
      </w:r>
    </w:p>
    <w:p w14:paraId="468EDFDC"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EFB3414" w14:textId="00C02C49" w:rsidR="00B87234" w:rsidRPr="00BF7E89" w:rsidRDefault="00BF7E89" w:rsidP="00944F58">
      <w:pPr>
        <w:ind w:left="426"/>
      </w:pPr>
      <w:r>
        <w:t>Haematologists</w:t>
      </w:r>
      <w:r>
        <w:rPr>
          <w:spacing w:val="-6"/>
        </w:rPr>
        <w:t xml:space="preserve"> </w:t>
      </w:r>
      <w:r>
        <w:t>and</w:t>
      </w:r>
      <w:r>
        <w:rPr>
          <w:spacing w:val="-7"/>
        </w:rPr>
        <w:t xml:space="preserve"> </w:t>
      </w:r>
      <w:r>
        <w:t>haematologist-oncologists</w:t>
      </w:r>
      <w:r w:rsidR="00242A01">
        <w:t>.</w:t>
      </w:r>
    </w:p>
    <w:p w14:paraId="0A4BC70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38DCE2B" w14:textId="676F9594" w:rsidR="00B87234" w:rsidRPr="00944F58" w:rsidRDefault="00BF7E89" w:rsidP="00944F58">
      <w:pPr>
        <w:ind w:left="426"/>
      </w:pPr>
      <w:r>
        <w:t>N</w:t>
      </w:r>
      <w:r w:rsidR="00156969">
        <w:t>ot applicable</w:t>
      </w:r>
    </w:p>
    <w:p w14:paraId="6752E72B"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A4BF70D" w14:textId="74820AE2" w:rsidR="00242A01" w:rsidRPr="00154B00" w:rsidRDefault="00981844" w:rsidP="00BC424B">
      <w:pPr>
        <w:ind w:left="426"/>
        <w:rPr>
          <w:szCs w:val="20"/>
        </w:rPr>
      </w:pPr>
      <w:r>
        <w:t xml:space="preserve">CAR T-cell therapies funded under the NHRA for delivery in public hospitals, it is proposed that brexucabtagene autoleucel will only be able to be administered in accredited treatment centres. </w:t>
      </w:r>
    </w:p>
    <w:p w14:paraId="7DAB4A1A"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D9B076D" w14:textId="0503F22C" w:rsidR="00B87234" w:rsidRPr="00BF7E89" w:rsidRDefault="00BF7E89" w:rsidP="00944F58">
      <w:pPr>
        <w:ind w:left="426"/>
      </w:pPr>
      <w:r>
        <w:t>Brexucabtagene autoleucel will be prescribed by physicians who are experienced in the treatment of</w:t>
      </w:r>
      <w:r>
        <w:rPr>
          <w:spacing w:val="1"/>
        </w:rPr>
        <w:t xml:space="preserve"> </w:t>
      </w:r>
      <w:r>
        <w:t>patients with haematological malignancies.</w:t>
      </w:r>
      <w:r>
        <w:rPr>
          <w:spacing w:val="1"/>
        </w:rPr>
        <w:t xml:space="preserve"> </w:t>
      </w:r>
      <w:r w:rsidR="00E25935" w:rsidRPr="00E25935">
        <w:rPr>
          <w:b/>
          <w:bCs/>
        </w:rPr>
        <w:t>REDACTED</w:t>
      </w:r>
    </w:p>
    <w:p w14:paraId="35310B1C" w14:textId="77777777" w:rsidR="00E25935" w:rsidRDefault="00E25935">
      <w:pPr>
        <w:spacing w:before="0" w:after="200" w:line="276" w:lineRule="auto"/>
        <w:jc w:val="left"/>
        <w:rPr>
          <w:b/>
          <w:szCs w:val="20"/>
        </w:rPr>
      </w:pPr>
      <w:r>
        <w:br w:type="page"/>
      </w:r>
    </w:p>
    <w:p w14:paraId="497CFC04" w14:textId="036E2FEB"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ADD0B3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6D03BD5A" w14:textId="098FA4B5" w:rsidR="000A478F" w:rsidRDefault="00F53F6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4384226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3F27A04E" w14:textId="58A067DA" w:rsidR="0079354C" w:rsidRDefault="00F53F6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79354C">
        <w:rPr>
          <w:szCs w:val="20"/>
        </w:rPr>
        <w:t xml:space="preserve"> Public outpatient clinic</w:t>
      </w:r>
    </w:p>
    <w:p w14:paraId="6E3DAB9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Emergency Department</w:t>
      </w:r>
    </w:p>
    <w:p w14:paraId="4EECEF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2AF3F33"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Private consulting rooms – specialist</w:t>
      </w:r>
    </w:p>
    <w:p w14:paraId="48188A3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Private consulting rooms – other health practitioner (nurse or allied health)</w:t>
      </w:r>
    </w:p>
    <w:p w14:paraId="707ABE5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FE4D417"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Private day surgery clinic (non-admitted patient)</w:t>
      </w:r>
    </w:p>
    <w:p w14:paraId="78A9511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Public day surgery clinic (admitted patient)</w:t>
      </w:r>
    </w:p>
    <w:p w14:paraId="1298DE4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Public day surgery clinic (non-admitted patient)</w:t>
      </w:r>
    </w:p>
    <w:p w14:paraId="0D9464F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Residential aged care facility</w:t>
      </w:r>
    </w:p>
    <w:p w14:paraId="10F25EC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Patient’s home</w:t>
      </w:r>
    </w:p>
    <w:p w14:paraId="3D29D1B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Laboratory</w:t>
      </w:r>
    </w:p>
    <w:p w14:paraId="085FAE95"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3236B">
        <w:rPr>
          <w:szCs w:val="20"/>
        </w:rPr>
      </w:r>
      <w:r w:rsidR="0013236B">
        <w:rPr>
          <w:szCs w:val="20"/>
        </w:rPr>
        <w:fldChar w:fldCharType="separate"/>
      </w:r>
      <w:r w:rsidRPr="000A5B32">
        <w:rPr>
          <w:szCs w:val="20"/>
        </w:rPr>
        <w:fldChar w:fldCharType="end"/>
      </w:r>
      <w:r>
        <w:rPr>
          <w:szCs w:val="20"/>
        </w:rPr>
        <w:t xml:space="preserve"> </w:t>
      </w:r>
      <w:r>
        <w:t>Other – please specify below</w:t>
      </w:r>
    </w:p>
    <w:p w14:paraId="301BD066" w14:textId="77777777" w:rsidR="003433D1" w:rsidRPr="005C3AE7" w:rsidRDefault="00E048ED" w:rsidP="00056F06">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C3F50F6" w14:textId="24CE7FC8" w:rsidR="00063FF4" w:rsidRDefault="00F53F68" w:rsidP="00944F58">
      <w:pPr>
        <w:ind w:left="426"/>
        <w:jc w:val="left"/>
        <w:rPr>
          <w:noProof/>
        </w:rPr>
      </w:pPr>
      <w:r>
        <w:rPr>
          <w:noProof/>
        </w:rPr>
        <w:t>Patient’s T-cells will generally be collected at an outpatient clinic (leukapheresis). The materials collected</w:t>
      </w:r>
      <w:r w:rsidRPr="00F53F68">
        <w:rPr>
          <w:noProof/>
        </w:rPr>
        <w:t xml:space="preserve"> </w:t>
      </w:r>
      <w:r>
        <w:rPr>
          <w:noProof/>
        </w:rPr>
        <w:t>by apheresis are then couriered to an offsite manufacturing facility</w:t>
      </w:r>
      <w:r w:rsidR="00295458">
        <w:rPr>
          <w:noProof/>
        </w:rPr>
        <w:t xml:space="preserve"> </w:t>
      </w:r>
      <w:r w:rsidR="00295458" w:rsidRPr="00E25935">
        <w:rPr>
          <w:noProof/>
        </w:rPr>
        <w:t xml:space="preserve">in </w:t>
      </w:r>
      <w:r w:rsidR="00E25935">
        <w:rPr>
          <w:b/>
          <w:bCs/>
          <w:noProof/>
        </w:rPr>
        <w:t>REDACTED</w:t>
      </w:r>
      <w:r>
        <w:rPr>
          <w:noProof/>
        </w:rPr>
        <w:t xml:space="preserve"> and returned to the accredited</w:t>
      </w:r>
      <w:r w:rsidRPr="00F53F68">
        <w:rPr>
          <w:noProof/>
        </w:rPr>
        <w:t xml:space="preserve"> </w:t>
      </w:r>
      <w:r>
        <w:rPr>
          <w:noProof/>
        </w:rPr>
        <w:t>healthcare/clinical facility</w:t>
      </w:r>
      <w:r w:rsidR="00295458">
        <w:rPr>
          <w:noProof/>
        </w:rPr>
        <w:t xml:space="preserve"> in Australia</w:t>
      </w:r>
      <w:r>
        <w:rPr>
          <w:noProof/>
        </w:rPr>
        <w:t xml:space="preserve">. </w:t>
      </w:r>
    </w:p>
    <w:p w14:paraId="2A19A229" w14:textId="0D1B4141" w:rsidR="00063FF4" w:rsidRDefault="00F53F68" w:rsidP="00944F58">
      <w:pPr>
        <w:ind w:left="426"/>
        <w:jc w:val="left"/>
        <w:rPr>
          <w:noProof/>
        </w:rPr>
      </w:pPr>
      <w:r>
        <w:rPr>
          <w:noProof/>
        </w:rPr>
        <w:t>Lymphodepleting chemotherapy with fludarabine and cyclophosphamide,</w:t>
      </w:r>
      <w:r w:rsidRPr="00F53F68">
        <w:rPr>
          <w:noProof/>
        </w:rPr>
        <w:t xml:space="preserve"> </w:t>
      </w:r>
      <w:r>
        <w:rPr>
          <w:noProof/>
        </w:rPr>
        <w:t>which is to be administered before brexucabtagene autoleucel infusion</w:t>
      </w:r>
      <w:r w:rsidRPr="00F53F68">
        <w:rPr>
          <w:noProof/>
        </w:rPr>
        <w:t xml:space="preserve"> </w:t>
      </w:r>
      <w:r>
        <w:rPr>
          <w:noProof/>
        </w:rPr>
        <w:t xml:space="preserve">will typically be performed at an outpatient clinic. </w:t>
      </w:r>
    </w:p>
    <w:p w14:paraId="3B7E490B" w14:textId="771F3D88" w:rsidR="00242A01" w:rsidRDefault="009F1966" w:rsidP="00944F58">
      <w:pPr>
        <w:ind w:left="426"/>
        <w:jc w:val="left"/>
        <w:rPr>
          <w:noProof/>
        </w:rPr>
      </w:pPr>
      <w:r w:rsidRPr="002112B9">
        <w:t>CSF prophylaxis, consisting of an intrathecal regimen</w:t>
      </w:r>
      <w:r>
        <w:t xml:space="preserve"> according to institutional or national guidelines</w:t>
      </w:r>
      <w:r w:rsidRPr="002112B9">
        <w:t xml:space="preserve"> (e</w:t>
      </w:r>
      <w:r>
        <w:t>.</w:t>
      </w:r>
      <w:r w:rsidRPr="002112B9">
        <w:t>g</w:t>
      </w:r>
      <w:r>
        <w:t>.</w:t>
      </w:r>
      <w:r w:rsidRPr="002112B9">
        <w:t xml:space="preserve"> methotrexate 12 to 15 mg, cytosine arabinoside 40 mg, or dexamethasone 4 mg or equivalent steroid dose</w:t>
      </w:r>
      <w:r>
        <w:t xml:space="preserve">. </w:t>
      </w:r>
      <w:r w:rsidR="00F53F68">
        <w:rPr>
          <w:noProof/>
        </w:rPr>
        <w:t>Brexucabtagene autoleucel will be administered at the</w:t>
      </w:r>
      <w:r w:rsidR="00F53F68" w:rsidRPr="00F53F68">
        <w:rPr>
          <w:noProof/>
        </w:rPr>
        <w:t xml:space="preserve"> </w:t>
      </w:r>
      <w:r w:rsidR="00F53F68">
        <w:rPr>
          <w:noProof/>
        </w:rPr>
        <w:t xml:space="preserve">accredited healthcare/clinical facility. Patients will be monitored daily for adverse events </w:t>
      </w:r>
      <w:r w:rsidR="00B37E0F">
        <w:rPr>
          <w:noProof/>
        </w:rPr>
        <w:t xml:space="preserve">such as CRS </w:t>
      </w:r>
      <w:r w:rsidR="00F53F68">
        <w:rPr>
          <w:noProof/>
        </w:rPr>
        <w:t>for at least 7</w:t>
      </w:r>
      <w:r w:rsidR="00F53F68" w:rsidRPr="00F53F68">
        <w:rPr>
          <w:noProof/>
        </w:rPr>
        <w:t xml:space="preserve"> </w:t>
      </w:r>
      <w:r w:rsidR="00F53F68">
        <w:rPr>
          <w:noProof/>
        </w:rPr>
        <w:t>days.</w:t>
      </w:r>
    </w:p>
    <w:p w14:paraId="5364A594" w14:textId="77777777" w:rsidR="00B87234" w:rsidRPr="00F53F68" w:rsidRDefault="00B87234" w:rsidP="00156969">
      <w:pPr>
        <w:ind w:left="426"/>
        <w:rPr>
          <w:noProof/>
        </w:rPr>
      </w:pPr>
    </w:p>
    <w:p w14:paraId="1E7B1CA5" w14:textId="77777777" w:rsidR="003E30FB" w:rsidRDefault="003E30FB" w:rsidP="00530204">
      <w:pPr>
        <w:pStyle w:val="Heading2"/>
      </w:pPr>
      <w:r>
        <w:t xml:space="preserve">Is the </w:t>
      </w:r>
      <w:r w:rsidRPr="001B29A1">
        <w:t>proposed</w:t>
      </w:r>
      <w:r>
        <w:t xml:space="preserve"> medical service intended to be entirely rendered in Australia?</w:t>
      </w:r>
    </w:p>
    <w:p w14:paraId="74069D03" w14:textId="77777777" w:rsidR="000A478F" w:rsidRDefault="000A478F" w:rsidP="000A478F">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w:t>
      </w:r>
    </w:p>
    <w:p w14:paraId="3CC26956" w14:textId="053B566A" w:rsidR="000A478F" w:rsidRPr="00753C44" w:rsidRDefault="00F53F6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57AF9C2A" w14:textId="061549A3" w:rsidR="000A478F" w:rsidRDefault="00F53F68" w:rsidP="00072BEC">
      <w:pPr>
        <w:ind w:left="426"/>
        <w:rPr>
          <w:noProof/>
        </w:rPr>
      </w:pPr>
      <w:r w:rsidRPr="00F53F68">
        <w:rPr>
          <w:noProof/>
        </w:rPr>
        <w:t>Brexucabtagene autoleucel will be infused at an accredited facility in Australia</w:t>
      </w:r>
      <w:r w:rsidR="00292B49">
        <w:rPr>
          <w:noProof/>
        </w:rPr>
        <w:t>,</w:t>
      </w:r>
      <w:r w:rsidRPr="00F53F68">
        <w:rPr>
          <w:noProof/>
        </w:rPr>
        <w:t xml:space="preserve"> however the manufacture of brexucabtagene autoleucel is anticpated to be undertaken off-shore </w:t>
      </w:r>
      <w:r w:rsidR="00E25935" w:rsidRPr="00E25935">
        <w:rPr>
          <w:noProof/>
        </w:rPr>
        <w:t xml:space="preserve">in </w:t>
      </w:r>
      <w:r w:rsidR="00E25935">
        <w:rPr>
          <w:b/>
          <w:bCs/>
          <w:noProof/>
        </w:rPr>
        <w:t>REDACTED</w:t>
      </w:r>
      <w:r w:rsidRPr="00F53F68">
        <w:rPr>
          <w:noProof/>
        </w:rPr>
        <w:t>.</w:t>
      </w:r>
    </w:p>
    <w:p w14:paraId="0004E185" w14:textId="77777777" w:rsidR="00AE7431" w:rsidRPr="00072BEC" w:rsidRDefault="00AE7431" w:rsidP="00072BEC">
      <w:pPr>
        <w:ind w:left="426"/>
      </w:pPr>
    </w:p>
    <w:p w14:paraId="0706D18D"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2BA1BCFB" w14:textId="194E5834" w:rsidR="00E60529"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14972D1" w14:textId="538C2DD0" w:rsidR="00072BEC" w:rsidRDefault="00072BEC" w:rsidP="00156969">
      <w:pPr>
        <w:ind w:left="426"/>
      </w:pPr>
      <w:r>
        <w:t>The target population is p</w:t>
      </w:r>
      <w:r w:rsidRPr="005E3382">
        <w:t>atients aged 18 years or older, ha</w:t>
      </w:r>
      <w:r>
        <w:t>s</w:t>
      </w:r>
      <w:r w:rsidRPr="005E3382">
        <w:t xml:space="preserve"> Eastern Cooperative Oncology Group performance status of 0</w:t>
      </w:r>
      <w:r>
        <w:t>-</w:t>
      </w:r>
      <w:r w:rsidRPr="005E3382">
        <w:t>1, and ha</w:t>
      </w:r>
      <w:r>
        <w:t>s</w:t>
      </w:r>
      <w:r w:rsidRPr="005E3382">
        <w:t xml:space="preserve"> relapsed or refractory B-precursor acute lymphoblastic leukaemia with morphological disease in the bone marrow (&gt;5% blasts). Relapsed or refractory disease </w:t>
      </w:r>
      <w:r>
        <w:t>is</w:t>
      </w:r>
      <w:r w:rsidRPr="005E3382">
        <w:t xml:space="preserve"> defined as </w:t>
      </w:r>
      <w:r>
        <w:t>one of the following:</w:t>
      </w:r>
    </w:p>
    <w:p w14:paraId="59C69AB5" w14:textId="77777777" w:rsidR="00072BEC" w:rsidRDefault="00072BEC" w:rsidP="00156969">
      <w:pPr>
        <w:pStyle w:val="ListParagraph"/>
        <w:numPr>
          <w:ilvl w:val="0"/>
          <w:numId w:val="19"/>
        </w:numPr>
        <w:ind w:left="1276"/>
      </w:pPr>
      <w:r>
        <w:t>P</w:t>
      </w:r>
      <w:r w:rsidRPr="005E3382">
        <w:t>rimary refractory</w:t>
      </w:r>
      <w:r>
        <w:t xml:space="preserve"> disease</w:t>
      </w:r>
      <w:r w:rsidRPr="005E3382">
        <w:t xml:space="preserve"> </w:t>
      </w:r>
    </w:p>
    <w:p w14:paraId="332A0957" w14:textId="431F8DE9" w:rsidR="00072BEC" w:rsidRDefault="00072BEC" w:rsidP="00156969">
      <w:pPr>
        <w:pStyle w:val="ListParagraph"/>
        <w:numPr>
          <w:ilvl w:val="0"/>
          <w:numId w:val="19"/>
        </w:numPr>
        <w:ind w:left="1276"/>
      </w:pPr>
      <w:r>
        <w:t>F</w:t>
      </w:r>
      <w:r w:rsidRPr="005E3382">
        <w:t xml:space="preserve">irst relapse </w:t>
      </w:r>
      <w:r w:rsidR="007D3C44">
        <w:t xml:space="preserve">if </w:t>
      </w:r>
      <w:r w:rsidRPr="005E3382">
        <w:t>remission</w:t>
      </w:r>
      <w:r w:rsidR="007D3C44">
        <w:t xml:space="preserve"> was</w:t>
      </w:r>
      <w:r w:rsidRPr="005E3382">
        <w:t xml:space="preserve"> 12 months or less</w:t>
      </w:r>
    </w:p>
    <w:p w14:paraId="6EB5248C" w14:textId="0FD68922" w:rsidR="00072BEC" w:rsidRDefault="00072BEC" w:rsidP="00156969">
      <w:pPr>
        <w:pStyle w:val="ListParagraph"/>
        <w:numPr>
          <w:ilvl w:val="0"/>
          <w:numId w:val="19"/>
        </w:numPr>
        <w:ind w:left="1276"/>
      </w:pPr>
      <w:r>
        <w:t>R</w:t>
      </w:r>
      <w:r w:rsidRPr="005E3382">
        <w:t>elapsed or refractory after two</w:t>
      </w:r>
      <w:r w:rsidR="007D3C44">
        <w:t xml:space="preserve"> or more</w:t>
      </w:r>
      <w:r w:rsidRPr="005E3382">
        <w:t xml:space="preserve"> lines of systemic therapy</w:t>
      </w:r>
    </w:p>
    <w:p w14:paraId="3647F5D0" w14:textId="77777777" w:rsidR="00072BEC" w:rsidRDefault="00072BEC" w:rsidP="00156969">
      <w:pPr>
        <w:pStyle w:val="ListParagraph"/>
        <w:numPr>
          <w:ilvl w:val="0"/>
          <w:numId w:val="19"/>
        </w:numPr>
        <w:ind w:left="1276"/>
      </w:pPr>
      <w:r>
        <w:t>R</w:t>
      </w:r>
      <w:r w:rsidRPr="005E3382">
        <w:t xml:space="preserve">elapsed or refractory after </w:t>
      </w:r>
      <w:proofErr w:type="spellStart"/>
      <w:r w:rsidRPr="005E3382">
        <w:t>allo</w:t>
      </w:r>
      <w:proofErr w:type="spellEnd"/>
      <w:r w:rsidRPr="005E3382">
        <w:t xml:space="preserve">-SCT. </w:t>
      </w:r>
    </w:p>
    <w:p w14:paraId="5D2A4915" w14:textId="77777777" w:rsidR="007471D5" w:rsidRDefault="007471D5" w:rsidP="00156969">
      <w:pPr>
        <w:ind w:left="426"/>
      </w:pPr>
    </w:p>
    <w:p w14:paraId="35816F7A" w14:textId="798F5153" w:rsidR="005E2520" w:rsidRDefault="00B71535" w:rsidP="00156969">
      <w:pPr>
        <w:ind w:left="426"/>
      </w:pPr>
      <w:r>
        <w:t>T</w:t>
      </w:r>
      <w:r w:rsidRPr="00B71535">
        <w:t>he proposed comparator</w:t>
      </w:r>
      <w:r w:rsidR="005E2520">
        <w:t xml:space="preserve">s </w:t>
      </w:r>
      <w:r w:rsidR="00826E15">
        <w:t xml:space="preserve">to be investigated </w:t>
      </w:r>
      <w:r w:rsidR="005E2520">
        <w:t>are:</w:t>
      </w:r>
      <w:r w:rsidR="00CF7AE6">
        <w:t xml:space="preserve">  </w:t>
      </w:r>
    </w:p>
    <w:p w14:paraId="0A273E8B" w14:textId="4EA8EDB0" w:rsidR="00292B49" w:rsidRDefault="005E2520" w:rsidP="00156969">
      <w:pPr>
        <w:pStyle w:val="ListParagraph"/>
        <w:numPr>
          <w:ilvl w:val="0"/>
          <w:numId w:val="23"/>
        </w:numPr>
        <w:ind w:left="1276"/>
      </w:pPr>
      <w:r>
        <w:t>S</w:t>
      </w:r>
      <w:r w:rsidR="00CF7AE6">
        <w:t>alvage therapy in second and third line</w:t>
      </w:r>
      <w:r w:rsidR="00292B49">
        <w:t xml:space="preserve"> </w:t>
      </w:r>
      <w:r w:rsidR="00CF7AE6">
        <w:t xml:space="preserve">with the most relevant specific salvage therapies being </w:t>
      </w:r>
      <w:r w:rsidR="00B71535" w:rsidRPr="00B71535">
        <w:t xml:space="preserve">blinatumomab </w:t>
      </w:r>
      <w:r w:rsidR="00B71535">
        <w:t xml:space="preserve">or </w:t>
      </w:r>
      <w:proofErr w:type="spellStart"/>
      <w:r w:rsidR="00B71535">
        <w:t>i</w:t>
      </w:r>
      <w:r w:rsidR="00B71535" w:rsidRPr="00B71535">
        <w:t>notuzumab</w:t>
      </w:r>
      <w:proofErr w:type="spellEnd"/>
      <w:r w:rsidR="00B71535" w:rsidRPr="00B71535">
        <w:t xml:space="preserve"> with the intention to proceed to </w:t>
      </w:r>
      <w:proofErr w:type="spellStart"/>
      <w:r w:rsidR="0027548C">
        <w:t>a</w:t>
      </w:r>
      <w:r w:rsidR="00B71535" w:rsidRPr="00B71535">
        <w:t>llo</w:t>
      </w:r>
      <w:proofErr w:type="spellEnd"/>
      <w:r w:rsidR="00B71535" w:rsidRPr="00B71535">
        <w:t xml:space="preserve">-SCT); </w:t>
      </w:r>
      <w:r w:rsidR="00953FF1">
        <w:t xml:space="preserve">and </w:t>
      </w:r>
      <w:r>
        <w:t>t</w:t>
      </w:r>
      <w:r w:rsidR="00B71535" w:rsidRPr="00B71535">
        <w:t xml:space="preserve">he alternative comparator is conventional salvage chemotherapy with the intention to proceed to </w:t>
      </w:r>
      <w:proofErr w:type="spellStart"/>
      <w:r w:rsidR="00417914">
        <w:t>a</w:t>
      </w:r>
      <w:r w:rsidR="00B71535" w:rsidRPr="00C15040">
        <w:t>llo</w:t>
      </w:r>
      <w:proofErr w:type="spellEnd"/>
      <w:r w:rsidR="00417914">
        <w:t>-</w:t>
      </w:r>
      <w:r w:rsidR="00B71535" w:rsidRPr="00C15040">
        <w:t>SCT</w:t>
      </w:r>
      <w:r w:rsidR="00B71535" w:rsidRPr="00B71535">
        <w:t>.</w:t>
      </w:r>
      <w:r w:rsidR="00B71535">
        <w:t xml:space="preserve"> </w:t>
      </w:r>
    </w:p>
    <w:p w14:paraId="24FBCA4E" w14:textId="6B4AD583" w:rsidR="006A29F5" w:rsidRDefault="006A29F5" w:rsidP="00156969">
      <w:pPr>
        <w:pStyle w:val="ListParagraph"/>
        <w:numPr>
          <w:ilvl w:val="0"/>
          <w:numId w:val="23"/>
        </w:numPr>
        <w:ind w:left="1276"/>
      </w:pPr>
      <w:proofErr w:type="spellStart"/>
      <w:r>
        <w:t>Dasatinib</w:t>
      </w:r>
      <w:proofErr w:type="spellEnd"/>
      <w:r>
        <w:t xml:space="preserve"> in second and third line, in p</w:t>
      </w:r>
      <w:r w:rsidRPr="00032DF5">
        <w:t>atients with Ph</w:t>
      </w:r>
      <w:r w:rsidR="00F97AF1">
        <w:t>1</w:t>
      </w:r>
      <w:r w:rsidRPr="00032DF5">
        <w:t>-positive ALL</w:t>
      </w:r>
      <w:r>
        <w:t xml:space="preserve"> and </w:t>
      </w:r>
      <w:r w:rsidRPr="00032DF5">
        <w:rPr>
          <w:i/>
          <w:iCs/>
        </w:rPr>
        <w:t>BCR-ABL</w:t>
      </w:r>
      <w:r w:rsidRPr="00032DF5">
        <w:t> mutations</w:t>
      </w:r>
      <w:r>
        <w:t>.</w:t>
      </w:r>
    </w:p>
    <w:p w14:paraId="684FBCE3" w14:textId="092AB860" w:rsidR="007471D5" w:rsidRDefault="005E2520" w:rsidP="00944F58">
      <w:pPr>
        <w:pStyle w:val="ListParagraph"/>
        <w:ind w:left="1276"/>
      </w:pPr>
      <w:proofErr w:type="spellStart"/>
      <w:r>
        <w:t>T</w:t>
      </w:r>
      <w:r w:rsidRPr="00072BEC">
        <w:t>isagenlecleucel</w:t>
      </w:r>
      <w:proofErr w:type="spellEnd"/>
      <w:r w:rsidRPr="00072BEC">
        <w:t xml:space="preserve"> </w:t>
      </w:r>
      <w:r>
        <w:t xml:space="preserve">in second and third line in eligible </w:t>
      </w:r>
      <w:r w:rsidR="008652AF">
        <w:t xml:space="preserve">adult </w:t>
      </w:r>
      <w:r>
        <w:t xml:space="preserve">patients </w:t>
      </w:r>
      <w:r w:rsidR="008652AF">
        <w:t xml:space="preserve">from aged 18 years </w:t>
      </w:r>
      <w:r>
        <w:t>up to 25 years of age.</w:t>
      </w:r>
    </w:p>
    <w:p w14:paraId="640FBA4E" w14:textId="26118BA7" w:rsidR="00757232" w:rsidRPr="00292B49" w:rsidRDefault="00AF5D1E" w:rsidP="00292B49">
      <w:pPr>
        <w:pStyle w:val="Heading2"/>
      </w:pPr>
      <w:r w:rsidRPr="00292B49">
        <w:t xml:space="preserve">Does the medical service </w:t>
      </w:r>
      <w:r w:rsidR="003904AC" w:rsidRPr="00292B49">
        <w:t>(</w:t>
      </w:r>
      <w:r w:rsidRPr="00292B49">
        <w:t>that has been nominated as the comparator</w:t>
      </w:r>
      <w:r w:rsidR="003904AC" w:rsidRPr="00292B49">
        <w:t>)</w:t>
      </w:r>
      <w:r w:rsidR="000159B9" w:rsidRPr="00292B49">
        <w:t xml:space="preserve"> </w:t>
      </w:r>
      <w:r w:rsidRPr="00292B49">
        <w:t>have an existing MBS item number</w:t>
      </w:r>
      <w:r w:rsidR="00D30BDC" w:rsidRPr="00292B49">
        <w:t>(s)</w:t>
      </w:r>
      <w:r w:rsidR="00757232" w:rsidRPr="00292B49">
        <w:t>?</w:t>
      </w:r>
    </w:p>
    <w:p w14:paraId="4A6B1F79"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0AA33655" w14:textId="1D7B9AD1" w:rsidR="000159B9" w:rsidRDefault="00AC538C"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6A1038">
        <w:rPr>
          <w:szCs w:val="20"/>
        </w:rPr>
        <w:t xml:space="preserve"> No  </w:t>
      </w:r>
    </w:p>
    <w:p w14:paraId="5E7CB966" w14:textId="32C399CC" w:rsidR="00A83EC6" w:rsidRPr="00154B00" w:rsidRDefault="005C3AE7" w:rsidP="00530204">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71E16EAB"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3236B">
        <w:rPr>
          <w:szCs w:val="20"/>
        </w:rPr>
      </w:r>
      <w:r w:rsidR="0013236B">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6FDF09B2" w14:textId="5F76629E" w:rsidR="00242A01" w:rsidRDefault="00063FF4" w:rsidP="00D5564B">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3236B">
        <w:rPr>
          <w:szCs w:val="20"/>
        </w:rPr>
      </w:r>
      <w:r w:rsidR="0013236B">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1E1F5F97" w14:textId="77777777" w:rsidR="00E70D86" w:rsidRPr="00154B00" w:rsidRDefault="00095B45" w:rsidP="00D5564B">
      <w:pPr>
        <w:pStyle w:val="Heading2"/>
        <w:numPr>
          <w:ilvl w:val="0"/>
          <w:numId w:val="9"/>
        </w:numPr>
        <w:jc w:val="left"/>
      </w:pPr>
      <w:r w:rsidRPr="00095B45">
        <w:t>If yes, please outline the extent to which the current service/comparator is expected to be substituted</w:t>
      </w:r>
    </w:p>
    <w:p w14:paraId="476A08D8" w14:textId="469869D5" w:rsidR="003453EC" w:rsidRPr="00944F58" w:rsidRDefault="00AC538C" w:rsidP="00944F58">
      <w:pPr>
        <w:ind w:left="426"/>
      </w:pPr>
      <w:r>
        <w:t xml:space="preserve">The likely comparator will be </w:t>
      </w:r>
      <w:proofErr w:type="gramStart"/>
      <w:r>
        <w:t xml:space="preserve">second </w:t>
      </w:r>
      <w:r w:rsidR="00DB7096">
        <w:t>and third line</w:t>
      </w:r>
      <w:proofErr w:type="gramEnd"/>
      <w:r w:rsidR="00DB7096">
        <w:t xml:space="preserve"> </w:t>
      </w:r>
      <w:r>
        <w:t>therapy for R/R ALL.</w:t>
      </w:r>
    </w:p>
    <w:p w14:paraId="4169DB81" w14:textId="5BB239AA" w:rsidR="00DF0D47" w:rsidRPr="00881F93" w:rsidRDefault="00095B45" w:rsidP="00944F58">
      <w:pPr>
        <w:pStyle w:val="Subtitle"/>
        <w:ind w:left="0"/>
      </w:pPr>
      <w:r w:rsidRPr="00095B45">
        <w:t>PART 6c CONTINUED – INFORMATION ABOUT ALGORITHMS (CLINICAL MANAGEMENT PATHWAYS)</w:t>
      </w:r>
    </w:p>
    <w:p w14:paraId="1516C400"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05F39349" w14:textId="229A32BD" w:rsidR="00A33679" w:rsidRDefault="00A33679" w:rsidP="00D5564B">
      <w:pPr>
        <w:ind w:left="284"/>
        <w:jc w:val="left"/>
      </w:pPr>
      <w:r>
        <w:t xml:space="preserve">The treatment approach to </w:t>
      </w:r>
      <w:r w:rsidR="007E0480">
        <w:t>ac</w:t>
      </w:r>
      <w:r w:rsidR="007E0480" w:rsidRPr="002A1E7F">
        <w:t>ute lymphoblastic leuk</w:t>
      </w:r>
      <w:r w:rsidR="007E0480">
        <w:t>a</w:t>
      </w:r>
      <w:r w:rsidR="007E0480" w:rsidRPr="002A1E7F">
        <w:t xml:space="preserve">emia </w:t>
      </w:r>
      <w:r w:rsidR="007E0480">
        <w:t>(</w:t>
      </w:r>
      <w:r>
        <w:t>ALL</w:t>
      </w:r>
      <w:r w:rsidR="007E0480">
        <w:t>)</w:t>
      </w:r>
      <w:r>
        <w:t xml:space="preserve"> represents one of the most complex and intensive programs in cancer therapy. As discussed above, diagnostic work-up is crucial to determine the appropriate </w:t>
      </w:r>
      <w:r w:rsidRPr="00F15CA9">
        <w:t xml:space="preserve">initial treatment regimen as well as when to consider </w:t>
      </w:r>
      <w:proofErr w:type="spellStart"/>
      <w:r w:rsidRPr="00F15CA9">
        <w:t>allo</w:t>
      </w:r>
      <w:proofErr w:type="spellEnd"/>
      <w:r w:rsidRPr="00F15CA9">
        <w:t>-SCT.</w:t>
      </w:r>
      <w:r>
        <w:t xml:space="preserve"> Although the specific treatment regimens and selection of drugs, dose schedules, and treatment durations differ between adolescent and young adults (AYA) patients </w:t>
      </w:r>
      <w:r w:rsidR="00E57920">
        <w:t>(</w:t>
      </w:r>
      <w:r w:rsidR="000A7C4E">
        <w:t>d</w:t>
      </w:r>
      <w:r w:rsidR="00E57920">
        <w:t xml:space="preserve">efined by the National Cancer Institute as individuals aged 15-39 years old) </w:t>
      </w:r>
      <w:r w:rsidR="00230973">
        <w:t>amongst</w:t>
      </w:r>
      <w:r>
        <w:t xml:space="preserve"> different subtypes of ALL, the basic treatment principles are similar. </w:t>
      </w:r>
    </w:p>
    <w:p w14:paraId="6C65FCD5" w14:textId="77777777" w:rsidR="00A33679" w:rsidRPr="00230973" w:rsidRDefault="00A33679" w:rsidP="00D5564B">
      <w:pPr>
        <w:spacing w:after="60"/>
        <w:ind w:left="284"/>
        <w:jc w:val="left"/>
        <w:rPr>
          <w:b/>
          <w:bCs/>
          <w:u w:val="single"/>
        </w:rPr>
      </w:pPr>
      <w:r w:rsidRPr="00230973">
        <w:rPr>
          <w:b/>
          <w:bCs/>
          <w:u w:val="single"/>
        </w:rPr>
        <w:t>Front-line treatment</w:t>
      </w:r>
    </w:p>
    <w:p w14:paraId="1FA162C1" w14:textId="77777777" w:rsidR="00A33679" w:rsidRDefault="00A33679" w:rsidP="00D5564B">
      <w:pPr>
        <w:ind w:left="284"/>
        <w:jc w:val="left"/>
      </w:pPr>
      <w:r w:rsidRPr="008F6953">
        <w:rPr>
          <w:b/>
          <w:bCs/>
        </w:rPr>
        <w:t>Pre-phase:</w:t>
      </w:r>
      <w:r>
        <w:t xml:space="preserve"> </w:t>
      </w:r>
      <w:r w:rsidRPr="00F71045">
        <w:t>When the diagnosis is established, treatment should start immediately</w:t>
      </w:r>
      <w:r>
        <w:t>.</w:t>
      </w:r>
      <w:r w:rsidRPr="00F71045">
        <w:t xml:space="preserve"> A pre-phase therapy with corticosteroids (usually prednisone 20</w:t>
      </w:r>
      <w:r>
        <w:t>-</w:t>
      </w:r>
      <w:r w:rsidRPr="00F71045">
        <w:t>60 mg/day or dexamethasone 6</w:t>
      </w:r>
      <w:r>
        <w:t>-</w:t>
      </w:r>
      <w:r w:rsidRPr="00F71045">
        <w:t xml:space="preserve">16 mg/day, both </w:t>
      </w:r>
      <w:proofErr w:type="spellStart"/>
      <w:r w:rsidRPr="00F71045">
        <w:t>i.v.</w:t>
      </w:r>
      <w:proofErr w:type="spellEnd"/>
      <w:r w:rsidRPr="00F71045">
        <w:t xml:space="preserve"> or p.o.) alone, or in combination with another drug (e.g. vincristine, cyclophosphamide), is often given together with allopurinol and hydration for </w:t>
      </w:r>
      <w:r w:rsidRPr="00F71045">
        <w:rPr>
          <w:rFonts w:ascii="Cambria Math" w:hAnsi="Cambria Math" w:cs="Cambria Math"/>
        </w:rPr>
        <w:t>∼</w:t>
      </w:r>
      <w:r w:rsidRPr="00F71045">
        <w:t xml:space="preserve">5–7 days. </w:t>
      </w:r>
      <w:r>
        <w:t>T</w:t>
      </w:r>
      <w:r w:rsidRPr="00F71045">
        <w:t>he pre-phase therapy allows a safe tumour reduction, avoiding in most cases a tumour lysis syndrome (TLS)</w:t>
      </w:r>
      <w:r>
        <w:t>.</w:t>
      </w:r>
      <w:r w:rsidRPr="00F71045">
        <w:t xml:space="preserve"> </w:t>
      </w:r>
    </w:p>
    <w:p w14:paraId="3FB2E302" w14:textId="501D41C2" w:rsidR="00084B1C" w:rsidRDefault="00A33679" w:rsidP="00D5564B">
      <w:pPr>
        <w:ind w:left="284"/>
        <w:jc w:val="left"/>
      </w:pPr>
      <w:r w:rsidRPr="008F6953">
        <w:rPr>
          <w:b/>
          <w:bCs/>
        </w:rPr>
        <w:t xml:space="preserve">Induction, </w:t>
      </w:r>
      <w:proofErr w:type="gramStart"/>
      <w:r w:rsidRPr="008F6953">
        <w:rPr>
          <w:b/>
          <w:bCs/>
        </w:rPr>
        <w:t>consolidation</w:t>
      </w:r>
      <w:proofErr w:type="gramEnd"/>
      <w:r w:rsidRPr="008F6953">
        <w:rPr>
          <w:b/>
          <w:bCs/>
        </w:rPr>
        <w:t xml:space="preserve"> and maintenance:</w:t>
      </w:r>
      <w:r>
        <w:t xml:space="preserve"> This consist of induction </w:t>
      </w:r>
      <w:r w:rsidRPr="00022978">
        <w:t>chemotherapy</w:t>
      </w:r>
      <w:r>
        <w:t xml:space="preserve">, followed by </w:t>
      </w:r>
      <w:r w:rsidRPr="00022978">
        <w:t xml:space="preserve">consolidation, and long-term maintenance therapy along with </w:t>
      </w:r>
      <w:r>
        <w:t>central nervous system (</w:t>
      </w:r>
      <w:r w:rsidRPr="00022978">
        <w:t>CNS</w:t>
      </w:r>
      <w:r>
        <w:t>)</w:t>
      </w:r>
      <w:r w:rsidRPr="00022978">
        <w:t xml:space="preserve"> prophylaxis interwoven during the first year of treatment.</w:t>
      </w:r>
      <w:r w:rsidR="00084B1C">
        <w:t xml:space="preserve"> T</w:t>
      </w:r>
      <w:r w:rsidR="00084B1C" w:rsidRPr="00084B1C">
        <w:t xml:space="preserve">he purpose of this multi-drug treatment approach is to eradicate the disease and restore normal </w:t>
      </w:r>
      <w:r w:rsidR="007E0480" w:rsidRPr="00084B1C">
        <w:t>haematopoiesis</w:t>
      </w:r>
      <w:r w:rsidR="00084B1C" w:rsidRPr="00084B1C">
        <w:t xml:space="preserve">, provide prophylaxis to “sanctuary sites,” and prevent an upsurge of resistant clones that may lead to relapse. </w:t>
      </w:r>
    </w:p>
    <w:p w14:paraId="419B5421" w14:textId="411AE43E" w:rsidR="00A33679" w:rsidRDefault="00A33679" w:rsidP="00D5564B">
      <w:pPr>
        <w:ind w:left="284"/>
        <w:jc w:val="left"/>
      </w:pPr>
      <w:r>
        <w:rPr>
          <w:b/>
          <w:bCs/>
        </w:rPr>
        <w:t xml:space="preserve">Targeted agents: </w:t>
      </w:r>
      <w:r w:rsidRPr="00C15040">
        <w:t>Tyrosine Kinase inhibitors (TKIs)</w:t>
      </w:r>
      <w:r>
        <w:t xml:space="preserve"> are used in the treatment of Ph-positive disorders. Other targeted agents include an anti-CD20 monoclonal antibody (e.g. rituximab)</w:t>
      </w:r>
      <w:r w:rsidR="003F115D">
        <w:t xml:space="preserve"> for CD-20 expressing B-ALL</w:t>
      </w:r>
      <w:r>
        <w:t xml:space="preserve">. </w:t>
      </w:r>
    </w:p>
    <w:p w14:paraId="700651F6" w14:textId="11EA1A2E" w:rsidR="00A33679" w:rsidRPr="00C15040" w:rsidRDefault="00A33679" w:rsidP="00D5564B">
      <w:pPr>
        <w:ind w:left="284"/>
        <w:jc w:val="left"/>
        <w:rPr>
          <w:b/>
          <w:bCs/>
        </w:rPr>
      </w:pPr>
      <w:r>
        <w:rPr>
          <w:b/>
          <w:bCs/>
        </w:rPr>
        <w:t>A</w:t>
      </w:r>
      <w:r w:rsidRPr="00C15040">
        <w:rPr>
          <w:b/>
          <w:bCs/>
        </w:rPr>
        <w:t>llogeneic stem-cell transplant</w:t>
      </w:r>
      <w:r>
        <w:rPr>
          <w:b/>
          <w:bCs/>
        </w:rPr>
        <w:t xml:space="preserve">: </w:t>
      </w:r>
      <w:proofErr w:type="spellStart"/>
      <w:r w:rsidRPr="00C15040">
        <w:t>Allo</w:t>
      </w:r>
      <w:proofErr w:type="spellEnd"/>
      <w:r w:rsidR="0068418D">
        <w:t>-</w:t>
      </w:r>
      <w:r w:rsidRPr="00C15040">
        <w:t xml:space="preserve">SCT in </w:t>
      </w:r>
      <w:r>
        <w:t>fir</w:t>
      </w:r>
      <w:r w:rsidR="00A518C8">
        <w:t>s</w:t>
      </w:r>
      <w:r>
        <w:t>t complete remission</w:t>
      </w:r>
      <w:r w:rsidRPr="00C15040">
        <w:t xml:space="preserve"> significantly improves </w:t>
      </w:r>
      <w:r w:rsidR="00A518C8">
        <w:t>overall</w:t>
      </w:r>
      <w:r>
        <w:t xml:space="preserve"> survival (OS)</w:t>
      </w:r>
      <w:r w:rsidRPr="00C15040">
        <w:t xml:space="preserve"> and </w:t>
      </w:r>
      <w:r>
        <w:t>event free survival (</w:t>
      </w:r>
      <w:r w:rsidRPr="00C15040">
        <w:t>EFS</w:t>
      </w:r>
      <w:r>
        <w:t>)</w:t>
      </w:r>
      <w:r w:rsidRPr="00C15040">
        <w:t xml:space="preserve"> in high-risk patients/MRD+ patients and is the best post-remission option for Ph+ ALL and MLL-rearranged ALL</w:t>
      </w:r>
      <w:r>
        <w:t xml:space="preserve">. </w:t>
      </w:r>
      <w:r w:rsidR="00AC538C">
        <w:t xml:space="preserve"> </w:t>
      </w:r>
      <w:r w:rsidRPr="00C15040">
        <w:t xml:space="preserve">Conditioning regimens are age-adapted with full </w:t>
      </w:r>
      <w:proofErr w:type="spellStart"/>
      <w:r w:rsidRPr="00C15040">
        <w:t>allo</w:t>
      </w:r>
      <w:proofErr w:type="spellEnd"/>
      <w:r w:rsidRPr="00C15040">
        <w:t xml:space="preserve"> versus </w:t>
      </w:r>
      <w:r w:rsidR="007E0480">
        <w:t xml:space="preserve">reduced-intensity </w:t>
      </w:r>
      <w:r w:rsidR="00A337F3">
        <w:t>conditioning (</w:t>
      </w:r>
      <w:r w:rsidRPr="00C15040">
        <w:t>RIC</w:t>
      </w:r>
      <w:r w:rsidR="00A337F3">
        <w:t>)</w:t>
      </w:r>
      <w:r w:rsidRPr="00C15040">
        <w:t xml:space="preserve"> for elderly patients or patients unfit for full conditioning </w:t>
      </w:r>
    </w:p>
    <w:p w14:paraId="3D83457A" w14:textId="078C1BC7" w:rsidR="00A33679" w:rsidRPr="00230973" w:rsidRDefault="00A33679" w:rsidP="00D5564B">
      <w:pPr>
        <w:spacing w:after="60"/>
        <w:ind w:left="284"/>
        <w:jc w:val="left"/>
        <w:rPr>
          <w:b/>
          <w:bCs/>
          <w:u w:val="single"/>
        </w:rPr>
      </w:pPr>
      <w:r w:rsidRPr="00230973">
        <w:rPr>
          <w:b/>
          <w:bCs/>
          <w:u w:val="single"/>
        </w:rPr>
        <w:lastRenderedPageBreak/>
        <w:t>Relapsed/refractory treatment</w:t>
      </w:r>
      <w:r w:rsidR="00FD0733" w:rsidRPr="00230973">
        <w:rPr>
          <w:b/>
          <w:bCs/>
          <w:u w:val="single"/>
        </w:rPr>
        <w:t xml:space="preserve"> (second or later line) </w:t>
      </w:r>
    </w:p>
    <w:p w14:paraId="25357D89" w14:textId="6D8C419E" w:rsidR="00032DF5" w:rsidRDefault="00A33679" w:rsidP="00D5564B">
      <w:pPr>
        <w:ind w:left="284"/>
        <w:jc w:val="left"/>
      </w:pPr>
      <w:r w:rsidRPr="002E01B8">
        <w:t>Full diagnostic work-up necessary to exclude/reveal clonal aberrations, and to provide bases for targeted therapies</w:t>
      </w:r>
      <w:r>
        <w:t xml:space="preserve">. </w:t>
      </w:r>
      <w:r w:rsidRPr="002E01B8">
        <w:t>Relapsed ALL in adults is still a major clinical challenge</w:t>
      </w:r>
      <w:r>
        <w:t xml:space="preserve"> as, t</w:t>
      </w:r>
      <w:r w:rsidRPr="002E01B8">
        <w:t>here is no universally accepted treatment protocol</w:t>
      </w:r>
      <w:r>
        <w:t xml:space="preserve">. </w:t>
      </w:r>
      <w:r w:rsidR="00172065">
        <w:t xml:space="preserve">In addition, treatment options are extremely limited for patients who experience relapse after receiving consolidation with </w:t>
      </w:r>
      <w:proofErr w:type="spellStart"/>
      <w:r w:rsidR="0068418D">
        <w:t>a</w:t>
      </w:r>
      <w:r w:rsidR="00172065" w:rsidRPr="00C15040">
        <w:t>llo</w:t>
      </w:r>
      <w:proofErr w:type="spellEnd"/>
      <w:r w:rsidR="0068418D">
        <w:t>-</w:t>
      </w:r>
      <w:r w:rsidR="00172065" w:rsidRPr="00C15040">
        <w:t>SCT</w:t>
      </w:r>
      <w:r w:rsidR="00172065">
        <w:t>.</w:t>
      </w:r>
    </w:p>
    <w:p w14:paraId="695C4AB7" w14:textId="3495F35D" w:rsidR="00032DF5" w:rsidRDefault="00172065" w:rsidP="00D5564B">
      <w:pPr>
        <w:ind w:left="284"/>
        <w:jc w:val="left"/>
        <w:rPr>
          <w:b/>
          <w:bCs/>
        </w:rPr>
      </w:pPr>
      <w:r w:rsidRPr="00172065">
        <w:rPr>
          <w:b/>
          <w:bCs/>
        </w:rPr>
        <w:t xml:space="preserve">Reinduction chemotherapy followed by </w:t>
      </w:r>
      <w:proofErr w:type="spellStart"/>
      <w:r w:rsidR="00032DF5" w:rsidRPr="00032DF5">
        <w:rPr>
          <w:b/>
          <w:bCs/>
        </w:rPr>
        <w:t>A</w:t>
      </w:r>
      <w:r w:rsidRPr="00172065">
        <w:rPr>
          <w:b/>
          <w:bCs/>
        </w:rPr>
        <w:t>ll</w:t>
      </w:r>
      <w:r w:rsidR="00032DF5" w:rsidRPr="00032DF5">
        <w:rPr>
          <w:b/>
          <w:bCs/>
        </w:rPr>
        <w:t>o</w:t>
      </w:r>
      <w:proofErr w:type="spellEnd"/>
      <w:r w:rsidR="0068418D">
        <w:rPr>
          <w:b/>
          <w:bCs/>
        </w:rPr>
        <w:t>-</w:t>
      </w:r>
      <w:r w:rsidR="00032DF5" w:rsidRPr="00032DF5">
        <w:rPr>
          <w:b/>
          <w:bCs/>
        </w:rPr>
        <w:t>SCT:</w:t>
      </w:r>
      <w:r w:rsidR="00032DF5">
        <w:rPr>
          <w:b/>
          <w:bCs/>
        </w:rPr>
        <w:t xml:space="preserve"> </w:t>
      </w:r>
      <w:r w:rsidR="00A337F3">
        <w:t>P</w:t>
      </w:r>
      <w:r w:rsidRPr="00172065">
        <w:t xml:space="preserve">atients with ALL who experience a relapse following chemotherapy and maintenance therapy are unlikely to be cured by further chemotherapy alone. These patients should be considered for reinduction chemotherapy followed by </w:t>
      </w:r>
      <w:proofErr w:type="spellStart"/>
      <w:r w:rsidR="00FE33AC">
        <w:t>a</w:t>
      </w:r>
      <w:r w:rsidR="00032DF5" w:rsidRPr="00C15040">
        <w:t>lloSCT</w:t>
      </w:r>
      <w:proofErr w:type="spellEnd"/>
      <w:r w:rsidRPr="00172065">
        <w:t>.</w:t>
      </w:r>
    </w:p>
    <w:p w14:paraId="33C81CEC" w14:textId="26F05AFA" w:rsidR="004910C6" w:rsidRDefault="00172065" w:rsidP="00D5564B">
      <w:pPr>
        <w:spacing w:after="60"/>
        <w:ind w:left="284"/>
        <w:jc w:val="left"/>
      </w:pPr>
      <w:r w:rsidRPr="00172065">
        <w:rPr>
          <w:b/>
          <w:bCs/>
        </w:rPr>
        <w:t xml:space="preserve">Blinatumomab </w:t>
      </w:r>
      <w:r w:rsidR="004910C6">
        <w:rPr>
          <w:b/>
          <w:bCs/>
        </w:rPr>
        <w:t xml:space="preserve">(BLINCYTO) </w:t>
      </w:r>
      <w:r w:rsidRPr="00172065">
        <w:rPr>
          <w:b/>
          <w:bCs/>
        </w:rPr>
        <w:t xml:space="preserve">followed by </w:t>
      </w:r>
      <w:proofErr w:type="spellStart"/>
      <w:r w:rsidR="00032DF5" w:rsidRPr="00032DF5">
        <w:rPr>
          <w:b/>
          <w:bCs/>
        </w:rPr>
        <w:t>Allo</w:t>
      </w:r>
      <w:proofErr w:type="spellEnd"/>
      <w:r w:rsidR="0068418D">
        <w:rPr>
          <w:b/>
          <w:bCs/>
        </w:rPr>
        <w:t>-</w:t>
      </w:r>
      <w:r w:rsidR="00032DF5" w:rsidRPr="00032DF5">
        <w:rPr>
          <w:b/>
          <w:bCs/>
        </w:rPr>
        <w:t>SCT:</w:t>
      </w:r>
      <w:r w:rsidR="00032DF5">
        <w:rPr>
          <w:b/>
          <w:bCs/>
        </w:rPr>
        <w:t xml:space="preserve"> </w:t>
      </w:r>
      <w:r w:rsidR="00A337F3">
        <w:t>B</w:t>
      </w:r>
      <w:r w:rsidRPr="00172065">
        <w:t>linatumomab is a bispecific antibody targeting CD19 and CD3 for use in patients with relapsed or refractory B-cell ALL.</w:t>
      </w:r>
      <w:r w:rsidR="004910C6">
        <w:t xml:space="preserve">  </w:t>
      </w:r>
      <w:r w:rsidR="00826E15">
        <w:t>In</w:t>
      </w:r>
      <w:r w:rsidR="00DB7096">
        <w:t xml:space="preserve"> patients with m</w:t>
      </w:r>
      <w:r w:rsidR="004910C6" w:rsidRPr="004910C6">
        <w:t>inimal residual disease of B-ALL</w:t>
      </w:r>
      <w:r w:rsidR="004910C6">
        <w:t xml:space="preserve">, </w:t>
      </w:r>
      <w:r w:rsidR="00826E15">
        <w:t>(</w:t>
      </w:r>
      <w:proofErr w:type="spellStart"/>
      <w:r w:rsidR="00826E15">
        <w:t>ie</w:t>
      </w:r>
      <w:proofErr w:type="spellEnd"/>
      <w:r w:rsidR="00826E15">
        <w:t xml:space="preserve"> </w:t>
      </w:r>
      <w:r w:rsidR="004910C6" w:rsidRPr="004910C6">
        <w:t>Eastern Cooperative Oncology Group (ECOG) performance status of 0 or 1</w:t>
      </w:r>
      <w:r w:rsidR="00826E15">
        <w:t>)</w:t>
      </w:r>
      <w:r w:rsidR="004910C6">
        <w:t xml:space="preserve">, </w:t>
      </w:r>
      <w:r w:rsidR="00826E15">
        <w:t xml:space="preserve">who </w:t>
      </w:r>
      <w:r w:rsidR="004910C6" w:rsidRPr="004910C6">
        <w:t>have achieved complete remission following intensive combination chemotherapy for initial treatment of acute lymphoblastic leukaemia (ALL) or for subsequent salvage therapy,</w:t>
      </w:r>
      <w:r w:rsidR="004910C6">
        <w:t xml:space="preserve"> </w:t>
      </w:r>
      <w:r w:rsidR="004910C6" w:rsidRPr="004910C6">
        <w:t xml:space="preserve">minimal residual disease </w:t>
      </w:r>
      <w:r w:rsidR="00EE7335">
        <w:t xml:space="preserve">(MRD) </w:t>
      </w:r>
      <w:r w:rsidR="004910C6" w:rsidRPr="004910C6">
        <w:t xml:space="preserve">defined as </w:t>
      </w:r>
      <w:r w:rsidR="00EE7335" w:rsidRPr="004910C6">
        <w:t xml:space="preserve">polymerase chain reaction </w:t>
      </w:r>
      <w:r w:rsidR="00EE7335">
        <w:t>(</w:t>
      </w:r>
      <w:r w:rsidR="00EE7335" w:rsidRPr="00EE7335">
        <w:t>PCR</w:t>
      </w:r>
      <w:r w:rsidR="00EE7335">
        <w:t>)</w:t>
      </w:r>
      <w:r w:rsidR="00EE7335" w:rsidRPr="00EE7335">
        <w:t xml:space="preserve"> or flow cytometry </w:t>
      </w:r>
      <w:r w:rsidR="00EE7335">
        <w:t>0.01% blasts (</w:t>
      </w:r>
      <w:proofErr w:type="spellStart"/>
      <w:r w:rsidR="00EE7335">
        <w:t>ie</w:t>
      </w:r>
      <w:proofErr w:type="spellEnd"/>
      <w:r w:rsidR="00EE7335">
        <w:t xml:space="preserve"> &lt;</w:t>
      </w:r>
      <w:r w:rsidR="00EE7335" w:rsidRPr="00EE7335">
        <w:t>1 x 10-4</w:t>
      </w:r>
      <w:r w:rsidR="00230973">
        <w:t>)</w:t>
      </w:r>
      <w:r w:rsidR="00EE7335" w:rsidRPr="00EE7335">
        <w:t xml:space="preserve"> </w:t>
      </w:r>
      <w:r w:rsidR="004910C6" w:rsidRPr="004910C6">
        <w:t>based on measurement in bone marrow, documented after an interval of at least 2 weeks from the last course of systemic chemotherapy given as intensive combination chemotherapy treatment of ALL or as subsequent salvage therapy, whichever was the later</w:t>
      </w:r>
      <w:r w:rsidR="0003034F">
        <w:t>.</w:t>
      </w:r>
      <w:r w:rsidR="004910C6" w:rsidRPr="004910C6">
        <w:t xml:space="preserve"> The treatment must not be more than 2 treatment cycles under this restriction in a lifetime.</w:t>
      </w:r>
    </w:p>
    <w:p w14:paraId="11100D51" w14:textId="2FDB83C4" w:rsidR="0049560E" w:rsidRPr="004910C6" w:rsidRDefault="0049560E" w:rsidP="00D5564B">
      <w:pPr>
        <w:spacing w:before="0"/>
        <w:ind w:left="284"/>
        <w:jc w:val="left"/>
      </w:pPr>
      <w:r w:rsidRPr="004910C6">
        <w:t>PBS Items: 11850Q, 11867N</w:t>
      </w:r>
    </w:p>
    <w:p w14:paraId="5A4CD816" w14:textId="3E1C377C" w:rsidR="004910C6" w:rsidRDefault="0049560E" w:rsidP="00D5564B">
      <w:pPr>
        <w:ind w:left="284"/>
        <w:jc w:val="left"/>
      </w:pPr>
      <w:r w:rsidRPr="00172065">
        <w:rPr>
          <w:b/>
          <w:bCs/>
        </w:rPr>
        <w:t xml:space="preserve">Blinatumomab </w:t>
      </w:r>
      <w:r>
        <w:rPr>
          <w:b/>
          <w:bCs/>
        </w:rPr>
        <w:t xml:space="preserve">(BLINCYTO) </w:t>
      </w:r>
      <w:r w:rsidRPr="00172065">
        <w:rPr>
          <w:b/>
          <w:bCs/>
        </w:rPr>
        <w:t xml:space="preserve">followed by </w:t>
      </w:r>
      <w:proofErr w:type="spellStart"/>
      <w:r w:rsidRPr="00032DF5">
        <w:rPr>
          <w:b/>
          <w:bCs/>
        </w:rPr>
        <w:t>Allo</w:t>
      </w:r>
      <w:proofErr w:type="spellEnd"/>
      <w:r>
        <w:rPr>
          <w:b/>
          <w:bCs/>
        </w:rPr>
        <w:t>-</w:t>
      </w:r>
      <w:r w:rsidRPr="00032DF5">
        <w:rPr>
          <w:b/>
          <w:bCs/>
        </w:rPr>
        <w:t>SCT:</w:t>
      </w:r>
      <w:r>
        <w:rPr>
          <w:b/>
          <w:bCs/>
        </w:rPr>
        <w:t xml:space="preserve"> </w:t>
      </w:r>
      <w:r>
        <w:t>B</w:t>
      </w:r>
      <w:r w:rsidRPr="00172065">
        <w:t>linatumomab is a bispecific antibody targeting CD19 and CD3 for use in patients with relapsed or refractory B-ALL.</w:t>
      </w:r>
      <w:r>
        <w:t xml:space="preserve"> </w:t>
      </w:r>
      <w:r w:rsidR="004955BF">
        <w:t xml:space="preserve"> </w:t>
      </w:r>
      <w:r>
        <w:t>On the PBS</w:t>
      </w:r>
      <w:r w:rsidR="00DB7096">
        <w:t>, in p</w:t>
      </w:r>
      <w:r w:rsidR="004910C6">
        <w:t xml:space="preserve">atient </w:t>
      </w:r>
      <w:r w:rsidR="00DB7096">
        <w:t>with</w:t>
      </w:r>
      <w:r w:rsidR="004955BF">
        <w:t xml:space="preserve"> relapsed/refractory</w:t>
      </w:r>
      <w:r w:rsidR="004910C6">
        <w:t xml:space="preserve"> B-ALL, with an Eastern Cooperative Oncology Group (ECOG) performance status of 2 or less and </w:t>
      </w:r>
      <w:r w:rsidR="00FA4EE9">
        <w:t xml:space="preserve">disease </w:t>
      </w:r>
      <w:r w:rsidR="004910C6">
        <w:t>must not be present in the central nervous system or testis,</w:t>
      </w:r>
      <w:r w:rsidR="00FA4EE9">
        <w:t xml:space="preserve"> and pa</w:t>
      </w:r>
      <w:r w:rsidR="004910C6">
        <w:t>tient must have previously received a tyrosine kinase inhibitor (TKI) if the condition is Philadelphia chromosome positive,</w:t>
      </w:r>
      <w:r w:rsidR="00FA4EE9">
        <w:t xml:space="preserve"> and p</w:t>
      </w:r>
      <w:r w:rsidR="004910C6">
        <w:t>atient must have received intensive combination chemotherapy for initial treatment of ALL or for subsequent salvage therapy,</w:t>
      </w:r>
      <w:r w:rsidR="00FA4EE9">
        <w:t xml:space="preserve"> and p</w:t>
      </w:r>
      <w:r w:rsidR="004910C6">
        <w:t>atient must not have received more than 1 line of salvage therapy,</w:t>
      </w:r>
      <w:r w:rsidR="00FA4EE9">
        <w:t xml:space="preserve"> and </w:t>
      </w:r>
      <w:r w:rsidR="004910C6">
        <w:t xml:space="preserve">must not have received blinatumomab previously for the treatment of minimal residual disease; </w:t>
      </w:r>
      <w:r w:rsidR="00FA4EE9">
        <w:t xml:space="preserve">or </w:t>
      </w:r>
      <w:r w:rsidR="004910C6">
        <w:t>must have had a relapse-free period of at least six months following completion of treatment with blinatumomab for minimal residual disease,</w:t>
      </w:r>
      <w:r w:rsidR="00FA4EE9">
        <w:t xml:space="preserve"> and </w:t>
      </w:r>
      <w:r w:rsidR="004910C6">
        <w:t>must have more than 5% blasts in bone marrow,</w:t>
      </w:r>
      <w:r w:rsidR="00FA4EE9">
        <w:t xml:space="preserve"> and </w:t>
      </w:r>
      <w:r w:rsidR="004910C6">
        <w:t>treatment must not be more than 2 treatment cycles under this restriction in a lifetime.</w:t>
      </w:r>
    </w:p>
    <w:p w14:paraId="4307AC79" w14:textId="0E997B05" w:rsidR="002952FC" w:rsidRPr="004910C6" w:rsidRDefault="002952FC" w:rsidP="00D5564B">
      <w:pPr>
        <w:ind w:left="284"/>
        <w:jc w:val="left"/>
      </w:pPr>
      <w:r w:rsidRPr="004910C6">
        <w:t>PBS Items</w:t>
      </w:r>
      <w:r w:rsidR="004910C6" w:rsidRPr="004910C6">
        <w:t>: 11115B, 11116C, 11117D, 11118E, 11119F, 11120G</w:t>
      </w:r>
    </w:p>
    <w:p w14:paraId="7CF66DDB" w14:textId="5A65E952" w:rsidR="00032DF5" w:rsidRDefault="00172065" w:rsidP="00D5564B">
      <w:pPr>
        <w:spacing w:after="60"/>
        <w:ind w:left="284"/>
        <w:jc w:val="left"/>
      </w:pPr>
      <w:proofErr w:type="spellStart"/>
      <w:r w:rsidRPr="00032DF5">
        <w:rPr>
          <w:b/>
          <w:bCs/>
        </w:rPr>
        <w:t>Inotuzumab</w:t>
      </w:r>
      <w:proofErr w:type="spellEnd"/>
      <w:r w:rsidRPr="00032DF5">
        <w:rPr>
          <w:b/>
          <w:bCs/>
        </w:rPr>
        <w:t xml:space="preserve"> </w:t>
      </w:r>
      <w:proofErr w:type="spellStart"/>
      <w:r w:rsidRPr="00032DF5">
        <w:rPr>
          <w:b/>
          <w:bCs/>
        </w:rPr>
        <w:t>ozogamicin</w:t>
      </w:r>
      <w:proofErr w:type="spellEnd"/>
      <w:r w:rsidRPr="00032DF5">
        <w:rPr>
          <w:b/>
          <w:bCs/>
        </w:rPr>
        <w:t xml:space="preserve"> </w:t>
      </w:r>
      <w:r w:rsidR="004910C6">
        <w:rPr>
          <w:b/>
          <w:bCs/>
        </w:rPr>
        <w:t xml:space="preserve">(BESPONSA) </w:t>
      </w:r>
      <w:r w:rsidRPr="00032DF5">
        <w:rPr>
          <w:b/>
          <w:bCs/>
        </w:rPr>
        <w:t xml:space="preserve">followed by </w:t>
      </w:r>
      <w:proofErr w:type="spellStart"/>
      <w:r w:rsidR="00032DF5" w:rsidRPr="00032DF5">
        <w:rPr>
          <w:b/>
          <w:bCs/>
        </w:rPr>
        <w:t>Allo</w:t>
      </w:r>
      <w:proofErr w:type="spellEnd"/>
      <w:r w:rsidR="0068418D">
        <w:rPr>
          <w:b/>
          <w:bCs/>
        </w:rPr>
        <w:t>-</w:t>
      </w:r>
      <w:r w:rsidR="00032DF5" w:rsidRPr="00032DF5">
        <w:rPr>
          <w:b/>
          <w:bCs/>
        </w:rPr>
        <w:t>SCT:</w:t>
      </w:r>
      <w:r w:rsidR="00032DF5">
        <w:rPr>
          <w:b/>
          <w:bCs/>
        </w:rPr>
        <w:t xml:space="preserve"> </w:t>
      </w:r>
      <w:proofErr w:type="spellStart"/>
      <w:r w:rsidRPr="00032DF5">
        <w:t>Inotuzumab</w:t>
      </w:r>
      <w:proofErr w:type="spellEnd"/>
      <w:r w:rsidRPr="00032DF5">
        <w:t xml:space="preserve"> </w:t>
      </w:r>
      <w:proofErr w:type="spellStart"/>
      <w:r w:rsidRPr="00032DF5">
        <w:t>ozogamicin</w:t>
      </w:r>
      <w:proofErr w:type="spellEnd"/>
      <w:r w:rsidRPr="00032DF5">
        <w:t xml:space="preserve"> is an antibody-drug conjugate targeting CD22, which contains a conjugated toxin, calicheamicin. </w:t>
      </w:r>
      <w:proofErr w:type="spellStart"/>
      <w:r w:rsidRPr="00032DF5">
        <w:t>Inotuzumab</w:t>
      </w:r>
      <w:proofErr w:type="spellEnd"/>
      <w:r w:rsidRPr="00032DF5">
        <w:t xml:space="preserve"> </w:t>
      </w:r>
      <w:proofErr w:type="spellStart"/>
      <w:r w:rsidRPr="00032DF5">
        <w:t>ozogamicin</w:t>
      </w:r>
      <w:proofErr w:type="spellEnd"/>
      <w:r w:rsidRPr="00032DF5">
        <w:t xml:space="preserve"> is approved by for use in patients with relapsed or refractory B-ALL with CD22 expression.</w:t>
      </w:r>
      <w:r w:rsidR="004910C6">
        <w:t xml:space="preserve"> On the PBS</w:t>
      </w:r>
      <w:r w:rsidR="004910C6" w:rsidRPr="004910C6">
        <w:t xml:space="preserve"> </w:t>
      </w:r>
      <w:r w:rsidR="004910C6">
        <w:t xml:space="preserve">patient must be </w:t>
      </w:r>
      <w:r w:rsidR="004955BF">
        <w:t>relapsed/refractory</w:t>
      </w:r>
      <w:r w:rsidR="004910C6">
        <w:t xml:space="preserve"> B-ALL, with ECOG performance status of 2 or less, and must have received intensive combination chemotherapy for initial treatment of ALL or for subsequent salvage therapy and must not have received more than 1 line of salvage therapy, and must have previously received a tyrosine kinase inhibitor (TKI) if the condition is Philadelphia chromosome positive, and must be CD22-positive and must have more than 5% blasts in bone marrow and treatment must not be more than 3 treatment cycles under this restriction in a lifetime.</w:t>
      </w:r>
    </w:p>
    <w:p w14:paraId="42E2A09E" w14:textId="2B1C17C4" w:rsidR="002952FC" w:rsidRPr="004910C6" w:rsidRDefault="002952FC" w:rsidP="00D5564B">
      <w:pPr>
        <w:spacing w:before="0"/>
        <w:ind w:left="284"/>
        <w:jc w:val="left"/>
      </w:pPr>
      <w:r w:rsidRPr="004910C6">
        <w:t>PBS Items</w:t>
      </w:r>
      <w:r w:rsidR="004910C6" w:rsidRPr="004910C6">
        <w:t>: 11668D, 11673J, 11680R, 11696N</w:t>
      </w:r>
    </w:p>
    <w:p w14:paraId="681E12DD" w14:textId="575AC239" w:rsidR="00FD0733" w:rsidRDefault="00032DF5" w:rsidP="00D5564B">
      <w:pPr>
        <w:spacing w:after="60"/>
        <w:ind w:left="284"/>
        <w:jc w:val="left"/>
      </w:pPr>
      <w:proofErr w:type="spellStart"/>
      <w:r w:rsidRPr="00032DF5">
        <w:rPr>
          <w:b/>
          <w:bCs/>
        </w:rPr>
        <w:t>Dasatinib</w:t>
      </w:r>
      <w:proofErr w:type="spellEnd"/>
      <w:r w:rsidR="004910C6">
        <w:rPr>
          <w:b/>
          <w:bCs/>
        </w:rPr>
        <w:t xml:space="preserve"> (SPRYCEL)</w:t>
      </w:r>
      <w:r>
        <w:rPr>
          <w:b/>
          <w:bCs/>
        </w:rPr>
        <w:t xml:space="preserve">: </w:t>
      </w:r>
      <w:r w:rsidRPr="00032DF5">
        <w:t xml:space="preserve">Patients with Ph1-positive ALL will often be taking imatinib at the time of relapse and thus will have imatinib-resistant disease. </w:t>
      </w:r>
      <w:proofErr w:type="spellStart"/>
      <w:r w:rsidRPr="00032DF5">
        <w:t>Dasatinib</w:t>
      </w:r>
      <w:proofErr w:type="spellEnd"/>
      <w:r w:rsidRPr="00032DF5">
        <w:t>, a novel tyrosine kinase inhibitor with efficacy against several different imatinib-resistant </w:t>
      </w:r>
      <w:r w:rsidRPr="00032DF5">
        <w:rPr>
          <w:i/>
          <w:iCs/>
        </w:rPr>
        <w:t>BCR-ABL</w:t>
      </w:r>
      <w:r w:rsidRPr="00032DF5">
        <w:t> mutations, for use in Ph1-positive ALL patients who are resistant to or intolerant of imatinib.</w:t>
      </w:r>
      <w:r w:rsidR="004910C6">
        <w:t xml:space="preserve">  On the PBS, patient must be expressing the Philadelphia chromosome or must have the transcript BCR-ABL and must have failed treatment with chemotherapy and must have failed treatment with imatinib and must have failed an allogeneic </w:t>
      </w:r>
      <w:r w:rsidR="004955BF">
        <w:t>haemopoietic</w:t>
      </w:r>
      <w:r w:rsidR="004910C6">
        <w:t xml:space="preserve"> stem cell transplantation if applicable.</w:t>
      </w:r>
    </w:p>
    <w:p w14:paraId="0760FA2D" w14:textId="1FDEB330" w:rsidR="002952FC" w:rsidRPr="004910C6" w:rsidRDefault="002952FC" w:rsidP="00D5564B">
      <w:pPr>
        <w:spacing w:before="0"/>
        <w:ind w:firstLine="284"/>
        <w:jc w:val="left"/>
      </w:pPr>
      <w:r w:rsidRPr="004910C6">
        <w:t>PBS Items</w:t>
      </w:r>
      <w:r w:rsidR="004910C6">
        <w:t>: 9343R</w:t>
      </w:r>
    </w:p>
    <w:p w14:paraId="17D9978A" w14:textId="77777777" w:rsidR="00D5564B" w:rsidRDefault="00D5564B">
      <w:pPr>
        <w:spacing w:before="0" w:after="200" w:line="276" w:lineRule="auto"/>
        <w:jc w:val="left"/>
        <w:rPr>
          <w:b/>
          <w:bCs/>
        </w:rPr>
      </w:pPr>
      <w:r>
        <w:rPr>
          <w:b/>
          <w:bCs/>
        </w:rPr>
        <w:br w:type="page"/>
      </w:r>
    </w:p>
    <w:p w14:paraId="32C62316" w14:textId="77777777" w:rsidR="00D5564B" w:rsidRDefault="002952FC" w:rsidP="00D5564B">
      <w:pPr>
        <w:ind w:left="284"/>
        <w:jc w:val="left"/>
      </w:pPr>
      <w:r>
        <w:rPr>
          <w:b/>
          <w:bCs/>
        </w:rPr>
        <w:lastRenderedPageBreak/>
        <w:t xml:space="preserve">Ponatinib (ICLUSIG): </w:t>
      </w:r>
      <w:r>
        <w:t>Patient must be expressing the T315I mutation, and must have failed treatment with chemotherapy, with or without another tyrosine kinase inhibitor, and must have failed allogeneic haemopoietic stem cell transplantation (where appropriate).</w:t>
      </w:r>
    </w:p>
    <w:p w14:paraId="4DFDE301" w14:textId="747B21A1" w:rsidR="002952FC" w:rsidRPr="00A3741C" w:rsidRDefault="002952FC" w:rsidP="00D5564B">
      <w:pPr>
        <w:ind w:left="284"/>
        <w:jc w:val="left"/>
      </w:pPr>
      <w:r w:rsidRPr="00A3741C">
        <w:t>PBS Items: 10523W, 10524X</w:t>
      </w:r>
    </w:p>
    <w:p w14:paraId="0FDCCB60" w14:textId="4A29C2BE" w:rsidR="002952FC" w:rsidRDefault="002952FC" w:rsidP="00D5564B">
      <w:pPr>
        <w:ind w:left="284"/>
        <w:jc w:val="left"/>
      </w:pPr>
      <w:r>
        <w:rPr>
          <w:b/>
          <w:bCs/>
        </w:rPr>
        <w:t xml:space="preserve">Ponatinib (ICLUSIG): </w:t>
      </w:r>
      <w:r>
        <w:t xml:space="preserve">Patient must be expressing the Philadelphia chromosome; OR must have the transcript BCR-ABL, and patient must have failed prior treatment with PBS-subsidised </w:t>
      </w:r>
      <w:proofErr w:type="spellStart"/>
      <w:r>
        <w:t>dasatinib</w:t>
      </w:r>
      <w:proofErr w:type="spellEnd"/>
      <w:r>
        <w:t xml:space="preserve"> for this condition; or patient must have developed intolerance to PBS-subsidised </w:t>
      </w:r>
      <w:proofErr w:type="spellStart"/>
      <w:r>
        <w:t>dasatinib</w:t>
      </w:r>
      <w:proofErr w:type="spellEnd"/>
      <w:r>
        <w:t xml:space="preserve"> of a severity requiring treatment withdrawal.</w:t>
      </w:r>
    </w:p>
    <w:p w14:paraId="193AF49B" w14:textId="77E7683D" w:rsidR="002952FC" w:rsidRDefault="00A3741C" w:rsidP="00D5564B">
      <w:pPr>
        <w:ind w:firstLine="284"/>
        <w:jc w:val="left"/>
      </w:pPr>
      <w:r w:rsidRPr="00A3741C">
        <w:t>PBS Items: 1</w:t>
      </w:r>
      <w:r>
        <w:t>1453T</w:t>
      </w:r>
      <w:r w:rsidRPr="00A3741C">
        <w:t>, 1</w:t>
      </w:r>
      <w:r>
        <w:t>1454W</w:t>
      </w:r>
    </w:p>
    <w:p w14:paraId="237EF1C8" w14:textId="787844FA" w:rsidR="00EB552D" w:rsidRDefault="00FD0733" w:rsidP="00D5564B">
      <w:pPr>
        <w:ind w:left="284"/>
        <w:jc w:val="left"/>
      </w:pPr>
      <w:proofErr w:type="spellStart"/>
      <w:r w:rsidRPr="00FD0733">
        <w:rPr>
          <w:b/>
          <w:bCs/>
        </w:rPr>
        <w:t>Tisagenlecleucel</w:t>
      </w:r>
      <w:proofErr w:type="spellEnd"/>
      <w:r>
        <w:rPr>
          <w:b/>
          <w:bCs/>
        </w:rPr>
        <w:t xml:space="preserve"> CAR T-cell</w:t>
      </w:r>
      <w:r w:rsidRPr="00FD0733">
        <w:rPr>
          <w:b/>
          <w:bCs/>
        </w:rPr>
        <w:t>:</w:t>
      </w:r>
      <w:r w:rsidRPr="00FD0733">
        <w:t xml:space="preserve"> </w:t>
      </w:r>
      <w:proofErr w:type="spellStart"/>
      <w:r>
        <w:t>T</w:t>
      </w:r>
      <w:r w:rsidRPr="00072BEC">
        <w:t>isagenlecleucel</w:t>
      </w:r>
      <w:proofErr w:type="spellEnd"/>
      <w:r w:rsidRPr="00072BEC">
        <w:t xml:space="preserve"> </w:t>
      </w:r>
      <w:r w:rsidR="00663A89">
        <w:t>is</w:t>
      </w:r>
      <w:r>
        <w:t xml:space="preserve"> a treatment option in patients </w:t>
      </w:r>
      <w:r w:rsidR="002643FE">
        <w:t xml:space="preserve">aged 18 years </w:t>
      </w:r>
      <w:r>
        <w:t>up to 25 years of age</w:t>
      </w:r>
      <w:r w:rsidRPr="00FD0733">
        <w:t xml:space="preserve"> with confirmed relapsed/refractory B</w:t>
      </w:r>
      <w:r w:rsidR="00FE33AC">
        <w:t>-</w:t>
      </w:r>
      <w:r w:rsidRPr="00FD0733">
        <w:t>ALL</w:t>
      </w:r>
      <w:r>
        <w:t xml:space="preserve"> disease. </w:t>
      </w:r>
      <w:r w:rsidRPr="00FD0733">
        <w:t xml:space="preserve"> </w:t>
      </w:r>
    </w:p>
    <w:p w14:paraId="37A3BD24" w14:textId="4866635A" w:rsidR="00EB552D" w:rsidRPr="00FD0733" w:rsidRDefault="00EB552D" w:rsidP="00D5564B">
      <w:pPr>
        <w:ind w:left="284"/>
        <w:jc w:val="left"/>
      </w:pPr>
      <w:r>
        <w:t>Based on the t</w:t>
      </w:r>
      <w:r w:rsidRPr="00EB552D">
        <w:t xml:space="preserve">reatment strategies </w:t>
      </w:r>
      <w:r>
        <w:t xml:space="preserve">above </w:t>
      </w:r>
      <w:r w:rsidRPr="00EB552D">
        <w:t>for adult</w:t>
      </w:r>
      <w:r w:rsidR="004955BF">
        <w:t>s</w:t>
      </w:r>
      <w:r w:rsidRPr="00EB552D">
        <w:t xml:space="preserve"> </w:t>
      </w:r>
      <w:r w:rsidR="004955BF">
        <w:t>with relapsed/refractory</w:t>
      </w:r>
      <w:r w:rsidRPr="00EB552D">
        <w:t xml:space="preserve"> </w:t>
      </w:r>
      <w:r w:rsidR="004955BF">
        <w:t>B-</w:t>
      </w:r>
      <w:r w:rsidRPr="00EB552D">
        <w:t xml:space="preserve">ALL </w:t>
      </w:r>
      <w:r>
        <w:t xml:space="preserve">which </w:t>
      </w:r>
      <w:r w:rsidRPr="00EB552D">
        <w:t>vary according to Ph status and prior treatment</w:t>
      </w:r>
      <w:r>
        <w:t xml:space="preserve">, </w:t>
      </w:r>
      <w:r w:rsidRPr="00EB552D">
        <w:t>the aim of treatment is to achieve CR/</w:t>
      </w:r>
      <w:proofErr w:type="spellStart"/>
      <w:r w:rsidRPr="00EB552D">
        <w:t>CRi</w:t>
      </w:r>
      <w:proofErr w:type="spellEnd"/>
      <w:r w:rsidRPr="00EB552D">
        <w:t xml:space="preserve"> and durable response with MRD negativity, which are generally associated with improved survival</w:t>
      </w:r>
      <w:r w:rsidR="004955BF">
        <w:t xml:space="preserve">. </w:t>
      </w:r>
      <w:r w:rsidR="004955BF">
        <w:fldChar w:fldCharType="begin"/>
      </w:r>
      <w:r w:rsidR="004955BF">
        <w:instrText xml:space="preserve"> REF _Ref96172108 \h </w:instrText>
      </w:r>
      <w:r w:rsidR="00944F58">
        <w:instrText xml:space="preserve"> \* MERGEFORMAT </w:instrText>
      </w:r>
      <w:r w:rsidR="004955BF">
        <w:fldChar w:fldCharType="separate"/>
      </w:r>
      <w:r w:rsidR="004955BF">
        <w:t xml:space="preserve">Figure </w:t>
      </w:r>
      <w:r w:rsidR="004955BF">
        <w:rPr>
          <w:noProof/>
        </w:rPr>
        <w:t>3</w:t>
      </w:r>
      <w:r w:rsidR="004955BF">
        <w:fldChar w:fldCharType="end"/>
      </w:r>
      <w:r w:rsidR="004955BF">
        <w:t xml:space="preserve"> shows</w:t>
      </w:r>
      <w:r w:rsidR="00F97AF1">
        <w:t xml:space="preserve"> the</w:t>
      </w:r>
      <w:r w:rsidR="004955BF">
        <w:t xml:space="preserve"> current treatment pathway. </w:t>
      </w:r>
    </w:p>
    <w:p w14:paraId="79B940C1" w14:textId="28F5B63D" w:rsidR="00A415D7" w:rsidRDefault="00A415D7" w:rsidP="00944F58">
      <w:pPr>
        <w:ind w:left="426"/>
        <w:jc w:val="left"/>
        <w:rPr>
          <w:b/>
          <w:bCs/>
        </w:rPr>
      </w:pPr>
    </w:p>
    <w:p w14:paraId="1D8FD4E5" w14:textId="77777777" w:rsidR="002952FC" w:rsidRDefault="002952FC" w:rsidP="002952FC">
      <w:pPr>
        <w:pStyle w:val="Caption"/>
        <w:sectPr w:rsidR="002952FC" w:rsidSect="00DD308E">
          <w:pgSz w:w="11906" w:h="16838"/>
          <w:pgMar w:top="1440" w:right="1440" w:bottom="1440" w:left="1440" w:header="708" w:footer="708" w:gutter="0"/>
          <w:cols w:space="708"/>
          <w:docGrid w:linePitch="360"/>
        </w:sectPr>
      </w:pPr>
    </w:p>
    <w:p w14:paraId="47AD6101" w14:textId="5FD46287" w:rsidR="00A415D7" w:rsidRPr="00032DF5" w:rsidRDefault="00A415D7" w:rsidP="002952FC">
      <w:pPr>
        <w:pStyle w:val="Caption"/>
        <w:rPr>
          <w:bCs/>
          <w:color w:val="auto"/>
          <w:sz w:val="20"/>
          <w:szCs w:val="22"/>
        </w:rPr>
      </w:pPr>
      <w:bookmarkStart w:id="17" w:name="_Ref96172108"/>
      <w:r>
        <w:lastRenderedPageBreak/>
        <w:t xml:space="preserve">Figure </w:t>
      </w:r>
      <w:r w:rsidR="0013236B">
        <w:fldChar w:fldCharType="begin"/>
      </w:r>
      <w:r w:rsidR="0013236B">
        <w:instrText xml:space="preserve"> SEQ Figure \* ARABIC </w:instrText>
      </w:r>
      <w:r w:rsidR="0013236B">
        <w:fldChar w:fldCharType="separate"/>
      </w:r>
      <w:r w:rsidR="007847A6">
        <w:rPr>
          <w:noProof/>
        </w:rPr>
        <w:t>3</w:t>
      </w:r>
      <w:r w:rsidR="0013236B">
        <w:rPr>
          <w:noProof/>
        </w:rPr>
        <w:fldChar w:fldCharType="end"/>
      </w:r>
      <w:bookmarkEnd w:id="17"/>
      <w:r w:rsidR="002952FC">
        <w:rPr>
          <w:noProof/>
        </w:rPr>
        <w:t xml:space="preserve">: </w:t>
      </w:r>
      <w:r w:rsidR="00EB3FC2">
        <w:rPr>
          <w:noProof/>
        </w:rPr>
        <w:t>Current t</w:t>
      </w:r>
      <w:r w:rsidR="00EB552D">
        <w:rPr>
          <w:noProof/>
        </w:rPr>
        <w:t xml:space="preserve">reatment algorithm for </w:t>
      </w:r>
      <w:r w:rsidR="004955BF">
        <w:rPr>
          <w:noProof/>
        </w:rPr>
        <w:t>relapsed/refractory</w:t>
      </w:r>
      <w:r w:rsidR="00EB552D">
        <w:rPr>
          <w:noProof/>
        </w:rPr>
        <w:t xml:space="preserve"> </w:t>
      </w:r>
      <w:r w:rsidR="004955BF">
        <w:rPr>
          <w:noProof/>
        </w:rPr>
        <w:t>B-</w:t>
      </w:r>
      <w:r w:rsidR="00EB552D">
        <w:rPr>
          <w:noProof/>
        </w:rPr>
        <w:t>ALL</w:t>
      </w:r>
    </w:p>
    <w:p w14:paraId="5700C742" w14:textId="4BD5EE44" w:rsidR="002952FC" w:rsidRDefault="00EB552D" w:rsidP="003F115D">
      <w:pPr>
        <w:rPr>
          <w:bCs/>
          <w:szCs w:val="20"/>
        </w:rPr>
      </w:pPr>
      <w:r w:rsidRPr="00EB552D">
        <w:rPr>
          <w:bCs/>
          <w:noProof/>
          <w:szCs w:val="20"/>
        </w:rPr>
        <w:drawing>
          <wp:inline distT="0" distB="0" distL="0" distR="0" wp14:anchorId="69227CDE" wp14:editId="640A8D72">
            <wp:extent cx="8784404" cy="3532711"/>
            <wp:effectExtent l="0" t="0" r="4445"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pic:cNvPicPr/>
                  </pic:nvPicPr>
                  <pic:blipFill>
                    <a:blip r:embed="rId29"/>
                    <a:stretch>
                      <a:fillRect/>
                    </a:stretch>
                  </pic:blipFill>
                  <pic:spPr>
                    <a:xfrm>
                      <a:off x="0" y="0"/>
                      <a:ext cx="8817311" cy="3545945"/>
                    </a:xfrm>
                    <a:prstGeom prst="rect">
                      <a:avLst/>
                    </a:prstGeom>
                  </pic:spPr>
                </pic:pic>
              </a:graphicData>
            </a:graphic>
          </wp:inline>
        </w:drawing>
      </w:r>
    </w:p>
    <w:p w14:paraId="347D8DD6" w14:textId="5B28334C" w:rsidR="00EB552D" w:rsidRPr="00EB552D" w:rsidRDefault="00EB552D" w:rsidP="00EB552D">
      <w:pPr>
        <w:spacing w:before="0" w:after="0"/>
        <w:rPr>
          <w:bCs/>
          <w:sz w:val="16"/>
          <w:szCs w:val="16"/>
        </w:rPr>
      </w:pPr>
      <w:r w:rsidRPr="00EB552D">
        <w:rPr>
          <w:bCs/>
          <w:sz w:val="16"/>
          <w:szCs w:val="16"/>
        </w:rPr>
        <w:t xml:space="preserve">Source: </w:t>
      </w:r>
      <w:r w:rsidRPr="00EB552D">
        <w:rPr>
          <w:bCs/>
          <w:sz w:val="16"/>
          <w:szCs w:val="16"/>
          <w:lang w:val="en-GB"/>
        </w:rPr>
        <w:t xml:space="preserve">Treatment options have been based on literature review, guidelines PBS listings and </w:t>
      </w:r>
      <w:r w:rsidRPr="00EB552D">
        <w:rPr>
          <w:bCs/>
          <w:sz w:val="16"/>
          <w:szCs w:val="16"/>
        </w:rPr>
        <w:t>National Health Reform Arrangements (NHRA) funding status for Kymriah</w:t>
      </w:r>
      <w:r w:rsidRPr="00EB552D">
        <w:rPr>
          <w:bCs/>
          <w:sz w:val="16"/>
          <w:szCs w:val="16"/>
          <w:lang w:val="en-GB"/>
        </w:rPr>
        <w:t xml:space="preserve">, ***If the patient has not responded to prior treatments with at least two TKIs, and there are no alternative treatment options available </w:t>
      </w:r>
    </w:p>
    <w:p w14:paraId="7BFB98B6" w14:textId="7B4B03D7" w:rsidR="00A337F3" w:rsidRPr="00EB552D" w:rsidRDefault="00EB552D" w:rsidP="00EB552D">
      <w:pPr>
        <w:spacing w:before="0" w:after="0"/>
        <w:rPr>
          <w:bCs/>
          <w:sz w:val="16"/>
          <w:szCs w:val="16"/>
        </w:rPr>
      </w:pPr>
      <w:r w:rsidRPr="00EB552D">
        <w:rPr>
          <w:bCs/>
          <w:sz w:val="16"/>
          <w:szCs w:val="16"/>
        </w:rPr>
        <w:t xml:space="preserve">Abbreviations: </w:t>
      </w:r>
      <w:r w:rsidRPr="00EB552D">
        <w:rPr>
          <w:bCs/>
          <w:sz w:val="16"/>
          <w:szCs w:val="16"/>
          <w:lang w:val="en-GB"/>
        </w:rPr>
        <w:t xml:space="preserve">ALL: Acute lymphoblastic leukaemia; </w:t>
      </w:r>
      <w:proofErr w:type="spellStart"/>
      <w:r w:rsidRPr="00EB552D">
        <w:rPr>
          <w:bCs/>
          <w:sz w:val="16"/>
          <w:szCs w:val="16"/>
          <w:lang w:val="en-GB"/>
        </w:rPr>
        <w:t>allo</w:t>
      </w:r>
      <w:proofErr w:type="spellEnd"/>
      <w:r w:rsidRPr="00EB552D">
        <w:rPr>
          <w:bCs/>
          <w:sz w:val="16"/>
          <w:szCs w:val="16"/>
          <w:lang w:val="en-GB"/>
        </w:rPr>
        <w:t>-SCT: Allogeneic stem cell transplant; MRD+/-: Minimal residual disease positive/negative; Ph: Philadelphia chromosome; TKI: Tyrosine kinase inhibitor</w:t>
      </w:r>
    </w:p>
    <w:p w14:paraId="0AFD4E48" w14:textId="32B0E192" w:rsidR="00BB64AC" w:rsidRDefault="00BB64AC" w:rsidP="003F115D">
      <w:pPr>
        <w:rPr>
          <w:b/>
          <w:szCs w:val="20"/>
        </w:rPr>
      </w:pPr>
    </w:p>
    <w:p w14:paraId="46CA6778" w14:textId="77777777" w:rsidR="00BB64AC" w:rsidRPr="003F115D" w:rsidRDefault="00BB64AC" w:rsidP="003F115D">
      <w:pPr>
        <w:rPr>
          <w:b/>
          <w:szCs w:val="20"/>
        </w:rPr>
      </w:pPr>
    </w:p>
    <w:p w14:paraId="07CB73B8" w14:textId="77777777" w:rsidR="002952FC" w:rsidRDefault="002952FC" w:rsidP="0047363C">
      <w:pPr>
        <w:pStyle w:val="Heading2"/>
        <w:sectPr w:rsidR="002952FC" w:rsidSect="002952FC">
          <w:pgSz w:w="16817" w:h="11901" w:orient="landscape"/>
          <w:pgMar w:top="1440" w:right="1440" w:bottom="1440" w:left="1440" w:header="709" w:footer="709" w:gutter="0"/>
          <w:cols w:space="708"/>
          <w:docGrid w:linePitch="360"/>
        </w:sectPr>
      </w:pPr>
    </w:p>
    <w:p w14:paraId="1B7F45A6" w14:textId="31E70C31" w:rsidR="0047363C" w:rsidRDefault="00095B45" w:rsidP="00D5564B">
      <w:pPr>
        <w:pStyle w:val="Heading2"/>
        <w:jc w:val="left"/>
      </w:pPr>
      <w:r w:rsidRPr="00095B45">
        <w:lastRenderedPageBreak/>
        <w:t xml:space="preserve">Define and summarise the PROPOSED clinical management pathway (algorithm) that patients would follow </w:t>
      </w:r>
      <w:r w:rsidRPr="008D1A4B">
        <w:rPr>
          <w:u w:val="single"/>
        </w:rPr>
        <w:t>after</w:t>
      </w:r>
      <w:r w:rsidRPr="00095B45">
        <w:t xml:space="preserve"> the proposed service/technology is introduced, including variation in health care resources.</w:t>
      </w:r>
    </w:p>
    <w:p w14:paraId="019BA334" w14:textId="620E4B08" w:rsidR="00A337F3" w:rsidRDefault="00A4050C" w:rsidP="00D5564B">
      <w:pPr>
        <w:ind w:left="426"/>
        <w:jc w:val="left"/>
      </w:pPr>
      <w:r>
        <w:rPr>
          <w:b/>
          <w:bCs/>
        </w:rPr>
        <w:t xml:space="preserve">CAR-T cells: </w:t>
      </w:r>
      <w:r w:rsidR="00770506">
        <w:t>B</w:t>
      </w:r>
      <w:r>
        <w:t xml:space="preserve">rexucabtagene autoleucel </w:t>
      </w:r>
      <w:r w:rsidR="00770506">
        <w:t xml:space="preserve">will be available </w:t>
      </w:r>
      <w:r>
        <w:t xml:space="preserve">for </w:t>
      </w:r>
      <w:r w:rsidR="007E2BC5">
        <w:t xml:space="preserve">adult </w:t>
      </w:r>
      <w:r>
        <w:t xml:space="preserve">patients </w:t>
      </w:r>
      <w:r w:rsidR="007E2BC5">
        <w:t xml:space="preserve">(≥ 18 years of age) </w:t>
      </w:r>
      <w:r>
        <w:t>with r</w:t>
      </w:r>
      <w:r w:rsidRPr="00727401">
        <w:t>elapsed or</w:t>
      </w:r>
      <w:r>
        <w:t xml:space="preserve"> </w:t>
      </w:r>
      <w:r w:rsidRPr="00727401">
        <w:t xml:space="preserve">refractory </w:t>
      </w:r>
      <w:r w:rsidR="007E2BC5" w:rsidRPr="00746D2E">
        <w:t>B-precursor acute lymphoblastic leukaemia</w:t>
      </w:r>
      <w:r w:rsidR="007E2BC5">
        <w:t xml:space="preserve"> (B-ALL). </w:t>
      </w:r>
      <w:r w:rsidR="00A337F3" w:rsidRPr="005E3382">
        <w:t xml:space="preserve">Relapsed or refractory disease </w:t>
      </w:r>
      <w:r w:rsidR="00A337F3">
        <w:t>is</w:t>
      </w:r>
      <w:r w:rsidR="00A337F3" w:rsidRPr="005E3382">
        <w:t xml:space="preserve"> defined as </w:t>
      </w:r>
      <w:r w:rsidR="00A337F3">
        <w:t>one of the following:</w:t>
      </w:r>
    </w:p>
    <w:p w14:paraId="2F24C4FF" w14:textId="77777777" w:rsidR="00A337F3" w:rsidRDefault="00A337F3" w:rsidP="00D5564B">
      <w:pPr>
        <w:pStyle w:val="ListParagraph"/>
        <w:numPr>
          <w:ilvl w:val="0"/>
          <w:numId w:val="18"/>
        </w:numPr>
        <w:jc w:val="left"/>
      </w:pPr>
      <w:r>
        <w:t>P</w:t>
      </w:r>
      <w:r w:rsidRPr="00727401">
        <w:t>rimary refractory</w:t>
      </w:r>
      <w:r>
        <w:t xml:space="preserve"> disease</w:t>
      </w:r>
      <w:r w:rsidRPr="00727401">
        <w:t xml:space="preserve"> </w:t>
      </w:r>
    </w:p>
    <w:p w14:paraId="30A63CAF" w14:textId="62A7ADEE" w:rsidR="00A337F3" w:rsidRDefault="00A337F3" w:rsidP="00D5564B">
      <w:pPr>
        <w:pStyle w:val="ListParagraph"/>
        <w:numPr>
          <w:ilvl w:val="0"/>
          <w:numId w:val="18"/>
        </w:numPr>
        <w:jc w:val="left"/>
      </w:pPr>
      <w:r>
        <w:t>F</w:t>
      </w:r>
      <w:r w:rsidRPr="00727401">
        <w:t xml:space="preserve">irst relapse </w:t>
      </w:r>
      <w:r w:rsidR="000034E5">
        <w:t xml:space="preserve">if </w:t>
      </w:r>
      <w:r w:rsidRPr="00727401">
        <w:t xml:space="preserve">remission </w:t>
      </w:r>
      <w:r w:rsidR="000034E5">
        <w:t>was</w:t>
      </w:r>
      <w:r w:rsidRPr="00727401">
        <w:t xml:space="preserve"> 12 months or less </w:t>
      </w:r>
    </w:p>
    <w:p w14:paraId="7472DB70" w14:textId="0728312D" w:rsidR="00A337F3" w:rsidRDefault="00A337F3" w:rsidP="00D5564B">
      <w:pPr>
        <w:pStyle w:val="ListParagraph"/>
        <w:numPr>
          <w:ilvl w:val="0"/>
          <w:numId w:val="18"/>
        </w:numPr>
        <w:jc w:val="left"/>
      </w:pPr>
      <w:r>
        <w:t>R</w:t>
      </w:r>
      <w:r w:rsidRPr="00727401">
        <w:t xml:space="preserve">elapsed or refractory after two </w:t>
      </w:r>
      <w:r w:rsidR="000034E5">
        <w:t xml:space="preserve">or more </w:t>
      </w:r>
      <w:r w:rsidRPr="00727401">
        <w:t>lines of systemic therapy</w:t>
      </w:r>
    </w:p>
    <w:p w14:paraId="36DF49F3" w14:textId="2A19D9BA" w:rsidR="00A337F3" w:rsidRDefault="00A337F3" w:rsidP="00D5564B">
      <w:pPr>
        <w:pStyle w:val="ListParagraph"/>
        <w:numPr>
          <w:ilvl w:val="0"/>
          <w:numId w:val="18"/>
        </w:numPr>
        <w:jc w:val="left"/>
      </w:pPr>
      <w:r>
        <w:t>R</w:t>
      </w:r>
      <w:r w:rsidRPr="00727401">
        <w:t xml:space="preserve">elapsed or refractory after </w:t>
      </w:r>
      <w:r>
        <w:t>allogeneic stem-cell transplant</w:t>
      </w:r>
    </w:p>
    <w:p w14:paraId="165A9C0C" w14:textId="763CD7BC" w:rsidR="00A337F3" w:rsidRDefault="00A337F3" w:rsidP="00D5564B">
      <w:pPr>
        <w:ind w:left="426"/>
        <w:jc w:val="left"/>
      </w:pPr>
      <w:r>
        <w:t>Brexucabtagene autoleucel for patients with r</w:t>
      </w:r>
      <w:r w:rsidRPr="00727401">
        <w:t>elapsed or</w:t>
      </w:r>
      <w:r>
        <w:t xml:space="preserve"> </w:t>
      </w:r>
      <w:r w:rsidRPr="00727401">
        <w:t xml:space="preserve">refractory </w:t>
      </w:r>
      <w:r>
        <w:t>B-ALL will</w:t>
      </w:r>
      <w:r w:rsidR="00072BEC">
        <w:t xml:space="preserve"> represent a new treatment option, substituting salvage </w:t>
      </w:r>
      <w:r w:rsidR="00663A89">
        <w:t>therapy</w:t>
      </w:r>
      <w:r w:rsidR="00072BEC">
        <w:t xml:space="preserve"> or </w:t>
      </w:r>
      <w:proofErr w:type="spellStart"/>
      <w:r w:rsidR="00072BEC">
        <w:t>t</w:t>
      </w:r>
      <w:r w:rsidR="00072BEC" w:rsidRPr="00072BEC">
        <w:t>isagenlecleucel</w:t>
      </w:r>
      <w:proofErr w:type="spellEnd"/>
      <w:r w:rsidR="00072BEC">
        <w:t xml:space="preserve"> (</w:t>
      </w:r>
      <w:r w:rsidR="00F97AF1">
        <w:t xml:space="preserve">in </w:t>
      </w:r>
      <w:r w:rsidR="00072BEC">
        <w:t xml:space="preserve">patients </w:t>
      </w:r>
      <w:r w:rsidR="00F97AF1">
        <w:t xml:space="preserve">18 to </w:t>
      </w:r>
      <w:r w:rsidR="00663A89">
        <w:t>≤</w:t>
      </w:r>
      <w:r w:rsidR="00072BEC">
        <w:t xml:space="preserve">25 years) in the relapsed/refractory setting (second and </w:t>
      </w:r>
      <w:r w:rsidR="00E721B1">
        <w:t>third line</w:t>
      </w:r>
      <w:r w:rsidR="00072BEC">
        <w:t xml:space="preserve">) </w:t>
      </w:r>
      <w:r w:rsidR="00504AB7">
        <w:t>(</w:t>
      </w:r>
      <w:r w:rsidR="00D508E4">
        <w:fldChar w:fldCharType="begin"/>
      </w:r>
      <w:r w:rsidR="00D508E4">
        <w:instrText xml:space="preserve"> REF _Ref96165048 \h </w:instrText>
      </w:r>
      <w:r w:rsidR="00D5564B">
        <w:instrText xml:space="preserve"> \* MERGEFORMAT </w:instrText>
      </w:r>
      <w:r w:rsidR="00D508E4">
        <w:fldChar w:fldCharType="separate"/>
      </w:r>
      <w:r w:rsidR="007847A6">
        <w:t xml:space="preserve">Figure </w:t>
      </w:r>
      <w:r w:rsidR="007847A6">
        <w:rPr>
          <w:noProof/>
        </w:rPr>
        <w:t>4</w:t>
      </w:r>
      <w:r w:rsidR="00D508E4">
        <w:fldChar w:fldCharType="end"/>
      </w:r>
      <w:r w:rsidR="00D508E4">
        <w:t>).</w:t>
      </w:r>
    </w:p>
    <w:p w14:paraId="6860FBE5" w14:textId="77777777" w:rsidR="00D508E4" w:rsidRDefault="00D508E4" w:rsidP="00944F58">
      <w:pPr>
        <w:sectPr w:rsidR="00D508E4" w:rsidSect="00DD308E">
          <w:pgSz w:w="11906" w:h="16838"/>
          <w:pgMar w:top="1440" w:right="1440" w:bottom="1440" w:left="1440" w:header="708" w:footer="708" w:gutter="0"/>
          <w:cols w:space="708"/>
          <w:docGrid w:linePitch="360"/>
        </w:sectPr>
      </w:pPr>
    </w:p>
    <w:p w14:paraId="02752AB1" w14:textId="4ABDCE6C" w:rsidR="00D508E4" w:rsidRPr="00032DF5" w:rsidRDefault="00D508E4" w:rsidP="00D508E4">
      <w:pPr>
        <w:pStyle w:val="Caption"/>
        <w:rPr>
          <w:bCs/>
          <w:color w:val="auto"/>
          <w:sz w:val="20"/>
          <w:szCs w:val="22"/>
        </w:rPr>
      </w:pPr>
      <w:r>
        <w:lastRenderedPageBreak/>
        <w:t xml:space="preserve">            </w:t>
      </w:r>
      <w:bookmarkStart w:id="18" w:name="_Ref96165048"/>
      <w:r>
        <w:t xml:space="preserve">Figure </w:t>
      </w:r>
      <w:r w:rsidR="0013236B">
        <w:fldChar w:fldCharType="begin"/>
      </w:r>
      <w:r w:rsidR="0013236B">
        <w:instrText xml:space="preserve"> SEQ Figure \* ARABIC </w:instrText>
      </w:r>
      <w:r w:rsidR="0013236B">
        <w:fldChar w:fldCharType="separate"/>
      </w:r>
      <w:r w:rsidR="006E21E2">
        <w:rPr>
          <w:noProof/>
        </w:rPr>
        <w:t>3</w:t>
      </w:r>
      <w:r w:rsidR="0013236B">
        <w:rPr>
          <w:noProof/>
        </w:rPr>
        <w:fldChar w:fldCharType="end"/>
      </w:r>
      <w:bookmarkEnd w:id="18"/>
      <w:r>
        <w:rPr>
          <w:noProof/>
        </w:rPr>
        <w:t xml:space="preserve">: Proposed treatment algorithm for </w:t>
      </w:r>
      <w:r w:rsidR="004955BF">
        <w:rPr>
          <w:noProof/>
        </w:rPr>
        <w:t>relapsed/refractory B-</w:t>
      </w:r>
      <w:r>
        <w:rPr>
          <w:noProof/>
        </w:rPr>
        <w:t>ALL</w:t>
      </w:r>
    </w:p>
    <w:p w14:paraId="6D1DBF55" w14:textId="3AF9B2BF" w:rsidR="00D508E4" w:rsidRDefault="00491AAE" w:rsidP="00E721B1">
      <w:pPr>
        <w:ind w:left="426"/>
        <w:sectPr w:rsidR="00D508E4" w:rsidSect="00D508E4">
          <w:pgSz w:w="16838" w:h="11906" w:orient="landscape"/>
          <w:pgMar w:top="1440" w:right="1440" w:bottom="1440" w:left="1440" w:header="708" w:footer="708" w:gutter="0"/>
          <w:cols w:space="708"/>
          <w:docGrid w:linePitch="360"/>
        </w:sectPr>
      </w:pPr>
      <w:r w:rsidRPr="00491AAE">
        <w:rPr>
          <w:noProof/>
        </w:rPr>
        <w:drawing>
          <wp:inline distT="0" distB="0" distL="0" distR="0" wp14:anchorId="184B0D46" wp14:editId="725E99ED">
            <wp:extent cx="8522138" cy="3321221"/>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pic:nvPicPr>
                  <pic:blipFill>
                    <a:blip r:embed="rId30"/>
                    <a:stretch>
                      <a:fillRect/>
                    </a:stretch>
                  </pic:blipFill>
                  <pic:spPr>
                    <a:xfrm>
                      <a:off x="0" y="0"/>
                      <a:ext cx="8522138" cy="3321221"/>
                    </a:xfrm>
                    <a:prstGeom prst="rect">
                      <a:avLst/>
                    </a:prstGeom>
                  </pic:spPr>
                </pic:pic>
              </a:graphicData>
            </a:graphic>
          </wp:inline>
        </w:drawing>
      </w:r>
    </w:p>
    <w:p w14:paraId="678934F3" w14:textId="77777777" w:rsidR="00D508E4" w:rsidRPr="0047363C" w:rsidRDefault="00D508E4" w:rsidP="00E721B1">
      <w:pPr>
        <w:ind w:left="426"/>
      </w:pPr>
    </w:p>
    <w:p w14:paraId="7C9FB8C8" w14:textId="77777777" w:rsidR="00095B45" w:rsidRPr="00095B45" w:rsidRDefault="00095B45" w:rsidP="00944F58">
      <w:pPr>
        <w:pStyle w:val="Subtitle"/>
        <w:ind w:left="0"/>
      </w:pPr>
      <w:r w:rsidRPr="00095B45">
        <w:t>PART 6d – INFORMATION ABOUT CLINICAL OUTCOMES</w:t>
      </w:r>
    </w:p>
    <w:p w14:paraId="1680DBCD"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3CC766B" w14:textId="77777777" w:rsidR="00F0259A" w:rsidRDefault="007E2BC5" w:rsidP="00944F58">
      <w:pPr>
        <w:ind w:left="426"/>
        <w:jc w:val="left"/>
      </w:pPr>
      <w:r>
        <w:t>Brexucabtagene autoleucel is superior in terms of effectiveness in adult patients (≥ 18 years of age) with r</w:t>
      </w:r>
      <w:r w:rsidRPr="00727401">
        <w:t>elapsed or</w:t>
      </w:r>
      <w:r>
        <w:t xml:space="preserve"> </w:t>
      </w:r>
      <w:r w:rsidRPr="00727401">
        <w:t>refractory disease</w:t>
      </w:r>
      <w:r>
        <w:t xml:space="preserve"> </w:t>
      </w:r>
      <w:r w:rsidRPr="00746D2E">
        <w:t>B-precursor acute lymphoblastic leukaemia</w:t>
      </w:r>
      <w:r>
        <w:t xml:space="preserve"> (B-ALL). </w:t>
      </w:r>
    </w:p>
    <w:p w14:paraId="2EA6E30A" w14:textId="77777777" w:rsidR="003F56B8" w:rsidRDefault="00DD25D0" w:rsidP="00944F58">
      <w:pPr>
        <w:ind w:left="426"/>
        <w:jc w:val="left"/>
      </w:pPr>
      <w:r>
        <w:t xml:space="preserve">In the </w:t>
      </w:r>
      <w:r w:rsidR="0068418D">
        <w:t>pivotal</w:t>
      </w:r>
      <w:r>
        <w:t xml:space="preserve"> ZUMA-3 study, t</w:t>
      </w:r>
      <w:r w:rsidR="00F0259A" w:rsidRPr="00F0259A">
        <w:t xml:space="preserve">he primary efficacy endpoint was met: the </w:t>
      </w:r>
      <w:r>
        <w:t>overall complete remission</w:t>
      </w:r>
      <w:r w:rsidR="00FB0F45">
        <w:t xml:space="preserve"> or complete remission with incomplete haematological recovery</w:t>
      </w:r>
      <w:r>
        <w:t xml:space="preserve"> </w:t>
      </w:r>
      <w:r w:rsidR="00F0259A" w:rsidRPr="00F0259A">
        <w:t>(</w:t>
      </w:r>
      <w:proofErr w:type="spellStart"/>
      <w:r w:rsidR="00F0259A" w:rsidRPr="00F0259A">
        <w:t>CR+CRi</w:t>
      </w:r>
      <w:proofErr w:type="spellEnd"/>
      <w:r w:rsidR="00F0259A" w:rsidRPr="00F0259A">
        <w:t>) rate of 70.9% in the Phase 2 m</w:t>
      </w:r>
      <w:r w:rsidR="00FB0F45">
        <w:t xml:space="preserve">odified </w:t>
      </w:r>
      <w:r w:rsidR="00F0259A" w:rsidRPr="00F0259A">
        <w:t>ITT</w:t>
      </w:r>
      <w:r w:rsidR="00FB0F45">
        <w:t xml:space="preserve"> (</w:t>
      </w:r>
      <w:proofErr w:type="spellStart"/>
      <w:r w:rsidR="00FB0F45">
        <w:t>mITT</w:t>
      </w:r>
      <w:proofErr w:type="spellEnd"/>
      <w:r w:rsidR="00FB0F45">
        <w:t>)</w:t>
      </w:r>
      <w:r w:rsidR="00F0259A" w:rsidRPr="00F0259A">
        <w:t xml:space="preserve"> analysis set was significantly greater (p&lt; 0.0001) than the prespecified historical control rate of 40% at a 1-sided alpha level of 0.025. The </w:t>
      </w:r>
      <w:r>
        <w:t>complete remission (</w:t>
      </w:r>
      <w:r w:rsidR="00F0259A" w:rsidRPr="00F0259A">
        <w:t>CR</w:t>
      </w:r>
      <w:r>
        <w:t>)</w:t>
      </w:r>
      <w:r w:rsidR="00F0259A" w:rsidRPr="00F0259A">
        <w:t xml:space="preserve"> rate in the </w:t>
      </w:r>
      <w:proofErr w:type="spellStart"/>
      <w:r w:rsidR="00F0259A" w:rsidRPr="00F0259A">
        <w:t>mITT</w:t>
      </w:r>
      <w:proofErr w:type="spellEnd"/>
      <w:r w:rsidR="00F0259A" w:rsidRPr="00F0259A">
        <w:t xml:space="preserve"> analysis set was 56.4%. The overall MRD</w:t>
      </w:r>
      <w:r w:rsidR="00F0259A" w:rsidRPr="00F0259A">
        <w:rPr>
          <w:vertAlign w:val="superscript"/>
        </w:rPr>
        <w:t>−</w:t>
      </w:r>
      <w:r w:rsidR="00F0259A" w:rsidRPr="00F0259A">
        <w:t xml:space="preserve"> rate in the </w:t>
      </w:r>
      <w:proofErr w:type="spellStart"/>
      <w:r w:rsidR="00F0259A" w:rsidRPr="00F0259A">
        <w:t>mITT</w:t>
      </w:r>
      <w:proofErr w:type="spellEnd"/>
      <w:r w:rsidR="00F0259A" w:rsidRPr="00F0259A">
        <w:t xml:space="preserve"> analysis set was 76%, which was significantly greater (p&lt; 0.0001) than the prespecified control rate of 30%; thus, the secondary efficacy endpoint was also met. Among subjects who achieved a CR or </w:t>
      </w:r>
      <w:proofErr w:type="spellStart"/>
      <w:r w:rsidR="00F0259A" w:rsidRPr="00F0259A">
        <w:t>CRi</w:t>
      </w:r>
      <w:proofErr w:type="spellEnd"/>
      <w:r w:rsidR="00F0259A" w:rsidRPr="00F0259A">
        <w:t>, the MRD</w:t>
      </w:r>
      <w:r w:rsidR="00AC538C">
        <w:t xml:space="preserve"> negative </w:t>
      </w:r>
      <w:r w:rsidR="00F0259A" w:rsidRPr="00F0259A">
        <w:t>rate was 97%.</w:t>
      </w:r>
      <w:r w:rsidR="00CE671A">
        <w:t xml:space="preserve"> </w:t>
      </w:r>
    </w:p>
    <w:p w14:paraId="5ED7D9F8" w14:textId="0EE2C1BD" w:rsidR="00816CF4" w:rsidRDefault="00CE671A" w:rsidP="00944F58">
      <w:pPr>
        <w:ind w:left="426"/>
        <w:jc w:val="left"/>
      </w:pPr>
      <w:r w:rsidRPr="0003034F">
        <w:t xml:space="preserve">KM estimates of </w:t>
      </w:r>
      <w:r w:rsidR="003F56B8">
        <w:t>overall survival (</w:t>
      </w:r>
      <w:r w:rsidRPr="0003034F">
        <w:t>OS</w:t>
      </w:r>
      <w:r w:rsidR="003F56B8">
        <w:t>)</w:t>
      </w:r>
      <w:r w:rsidRPr="0003034F">
        <w:t xml:space="preserve"> at 12 and 18 months were 71.4% (95% CI: 57.0%, 81.7%) and 58.6% (95% CI: 41.8%, 72.1%),</w:t>
      </w:r>
      <w:r>
        <w:t xml:space="preserve"> </w:t>
      </w:r>
      <w:r w:rsidRPr="0003034F">
        <w:t>respectively. The KM median OS was 18.2 months (95% CI:</w:t>
      </w:r>
      <w:r>
        <w:t xml:space="preserve"> </w:t>
      </w:r>
      <w:r w:rsidRPr="0003034F">
        <w:t>15.9 months, NE)</w:t>
      </w:r>
      <w:r>
        <w:t xml:space="preserve">. </w:t>
      </w:r>
      <w:r w:rsidR="00816CF4" w:rsidRPr="0003034F">
        <w:t xml:space="preserve">The KM median OS was not reached (95% CI: 16.2 months, NE) for subjects with CR or </w:t>
      </w:r>
      <w:proofErr w:type="spellStart"/>
      <w:r w:rsidR="00816CF4" w:rsidRPr="0003034F">
        <w:t>CRi</w:t>
      </w:r>
      <w:proofErr w:type="spellEnd"/>
      <w:r w:rsidR="00816CF4">
        <w:t xml:space="preserve"> and for </w:t>
      </w:r>
      <w:r w:rsidR="00816CF4" w:rsidRPr="0003034F">
        <w:t>subjects who were MRD</w:t>
      </w:r>
      <w:r w:rsidR="00816CF4" w:rsidRPr="0003034F">
        <w:rPr>
          <w:vertAlign w:val="superscript"/>
        </w:rPr>
        <w:t>−</w:t>
      </w:r>
      <w:r w:rsidR="00816CF4" w:rsidRPr="0003034F">
        <w:t xml:space="preserve"> </w:t>
      </w:r>
    </w:p>
    <w:p w14:paraId="0E922824" w14:textId="296CECE2" w:rsidR="00B87234" w:rsidRPr="00F0259A" w:rsidRDefault="00252BF3" w:rsidP="00944F58">
      <w:pPr>
        <w:ind w:left="426"/>
        <w:jc w:val="left"/>
      </w:pPr>
      <w:r>
        <w:t xml:space="preserve">The safety profile was manageable. </w:t>
      </w:r>
      <w:r w:rsidR="00E721B1" w:rsidRPr="00E721B1">
        <w:t xml:space="preserve">The most common adverse events of grade 3 or higher were anaemia (27 [49%] patients) and pyrexia (20 [36%] patients). </w:t>
      </w:r>
      <w:r w:rsidR="00E721B1">
        <w:t xml:space="preserve">A total of </w:t>
      </w:r>
      <w:r w:rsidR="00E721B1" w:rsidRPr="00E721B1">
        <w:t xml:space="preserve">14 (25%) patients had infections of grade 3 or higher. Two grade 5 </w:t>
      </w:r>
      <w:r w:rsidR="00E721B1">
        <w:t>brexucabtagene</w:t>
      </w:r>
      <w:r w:rsidR="00E721B1" w:rsidRPr="00E721B1">
        <w:t xml:space="preserve">-related events occurred (brain herniation and septic shock). Cytokine release syndrome of grade 3 or higher occurred in 13 (24%) patients and neurological events of grade 3 or higher occurred in 14 (25%) patients. </w:t>
      </w:r>
    </w:p>
    <w:p w14:paraId="1F7A3985" w14:textId="77777777" w:rsidR="004E3CC7" w:rsidRDefault="0047363C" w:rsidP="00943A5E">
      <w:pPr>
        <w:pStyle w:val="Heading2"/>
      </w:pPr>
      <w:r w:rsidRPr="0047363C">
        <w:t>Please state what the overall clinical claim is</w:t>
      </w:r>
      <w:r>
        <w:t>:</w:t>
      </w:r>
    </w:p>
    <w:p w14:paraId="53D5937E" w14:textId="1AFE50C2" w:rsidR="00B87234" w:rsidRPr="0047363C" w:rsidRDefault="00491AAE" w:rsidP="00944F58">
      <w:pPr>
        <w:ind w:left="426"/>
        <w:rPr>
          <w:noProof/>
        </w:rPr>
      </w:pPr>
      <w:r>
        <w:rPr>
          <w:noProof/>
        </w:rPr>
        <w:t>Brexucabtagene autoleucel is clinically s</w:t>
      </w:r>
      <w:r w:rsidR="00A810A5">
        <w:rPr>
          <w:noProof/>
        </w:rPr>
        <w:t>uperior</w:t>
      </w:r>
      <w:r>
        <w:rPr>
          <w:noProof/>
        </w:rPr>
        <w:t xml:space="preserve"> to current standard of care in the treatment of adult patients with B-ALL in the second- and third- line settings with comparable safety profile.  </w:t>
      </w:r>
      <w:r w:rsidR="00A810A5">
        <w:rPr>
          <w:noProof/>
        </w:rPr>
        <w:t xml:space="preserve"> </w:t>
      </w:r>
    </w:p>
    <w:p w14:paraId="798672E6" w14:textId="2976615F" w:rsidR="0096066E" w:rsidRDefault="00E6222F" w:rsidP="000511B3">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r w:rsidR="00700D33">
        <w:t xml:space="preserve"> - see also </w:t>
      </w:r>
      <w:r w:rsidR="00700D33">
        <w:fldChar w:fldCharType="begin"/>
      </w:r>
      <w:r w:rsidR="00700D33">
        <w:instrText xml:space="preserve"> REF _Ref45295170 \h </w:instrText>
      </w:r>
      <w:r w:rsidR="00700D33">
        <w:fldChar w:fldCharType="separate"/>
      </w:r>
      <w:r w:rsidR="00700D33" w:rsidRPr="00E651F5">
        <w:t xml:space="preserve">Table </w:t>
      </w:r>
      <w:r w:rsidR="00700D33">
        <w:rPr>
          <w:noProof/>
        </w:rPr>
        <w:t>8</w:t>
      </w:r>
      <w:r w:rsidR="00700D33">
        <w:fldChar w:fldCharType="end"/>
      </w:r>
      <w:r w:rsidR="00700D33">
        <w:t xml:space="preserve"> – Summary of Proposed PICO Criteria</w:t>
      </w:r>
    </w:p>
    <w:p w14:paraId="186CC675" w14:textId="4B7F9C9B" w:rsidR="000511B3" w:rsidRPr="004F0CEF" w:rsidRDefault="0096066E" w:rsidP="004F0CEF">
      <w:pPr>
        <w:ind w:left="360"/>
        <w:rPr>
          <w:b/>
        </w:rPr>
      </w:pPr>
      <w:r w:rsidRPr="004F0CEF">
        <w:rPr>
          <w:b/>
        </w:rPr>
        <w:t>Clinical Effectiveness Outcomes:</w:t>
      </w:r>
    </w:p>
    <w:p w14:paraId="7351D7FC" w14:textId="11B58E35"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O</w:t>
      </w:r>
      <w:r w:rsidRPr="000511B3">
        <w:t xml:space="preserve">verall complete remission or complete remission with incomplete haematological recovery </w:t>
      </w:r>
      <w:r>
        <w:t>(</w:t>
      </w:r>
      <w:proofErr w:type="spellStart"/>
      <w:r>
        <w:t>CR+CRi</w:t>
      </w:r>
      <w:proofErr w:type="spellEnd"/>
      <w:r>
        <w:t xml:space="preserve">) per </w:t>
      </w:r>
      <w:r w:rsidR="0047322B">
        <w:t>central assessment</w:t>
      </w:r>
    </w:p>
    <w:p w14:paraId="49B57CF2" w14:textId="64A2EC0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C</w:t>
      </w:r>
      <w:r w:rsidRPr="000511B3">
        <w:t xml:space="preserve">entralised minimal residual disease negativity </w:t>
      </w:r>
      <w:r w:rsidR="00F0259A">
        <w:t>(</w:t>
      </w:r>
      <w:r w:rsidR="00F0259A" w:rsidRPr="000511B3">
        <w:t>MRD</w:t>
      </w:r>
      <w:r w:rsidR="00F0259A" w:rsidRPr="00F0259A">
        <w:rPr>
          <w:vertAlign w:val="superscript"/>
        </w:rPr>
        <w:t>−</w:t>
      </w:r>
      <w:r w:rsidR="00F0259A">
        <w:t xml:space="preserve">) </w:t>
      </w:r>
      <w:r w:rsidRPr="000511B3">
        <w:t xml:space="preserve">rate </w:t>
      </w:r>
    </w:p>
    <w:p w14:paraId="322812A9" w14:textId="65BEE57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w:t>
      </w:r>
      <w:r w:rsidRPr="000511B3">
        <w:t>nvestigator-assessed rate of overall complete remission or complete remission with incomplete haematological recovery</w:t>
      </w:r>
      <w:r>
        <w:t xml:space="preserve"> (</w:t>
      </w:r>
      <w:proofErr w:type="spellStart"/>
      <w:r>
        <w:t>CR+CRi</w:t>
      </w:r>
      <w:proofErr w:type="spellEnd"/>
      <w:r>
        <w:t>)</w:t>
      </w:r>
    </w:p>
    <w:p w14:paraId="718F40C1" w14:textId="1A666831"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D</w:t>
      </w:r>
      <w:r w:rsidRPr="000511B3">
        <w:t xml:space="preserve">uration of remission </w:t>
      </w:r>
      <w:r w:rsidR="0049490B">
        <w:t>(DOR)</w:t>
      </w:r>
    </w:p>
    <w:p w14:paraId="08E4B584" w14:textId="031237DE"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R</w:t>
      </w:r>
      <w:r w:rsidRPr="000511B3">
        <w:t xml:space="preserve">elapse-free survival with patients undergoing new anticancer therapies (including </w:t>
      </w:r>
      <w:proofErr w:type="spellStart"/>
      <w:r w:rsidRPr="000511B3">
        <w:t>allo</w:t>
      </w:r>
      <w:proofErr w:type="spellEnd"/>
      <w:r w:rsidRPr="000511B3">
        <w:t>-SCT) censored</w:t>
      </w:r>
    </w:p>
    <w:p w14:paraId="5EFEB8D8" w14:textId="7777777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O</w:t>
      </w:r>
      <w:r w:rsidRPr="000511B3">
        <w:t xml:space="preserve">verall survival; </w:t>
      </w:r>
      <w:r>
        <w:t xml:space="preserve">and </w:t>
      </w:r>
    </w:p>
    <w:p w14:paraId="14442C3E" w14:textId="03890212"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proofErr w:type="spellStart"/>
      <w:r>
        <w:t>A</w:t>
      </w:r>
      <w:r w:rsidRPr="000511B3">
        <w:t>llo</w:t>
      </w:r>
      <w:proofErr w:type="spellEnd"/>
      <w:r w:rsidRPr="000511B3">
        <w:t>-SCT rate</w:t>
      </w:r>
    </w:p>
    <w:p w14:paraId="1AC5F6DF" w14:textId="77777777" w:rsidR="00D242F1" w:rsidRPr="0096066E" w:rsidRDefault="00D242F1" w:rsidP="00D242F1">
      <w:pPr>
        <w:ind w:left="360"/>
      </w:pPr>
      <w:r>
        <w:rPr>
          <w:b/>
        </w:rPr>
        <w:t>Safety</w:t>
      </w:r>
      <w:r>
        <w:rPr>
          <w:b/>
          <w:spacing w:val="-3"/>
        </w:rPr>
        <w:t xml:space="preserve"> </w:t>
      </w:r>
      <w:r>
        <w:rPr>
          <w:b/>
        </w:rPr>
        <w:t>Outcomes:</w:t>
      </w:r>
    </w:p>
    <w:p w14:paraId="379C98BC"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Incidence</w:t>
      </w:r>
      <w:r w:rsidRPr="004F0CEF">
        <w:t xml:space="preserve"> </w:t>
      </w:r>
      <w:r>
        <w:t>of</w:t>
      </w:r>
      <w:r w:rsidRPr="004F0CEF">
        <w:t xml:space="preserve"> </w:t>
      </w:r>
      <w:r>
        <w:t>adverse</w:t>
      </w:r>
      <w:r w:rsidRPr="004F0CEF">
        <w:t xml:space="preserve"> </w:t>
      </w:r>
      <w:r>
        <w:t>events</w:t>
      </w:r>
      <w:r w:rsidRPr="004F0CEF">
        <w:t xml:space="preserve"> </w:t>
      </w:r>
      <w:r>
        <w:t>(AEs) and serious adverse events (SAEs)</w:t>
      </w:r>
    </w:p>
    <w:p w14:paraId="0D9C4854"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Incidence</w:t>
      </w:r>
      <w:r w:rsidRPr="004F0CEF">
        <w:t xml:space="preserve"> </w:t>
      </w:r>
      <w:r>
        <w:t>of</w:t>
      </w:r>
      <w:r w:rsidRPr="004F0CEF">
        <w:t xml:space="preserve"> </w:t>
      </w:r>
      <w:r>
        <w:t xml:space="preserve">AEs of special interest (cytopenia, cytokine release syndrome, </w:t>
      </w:r>
      <w:proofErr w:type="gramStart"/>
      <w:r>
        <w:t>neurotoxicity</w:t>
      </w:r>
      <w:proofErr w:type="gramEnd"/>
      <w:r>
        <w:t xml:space="preserve"> and infections) </w:t>
      </w:r>
    </w:p>
    <w:p w14:paraId="3F8F84CC"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w:t>
      </w:r>
      <w:r w:rsidRPr="004F0CEF">
        <w:t>ncidence of anti-</w:t>
      </w:r>
      <w:r>
        <w:t xml:space="preserve">brexucabtagene autoleucel </w:t>
      </w:r>
      <w:r w:rsidRPr="004F0CEF">
        <w:t>antibodies</w:t>
      </w:r>
      <w:r>
        <w:t xml:space="preserve"> </w:t>
      </w:r>
    </w:p>
    <w:p w14:paraId="6BCAF1CF" w14:textId="77777777" w:rsidR="0096066E" w:rsidRPr="0096066E" w:rsidRDefault="0096066E" w:rsidP="0096066E">
      <w:pPr>
        <w:ind w:left="360"/>
        <w:rPr>
          <w:b/>
        </w:rPr>
      </w:pPr>
      <w:r w:rsidRPr="00D52506">
        <w:rPr>
          <w:b/>
        </w:rPr>
        <w:t>Other outcomes:</w:t>
      </w:r>
    </w:p>
    <w:p w14:paraId="2DC513E2" w14:textId="0B2E8BDA" w:rsidR="00242A01" w:rsidRDefault="00D52506"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P</w:t>
      </w:r>
      <w:r w:rsidRPr="004F0CEF">
        <w:t xml:space="preserve">atient-reported outcomes measured by EQ-5D-5L and visual analogue scale (VAS) scores </w:t>
      </w:r>
    </w:p>
    <w:p w14:paraId="264DCCBE" w14:textId="0D870F19" w:rsidR="00D52506" w:rsidRPr="00D52506" w:rsidRDefault="00D52506" w:rsidP="00D52506">
      <w:pPr>
        <w:ind w:left="360"/>
        <w:rPr>
          <w:b/>
        </w:rPr>
      </w:pPr>
      <w:r>
        <w:rPr>
          <w:b/>
        </w:rPr>
        <w:t>Exploratory</w:t>
      </w:r>
      <w:r w:rsidRPr="00D52506">
        <w:rPr>
          <w:b/>
        </w:rPr>
        <w:t xml:space="preserve"> outcomes:</w:t>
      </w:r>
    </w:p>
    <w:p w14:paraId="24F4D797" w14:textId="504AF7F7" w:rsidR="00D66A77" w:rsidRPr="00D66A77" w:rsidRDefault="004F0CEF" w:rsidP="00242A01">
      <w:pPr>
        <w:pStyle w:val="ListParagraph"/>
        <w:widowControl w:val="0"/>
        <w:numPr>
          <w:ilvl w:val="1"/>
          <w:numId w:val="17"/>
        </w:numPr>
        <w:tabs>
          <w:tab w:val="left" w:pos="1074"/>
          <w:tab w:val="left" w:pos="1075"/>
        </w:tabs>
        <w:autoSpaceDE w:val="0"/>
        <w:autoSpaceDN w:val="0"/>
        <w:spacing w:before="118" w:after="0"/>
        <w:ind w:right="1192"/>
        <w:contextualSpacing w:val="0"/>
      </w:pPr>
      <w:r>
        <w:t>L</w:t>
      </w:r>
      <w:r w:rsidRPr="004F0CEF">
        <w:t>evels of CAR</w:t>
      </w:r>
      <w:r w:rsidR="0047322B">
        <w:t>-</w:t>
      </w:r>
      <w:r w:rsidRPr="004F0CEF">
        <w:t>T cells in blood and cytokines in serum</w:t>
      </w:r>
      <w:r>
        <w:t xml:space="preserve"> </w:t>
      </w:r>
      <w:r w:rsidR="003433D1" w:rsidRPr="006E21E2">
        <w:rPr>
          <w:b/>
          <w:sz w:val="32"/>
        </w:rPr>
        <w:br w:type="page"/>
      </w:r>
    </w:p>
    <w:p w14:paraId="54A20730" w14:textId="5FFF8462" w:rsidR="00C776B1" w:rsidRPr="00C776B1" w:rsidRDefault="005C3AE7" w:rsidP="00D66A77">
      <w:pPr>
        <w:widowControl w:val="0"/>
        <w:tabs>
          <w:tab w:val="left" w:pos="1074"/>
          <w:tab w:val="left" w:pos="1075"/>
        </w:tabs>
        <w:autoSpaceDE w:val="0"/>
        <w:autoSpaceDN w:val="0"/>
        <w:spacing w:before="118" w:after="0"/>
        <w:ind w:right="1192"/>
      </w:pPr>
      <w:r w:rsidRPr="00D66A77">
        <w:rPr>
          <w:bCs/>
          <w:color w:val="4F81BD" w:themeColor="accent1"/>
          <w:sz w:val="40"/>
          <w:szCs w:val="32"/>
        </w:rPr>
        <w:lastRenderedPageBreak/>
        <w:t>PART 7</w:t>
      </w:r>
      <w:r w:rsidR="00F93784" w:rsidRPr="00D66A77">
        <w:rPr>
          <w:bCs/>
          <w:color w:val="4F81BD" w:themeColor="accent1"/>
          <w:sz w:val="40"/>
          <w:szCs w:val="32"/>
        </w:rPr>
        <w:t xml:space="preserve"> – </w:t>
      </w:r>
      <w:r w:rsidR="006C74B1" w:rsidRPr="00D66A77">
        <w:rPr>
          <w:bCs/>
          <w:color w:val="4F81BD" w:themeColor="accent1"/>
          <w:sz w:val="40"/>
          <w:szCs w:val="32"/>
        </w:rPr>
        <w:t xml:space="preserve">INFORMATION ABOUT </w:t>
      </w:r>
      <w:r w:rsidR="0018630F" w:rsidRPr="00D66A77">
        <w:rPr>
          <w:bCs/>
          <w:color w:val="4F81BD" w:themeColor="accent1"/>
          <w:sz w:val="40"/>
          <w:szCs w:val="32"/>
        </w:rPr>
        <w:t xml:space="preserve">ESTIMATED </w:t>
      </w:r>
      <w:r w:rsidR="00974D50" w:rsidRPr="00D66A77">
        <w:rPr>
          <w:bCs/>
          <w:color w:val="4F81BD" w:themeColor="accent1"/>
          <w:sz w:val="40"/>
          <w:szCs w:val="32"/>
        </w:rPr>
        <w:t>UTILISATION</w:t>
      </w:r>
    </w:p>
    <w:p w14:paraId="66FA926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3B29E7D8" w14:textId="5CA8863B" w:rsidR="007B7BDD" w:rsidRPr="00826E15" w:rsidRDefault="007B7BDD" w:rsidP="00944F58">
      <w:pPr>
        <w:ind w:left="426"/>
        <w:jc w:val="left"/>
      </w:pPr>
      <w:r w:rsidRPr="00826E15">
        <w:t xml:space="preserve">The age-standardised incidence of acute lymphoblastic leukaemia (ALL) in 2021 in Australia is expected to be 1.7 per 100,000 accounting for approximately 446 people expected to be diagnosed with ALL. </w:t>
      </w:r>
      <w:r w:rsidR="00492BCA" w:rsidRPr="00826E15">
        <w:t>The median age at diagnosis for ALL is 17 years old. The disease occurs with a bimodal age distribution, with 53.5% of patients diagnosed at younger than 20 years old and 29.6% of cases diagnosed in adult patients ≥ 45 years old and 13.7% of patients diagnosed at ≥ 65 years (</w:t>
      </w:r>
      <w:r w:rsidR="008A5E06" w:rsidRPr="00826E15">
        <w:t>NCCN 2021</w:t>
      </w:r>
      <w:r w:rsidR="008A5E06" w:rsidRPr="00826E15">
        <w:fldChar w:fldCharType="begin"/>
      </w:r>
      <w:r w:rsidR="007C0AAE" w:rsidRPr="00826E15">
        <w:instrText xml:space="preserve"> ADDIN EN.CITE &lt;EndNote&gt;&lt;Cite ExcludeYear="1"&gt;&lt;Author&gt;NCCN&lt;/Author&gt;&lt;Year&gt;2021&lt;/Year&gt;&lt;RecNum&gt;7&lt;/RecNum&gt;&lt;DisplayText&gt;&lt;style face="superscript"&gt;3&lt;/style&gt;&lt;/DisplayText&gt;&lt;record&gt;&lt;rec-number&gt;7&lt;/rec-number&gt;&lt;foreign-keys&gt;&lt;key app="EN" db-id="taa2xz5tmwatawezss9vrteztavaxffdtd50" timestamp="1645682219"&gt;7&lt;/key&gt;&lt;/foreign-keys&gt;&lt;ref-type name="Journal Article"&gt;17&lt;/ref-type&gt;&lt;contributors&gt;&lt;authors&gt;&lt;author&gt;NCCN&lt;/author&gt;&lt;/authors&gt;&lt;/contributors&gt;&lt;titles&gt;&lt;title&gt;Acute Lymphoblastic Leukemia: NCCN Clinical Practice Guidelines in Oncology&lt;/title&gt;&lt;secondary-title&gt;National Comprehensive Cancer Network&lt;/secondary-title&gt;&lt;/titles&gt;&lt;periodical&gt;&lt;full-title&gt;National Comprehensive Cancer Network&lt;/full-title&gt;&lt;/periodical&gt;&lt;volume&gt;Version 4.2021&lt;/volume&gt;&lt;number&gt;January 7, 2022&lt;/number&gt;&lt;edition&gt;January 7, 2022&lt;/edition&gt;&lt;dates&gt;&lt;year&gt;2021&lt;/year&gt;&lt;/dates&gt;&lt;urls&gt;&lt;related-urls&gt;&lt;url&gt;https://www.nccn.org/professionals/physician_gls/pdf/all.pdf&lt;/url&gt;&lt;/related-urls&gt;&lt;/urls&gt;&lt;/record&gt;&lt;/Cite&gt;&lt;/EndNote&gt;</w:instrText>
      </w:r>
      <w:r w:rsidR="008A5E06" w:rsidRPr="00826E15">
        <w:fldChar w:fldCharType="separate"/>
      </w:r>
      <w:r w:rsidR="007C0AAE" w:rsidRPr="00826E15">
        <w:rPr>
          <w:noProof/>
          <w:vertAlign w:val="superscript"/>
        </w:rPr>
        <w:t>3</w:t>
      </w:r>
      <w:r w:rsidR="008A5E06" w:rsidRPr="00826E15">
        <w:fldChar w:fldCharType="end"/>
      </w:r>
      <w:r w:rsidR="00492BCA" w:rsidRPr="00826E15">
        <w:t>).</w:t>
      </w:r>
      <w:r w:rsidR="00287C14" w:rsidRPr="00826E15">
        <w:t xml:space="preserve"> </w:t>
      </w:r>
      <w:r w:rsidRPr="00826E15">
        <w:t>Precursor B-cell ALL (B-ALL) is the most common type in adults (</w:t>
      </w:r>
      <w:proofErr w:type="spellStart"/>
      <w:r w:rsidR="008B77F7" w:rsidRPr="00826E15">
        <w:t>Bassan</w:t>
      </w:r>
      <w:proofErr w:type="spellEnd"/>
      <w:r w:rsidR="008B77F7" w:rsidRPr="00826E15">
        <w:t xml:space="preserve"> et. al., 2019</w:t>
      </w:r>
      <w:r w:rsidR="008B77F7" w:rsidRPr="00826E15">
        <w:fldChar w:fldCharType="begin"/>
      </w:r>
      <w:r w:rsidR="007C0AAE" w:rsidRPr="00826E15">
        <w:instrText xml:space="preserve"> ADDIN EN.CITE &lt;EndNote&gt;&lt;Cite ExcludeYear="1"&gt;&lt;Author&gt;Bassan&lt;/Author&gt;&lt;Year&gt;2019&lt;/Year&gt;&lt;RecNum&gt;1&lt;/RecNum&gt;&lt;DisplayText&gt;&lt;style face="superscript"&gt;5&lt;/style&gt;&lt;/DisplayText&gt;&lt;record&gt;&lt;rec-number&gt;1&lt;/rec-number&gt;&lt;foreign-keys&gt;&lt;key app="EN" db-id="taa2xz5tmwatawezss9vrteztavaxffdtd50" timestamp="1645680983"&gt;1&lt;/key&gt;&lt;/foreign-keys&gt;&lt;ref-type name="Journal Article"&gt;17&lt;/ref-type&gt;&lt;contributors&gt;&lt;authors&gt;&lt;author&gt;Bassan, R.&lt;/author&gt;&lt;author&gt;Bruggemann, M.&lt;/author&gt;&lt;author&gt;Radcliffe, H. S.&lt;/author&gt;&lt;author&gt;Hartfield, E.&lt;/author&gt;&lt;author&gt;Kreuzbauer, G.&lt;/author&gt;&lt;author&gt;Wetten, S.&lt;/author&gt;&lt;/authors&gt;&lt;/contributors&gt;&lt;auth-address&gt;Complex Operative Unit of Haematology, dell&amp;apos;Angelo Hospital and Santissimi Giovanni and Paolo Hospital, Mestre and Venice, Italy renato.bassan@aulss3.veneto.it.&amp;#xD;Department of Medicine II, Schleswig-Holstein University Hospital, Kiel, Germany.&amp;#xD;Amgen Ltd, Uxbridge, UK.&amp;#xD;Oxford PharmaGenesis, Oxford, UK and.&amp;#xD;Amgen (Europe) GmbH, Zug, Switzerland.&lt;/auth-address&gt;&lt;titles&gt;&lt;title&gt;A systematic literature review and meta-analysis of minimal residual disease as a prognostic indicator in adult B-cell acute lymphoblastic leukemia&lt;/title&gt;&lt;secondary-title&gt;Haematologica&lt;/secondary-title&gt;&lt;/titles&gt;&lt;pages&gt;2028-2039&lt;/pages&gt;&lt;volume&gt;104&lt;/volume&gt;&lt;number&gt;10&lt;/number&gt;&lt;edition&gt;20190319&lt;/edition&gt;&lt;keywords&gt;&lt;keyword&gt;Adult&lt;/keyword&gt;&lt;keyword&gt;Humans&lt;/keyword&gt;&lt;keyword&gt;Neoplasm, Residual&lt;/keyword&gt;&lt;keyword&gt;Precursor B-Cell Lymphoblastic Leukemia-Lymphoma/*blood/*diagnosis/*therapy&lt;/keyword&gt;&lt;keyword&gt;Prognosis&lt;/keyword&gt;&lt;keyword&gt;Remission Induction&lt;/keyword&gt;&lt;/keywords&gt;&lt;dates&gt;&lt;year&gt;2019&lt;/year&gt;&lt;pub-dates&gt;&lt;date&gt;Oct&lt;/date&gt;&lt;/pub-dates&gt;&lt;/dates&gt;&lt;isbn&gt;1592-8721 (Electronic)&amp;#xD;0390-6078 (Linking)&lt;/isbn&gt;&lt;accession-num&gt;30890593&lt;/accession-num&gt;&lt;urls&gt;&lt;related-urls&gt;&lt;url&gt;https://www.ncbi.nlm.nih.gov/pubmed/30890593&lt;/url&gt;&lt;/related-urls&gt;&lt;/urls&gt;&lt;custom2&gt;PMC6886415&lt;/custom2&gt;&lt;electronic-resource-num&gt;10.3324/haematol.2018.201053&lt;/electronic-resource-num&gt;&lt;/record&gt;&lt;/Cite&gt;&lt;/EndNote&gt;</w:instrText>
      </w:r>
      <w:r w:rsidR="008B77F7" w:rsidRPr="00826E15">
        <w:fldChar w:fldCharType="separate"/>
      </w:r>
      <w:r w:rsidR="007C0AAE" w:rsidRPr="00826E15">
        <w:rPr>
          <w:noProof/>
          <w:vertAlign w:val="superscript"/>
        </w:rPr>
        <w:t>5</w:t>
      </w:r>
      <w:r w:rsidR="008B77F7" w:rsidRPr="00826E15">
        <w:fldChar w:fldCharType="end"/>
      </w:r>
      <w:r w:rsidRPr="00826E15">
        <w:t>) affecting 75%-80% of cases (</w:t>
      </w:r>
      <w:proofErr w:type="spellStart"/>
      <w:r w:rsidR="008B77F7" w:rsidRPr="00826E15">
        <w:t>Terwiliger</w:t>
      </w:r>
      <w:proofErr w:type="spellEnd"/>
      <w:r w:rsidR="008B77F7" w:rsidRPr="00826E15">
        <w:t xml:space="preserve"> et. al., 2017</w:t>
      </w:r>
      <w:r w:rsidR="008B77F7" w:rsidRPr="00826E15">
        <w:fldChar w:fldCharType="begin"/>
      </w:r>
      <w:r w:rsidR="007C0AAE" w:rsidRPr="00826E15">
        <w:instrText xml:space="preserve"> ADDIN EN.CITE &lt;EndNote&gt;&lt;Cite ExcludeYear="1"&gt;&lt;Author&gt;Terwilliger&lt;/Author&gt;&lt;Year&gt;2017&lt;/Year&gt;&lt;RecNum&gt;2&lt;/RecNum&gt;&lt;DisplayText&gt;&lt;style face="superscript"&gt;4&lt;/style&gt;&lt;/DisplayText&gt;&lt;record&gt;&lt;rec-number&gt;2&lt;/rec-number&gt;&lt;foreign-keys&gt;&lt;key app="EN" db-id="taa2xz5tmwatawezss9vrteztavaxffdtd50" timestamp="1645681179"&gt;2&lt;/key&gt;&lt;/foreign-keys&gt;&lt;ref-type name="Journal Article"&gt;17&lt;/ref-type&gt;&lt;contributors&gt;&lt;authors&gt;&lt;author&gt;Terwilliger, T.&lt;/author&gt;&lt;author&gt;Abdul-Hay, M.&lt;/author&gt;&lt;/authors&gt;&lt;/contributors&gt;&lt;auth-address&gt;New York University School of Medicine, New York, USA.&amp;#xD;Department of Hematology, New York University Perlmutter Cancer Center, New York, USA.&lt;/auth-address&gt;&lt;titles&gt;&lt;title&gt;Acute lymphoblastic leukemia: a comprehensive review and 2017 update&lt;/title&gt;&lt;secondary-title&gt;Blood Cancer J&lt;/secondary-title&gt;&lt;/titles&gt;&lt;pages&gt;e577&lt;/pages&gt;&lt;volume&gt;7&lt;/volume&gt;&lt;number&gt;6&lt;/number&gt;&lt;edition&gt;20170630&lt;/edition&gt;&lt;keywords&gt;&lt;keyword&gt;Female&lt;/keyword&gt;&lt;keyword&gt;History, 21st Century&lt;/keyword&gt;&lt;keyword&gt;Humans&lt;/keyword&gt;&lt;keyword&gt;Male&lt;/keyword&gt;&lt;keyword&gt;*Precursor Cell Lymphoblastic Leukemia-Lymphoma&lt;/keyword&gt;&lt;/keywords&gt;&lt;dates&gt;&lt;year&gt;2017&lt;/year&gt;&lt;pub-dates&gt;&lt;date&gt;Jun 30&lt;/date&gt;&lt;/pub-dates&gt;&lt;/dates&gt;&lt;isbn&gt;2044-5385 (Electronic)&amp;#xD;2044-5385 (Linking)&lt;/isbn&gt;&lt;accession-num&gt;28665419&lt;/accession-num&gt;&lt;urls&gt;&lt;related-urls&gt;&lt;url&gt;https://www.ncbi.nlm.nih.gov/pubmed/28665419&lt;/url&gt;&lt;/related-urls&gt;&lt;/urls&gt;&lt;custom2&gt;PMC5520400&lt;/custom2&gt;&lt;electronic-resource-num&gt;10.1038/bcj.2017.53&lt;/electronic-resource-num&gt;&lt;/record&gt;&lt;/Cite&gt;&lt;/EndNote&gt;</w:instrText>
      </w:r>
      <w:r w:rsidR="008B77F7" w:rsidRPr="00826E15">
        <w:fldChar w:fldCharType="separate"/>
      </w:r>
      <w:r w:rsidR="007C0AAE" w:rsidRPr="00826E15">
        <w:rPr>
          <w:noProof/>
          <w:vertAlign w:val="superscript"/>
        </w:rPr>
        <w:t>4</w:t>
      </w:r>
      <w:r w:rsidR="008B77F7" w:rsidRPr="00826E15">
        <w:fldChar w:fldCharType="end"/>
      </w:r>
      <w:r w:rsidRPr="00826E15">
        <w:t>; Leukaemia Foundation 2020</w:t>
      </w:r>
      <w:r w:rsidR="007C0AAE" w:rsidRPr="00826E15">
        <w:fldChar w:fldCharType="begin"/>
      </w:r>
      <w:r w:rsidR="007C0AAE" w:rsidRPr="00826E15">
        <w:instrText xml:space="preserve"> ADDIN EN.CITE &lt;EndNote&gt;&lt;Cite ExcludeYear="1"&gt;&lt;Author&gt;Leukaemia Foundation&lt;/Author&gt;&lt;Year&gt;2020&lt;/Year&gt;&lt;RecNum&gt;8&lt;/RecNum&gt;&lt;DisplayText&gt;&lt;style face="superscript"&gt;6&lt;/style&gt;&lt;/DisplayText&gt;&lt;record&gt;&lt;rec-number&gt;8&lt;/rec-number&gt;&lt;foreign-keys&gt;&lt;key app="EN" db-id="taa2xz5tmwatawezss9vrteztavaxffdtd50" timestamp="1646778966"&gt;8&lt;/key&gt;&lt;/foreign-keys&gt;&lt;ref-type name="Web Page"&gt;12&lt;/ref-type&gt;&lt;contributors&gt;&lt;authors&gt;&lt;author&gt;Leukaemia Foundation,&lt;/author&gt;&lt;/authors&gt;&lt;/contributors&gt;&lt;titles&gt;&lt;title&gt;Acute Lymphoblastic Leukaemia&lt;/title&gt;&lt;/titles&gt;&lt;dates&gt;&lt;year&gt;2020&lt;/year&gt;&lt;/dates&gt;&lt;urls&gt;&lt;related-urls&gt;&lt;url&gt;https://www.leukaemia.org.au/blood-cancer-information/types-of-blood-cancer/leukaemia/acute-lymphoblastic-leukaemia/&lt;/url&gt;&lt;/related-urls&gt;&lt;/urls&gt;&lt;/record&gt;&lt;/Cite&gt;&lt;/EndNote&gt;</w:instrText>
      </w:r>
      <w:r w:rsidR="007C0AAE" w:rsidRPr="00826E15">
        <w:fldChar w:fldCharType="separate"/>
      </w:r>
      <w:r w:rsidR="007C0AAE" w:rsidRPr="00826E15">
        <w:rPr>
          <w:noProof/>
          <w:vertAlign w:val="superscript"/>
        </w:rPr>
        <w:t>6</w:t>
      </w:r>
      <w:r w:rsidR="007C0AAE" w:rsidRPr="00826E15">
        <w:fldChar w:fldCharType="end"/>
      </w:r>
      <w:r w:rsidRPr="00826E15">
        <w:t>).</w:t>
      </w:r>
    </w:p>
    <w:p w14:paraId="518DB11E" w14:textId="7B2F91AB" w:rsidR="00844544" w:rsidRDefault="00844544" w:rsidP="00944F58">
      <w:pPr>
        <w:ind w:left="426"/>
        <w:jc w:val="left"/>
      </w:pPr>
      <w:r w:rsidRPr="00826E15">
        <w:t>Age specific rate</w:t>
      </w:r>
      <w:r w:rsidR="00615721" w:rsidRPr="00826E15">
        <w:t>s</w:t>
      </w:r>
      <w:r w:rsidRPr="00826E15">
        <w:t xml:space="preserve"> </w:t>
      </w:r>
      <w:r w:rsidR="0064588C" w:rsidRPr="00826E15">
        <w:t>from the Australian Institute of Health and Welfare (AIHW)</w:t>
      </w:r>
      <w:r w:rsidR="00AC538C" w:rsidRPr="00826E15">
        <w:rPr>
          <w:rStyle w:val="FootnoteReference"/>
        </w:rPr>
        <w:footnoteReference w:id="6"/>
      </w:r>
      <w:r w:rsidR="0064588C" w:rsidRPr="00826E15">
        <w:t xml:space="preserve"> </w:t>
      </w:r>
      <w:r w:rsidRPr="00826E15">
        <w:t xml:space="preserve">were used to estimate the </w:t>
      </w:r>
      <w:r w:rsidR="0064588C" w:rsidRPr="00826E15">
        <w:t xml:space="preserve">incidence </w:t>
      </w:r>
      <w:r w:rsidRPr="00826E15">
        <w:t xml:space="preserve">number of </w:t>
      </w:r>
      <w:proofErr w:type="gramStart"/>
      <w:r w:rsidR="00DD25D0" w:rsidRPr="00826E15">
        <w:t>adult</w:t>
      </w:r>
      <w:proofErr w:type="gramEnd"/>
      <w:r w:rsidR="00DD25D0" w:rsidRPr="00826E15">
        <w:t xml:space="preserve"> </w:t>
      </w:r>
      <w:r w:rsidR="0064588C" w:rsidRPr="00826E15">
        <w:t xml:space="preserve">ALL </w:t>
      </w:r>
      <w:r w:rsidRPr="00826E15">
        <w:t>patients</w:t>
      </w:r>
      <w:r w:rsidR="00DD25D0" w:rsidRPr="00826E15">
        <w:t xml:space="preserve"> (≥ 18 years of age)</w:t>
      </w:r>
      <w:r w:rsidR="0064588C" w:rsidRPr="00826E15">
        <w:t xml:space="preserve">. </w:t>
      </w:r>
      <w:r w:rsidR="003F56B8" w:rsidRPr="00826E15">
        <w:t xml:space="preserve">Linear regression was used to estimate the annual increase from Year 1 to Year 6. </w:t>
      </w:r>
      <w:r w:rsidR="0064588C" w:rsidRPr="00826E15">
        <w:t xml:space="preserve">Estimating the number of patients eligible for each year is summarised </w:t>
      </w:r>
      <w:r w:rsidR="00F12C20" w:rsidRPr="00826E15">
        <w:t xml:space="preserve">below </w:t>
      </w:r>
      <w:r w:rsidR="0064588C" w:rsidRPr="00826E15">
        <w:t>in the following steps:</w:t>
      </w:r>
    </w:p>
    <w:p w14:paraId="2E86B689" w14:textId="69161869" w:rsidR="0064588C" w:rsidRPr="00D448AB" w:rsidRDefault="0064588C" w:rsidP="00944F58">
      <w:pPr>
        <w:pStyle w:val="ListParagraph"/>
        <w:numPr>
          <w:ilvl w:val="0"/>
          <w:numId w:val="21"/>
        </w:numPr>
        <w:jc w:val="left"/>
        <w:rPr>
          <w:u w:val="single"/>
        </w:rPr>
      </w:pPr>
      <w:r w:rsidRPr="00D448AB">
        <w:rPr>
          <w:u w:val="single"/>
        </w:rPr>
        <w:t xml:space="preserve">Annual incidence of </w:t>
      </w:r>
      <w:r w:rsidR="00DD25D0">
        <w:rPr>
          <w:u w:val="single"/>
        </w:rPr>
        <w:t xml:space="preserve">adult </w:t>
      </w:r>
      <w:r w:rsidRPr="00DD25D0">
        <w:rPr>
          <w:u w:val="single"/>
        </w:rPr>
        <w:t xml:space="preserve">ALL </w:t>
      </w:r>
      <w:r w:rsidR="00DD25D0" w:rsidRPr="00DD25D0">
        <w:rPr>
          <w:u w:val="single"/>
        </w:rPr>
        <w:t xml:space="preserve">(≥18 years of age) </w:t>
      </w:r>
      <w:r w:rsidRPr="00DD25D0">
        <w:rPr>
          <w:u w:val="single"/>
        </w:rPr>
        <w:t>using</w:t>
      </w:r>
      <w:r w:rsidRPr="00D448AB">
        <w:rPr>
          <w:u w:val="single"/>
        </w:rPr>
        <w:t xml:space="preserve"> </w:t>
      </w:r>
      <w:r w:rsidR="00D448AB">
        <w:rPr>
          <w:u w:val="single"/>
        </w:rPr>
        <w:t xml:space="preserve">incidence </w:t>
      </w:r>
      <w:r w:rsidRPr="00D448AB">
        <w:rPr>
          <w:u w:val="single"/>
        </w:rPr>
        <w:t>age specific rate</w:t>
      </w:r>
      <w:r w:rsidR="00D448AB">
        <w:rPr>
          <w:u w:val="single"/>
        </w:rPr>
        <w:t>s</w:t>
      </w:r>
      <w:r w:rsidRPr="00D448AB">
        <w:rPr>
          <w:u w:val="single"/>
        </w:rPr>
        <w:t xml:space="preserve"> of ALL</w:t>
      </w:r>
    </w:p>
    <w:p w14:paraId="60C6ADB6" w14:textId="52C85BBD" w:rsidR="00605149" w:rsidRDefault="0064588C" w:rsidP="00944F58">
      <w:pPr>
        <w:ind w:left="426"/>
        <w:jc w:val="left"/>
      </w:pPr>
      <w:r>
        <w:t xml:space="preserve">The AIHW reported </w:t>
      </w:r>
      <w:r w:rsidR="00D448AB">
        <w:t xml:space="preserve">incidence </w:t>
      </w:r>
      <w:r>
        <w:t>age-specific rate</w:t>
      </w:r>
      <w:r w:rsidR="00D448AB">
        <w:t>s</w:t>
      </w:r>
      <w:r>
        <w:t xml:space="preserve"> of ALL is applied to the projected Australian population for each year (2023-2027) (</w:t>
      </w:r>
      <w:r w:rsidR="00F41106">
        <w:fldChar w:fldCharType="begin"/>
      </w:r>
      <w:r w:rsidR="00F41106">
        <w:instrText xml:space="preserve"> REF _Ref85883190 \h </w:instrText>
      </w:r>
      <w:r w:rsidR="00944F58">
        <w:instrText xml:space="preserve"> \* MERGEFORMAT </w:instrText>
      </w:r>
      <w:r w:rsidR="00F41106">
        <w:fldChar w:fldCharType="separate"/>
      </w:r>
      <w:r w:rsidR="007847A6">
        <w:t xml:space="preserve">Table </w:t>
      </w:r>
      <w:r w:rsidR="007847A6">
        <w:rPr>
          <w:noProof/>
        </w:rPr>
        <w:t>2</w:t>
      </w:r>
      <w:r w:rsidR="00F41106">
        <w:fldChar w:fldCharType="end"/>
      </w:r>
      <w:r>
        <w:t>)</w:t>
      </w:r>
      <w:r w:rsidR="00F41106">
        <w:t>.</w:t>
      </w:r>
      <w:r>
        <w:t xml:space="preserve"> </w:t>
      </w:r>
    </w:p>
    <w:p w14:paraId="4C8CA143" w14:textId="6D43C39D" w:rsidR="00D448AB" w:rsidRDefault="00D448AB" w:rsidP="00156969">
      <w:pPr>
        <w:pStyle w:val="Caption"/>
        <w:ind w:left="426"/>
      </w:pPr>
      <w:bookmarkStart w:id="19" w:name="_Ref85883190"/>
      <w:r>
        <w:t xml:space="preserve">Table </w:t>
      </w:r>
      <w:r w:rsidR="0013236B">
        <w:fldChar w:fldCharType="begin"/>
      </w:r>
      <w:r w:rsidR="0013236B">
        <w:instrText xml:space="preserve"> SEQ Table \* ARABIC </w:instrText>
      </w:r>
      <w:r w:rsidR="0013236B">
        <w:fldChar w:fldCharType="separate"/>
      </w:r>
      <w:r w:rsidR="009A1DAB">
        <w:rPr>
          <w:noProof/>
        </w:rPr>
        <w:t>2</w:t>
      </w:r>
      <w:r w:rsidR="0013236B">
        <w:rPr>
          <w:noProof/>
        </w:rPr>
        <w:fldChar w:fldCharType="end"/>
      </w:r>
      <w:bookmarkEnd w:id="19"/>
      <w:r>
        <w:t xml:space="preserve"> Estimated total incidence of ALL patients </w:t>
      </w:r>
    </w:p>
    <w:tbl>
      <w:tblPr>
        <w:tblStyle w:val="TableGrid"/>
        <w:tblW w:w="0" w:type="auto"/>
        <w:tblInd w:w="421" w:type="dxa"/>
        <w:tblLayout w:type="fixed"/>
        <w:tblLook w:val="04A0" w:firstRow="1" w:lastRow="0" w:firstColumn="1" w:lastColumn="0" w:noHBand="0" w:noVBand="1"/>
      </w:tblPr>
      <w:tblGrid>
        <w:gridCol w:w="2925"/>
        <w:gridCol w:w="945"/>
        <w:gridCol w:w="945"/>
        <w:gridCol w:w="945"/>
        <w:gridCol w:w="945"/>
        <w:gridCol w:w="945"/>
        <w:gridCol w:w="945"/>
      </w:tblGrid>
      <w:tr w:rsidR="00D448AB" w:rsidRPr="00772128" w14:paraId="426AC30A" w14:textId="77777777" w:rsidTr="0003034F">
        <w:trPr>
          <w:tblHeader/>
        </w:trPr>
        <w:tc>
          <w:tcPr>
            <w:tcW w:w="2925" w:type="dxa"/>
            <w:shd w:val="clear" w:color="auto" w:fill="BFBFBF" w:themeFill="background1" w:themeFillShade="BF"/>
            <w:vAlign w:val="center"/>
          </w:tcPr>
          <w:p w14:paraId="52896291" w14:textId="46E3BBA7" w:rsidR="00D448AB" w:rsidRPr="00156969" w:rsidRDefault="00D448AB" w:rsidP="00156969">
            <w:pPr>
              <w:snapToGrid w:val="0"/>
              <w:spacing w:before="0" w:after="0"/>
              <w:rPr>
                <w:rFonts w:cstheme="minorHAnsi"/>
                <w:b/>
                <w:bCs/>
                <w:sz w:val="18"/>
                <w:szCs w:val="18"/>
              </w:rPr>
            </w:pPr>
            <w:r w:rsidRPr="00156969">
              <w:rPr>
                <w:rFonts w:cstheme="minorHAnsi"/>
                <w:b/>
                <w:bCs/>
                <w:sz w:val="18"/>
                <w:szCs w:val="18"/>
              </w:rPr>
              <w:t>Data</w:t>
            </w:r>
          </w:p>
        </w:tc>
        <w:tc>
          <w:tcPr>
            <w:tcW w:w="945" w:type="dxa"/>
            <w:shd w:val="clear" w:color="auto" w:fill="BFBFBF" w:themeFill="background1" w:themeFillShade="BF"/>
            <w:vAlign w:val="center"/>
          </w:tcPr>
          <w:p w14:paraId="399BD345"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1</w:t>
            </w:r>
          </w:p>
          <w:p w14:paraId="7292879B" w14:textId="6AB2952D"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2023</w:t>
            </w:r>
          </w:p>
        </w:tc>
        <w:tc>
          <w:tcPr>
            <w:tcW w:w="945" w:type="dxa"/>
            <w:shd w:val="clear" w:color="auto" w:fill="BFBFBF" w:themeFill="background1" w:themeFillShade="BF"/>
            <w:vAlign w:val="center"/>
          </w:tcPr>
          <w:p w14:paraId="01549835"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2</w:t>
            </w:r>
          </w:p>
          <w:p w14:paraId="7A692BBB" w14:textId="00AFE5DB"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2024</w:t>
            </w:r>
          </w:p>
        </w:tc>
        <w:tc>
          <w:tcPr>
            <w:tcW w:w="945" w:type="dxa"/>
            <w:shd w:val="clear" w:color="auto" w:fill="BFBFBF" w:themeFill="background1" w:themeFillShade="BF"/>
            <w:vAlign w:val="center"/>
          </w:tcPr>
          <w:p w14:paraId="79635D90"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3</w:t>
            </w:r>
          </w:p>
          <w:p w14:paraId="2FBFB0D3" w14:textId="39530DC3"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2025</w:t>
            </w:r>
          </w:p>
        </w:tc>
        <w:tc>
          <w:tcPr>
            <w:tcW w:w="945" w:type="dxa"/>
            <w:shd w:val="clear" w:color="auto" w:fill="BFBFBF" w:themeFill="background1" w:themeFillShade="BF"/>
            <w:vAlign w:val="center"/>
          </w:tcPr>
          <w:p w14:paraId="193115C8"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4</w:t>
            </w:r>
          </w:p>
          <w:p w14:paraId="67EF6D49" w14:textId="75748AE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2026</w:t>
            </w:r>
          </w:p>
        </w:tc>
        <w:tc>
          <w:tcPr>
            <w:tcW w:w="945" w:type="dxa"/>
            <w:shd w:val="clear" w:color="auto" w:fill="BFBFBF" w:themeFill="background1" w:themeFillShade="BF"/>
            <w:vAlign w:val="center"/>
          </w:tcPr>
          <w:p w14:paraId="5309BB7C"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5</w:t>
            </w:r>
          </w:p>
          <w:p w14:paraId="6740732B" w14:textId="6188C575"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2027</w:t>
            </w:r>
          </w:p>
        </w:tc>
        <w:tc>
          <w:tcPr>
            <w:tcW w:w="945" w:type="dxa"/>
            <w:shd w:val="clear" w:color="auto" w:fill="BFBFBF" w:themeFill="background1" w:themeFillShade="BF"/>
            <w:vAlign w:val="center"/>
          </w:tcPr>
          <w:p w14:paraId="6562391D" w14:textId="77777777"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Year 6</w:t>
            </w:r>
          </w:p>
          <w:p w14:paraId="2E8F16CF" w14:textId="0C85B529" w:rsidR="00D448AB" w:rsidRPr="00156969" w:rsidRDefault="00D448AB" w:rsidP="00156969">
            <w:pPr>
              <w:snapToGrid w:val="0"/>
              <w:spacing w:before="0" w:after="0"/>
              <w:jc w:val="center"/>
              <w:rPr>
                <w:rFonts w:cstheme="minorHAnsi"/>
                <w:b/>
                <w:bCs/>
                <w:sz w:val="18"/>
                <w:szCs w:val="18"/>
              </w:rPr>
            </w:pPr>
            <w:r w:rsidRPr="00156969">
              <w:rPr>
                <w:rFonts w:cstheme="minorHAnsi"/>
                <w:b/>
                <w:bCs/>
                <w:sz w:val="18"/>
                <w:szCs w:val="18"/>
              </w:rPr>
              <w:t>2028</w:t>
            </w:r>
          </w:p>
        </w:tc>
      </w:tr>
      <w:tr w:rsidR="00D448AB" w:rsidRPr="00772128" w14:paraId="2AB196A8" w14:textId="77777777" w:rsidTr="0003034F">
        <w:tc>
          <w:tcPr>
            <w:tcW w:w="2925" w:type="dxa"/>
          </w:tcPr>
          <w:p w14:paraId="3A4FC7EF" w14:textId="70476C4E"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Projected Australian population 18-19</w:t>
            </w:r>
          </w:p>
        </w:tc>
        <w:tc>
          <w:tcPr>
            <w:tcW w:w="945" w:type="dxa"/>
            <w:vAlign w:val="center"/>
          </w:tcPr>
          <w:p w14:paraId="5A3CE7D8" w14:textId="1C412AD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645,805</w:t>
            </w:r>
          </w:p>
        </w:tc>
        <w:tc>
          <w:tcPr>
            <w:tcW w:w="945" w:type="dxa"/>
            <w:vAlign w:val="center"/>
          </w:tcPr>
          <w:p w14:paraId="6D974087" w14:textId="0B1588E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664,569</w:t>
            </w:r>
          </w:p>
        </w:tc>
        <w:tc>
          <w:tcPr>
            <w:tcW w:w="945" w:type="dxa"/>
            <w:vAlign w:val="center"/>
          </w:tcPr>
          <w:p w14:paraId="5E936CEF" w14:textId="5432812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690,252</w:t>
            </w:r>
          </w:p>
        </w:tc>
        <w:tc>
          <w:tcPr>
            <w:tcW w:w="945" w:type="dxa"/>
            <w:vAlign w:val="center"/>
          </w:tcPr>
          <w:p w14:paraId="58C6EA42" w14:textId="3091909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707,559</w:t>
            </w:r>
          </w:p>
        </w:tc>
        <w:tc>
          <w:tcPr>
            <w:tcW w:w="945" w:type="dxa"/>
            <w:vAlign w:val="center"/>
          </w:tcPr>
          <w:p w14:paraId="6215D338" w14:textId="5B646EAE"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713,570</w:t>
            </w:r>
          </w:p>
        </w:tc>
        <w:tc>
          <w:tcPr>
            <w:tcW w:w="945" w:type="dxa"/>
            <w:vAlign w:val="center"/>
          </w:tcPr>
          <w:p w14:paraId="7A550519" w14:textId="36F6FF2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721,487</w:t>
            </w:r>
          </w:p>
        </w:tc>
      </w:tr>
      <w:tr w:rsidR="00D448AB" w:rsidRPr="00772128" w14:paraId="671FA38E" w14:textId="77777777" w:rsidTr="0003034F">
        <w:tc>
          <w:tcPr>
            <w:tcW w:w="2925" w:type="dxa"/>
          </w:tcPr>
          <w:p w14:paraId="14C9272F" w14:textId="2EBF7165"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ASR per 100,000 (15-19)</w:t>
            </w:r>
          </w:p>
        </w:tc>
        <w:tc>
          <w:tcPr>
            <w:tcW w:w="945" w:type="dxa"/>
            <w:vAlign w:val="center"/>
          </w:tcPr>
          <w:p w14:paraId="4DC0A66F" w14:textId="10BB583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c>
          <w:tcPr>
            <w:tcW w:w="945" w:type="dxa"/>
            <w:vAlign w:val="center"/>
          </w:tcPr>
          <w:p w14:paraId="72BDDCD1" w14:textId="7E34D88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c>
          <w:tcPr>
            <w:tcW w:w="945" w:type="dxa"/>
            <w:vAlign w:val="center"/>
          </w:tcPr>
          <w:p w14:paraId="78CD3EB9" w14:textId="4C64827F"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c>
          <w:tcPr>
            <w:tcW w:w="945" w:type="dxa"/>
            <w:vAlign w:val="center"/>
          </w:tcPr>
          <w:p w14:paraId="74EC48B3" w14:textId="46EF23E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c>
          <w:tcPr>
            <w:tcW w:w="945" w:type="dxa"/>
            <w:vAlign w:val="center"/>
          </w:tcPr>
          <w:p w14:paraId="27ADE0DB" w14:textId="5F41C9C8"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c>
          <w:tcPr>
            <w:tcW w:w="945" w:type="dxa"/>
            <w:vAlign w:val="center"/>
          </w:tcPr>
          <w:p w14:paraId="549805B4" w14:textId="79E6EE92"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1.9</w:t>
            </w:r>
          </w:p>
        </w:tc>
      </w:tr>
      <w:tr w:rsidR="00D448AB" w:rsidRPr="00772128" w14:paraId="3C224085" w14:textId="77777777" w:rsidTr="0003034F">
        <w:tc>
          <w:tcPr>
            <w:tcW w:w="2925" w:type="dxa"/>
          </w:tcPr>
          <w:p w14:paraId="43D25E45" w14:textId="238C0EDC"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Cases</w:t>
            </w:r>
          </w:p>
        </w:tc>
        <w:tc>
          <w:tcPr>
            <w:tcW w:w="945" w:type="dxa"/>
            <w:vAlign w:val="center"/>
          </w:tcPr>
          <w:p w14:paraId="150BB6EE" w14:textId="2B5B4CF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12</w:t>
            </w:r>
          </w:p>
        </w:tc>
        <w:tc>
          <w:tcPr>
            <w:tcW w:w="945" w:type="dxa"/>
            <w:vAlign w:val="center"/>
          </w:tcPr>
          <w:p w14:paraId="7D758D9E" w14:textId="68A4E91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13</w:t>
            </w:r>
          </w:p>
        </w:tc>
        <w:tc>
          <w:tcPr>
            <w:tcW w:w="945" w:type="dxa"/>
            <w:vAlign w:val="center"/>
          </w:tcPr>
          <w:p w14:paraId="21C6D957" w14:textId="198DE74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13</w:t>
            </w:r>
          </w:p>
        </w:tc>
        <w:tc>
          <w:tcPr>
            <w:tcW w:w="945" w:type="dxa"/>
            <w:vAlign w:val="center"/>
          </w:tcPr>
          <w:p w14:paraId="648CAAA8" w14:textId="73EE47D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037BD6E3" w14:textId="1745D92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40EF6C80" w14:textId="6DA921F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r>
      <w:tr w:rsidR="00D448AB" w:rsidRPr="00772128" w14:paraId="4EA09EEA" w14:textId="77777777" w:rsidTr="0003034F">
        <w:tc>
          <w:tcPr>
            <w:tcW w:w="2925" w:type="dxa"/>
            <w:vAlign w:val="bottom"/>
          </w:tcPr>
          <w:p w14:paraId="0911F5E0" w14:textId="6A8B6452"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Projected</w:t>
            </w:r>
            <w:r w:rsidRPr="00156969">
              <w:rPr>
                <w:rFonts w:cstheme="minorHAnsi"/>
                <w:color w:val="000000"/>
                <w:sz w:val="18"/>
                <w:szCs w:val="18"/>
              </w:rPr>
              <w:t xml:space="preserve"> Australian population 20-39</w:t>
            </w:r>
          </w:p>
        </w:tc>
        <w:tc>
          <w:tcPr>
            <w:tcW w:w="945" w:type="dxa"/>
            <w:vAlign w:val="center"/>
          </w:tcPr>
          <w:p w14:paraId="07BD8EF6" w14:textId="2A87616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7,829,309</w:t>
            </w:r>
          </w:p>
        </w:tc>
        <w:tc>
          <w:tcPr>
            <w:tcW w:w="945" w:type="dxa"/>
            <w:vAlign w:val="center"/>
          </w:tcPr>
          <w:p w14:paraId="0E2232E9" w14:textId="525F5F48"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7,915,046</w:t>
            </w:r>
          </w:p>
        </w:tc>
        <w:tc>
          <w:tcPr>
            <w:tcW w:w="945" w:type="dxa"/>
            <w:vAlign w:val="center"/>
          </w:tcPr>
          <w:p w14:paraId="5107C952" w14:textId="6FEDE90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7,996,335</w:t>
            </w:r>
          </w:p>
        </w:tc>
        <w:tc>
          <w:tcPr>
            <w:tcW w:w="945" w:type="dxa"/>
            <w:vAlign w:val="center"/>
          </w:tcPr>
          <w:p w14:paraId="32C31CDE" w14:textId="765ADD9F"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8,078,263</w:t>
            </w:r>
          </w:p>
        </w:tc>
        <w:tc>
          <w:tcPr>
            <w:tcW w:w="945" w:type="dxa"/>
            <w:vAlign w:val="center"/>
          </w:tcPr>
          <w:p w14:paraId="02372E78" w14:textId="5296365F"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8,166,968</w:t>
            </w:r>
          </w:p>
        </w:tc>
        <w:tc>
          <w:tcPr>
            <w:tcW w:w="945" w:type="dxa"/>
            <w:vAlign w:val="center"/>
          </w:tcPr>
          <w:p w14:paraId="19FE5F74" w14:textId="04BB279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8,251,781</w:t>
            </w:r>
          </w:p>
        </w:tc>
      </w:tr>
      <w:tr w:rsidR="00D448AB" w:rsidRPr="00772128" w14:paraId="6E9F51B5" w14:textId="77777777" w:rsidTr="0003034F">
        <w:tc>
          <w:tcPr>
            <w:tcW w:w="2925" w:type="dxa"/>
            <w:vAlign w:val="bottom"/>
          </w:tcPr>
          <w:p w14:paraId="02FD4337" w14:textId="43A655BB"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ASR</w:t>
            </w:r>
            <w:r w:rsidRPr="00156969">
              <w:rPr>
                <w:rFonts w:cstheme="minorHAnsi"/>
                <w:color w:val="000000"/>
                <w:sz w:val="18"/>
                <w:szCs w:val="18"/>
              </w:rPr>
              <w:t xml:space="preserve"> rate per 100,000 (20-39)</w:t>
            </w:r>
          </w:p>
        </w:tc>
        <w:tc>
          <w:tcPr>
            <w:tcW w:w="945" w:type="dxa"/>
            <w:vAlign w:val="center"/>
          </w:tcPr>
          <w:p w14:paraId="5C40F427" w14:textId="0B60C47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c>
          <w:tcPr>
            <w:tcW w:w="945" w:type="dxa"/>
            <w:vAlign w:val="center"/>
          </w:tcPr>
          <w:p w14:paraId="42E369F0" w14:textId="2BC9865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c>
          <w:tcPr>
            <w:tcW w:w="945" w:type="dxa"/>
            <w:vAlign w:val="center"/>
          </w:tcPr>
          <w:p w14:paraId="2963FA00" w14:textId="075B545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c>
          <w:tcPr>
            <w:tcW w:w="945" w:type="dxa"/>
            <w:vAlign w:val="center"/>
          </w:tcPr>
          <w:p w14:paraId="7B7A955B" w14:textId="250E15D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c>
          <w:tcPr>
            <w:tcW w:w="945" w:type="dxa"/>
            <w:vAlign w:val="center"/>
          </w:tcPr>
          <w:p w14:paraId="28C0CF94" w14:textId="667D2693"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c>
          <w:tcPr>
            <w:tcW w:w="945" w:type="dxa"/>
            <w:vAlign w:val="center"/>
          </w:tcPr>
          <w:p w14:paraId="07E81CA3" w14:textId="5FB17E91"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0.7</w:t>
            </w:r>
          </w:p>
        </w:tc>
      </w:tr>
      <w:tr w:rsidR="00D448AB" w:rsidRPr="00772128" w14:paraId="7691C193" w14:textId="77777777" w:rsidTr="0003034F">
        <w:tc>
          <w:tcPr>
            <w:tcW w:w="2925" w:type="dxa"/>
            <w:vAlign w:val="bottom"/>
          </w:tcPr>
          <w:p w14:paraId="233BB7DE" w14:textId="3952689F" w:rsidR="00D448AB" w:rsidRPr="00156969" w:rsidRDefault="00D448AB" w:rsidP="00035B94">
            <w:pPr>
              <w:snapToGrid w:val="0"/>
              <w:spacing w:before="0" w:after="0"/>
              <w:jc w:val="left"/>
              <w:rPr>
                <w:rFonts w:cstheme="minorHAnsi"/>
                <w:sz w:val="18"/>
                <w:szCs w:val="18"/>
              </w:rPr>
            </w:pPr>
            <w:r w:rsidRPr="00156969">
              <w:rPr>
                <w:rFonts w:cstheme="minorHAnsi"/>
                <w:color w:val="000000"/>
                <w:sz w:val="18"/>
                <w:szCs w:val="18"/>
              </w:rPr>
              <w:t>Cases</w:t>
            </w:r>
          </w:p>
        </w:tc>
        <w:tc>
          <w:tcPr>
            <w:tcW w:w="945" w:type="dxa"/>
            <w:vAlign w:val="center"/>
          </w:tcPr>
          <w:p w14:paraId="1A4CB95D" w14:textId="4A79E40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55</w:t>
            </w:r>
          </w:p>
        </w:tc>
        <w:tc>
          <w:tcPr>
            <w:tcW w:w="945" w:type="dxa"/>
            <w:vAlign w:val="center"/>
          </w:tcPr>
          <w:p w14:paraId="0C6FE4B4" w14:textId="357EFE3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56</w:t>
            </w:r>
          </w:p>
        </w:tc>
        <w:tc>
          <w:tcPr>
            <w:tcW w:w="945" w:type="dxa"/>
            <w:vAlign w:val="center"/>
          </w:tcPr>
          <w:p w14:paraId="3BA57E8B" w14:textId="6619AA9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57</w:t>
            </w:r>
          </w:p>
        </w:tc>
        <w:tc>
          <w:tcPr>
            <w:tcW w:w="945" w:type="dxa"/>
            <w:vAlign w:val="center"/>
          </w:tcPr>
          <w:p w14:paraId="56F47A54" w14:textId="1D4808B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58</w:t>
            </w:r>
          </w:p>
        </w:tc>
        <w:tc>
          <w:tcPr>
            <w:tcW w:w="945" w:type="dxa"/>
            <w:vAlign w:val="center"/>
          </w:tcPr>
          <w:p w14:paraId="7C05CE91" w14:textId="05FC679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59</w:t>
            </w:r>
          </w:p>
        </w:tc>
        <w:tc>
          <w:tcPr>
            <w:tcW w:w="945" w:type="dxa"/>
            <w:vAlign w:val="center"/>
          </w:tcPr>
          <w:p w14:paraId="05D279A7" w14:textId="396003D1"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60</w:t>
            </w:r>
          </w:p>
        </w:tc>
      </w:tr>
      <w:tr w:rsidR="00D448AB" w:rsidRPr="00772128" w14:paraId="0C9E65F4" w14:textId="77777777" w:rsidTr="0003034F">
        <w:tc>
          <w:tcPr>
            <w:tcW w:w="2925" w:type="dxa"/>
            <w:vAlign w:val="bottom"/>
          </w:tcPr>
          <w:p w14:paraId="27CC4EB2" w14:textId="6155A062"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Projected</w:t>
            </w:r>
            <w:r w:rsidRPr="00156969">
              <w:rPr>
                <w:rFonts w:cstheme="minorHAnsi"/>
                <w:color w:val="000000"/>
                <w:sz w:val="18"/>
                <w:szCs w:val="18"/>
              </w:rPr>
              <w:t xml:space="preserve"> </w:t>
            </w:r>
            <w:r w:rsidRPr="00156969">
              <w:rPr>
                <w:rFonts w:cstheme="minorHAnsi"/>
                <w:sz w:val="18"/>
                <w:szCs w:val="18"/>
              </w:rPr>
              <w:t>Australian population 40-59</w:t>
            </w:r>
          </w:p>
        </w:tc>
        <w:tc>
          <w:tcPr>
            <w:tcW w:w="945" w:type="dxa"/>
            <w:vAlign w:val="center"/>
          </w:tcPr>
          <w:p w14:paraId="1A3A36C0" w14:textId="7FDD3F6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6,575,634</w:t>
            </w:r>
          </w:p>
        </w:tc>
        <w:tc>
          <w:tcPr>
            <w:tcW w:w="945" w:type="dxa"/>
            <w:vAlign w:val="center"/>
          </w:tcPr>
          <w:p w14:paraId="465319C6" w14:textId="79777F5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6,654,924</w:t>
            </w:r>
          </w:p>
        </w:tc>
        <w:tc>
          <w:tcPr>
            <w:tcW w:w="945" w:type="dxa"/>
            <w:vAlign w:val="center"/>
          </w:tcPr>
          <w:p w14:paraId="7D109957" w14:textId="4B3F2EC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6,750,810</w:t>
            </w:r>
          </w:p>
        </w:tc>
        <w:tc>
          <w:tcPr>
            <w:tcW w:w="945" w:type="dxa"/>
            <w:vAlign w:val="center"/>
          </w:tcPr>
          <w:p w14:paraId="00D7ABB3" w14:textId="4738E40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6,854,290</w:t>
            </w:r>
          </w:p>
        </w:tc>
        <w:tc>
          <w:tcPr>
            <w:tcW w:w="945" w:type="dxa"/>
            <w:vAlign w:val="center"/>
          </w:tcPr>
          <w:p w14:paraId="6CE2A6B3" w14:textId="764B1712"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6,959,407</w:t>
            </w:r>
          </w:p>
        </w:tc>
        <w:tc>
          <w:tcPr>
            <w:tcW w:w="945" w:type="dxa"/>
            <w:vAlign w:val="center"/>
          </w:tcPr>
          <w:p w14:paraId="4E221577" w14:textId="3C111C9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7,064,759</w:t>
            </w:r>
          </w:p>
        </w:tc>
      </w:tr>
      <w:tr w:rsidR="00D448AB" w:rsidRPr="00772128" w14:paraId="64FF0090" w14:textId="77777777" w:rsidTr="0003034F">
        <w:tc>
          <w:tcPr>
            <w:tcW w:w="2925" w:type="dxa"/>
            <w:vAlign w:val="bottom"/>
          </w:tcPr>
          <w:p w14:paraId="3DF15849" w14:textId="5D5E6CE7"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ASR per 100,000 (40-59)</w:t>
            </w:r>
          </w:p>
        </w:tc>
        <w:tc>
          <w:tcPr>
            <w:tcW w:w="945" w:type="dxa"/>
            <w:vAlign w:val="center"/>
          </w:tcPr>
          <w:p w14:paraId="728A5C98" w14:textId="7A53334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c>
          <w:tcPr>
            <w:tcW w:w="945" w:type="dxa"/>
            <w:vAlign w:val="center"/>
          </w:tcPr>
          <w:p w14:paraId="410F1573" w14:textId="6A42BF2E"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c>
          <w:tcPr>
            <w:tcW w:w="945" w:type="dxa"/>
            <w:vAlign w:val="center"/>
          </w:tcPr>
          <w:p w14:paraId="7AB6BBB5" w14:textId="17E9B902"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c>
          <w:tcPr>
            <w:tcW w:w="945" w:type="dxa"/>
            <w:vAlign w:val="center"/>
          </w:tcPr>
          <w:p w14:paraId="4F4C1447" w14:textId="37BF7F3F"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c>
          <w:tcPr>
            <w:tcW w:w="945" w:type="dxa"/>
            <w:vAlign w:val="center"/>
          </w:tcPr>
          <w:p w14:paraId="34B2B5A5" w14:textId="24D4B2D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c>
          <w:tcPr>
            <w:tcW w:w="945" w:type="dxa"/>
            <w:vAlign w:val="center"/>
          </w:tcPr>
          <w:p w14:paraId="46EF4A37" w14:textId="7B21509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0.9</w:t>
            </w:r>
          </w:p>
        </w:tc>
      </w:tr>
      <w:tr w:rsidR="00D448AB" w:rsidRPr="00772128" w14:paraId="6CDF17C9" w14:textId="77777777" w:rsidTr="0003034F">
        <w:tc>
          <w:tcPr>
            <w:tcW w:w="2925" w:type="dxa"/>
            <w:vAlign w:val="bottom"/>
          </w:tcPr>
          <w:p w14:paraId="605FBA5F" w14:textId="037D776B"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Cases</w:t>
            </w:r>
          </w:p>
        </w:tc>
        <w:tc>
          <w:tcPr>
            <w:tcW w:w="945" w:type="dxa"/>
            <w:vAlign w:val="center"/>
          </w:tcPr>
          <w:p w14:paraId="16431B49" w14:textId="0AC111A8"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60</w:t>
            </w:r>
          </w:p>
        </w:tc>
        <w:tc>
          <w:tcPr>
            <w:tcW w:w="945" w:type="dxa"/>
            <w:vAlign w:val="center"/>
          </w:tcPr>
          <w:p w14:paraId="277A75B2" w14:textId="4176E3B3"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61</w:t>
            </w:r>
          </w:p>
        </w:tc>
        <w:tc>
          <w:tcPr>
            <w:tcW w:w="945" w:type="dxa"/>
            <w:vAlign w:val="center"/>
          </w:tcPr>
          <w:p w14:paraId="2001EDA8" w14:textId="65FD629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62</w:t>
            </w:r>
          </w:p>
        </w:tc>
        <w:tc>
          <w:tcPr>
            <w:tcW w:w="945" w:type="dxa"/>
            <w:vAlign w:val="center"/>
          </w:tcPr>
          <w:p w14:paraId="0506FE28" w14:textId="791D5FC3"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63</w:t>
            </w:r>
          </w:p>
        </w:tc>
        <w:tc>
          <w:tcPr>
            <w:tcW w:w="945" w:type="dxa"/>
            <w:vAlign w:val="center"/>
          </w:tcPr>
          <w:p w14:paraId="7850F9E1" w14:textId="6621E2E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64</w:t>
            </w:r>
          </w:p>
        </w:tc>
        <w:tc>
          <w:tcPr>
            <w:tcW w:w="945" w:type="dxa"/>
            <w:vAlign w:val="center"/>
          </w:tcPr>
          <w:p w14:paraId="558F132A" w14:textId="687B64E2"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65</w:t>
            </w:r>
          </w:p>
        </w:tc>
      </w:tr>
      <w:tr w:rsidR="00D448AB" w:rsidRPr="00772128" w14:paraId="712F699F" w14:textId="77777777" w:rsidTr="0003034F">
        <w:tc>
          <w:tcPr>
            <w:tcW w:w="2925" w:type="dxa"/>
            <w:vAlign w:val="bottom"/>
          </w:tcPr>
          <w:p w14:paraId="5F1908F7" w14:textId="1166FC57"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Projected</w:t>
            </w:r>
            <w:r w:rsidRPr="00156969">
              <w:rPr>
                <w:rFonts w:cstheme="minorHAnsi"/>
                <w:color w:val="000000"/>
                <w:sz w:val="18"/>
                <w:szCs w:val="18"/>
              </w:rPr>
              <w:t xml:space="preserve"> </w:t>
            </w:r>
            <w:r w:rsidRPr="00156969">
              <w:rPr>
                <w:rFonts w:cstheme="minorHAnsi"/>
                <w:sz w:val="18"/>
                <w:szCs w:val="18"/>
              </w:rPr>
              <w:t>Australian population 60-79</w:t>
            </w:r>
          </w:p>
        </w:tc>
        <w:tc>
          <w:tcPr>
            <w:tcW w:w="945" w:type="dxa"/>
            <w:vAlign w:val="center"/>
          </w:tcPr>
          <w:p w14:paraId="05406E4E" w14:textId="63B4E1D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4,890,621</w:t>
            </w:r>
          </w:p>
        </w:tc>
        <w:tc>
          <w:tcPr>
            <w:tcW w:w="945" w:type="dxa"/>
            <w:vAlign w:val="center"/>
          </w:tcPr>
          <w:p w14:paraId="13D44B5B" w14:textId="4DE43C1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4,990,806</w:t>
            </w:r>
          </w:p>
        </w:tc>
        <w:tc>
          <w:tcPr>
            <w:tcW w:w="945" w:type="dxa"/>
            <w:vAlign w:val="center"/>
          </w:tcPr>
          <w:p w14:paraId="525B8B32" w14:textId="6DD4B18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5,071,925</w:t>
            </w:r>
          </w:p>
        </w:tc>
        <w:tc>
          <w:tcPr>
            <w:tcW w:w="945" w:type="dxa"/>
            <w:vAlign w:val="center"/>
          </w:tcPr>
          <w:p w14:paraId="1CF7CC4A" w14:textId="52F683E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5,145,231</w:t>
            </w:r>
          </w:p>
        </w:tc>
        <w:tc>
          <w:tcPr>
            <w:tcW w:w="945" w:type="dxa"/>
            <w:vAlign w:val="center"/>
          </w:tcPr>
          <w:p w14:paraId="69650587" w14:textId="65BDA10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5,187,162</w:t>
            </w:r>
          </w:p>
        </w:tc>
        <w:tc>
          <w:tcPr>
            <w:tcW w:w="945" w:type="dxa"/>
            <w:vAlign w:val="center"/>
          </w:tcPr>
          <w:p w14:paraId="6391F34B" w14:textId="5BB97AA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5,242,734</w:t>
            </w:r>
          </w:p>
        </w:tc>
      </w:tr>
      <w:tr w:rsidR="00D448AB" w:rsidRPr="00772128" w14:paraId="51E02656" w14:textId="77777777" w:rsidTr="0003034F">
        <w:tc>
          <w:tcPr>
            <w:tcW w:w="2925" w:type="dxa"/>
            <w:vAlign w:val="bottom"/>
          </w:tcPr>
          <w:p w14:paraId="25C756B5" w14:textId="301311B7"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ASR</w:t>
            </w:r>
            <w:r w:rsidRPr="00156969">
              <w:rPr>
                <w:rFonts w:cstheme="minorHAnsi"/>
                <w:color w:val="000000"/>
                <w:sz w:val="18"/>
                <w:szCs w:val="18"/>
              </w:rPr>
              <w:t xml:space="preserve"> per 100,000 (60-79)</w:t>
            </w:r>
          </w:p>
        </w:tc>
        <w:tc>
          <w:tcPr>
            <w:tcW w:w="945" w:type="dxa"/>
            <w:vAlign w:val="center"/>
          </w:tcPr>
          <w:p w14:paraId="64498347" w14:textId="02733C92"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733E324D" w14:textId="5A1E544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341CA950" w14:textId="33EF2CB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4A9826EC" w14:textId="136396B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4A1A02CD" w14:textId="32BBCA3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c>
          <w:tcPr>
            <w:tcW w:w="945" w:type="dxa"/>
            <w:vAlign w:val="center"/>
          </w:tcPr>
          <w:p w14:paraId="62EA4EDC" w14:textId="4E52BA88"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w:t>
            </w:r>
          </w:p>
        </w:tc>
      </w:tr>
      <w:tr w:rsidR="00D448AB" w:rsidRPr="00772128" w14:paraId="45D5239C" w14:textId="77777777" w:rsidTr="0003034F">
        <w:tc>
          <w:tcPr>
            <w:tcW w:w="2925" w:type="dxa"/>
            <w:vAlign w:val="bottom"/>
          </w:tcPr>
          <w:p w14:paraId="660B2DA3" w14:textId="74ED0CF4" w:rsidR="00D448AB" w:rsidRPr="00156969" w:rsidRDefault="00D448AB" w:rsidP="00035B94">
            <w:pPr>
              <w:snapToGrid w:val="0"/>
              <w:spacing w:before="0" w:after="0"/>
              <w:jc w:val="left"/>
              <w:rPr>
                <w:rFonts w:cstheme="minorHAnsi"/>
                <w:sz w:val="18"/>
                <w:szCs w:val="18"/>
              </w:rPr>
            </w:pPr>
            <w:r w:rsidRPr="00156969">
              <w:rPr>
                <w:rFonts w:cstheme="minorHAnsi"/>
                <w:color w:val="000000"/>
                <w:sz w:val="18"/>
                <w:szCs w:val="18"/>
              </w:rPr>
              <w:t>Cases</w:t>
            </w:r>
          </w:p>
        </w:tc>
        <w:tc>
          <w:tcPr>
            <w:tcW w:w="945" w:type="dxa"/>
            <w:vAlign w:val="center"/>
          </w:tcPr>
          <w:p w14:paraId="75BDC13E" w14:textId="3D1F7C5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69</w:t>
            </w:r>
          </w:p>
        </w:tc>
        <w:tc>
          <w:tcPr>
            <w:tcW w:w="945" w:type="dxa"/>
            <w:vAlign w:val="center"/>
          </w:tcPr>
          <w:p w14:paraId="0BAB54C6" w14:textId="039F949E"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70</w:t>
            </w:r>
          </w:p>
        </w:tc>
        <w:tc>
          <w:tcPr>
            <w:tcW w:w="945" w:type="dxa"/>
            <w:vAlign w:val="center"/>
          </w:tcPr>
          <w:p w14:paraId="46DFDD1D" w14:textId="73486AA1"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72</w:t>
            </w:r>
          </w:p>
        </w:tc>
        <w:tc>
          <w:tcPr>
            <w:tcW w:w="945" w:type="dxa"/>
            <w:vAlign w:val="center"/>
          </w:tcPr>
          <w:p w14:paraId="15326952" w14:textId="08A4078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73</w:t>
            </w:r>
          </w:p>
        </w:tc>
        <w:tc>
          <w:tcPr>
            <w:tcW w:w="945" w:type="dxa"/>
            <w:vAlign w:val="center"/>
          </w:tcPr>
          <w:p w14:paraId="49FF22B7" w14:textId="68E3194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74</w:t>
            </w:r>
          </w:p>
        </w:tc>
        <w:tc>
          <w:tcPr>
            <w:tcW w:w="945" w:type="dxa"/>
            <w:vAlign w:val="center"/>
          </w:tcPr>
          <w:p w14:paraId="5BE39B99" w14:textId="2A8F03C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75</w:t>
            </w:r>
          </w:p>
        </w:tc>
      </w:tr>
      <w:tr w:rsidR="00D448AB" w:rsidRPr="00772128" w14:paraId="045822CA" w14:textId="77777777" w:rsidTr="0003034F">
        <w:tc>
          <w:tcPr>
            <w:tcW w:w="2925" w:type="dxa"/>
            <w:vAlign w:val="bottom"/>
          </w:tcPr>
          <w:p w14:paraId="2A6B861B" w14:textId="7EE613B0"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Projected</w:t>
            </w:r>
            <w:r w:rsidRPr="00156969">
              <w:rPr>
                <w:rFonts w:cstheme="minorHAnsi"/>
                <w:color w:val="000000"/>
                <w:sz w:val="18"/>
                <w:szCs w:val="18"/>
              </w:rPr>
              <w:t xml:space="preserve"> </w:t>
            </w:r>
            <w:r w:rsidRPr="00156969">
              <w:rPr>
                <w:rFonts w:cstheme="minorHAnsi"/>
                <w:sz w:val="18"/>
                <w:szCs w:val="18"/>
              </w:rPr>
              <w:t>Australian population 80+</w:t>
            </w:r>
          </w:p>
        </w:tc>
        <w:tc>
          <w:tcPr>
            <w:tcW w:w="945" w:type="dxa"/>
            <w:vAlign w:val="center"/>
          </w:tcPr>
          <w:p w14:paraId="1998FBE6" w14:textId="0B38DB8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1,141,102</w:t>
            </w:r>
          </w:p>
        </w:tc>
        <w:tc>
          <w:tcPr>
            <w:tcW w:w="945" w:type="dxa"/>
            <w:vAlign w:val="center"/>
          </w:tcPr>
          <w:p w14:paraId="1D0459BC" w14:textId="04403136"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1,186,507</w:t>
            </w:r>
          </w:p>
        </w:tc>
        <w:tc>
          <w:tcPr>
            <w:tcW w:w="945" w:type="dxa"/>
            <w:vAlign w:val="center"/>
          </w:tcPr>
          <w:p w14:paraId="4AF33718" w14:textId="539B2823"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1,235,180</w:t>
            </w:r>
          </w:p>
        </w:tc>
        <w:tc>
          <w:tcPr>
            <w:tcW w:w="945" w:type="dxa"/>
            <w:vAlign w:val="center"/>
          </w:tcPr>
          <w:p w14:paraId="6F957D97" w14:textId="2AAA8D3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1,287,877</w:t>
            </w:r>
          </w:p>
        </w:tc>
        <w:tc>
          <w:tcPr>
            <w:tcW w:w="945" w:type="dxa"/>
            <w:vAlign w:val="center"/>
          </w:tcPr>
          <w:p w14:paraId="54FFFCF2" w14:textId="473D883C"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1,365,994</w:t>
            </w:r>
          </w:p>
        </w:tc>
        <w:tc>
          <w:tcPr>
            <w:tcW w:w="945" w:type="dxa"/>
            <w:vAlign w:val="center"/>
          </w:tcPr>
          <w:p w14:paraId="7B97A9C0" w14:textId="03E72B3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1,433,417</w:t>
            </w:r>
          </w:p>
        </w:tc>
      </w:tr>
      <w:tr w:rsidR="00D448AB" w:rsidRPr="00772128" w14:paraId="453112DE" w14:textId="77777777" w:rsidTr="0003034F">
        <w:tc>
          <w:tcPr>
            <w:tcW w:w="2925" w:type="dxa"/>
            <w:vAlign w:val="bottom"/>
          </w:tcPr>
          <w:p w14:paraId="79BE61F6" w14:textId="6ACE942B" w:rsidR="00D448AB" w:rsidRPr="00156969" w:rsidRDefault="00D448AB" w:rsidP="00035B94">
            <w:pPr>
              <w:snapToGrid w:val="0"/>
              <w:spacing w:before="0" w:after="0"/>
              <w:jc w:val="left"/>
              <w:rPr>
                <w:rFonts w:cstheme="minorHAnsi"/>
                <w:sz w:val="18"/>
                <w:szCs w:val="18"/>
              </w:rPr>
            </w:pPr>
            <w:r w:rsidRPr="00156969">
              <w:rPr>
                <w:rFonts w:cstheme="minorHAnsi"/>
                <w:sz w:val="18"/>
                <w:szCs w:val="18"/>
              </w:rPr>
              <w:t>ASR</w:t>
            </w:r>
            <w:r w:rsidRPr="00156969">
              <w:rPr>
                <w:rFonts w:cstheme="minorHAnsi"/>
                <w:color w:val="000000"/>
                <w:sz w:val="18"/>
                <w:szCs w:val="18"/>
              </w:rPr>
              <w:t xml:space="preserve"> per 100,000 (80+)</w:t>
            </w:r>
          </w:p>
        </w:tc>
        <w:tc>
          <w:tcPr>
            <w:tcW w:w="945" w:type="dxa"/>
            <w:vAlign w:val="center"/>
          </w:tcPr>
          <w:p w14:paraId="653C4F56" w14:textId="567112B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c>
          <w:tcPr>
            <w:tcW w:w="945" w:type="dxa"/>
            <w:vAlign w:val="center"/>
          </w:tcPr>
          <w:p w14:paraId="55BC721A" w14:textId="4AE8432F"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c>
          <w:tcPr>
            <w:tcW w:w="945" w:type="dxa"/>
            <w:vAlign w:val="center"/>
          </w:tcPr>
          <w:p w14:paraId="397243CF" w14:textId="4B66453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c>
          <w:tcPr>
            <w:tcW w:w="945" w:type="dxa"/>
            <w:vAlign w:val="center"/>
          </w:tcPr>
          <w:p w14:paraId="6FA03968" w14:textId="2D79C1A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c>
          <w:tcPr>
            <w:tcW w:w="945" w:type="dxa"/>
            <w:vAlign w:val="center"/>
          </w:tcPr>
          <w:p w14:paraId="70C7497B" w14:textId="3306A40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c>
          <w:tcPr>
            <w:tcW w:w="945" w:type="dxa"/>
            <w:vAlign w:val="center"/>
          </w:tcPr>
          <w:p w14:paraId="285AF9E2" w14:textId="20D01051"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w:t>
            </w:r>
          </w:p>
        </w:tc>
      </w:tr>
      <w:tr w:rsidR="00D448AB" w:rsidRPr="00772128" w14:paraId="2AC7F940" w14:textId="77777777" w:rsidTr="0003034F">
        <w:tc>
          <w:tcPr>
            <w:tcW w:w="2925" w:type="dxa"/>
            <w:vAlign w:val="bottom"/>
          </w:tcPr>
          <w:p w14:paraId="3DC52026" w14:textId="2E7A2701" w:rsidR="00D448AB" w:rsidRPr="00156969" w:rsidRDefault="00D448AB" w:rsidP="00035B94">
            <w:pPr>
              <w:snapToGrid w:val="0"/>
              <w:spacing w:before="0" w:after="0"/>
              <w:jc w:val="left"/>
              <w:rPr>
                <w:rFonts w:cstheme="minorHAnsi"/>
                <w:sz w:val="18"/>
                <w:szCs w:val="18"/>
              </w:rPr>
            </w:pPr>
            <w:r w:rsidRPr="00156969">
              <w:rPr>
                <w:rFonts w:cstheme="minorHAnsi"/>
                <w:color w:val="000000"/>
                <w:sz w:val="18"/>
                <w:szCs w:val="18"/>
              </w:rPr>
              <w:t>Cases</w:t>
            </w:r>
          </w:p>
        </w:tc>
        <w:tc>
          <w:tcPr>
            <w:tcW w:w="945" w:type="dxa"/>
            <w:vAlign w:val="center"/>
          </w:tcPr>
          <w:p w14:paraId="19DEAB22" w14:textId="690EB07D"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27</w:t>
            </w:r>
          </w:p>
        </w:tc>
        <w:tc>
          <w:tcPr>
            <w:tcW w:w="945" w:type="dxa"/>
            <w:vAlign w:val="center"/>
          </w:tcPr>
          <w:p w14:paraId="0E57FADE" w14:textId="7395AD0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29</w:t>
            </w:r>
          </w:p>
        </w:tc>
        <w:tc>
          <w:tcPr>
            <w:tcW w:w="945" w:type="dxa"/>
            <w:vAlign w:val="center"/>
          </w:tcPr>
          <w:p w14:paraId="603FBD03" w14:textId="501C1540"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30</w:t>
            </w:r>
          </w:p>
        </w:tc>
        <w:tc>
          <w:tcPr>
            <w:tcW w:w="945" w:type="dxa"/>
            <w:vAlign w:val="center"/>
          </w:tcPr>
          <w:p w14:paraId="0842F5EF" w14:textId="6068102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31</w:t>
            </w:r>
          </w:p>
        </w:tc>
        <w:tc>
          <w:tcPr>
            <w:tcW w:w="945" w:type="dxa"/>
            <w:vAlign w:val="center"/>
          </w:tcPr>
          <w:p w14:paraId="0BE17D23" w14:textId="13401165"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33</w:t>
            </w:r>
          </w:p>
        </w:tc>
        <w:tc>
          <w:tcPr>
            <w:tcW w:w="945" w:type="dxa"/>
            <w:vAlign w:val="center"/>
          </w:tcPr>
          <w:p w14:paraId="648A5ABD" w14:textId="1BE7FAC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35</w:t>
            </w:r>
          </w:p>
        </w:tc>
      </w:tr>
      <w:tr w:rsidR="00D448AB" w:rsidRPr="00772128" w14:paraId="21275621" w14:textId="77777777" w:rsidTr="0003034F">
        <w:tc>
          <w:tcPr>
            <w:tcW w:w="2925" w:type="dxa"/>
            <w:vAlign w:val="bottom"/>
          </w:tcPr>
          <w:p w14:paraId="0B65D2A1" w14:textId="10218625" w:rsidR="00D448AB" w:rsidRPr="00156969" w:rsidRDefault="009C2923" w:rsidP="00035B94">
            <w:pPr>
              <w:snapToGrid w:val="0"/>
              <w:spacing w:before="0" w:after="0"/>
              <w:jc w:val="left"/>
              <w:rPr>
                <w:rFonts w:cstheme="minorHAnsi"/>
                <w:sz w:val="18"/>
                <w:szCs w:val="18"/>
              </w:rPr>
            </w:pPr>
            <w:r w:rsidRPr="00156969">
              <w:rPr>
                <w:rFonts w:cstheme="minorHAnsi"/>
                <w:color w:val="000000"/>
                <w:sz w:val="18"/>
                <w:szCs w:val="18"/>
              </w:rPr>
              <w:t>Total estimated a</w:t>
            </w:r>
            <w:r w:rsidR="00D448AB" w:rsidRPr="00156969">
              <w:rPr>
                <w:rFonts w:cstheme="minorHAnsi"/>
                <w:color w:val="000000"/>
                <w:sz w:val="18"/>
                <w:szCs w:val="18"/>
              </w:rPr>
              <w:t>dult ALL</w:t>
            </w:r>
          </w:p>
        </w:tc>
        <w:tc>
          <w:tcPr>
            <w:tcW w:w="945" w:type="dxa"/>
            <w:vAlign w:val="center"/>
          </w:tcPr>
          <w:p w14:paraId="3AC98AF3" w14:textId="2D8C68C7"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224</w:t>
            </w:r>
          </w:p>
        </w:tc>
        <w:tc>
          <w:tcPr>
            <w:tcW w:w="945" w:type="dxa"/>
            <w:vAlign w:val="center"/>
          </w:tcPr>
          <w:p w14:paraId="60E44F69" w14:textId="7E9C74E1"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229</w:t>
            </w:r>
          </w:p>
        </w:tc>
        <w:tc>
          <w:tcPr>
            <w:tcW w:w="945" w:type="dxa"/>
            <w:vAlign w:val="center"/>
          </w:tcPr>
          <w:p w14:paraId="31C765C2" w14:textId="533CCCBB"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234</w:t>
            </w:r>
          </w:p>
        </w:tc>
        <w:tc>
          <w:tcPr>
            <w:tcW w:w="945" w:type="dxa"/>
            <w:vAlign w:val="center"/>
          </w:tcPr>
          <w:p w14:paraId="49978B8F" w14:textId="5E86F879"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239</w:t>
            </w:r>
          </w:p>
        </w:tc>
        <w:tc>
          <w:tcPr>
            <w:tcW w:w="945" w:type="dxa"/>
            <w:vAlign w:val="center"/>
          </w:tcPr>
          <w:p w14:paraId="55D1BCBF" w14:textId="7AF7324A"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244</w:t>
            </w:r>
          </w:p>
        </w:tc>
        <w:tc>
          <w:tcPr>
            <w:tcW w:w="945" w:type="dxa"/>
            <w:vAlign w:val="center"/>
          </w:tcPr>
          <w:p w14:paraId="6A42D662" w14:textId="78513624" w:rsidR="00D448AB" w:rsidRPr="00156969" w:rsidRDefault="00D448AB" w:rsidP="00156969">
            <w:pPr>
              <w:snapToGrid w:val="0"/>
              <w:spacing w:before="0" w:after="0"/>
              <w:jc w:val="center"/>
              <w:rPr>
                <w:rFonts w:cstheme="minorHAnsi"/>
                <w:sz w:val="18"/>
                <w:szCs w:val="18"/>
              </w:rPr>
            </w:pPr>
            <w:r w:rsidRPr="00156969">
              <w:rPr>
                <w:rFonts w:cstheme="minorHAnsi"/>
                <w:color w:val="000000"/>
                <w:sz w:val="18"/>
                <w:szCs w:val="18"/>
              </w:rPr>
              <w:t>249</w:t>
            </w:r>
          </w:p>
        </w:tc>
      </w:tr>
    </w:tbl>
    <w:p w14:paraId="518DC6E5" w14:textId="262A5C41" w:rsidR="00D448AB" w:rsidRDefault="00D448AB" w:rsidP="00156969">
      <w:pPr>
        <w:spacing w:before="0" w:after="0"/>
        <w:ind w:left="426"/>
        <w:rPr>
          <w:sz w:val="16"/>
          <w:szCs w:val="16"/>
        </w:rPr>
      </w:pPr>
      <w:r w:rsidRPr="00D448AB">
        <w:rPr>
          <w:sz w:val="16"/>
          <w:szCs w:val="16"/>
        </w:rPr>
        <w:t>Source</w:t>
      </w:r>
      <w:r>
        <w:rPr>
          <w:sz w:val="16"/>
          <w:szCs w:val="16"/>
        </w:rPr>
        <w:t>:</w:t>
      </w:r>
      <w:r w:rsidR="00AC538C">
        <w:rPr>
          <w:sz w:val="16"/>
          <w:szCs w:val="16"/>
        </w:rPr>
        <w:t xml:space="preserve"> AIHW 2021 </w:t>
      </w:r>
    </w:p>
    <w:p w14:paraId="0352EA55" w14:textId="05810923" w:rsidR="00D448AB" w:rsidRPr="00D448AB" w:rsidRDefault="00700D33" w:rsidP="00156969">
      <w:pPr>
        <w:spacing w:before="0" w:after="0"/>
        <w:ind w:left="426"/>
        <w:rPr>
          <w:sz w:val="16"/>
          <w:szCs w:val="16"/>
        </w:rPr>
      </w:pPr>
      <w:r>
        <w:rPr>
          <w:sz w:val="16"/>
          <w:szCs w:val="16"/>
        </w:rPr>
        <w:t xml:space="preserve">Abbreviations: </w:t>
      </w:r>
      <w:r w:rsidR="00D448AB">
        <w:rPr>
          <w:sz w:val="16"/>
          <w:szCs w:val="16"/>
        </w:rPr>
        <w:t xml:space="preserve">ALL = acute lymphoblastic leukaemia; ASR = age specific rate </w:t>
      </w:r>
    </w:p>
    <w:p w14:paraId="72DA203D" w14:textId="521EC4BE" w:rsidR="00D448AB" w:rsidRDefault="00D448AB" w:rsidP="00D448AB">
      <w:pPr>
        <w:pStyle w:val="ListParagraph"/>
        <w:spacing w:before="0" w:after="0"/>
        <w:ind w:left="786"/>
        <w:rPr>
          <w:b/>
          <w:bCs/>
          <w:sz w:val="16"/>
          <w:szCs w:val="16"/>
        </w:rPr>
      </w:pPr>
    </w:p>
    <w:p w14:paraId="46CA8C7D" w14:textId="77777777" w:rsidR="00605149" w:rsidRPr="00605149" w:rsidRDefault="00605149" w:rsidP="00826E15">
      <w:pPr>
        <w:spacing w:before="0" w:after="0"/>
        <w:rPr>
          <w:sz w:val="16"/>
          <w:szCs w:val="16"/>
        </w:rPr>
      </w:pPr>
    </w:p>
    <w:p w14:paraId="4D32734E"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6EF664CF" w14:textId="61563880" w:rsidR="00166047" w:rsidRDefault="004F0CEF" w:rsidP="006946F3">
      <w:pPr>
        <w:ind w:left="426"/>
      </w:pPr>
      <w:r>
        <w:t>The</w:t>
      </w:r>
      <w:r>
        <w:rPr>
          <w:spacing w:val="-3"/>
        </w:rPr>
        <w:t xml:space="preserve"> </w:t>
      </w:r>
      <w:r>
        <w:t>proposed</w:t>
      </w:r>
      <w:r>
        <w:rPr>
          <w:spacing w:val="-3"/>
        </w:rPr>
        <w:t xml:space="preserve"> </w:t>
      </w:r>
      <w:r>
        <w:t>therapy</w:t>
      </w:r>
      <w:r>
        <w:rPr>
          <w:spacing w:val="-2"/>
        </w:rPr>
        <w:t xml:space="preserve"> </w:t>
      </w:r>
      <w:r>
        <w:t>involves</w:t>
      </w:r>
      <w:r>
        <w:rPr>
          <w:spacing w:val="-3"/>
        </w:rPr>
        <w:t xml:space="preserve"> </w:t>
      </w:r>
      <w:r>
        <w:t>the</w:t>
      </w:r>
      <w:r>
        <w:rPr>
          <w:spacing w:val="-3"/>
        </w:rPr>
        <w:t xml:space="preserve"> </w:t>
      </w:r>
      <w:r>
        <w:t>administration</w:t>
      </w:r>
      <w:r>
        <w:rPr>
          <w:spacing w:val="-2"/>
        </w:rPr>
        <w:t xml:space="preserve"> </w:t>
      </w:r>
      <w:r>
        <w:t>of</w:t>
      </w:r>
      <w:r>
        <w:rPr>
          <w:spacing w:val="-3"/>
        </w:rPr>
        <w:t xml:space="preserve"> </w:t>
      </w:r>
      <w:r>
        <w:t>a</w:t>
      </w:r>
      <w:r>
        <w:rPr>
          <w:spacing w:val="-3"/>
        </w:rPr>
        <w:t xml:space="preserve"> </w:t>
      </w:r>
      <w:r>
        <w:t>single</w:t>
      </w:r>
      <w:r>
        <w:rPr>
          <w:spacing w:val="-2"/>
        </w:rPr>
        <w:t xml:space="preserve"> </w:t>
      </w:r>
      <w:r>
        <w:t>infusion.</w:t>
      </w:r>
    </w:p>
    <w:p w14:paraId="43C27F22" w14:textId="77777777" w:rsidR="00AC538C" w:rsidRPr="004F0CEF" w:rsidRDefault="00AC538C" w:rsidP="006946F3">
      <w:pPr>
        <w:ind w:left="426"/>
      </w:pPr>
    </w:p>
    <w:p w14:paraId="4113D07A" w14:textId="77777777" w:rsidR="00382407" w:rsidRPr="00154B00" w:rsidRDefault="00382407" w:rsidP="00530204">
      <w:pPr>
        <w:pStyle w:val="Heading2"/>
      </w:pPr>
      <w:r w:rsidRPr="00154B00">
        <w:lastRenderedPageBreak/>
        <w:t>How many years would the proposed medical service</w:t>
      </w:r>
      <w:r w:rsidR="00FC1607">
        <w:t>/technology</w:t>
      </w:r>
      <w:r w:rsidRPr="00154B00">
        <w:t xml:space="preserve"> be required for the patient?</w:t>
      </w:r>
    </w:p>
    <w:p w14:paraId="29876D3F" w14:textId="6B743FFE" w:rsidR="00AC538C" w:rsidRPr="004F0CEF" w:rsidRDefault="004F0CEF" w:rsidP="00944F58">
      <w:pPr>
        <w:ind w:left="426"/>
      </w:pPr>
      <w:r>
        <w:t>The</w:t>
      </w:r>
      <w:r>
        <w:rPr>
          <w:spacing w:val="-3"/>
        </w:rPr>
        <w:t xml:space="preserve"> </w:t>
      </w:r>
      <w:r>
        <w:t>proposed</w:t>
      </w:r>
      <w:r>
        <w:rPr>
          <w:spacing w:val="-3"/>
        </w:rPr>
        <w:t xml:space="preserve"> </w:t>
      </w:r>
      <w:r>
        <w:t>therapy</w:t>
      </w:r>
      <w:r>
        <w:rPr>
          <w:spacing w:val="-2"/>
        </w:rPr>
        <w:t xml:space="preserve"> </w:t>
      </w:r>
      <w:r>
        <w:t>involves</w:t>
      </w:r>
      <w:r>
        <w:rPr>
          <w:spacing w:val="-3"/>
        </w:rPr>
        <w:t xml:space="preserve"> </w:t>
      </w:r>
      <w:r>
        <w:t>the</w:t>
      </w:r>
      <w:r>
        <w:rPr>
          <w:spacing w:val="-3"/>
        </w:rPr>
        <w:t xml:space="preserve"> </w:t>
      </w:r>
      <w:r>
        <w:t>administration</w:t>
      </w:r>
      <w:r>
        <w:rPr>
          <w:spacing w:val="-2"/>
        </w:rPr>
        <w:t xml:space="preserve"> </w:t>
      </w:r>
      <w:r>
        <w:t>of</w:t>
      </w:r>
      <w:r>
        <w:rPr>
          <w:spacing w:val="-3"/>
        </w:rPr>
        <w:t xml:space="preserve"> </w:t>
      </w:r>
      <w:r>
        <w:t>a</w:t>
      </w:r>
      <w:r>
        <w:rPr>
          <w:spacing w:val="-3"/>
        </w:rPr>
        <w:t xml:space="preserve"> </w:t>
      </w:r>
      <w:r>
        <w:t>single</w:t>
      </w:r>
      <w:r>
        <w:rPr>
          <w:spacing w:val="-2"/>
        </w:rPr>
        <w:t xml:space="preserve"> </w:t>
      </w:r>
      <w:r>
        <w:t>infusion</w:t>
      </w:r>
      <w:r w:rsidR="00900108">
        <w:t xml:space="preserve"> in a patient’s lifetime</w:t>
      </w:r>
      <w:r>
        <w:t>.</w:t>
      </w:r>
    </w:p>
    <w:p w14:paraId="7B115D2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530B46E" w14:textId="65C7E769" w:rsidR="009A1DAB" w:rsidRPr="00944F58" w:rsidRDefault="003C07A0" w:rsidP="00944F58">
      <w:pPr>
        <w:ind w:left="426"/>
      </w:pPr>
      <w:r>
        <w:rPr>
          <w:szCs w:val="20"/>
        </w:rPr>
        <w:t>The projected number of patients who will utilise Tecart</w:t>
      </w:r>
      <w:r w:rsidR="004052F2">
        <w:rPr>
          <w:szCs w:val="20"/>
        </w:rPr>
        <w:t>u</w:t>
      </w:r>
      <w:r>
        <w:rPr>
          <w:szCs w:val="20"/>
        </w:rPr>
        <w:t xml:space="preserve">s for </w:t>
      </w:r>
      <w:r>
        <w:t>relapsed/refractory B-ALL in the first year will be fully calculated in the application.</w:t>
      </w:r>
    </w:p>
    <w:p w14:paraId="053F8198"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1C3F507" w14:textId="1D191B00" w:rsidR="004052F2" w:rsidRPr="000B30CC" w:rsidRDefault="004052F2" w:rsidP="004052F2">
      <w:pPr>
        <w:pStyle w:val="Response"/>
      </w:pPr>
      <w:r w:rsidRPr="000B30CC">
        <w:t xml:space="preserve">The likely rate of uptake of </w:t>
      </w:r>
      <w:r>
        <w:t>brexu</w:t>
      </w:r>
      <w:r w:rsidRPr="000B30CC">
        <w:t xml:space="preserve">cabtagene </w:t>
      </w:r>
      <w:r>
        <w:t>auto</w:t>
      </w:r>
      <w:r w:rsidRPr="000B30CC">
        <w:t>leucel in the population of patients with relapsed or refractory</w:t>
      </w:r>
      <w:r>
        <w:t xml:space="preserve"> B-ALL</w:t>
      </w:r>
      <w:r w:rsidRPr="000B30CC">
        <w:t xml:space="preserve"> after first-line treatment is currently unknown</w:t>
      </w:r>
      <w:r>
        <w:t>;</w:t>
      </w:r>
      <w:r w:rsidRPr="000B30CC">
        <w:t xml:space="preserve"> however</w:t>
      </w:r>
      <w:r w:rsidR="002D4447">
        <w:t>,</w:t>
      </w:r>
      <w:r w:rsidRPr="000B30CC">
        <w:t xml:space="preserve"> Gilead plans to conduct market </w:t>
      </w:r>
      <w:r>
        <w:t xml:space="preserve">research </w:t>
      </w:r>
      <w:r w:rsidRPr="000B30CC">
        <w:t xml:space="preserve">to ascertain </w:t>
      </w:r>
      <w:r>
        <w:t xml:space="preserve">the </w:t>
      </w:r>
      <w:r w:rsidRPr="000B30CC">
        <w:t xml:space="preserve">likely uptake in this setting. A detailed analysis of likely extent of use of </w:t>
      </w:r>
      <w:r>
        <w:t>brexu</w:t>
      </w:r>
      <w:r w:rsidRPr="000B30CC">
        <w:t xml:space="preserve">cabtagene </w:t>
      </w:r>
      <w:r>
        <w:t>auto</w:t>
      </w:r>
      <w:r w:rsidRPr="000B30CC">
        <w:t>leucel will be presented in the applicant-developed assessment report (ADAR) that will be lodged with MSAC.</w:t>
      </w:r>
    </w:p>
    <w:p w14:paraId="059BFB2B" w14:textId="77777777" w:rsidR="004052F2" w:rsidRPr="000B30CC" w:rsidRDefault="004052F2" w:rsidP="004052F2">
      <w:pPr>
        <w:pStyle w:val="Response"/>
      </w:pPr>
      <w:r w:rsidRPr="000B30CC">
        <w:t xml:space="preserve">The risk of use beyond the </w:t>
      </w:r>
      <w:r>
        <w:t>proposed population</w:t>
      </w:r>
      <w:r w:rsidRPr="000B30CC">
        <w:t xml:space="preserve"> is low given that it is highly unlikely the product would be used in patients other than those for whom reimbursement is sought</w:t>
      </w:r>
      <w:r>
        <w:t xml:space="preserve"> due to the strict eligibility criteria for funding CAR-T therapies</w:t>
      </w:r>
      <w:r w:rsidRPr="000B30CC">
        <w:t>.</w:t>
      </w:r>
    </w:p>
    <w:p w14:paraId="7ACA3EA3" w14:textId="77777777" w:rsidR="003433D1" w:rsidRDefault="003433D1">
      <w:pPr>
        <w:rPr>
          <w:b/>
          <w:sz w:val="32"/>
          <w:szCs w:val="32"/>
        </w:rPr>
      </w:pPr>
      <w:r>
        <w:rPr>
          <w:b/>
          <w:sz w:val="32"/>
          <w:szCs w:val="32"/>
        </w:rPr>
        <w:br w:type="page"/>
      </w:r>
    </w:p>
    <w:p w14:paraId="3BD1DC31"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CF909B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10BFC3E" w14:textId="410595F7" w:rsidR="009A1DAB" w:rsidRPr="004F0CEF" w:rsidRDefault="004F0CEF" w:rsidP="00944F58">
      <w:pPr>
        <w:ind w:left="426"/>
      </w:pPr>
      <w:bookmarkStart w:id="20" w:name="_Hlk97735934"/>
      <w:r>
        <w:t xml:space="preserve">The cost of providing brexucabtagene autoleucel has not been determined </w:t>
      </w:r>
      <w:proofErr w:type="gramStart"/>
      <w:r>
        <w:t>at this point in time</w:t>
      </w:r>
      <w:proofErr w:type="gramEnd"/>
      <w:r>
        <w:t>.</w:t>
      </w:r>
      <w:r>
        <w:rPr>
          <w:spacing w:val="-43"/>
        </w:rPr>
        <w:t xml:space="preserve"> </w:t>
      </w:r>
      <w:r w:rsidR="004052F2">
        <w:rPr>
          <w:spacing w:val="-43"/>
        </w:rPr>
        <w:t xml:space="preserve">   </w:t>
      </w:r>
      <w:r>
        <w:t>Information</w:t>
      </w:r>
      <w:r>
        <w:rPr>
          <w:spacing w:val="-1"/>
        </w:rPr>
        <w:t xml:space="preserve"> </w:t>
      </w:r>
      <w:r>
        <w:t>regarding</w:t>
      </w:r>
      <w:r>
        <w:rPr>
          <w:spacing w:val="-1"/>
        </w:rPr>
        <w:t xml:space="preserve"> </w:t>
      </w:r>
      <w:r>
        <w:t>costs</w:t>
      </w:r>
      <w:r>
        <w:rPr>
          <w:spacing w:val="-3"/>
        </w:rPr>
        <w:t xml:space="preserve"> </w:t>
      </w:r>
      <w:r>
        <w:t>will</w:t>
      </w:r>
      <w:r>
        <w:rPr>
          <w:spacing w:val="-1"/>
        </w:rPr>
        <w:t xml:space="preserve"> </w:t>
      </w:r>
      <w:r>
        <w:t>be provided</w:t>
      </w:r>
      <w:r>
        <w:rPr>
          <w:spacing w:val="-1"/>
        </w:rPr>
        <w:t xml:space="preserve"> </w:t>
      </w:r>
      <w:r>
        <w:t>in the submission</w:t>
      </w:r>
      <w:bookmarkEnd w:id="20"/>
      <w:r>
        <w:t>.</w:t>
      </w:r>
    </w:p>
    <w:p w14:paraId="1C80DFBA"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2BDB86FC" w14:textId="6B81CBE0" w:rsidR="009A1DAB" w:rsidRPr="00D5564B" w:rsidRDefault="00D5564B" w:rsidP="00944F58">
      <w:pPr>
        <w:ind w:left="426"/>
        <w:rPr>
          <w:b/>
          <w:bCs/>
        </w:rPr>
      </w:pPr>
      <w:r w:rsidRPr="00D5564B">
        <w:rPr>
          <w:b/>
          <w:bCs/>
        </w:rPr>
        <w:t>REDACTED</w:t>
      </w:r>
    </w:p>
    <w:p w14:paraId="6605954E" w14:textId="61C22D55" w:rsid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76FDB5D6" w14:textId="0E4FD644" w:rsidR="009A1DAB" w:rsidRDefault="00944F58" w:rsidP="009817A6">
      <w:pPr>
        <w:ind w:firstLine="360"/>
      </w:pPr>
      <w:r>
        <w:t>N/A</w:t>
      </w:r>
    </w:p>
    <w:p w14:paraId="5B1C5752" w14:textId="1FD6300A" w:rsid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2124B64F" w14:textId="30AF91BE" w:rsidR="0003467E" w:rsidRDefault="00944F58" w:rsidP="00944F58">
      <w:pPr>
        <w:ind w:firstLine="360"/>
      </w:pPr>
      <w:r>
        <w:t>N/A</w:t>
      </w:r>
    </w:p>
    <w:p w14:paraId="3CFA2A1F" w14:textId="7E35DA82" w:rsidR="009A1DAB" w:rsidRDefault="009A1DAB">
      <w:pPr>
        <w:spacing w:before="0" w:after="200" w:line="276" w:lineRule="auto"/>
        <w:jc w:val="left"/>
        <w:rPr>
          <w:bCs/>
          <w:color w:val="4F81BD" w:themeColor="accent1"/>
          <w:sz w:val="40"/>
          <w:szCs w:val="32"/>
        </w:rPr>
      </w:pPr>
      <w:r>
        <w:rPr>
          <w:b/>
          <w:bCs/>
          <w:color w:val="4F81BD" w:themeColor="accent1"/>
          <w:sz w:val="40"/>
          <w:szCs w:val="32"/>
        </w:rPr>
        <w:br w:type="page"/>
      </w:r>
    </w:p>
    <w:p w14:paraId="112E6D19" w14:textId="51590B35" w:rsidR="0003467E" w:rsidRPr="00AA5DA6" w:rsidRDefault="0003467E" w:rsidP="0003467E">
      <w:pPr>
        <w:pStyle w:val="Heading2"/>
        <w:numPr>
          <w:ilvl w:val="0"/>
          <w:numId w:val="0"/>
        </w:numPr>
        <w:ind w:left="360" w:hanging="360"/>
        <w:rPr>
          <w:b w:val="0"/>
          <w:bCs/>
          <w:color w:val="4F81BD" w:themeColor="accent1"/>
          <w:sz w:val="40"/>
          <w:szCs w:val="32"/>
        </w:rPr>
      </w:pPr>
      <w:r w:rsidRPr="00AA5DA6">
        <w:rPr>
          <w:b w:val="0"/>
          <w:bCs/>
          <w:color w:val="4F81BD" w:themeColor="accent1"/>
          <w:sz w:val="40"/>
          <w:szCs w:val="32"/>
        </w:rPr>
        <w:lastRenderedPageBreak/>
        <w:t>PROPOSED PICO CRITERIA</w:t>
      </w:r>
    </w:p>
    <w:p w14:paraId="3D1C00D8" w14:textId="0127AEAF" w:rsidR="0003467E" w:rsidRDefault="0003467E" w:rsidP="009817A6">
      <w:pPr>
        <w:jc w:val="left"/>
      </w:pPr>
      <w:r>
        <w:fldChar w:fldCharType="begin"/>
      </w:r>
      <w:r>
        <w:instrText xml:space="preserve"> REF _Ref45295170 \h </w:instrText>
      </w:r>
      <w:r w:rsidR="009817A6">
        <w:instrText xml:space="preserve"> \* MERGEFORMAT </w:instrText>
      </w:r>
      <w:r>
        <w:fldChar w:fldCharType="separate"/>
      </w:r>
      <w:r w:rsidR="008D59CE" w:rsidRPr="00E651F5">
        <w:t xml:space="preserve">Table </w:t>
      </w:r>
      <w:r>
        <w:fldChar w:fldCharType="end"/>
      </w:r>
      <w:r w:rsidR="009A1DAB">
        <w:t>3</w:t>
      </w:r>
      <w:r>
        <w:t xml:space="preserve"> summarises the proposed key components of the PICO criteria to be addressed in a submission that seeks to provide an answer to the fundamental research question of</w:t>
      </w:r>
      <w:r w:rsidR="008D59CE">
        <w:t xml:space="preserve"> the use of</w:t>
      </w:r>
      <w:r>
        <w:t>:</w:t>
      </w:r>
    </w:p>
    <w:p w14:paraId="7B9AA120" w14:textId="77777777" w:rsidR="008D59CE" w:rsidRDefault="008D59CE" w:rsidP="009817A6">
      <w:pPr>
        <w:jc w:val="left"/>
      </w:pPr>
      <w:r w:rsidRPr="00AA5DA6">
        <w:t xml:space="preserve">Brexucabtagene autoleucel for the treatment of </w:t>
      </w:r>
      <w:r>
        <w:t xml:space="preserve">adult </w:t>
      </w:r>
      <w:r w:rsidRPr="00AA5DA6">
        <w:t xml:space="preserve">patients </w:t>
      </w:r>
      <w:r>
        <w:t xml:space="preserve">(≥ 18 years of age) </w:t>
      </w:r>
      <w:r w:rsidRPr="00AA5DA6">
        <w:t xml:space="preserve">with </w:t>
      </w:r>
      <w:r>
        <w:t xml:space="preserve">relapsed </w:t>
      </w:r>
      <w:r w:rsidRPr="00746D2E">
        <w:t>or refractory B-precursor acute lymphoblastic leukaemia</w:t>
      </w:r>
      <w:r>
        <w:t xml:space="preserve"> (B-ALL). </w:t>
      </w:r>
      <w:r w:rsidRPr="00727401">
        <w:t xml:space="preserve">Relapsed or refractory disease </w:t>
      </w:r>
      <w:r>
        <w:t>is</w:t>
      </w:r>
      <w:r w:rsidRPr="00727401">
        <w:t xml:space="preserve"> defined as </w:t>
      </w:r>
      <w:r>
        <w:t xml:space="preserve">one of the following: </w:t>
      </w:r>
    </w:p>
    <w:p w14:paraId="76244E5E" w14:textId="77777777" w:rsidR="008D59CE" w:rsidRDefault="008D59CE" w:rsidP="008D59CE">
      <w:pPr>
        <w:pStyle w:val="ListParagraph"/>
        <w:numPr>
          <w:ilvl w:val="0"/>
          <w:numId w:val="20"/>
        </w:numPr>
      </w:pPr>
      <w:r>
        <w:t>P</w:t>
      </w:r>
      <w:r w:rsidRPr="00727401">
        <w:t xml:space="preserve">rimary refractory </w:t>
      </w:r>
    </w:p>
    <w:p w14:paraId="69DF7531" w14:textId="77777777" w:rsidR="008D59CE" w:rsidRDefault="008D59CE" w:rsidP="008D59CE">
      <w:pPr>
        <w:pStyle w:val="ListParagraph"/>
        <w:numPr>
          <w:ilvl w:val="0"/>
          <w:numId w:val="20"/>
        </w:numPr>
      </w:pPr>
      <w:r>
        <w:t>F</w:t>
      </w:r>
      <w:r w:rsidRPr="00727401">
        <w:t xml:space="preserve">irst relapse </w:t>
      </w:r>
      <w:r>
        <w:t xml:space="preserve">if </w:t>
      </w:r>
      <w:r w:rsidRPr="00727401">
        <w:t xml:space="preserve">remission </w:t>
      </w:r>
      <w:r>
        <w:t>was</w:t>
      </w:r>
      <w:r w:rsidRPr="00727401">
        <w:t xml:space="preserve"> 12 months or less </w:t>
      </w:r>
    </w:p>
    <w:p w14:paraId="3C9FBB2F" w14:textId="77777777" w:rsidR="008D59CE" w:rsidRDefault="008D59CE" w:rsidP="008D59CE">
      <w:pPr>
        <w:pStyle w:val="ListParagraph"/>
        <w:numPr>
          <w:ilvl w:val="0"/>
          <w:numId w:val="20"/>
        </w:numPr>
      </w:pPr>
      <w:r>
        <w:t>R</w:t>
      </w:r>
      <w:r w:rsidRPr="00727401">
        <w:t xml:space="preserve">elapsed or refractory after two </w:t>
      </w:r>
      <w:r>
        <w:t>or more</w:t>
      </w:r>
      <w:r w:rsidRPr="00727401">
        <w:t xml:space="preserve"> lines of systemic therapy</w:t>
      </w:r>
    </w:p>
    <w:p w14:paraId="56DCC081" w14:textId="77777777" w:rsidR="008D59CE" w:rsidRDefault="008D59CE" w:rsidP="008D59CE">
      <w:pPr>
        <w:pStyle w:val="ListParagraph"/>
        <w:numPr>
          <w:ilvl w:val="0"/>
          <w:numId w:val="20"/>
        </w:numPr>
      </w:pPr>
      <w:r>
        <w:t>R</w:t>
      </w:r>
      <w:r w:rsidRPr="00727401">
        <w:t xml:space="preserve">elapsed or refractory after </w:t>
      </w:r>
      <w:r>
        <w:t>allogeneic stem-cell transplant</w:t>
      </w:r>
    </w:p>
    <w:p w14:paraId="56BE0CC9" w14:textId="234C1B4E" w:rsidR="0003467E" w:rsidRPr="00E651F5" w:rsidRDefault="009A1DAB" w:rsidP="009A1DAB">
      <w:pPr>
        <w:pStyle w:val="Caption"/>
      </w:pPr>
      <w:r>
        <w:t xml:space="preserve">Table </w:t>
      </w:r>
      <w:r w:rsidR="0013236B">
        <w:fldChar w:fldCharType="begin"/>
      </w:r>
      <w:r w:rsidR="0013236B">
        <w:instrText xml:space="preserve"> SEQ Table \* ARABIC </w:instrText>
      </w:r>
      <w:r w:rsidR="0013236B">
        <w:fldChar w:fldCharType="separate"/>
      </w:r>
      <w:r>
        <w:rPr>
          <w:noProof/>
        </w:rPr>
        <w:t>3</w:t>
      </w:r>
      <w:r w:rsidR="0013236B">
        <w:rPr>
          <w:noProof/>
        </w:rPr>
        <w:fldChar w:fldCharType="end"/>
      </w:r>
      <w:r w:rsidR="0003467E" w:rsidRPr="00E651F5">
        <w:t xml:space="preserve">: Summary of proposed PICO criteria </w:t>
      </w:r>
    </w:p>
    <w:tbl>
      <w:tblPr>
        <w:tblStyle w:val="TableGrid"/>
        <w:tblW w:w="9781" w:type="dxa"/>
        <w:tblInd w:w="-5" w:type="dxa"/>
        <w:tblLook w:val="04A0" w:firstRow="1" w:lastRow="0" w:firstColumn="1" w:lastColumn="0" w:noHBand="0" w:noVBand="1"/>
        <w:tblCaption w:val="Table 2"/>
        <w:tblDescription w:val="Table"/>
      </w:tblPr>
      <w:tblGrid>
        <w:gridCol w:w="1227"/>
        <w:gridCol w:w="8554"/>
      </w:tblGrid>
      <w:tr w:rsidR="0003467E" w:rsidRPr="00E651F5" w14:paraId="1E6F208E" w14:textId="77777777" w:rsidTr="009817A6">
        <w:trPr>
          <w:tblHeader/>
        </w:trPr>
        <w:tc>
          <w:tcPr>
            <w:tcW w:w="1134" w:type="dxa"/>
          </w:tcPr>
          <w:p w14:paraId="53FD608C" w14:textId="77777777" w:rsidR="0003467E" w:rsidRPr="00E651F5" w:rsidRDefault="0003467E" w:rsidP="001543FD">
            <w:pPr>
              <w:spacing w:before="0" w:after="0" w:line="264" w:lineRule="auto"/>
              <w:rPr>
                <w:b/>
                <w:bCs/>
              </w:rPr>
            </w:pPr>
            <w:r w:rsidRPr="00E651F5">
              <w:rPr>
                <w:b/>
                <w:bCs/>
              </w:rPr>
              <w:t>Component</w:t>
            </w:r>
          </w:p>
        </w:tc>
        <w:tc>
          <w:tcPr>
            <w:tcW w:w="8647" w:type="dxa"/>
          </w:tcPr>
          <w:p w14:paraId="3A6DB96B" w14:textId="77777777" w:rsidR="0003467E" w:rsidRPr="00E651F5" w:rsidRDefault="0003467E" w:rsidP="001543FD">
            <w:pPr>
              <w:spacing w:before="0" w:after="0" w:line="264" w:lineRule="auto"/>
              <w:rPr>
                <w:b/>
                <w:bCs/>
              </w:rPr>
            </w:pPr>
            <w:r w:rsidRPr="00E651F5">
              <w:rPr>
                <w:b/>
                <w:bCs/>
              </w:rPr>
              <w:t>Description</w:t>
            </w:r>
          </w:p>
        </w:tc>
      </w:tr>
      <w:tr w:rsidR="0003467E" w14:paraId="510DDA15" w14:textId="77777777" w:rsidTr="009817A6">
        <w:tc>
          <w:tcPr>
            <w:tcW w:w="1134" w:type="dxa"/>
          </w:tcPr>
          <w:p w14:paraId="2840A388" w14:textId="77777777" w:rsidR="0003467E" w:rsidRPr="00E651F5" w:rsidRDefault="0003467E" w:rsidP="001543FD">
            <w:pPr>
              <w:spacing w:before="0" w:after="0" w:line="264" w:lineRule="auto"/>
            </w:pPr>
            <w:r w:rsidRPr="00E651F5">
              <w:t>Population</w:t>
            </w:r>
          </w:p>
        </w:tc>
        <w:tc>
          <w:tcPr>
            <w:tcW w:w="8647" w:type="dxa"/>
          </w:tcPr>
          <w:p w14:paraId="0ADC32DA" w14:textId="77777777" w:rsidR="0003467E" w:rsidRDefault="0003467E" w:rsidP="0003467E">
            <w:pPr>
              <w:spacing w:before="0" w:after="0" w:line="264" w:lineRule="auto"/>
            </w:pPr>
            <w:r>
              <w:t xml:space="preserve">Brexucabtagene autoleucel for the treatment of adult patients (≥ 18 years of age) with relapsed or refractory B-precursor acute lymphoblastic leukaemia (B-ALL). Relapsed or refractory disease is defined as one of the following: </w:t>
            </w:r>
          </w:p>
          <w:p w14:paraId="3C979795" w14:textId="77777777" w:rsidR="0003467E" w:rsidRDefault="0003467E" w:rsidP="009817A6">
            <w:pPr>
              <w:spacing w:before="0" w:after="0"/>
              <w:ind w:left="737" w:hanging="312"/>
            </w:pPr>
            <w:r>
              <w:t>•</w:t>
            </w:r>
            <w:r>
              <w:tab/>
              <w:t xml:space="preserve">Primary refractory </w:t>
            </w:r>
          </w:p>
          <w:p w14:paraId="1E9F066C" w14:textId="77777777" w:rsidR="0003467E" w:rsidRDefault="0003467E" w:rsidP="009817A6">
            <w:pPr>
              <w:spacing w:before="0" w:after="0"/>
              <w:ind w:left="737" w:hanging="312"/>
            </w:pPr>
            <w:r>
              <w:t>•</w:t>
            </w:r>
            <w:r>
              <w:tab/>
              <w:t xml:space="preserve">First relapse if remission was 12 months or less </w:t>
            </w:r>
          </w:p>
          <w:p w14:paraId="55C62829" w14:textId="77777777" w:rsidR="0003467E" w:rsidRDefault="0003467E" w:rsidP="009817A6">
            <w:pPr>
              <w:spacing w:before="0" w:after="0"/>
              <w:ind w:left="737" w:hanging="312"/>
            </w:pPr>
            <w:r>
              <w:t>•</w:t>
            </w:r>
            <w:r>
              <w:tab/>
              <w:t>Relapsed or refractory after two or more lines of systemic therapy</w:t>
            </w:r>
          </w:p>
          <w:p w14:paraId="52CE57DF" w14:textId="2DFF9F50" w:rsidR="0003467E" w:rsidRPr="00E651F5" w:rsidRDefault="0003467E" w:rsidP="009817A6">
            <w:pPr>
              <w:spacing w:before="0" w:after="0"/>
              <w:ind w:left="737" w:hanging="312"/>
            </w:pPr>
            <w:r>
              <w:t>•</w:t>
            </w:r>
            <w:r>
              <w:tab/>
              <w:t>Relapsed or refractory after allogeneic stem-cell transplant</w:t>
            </w:r>
          </w:p>
        </w:tc>
      </w:tr>
      <w:tr w:rsidR="0003467E" w:rsidRPr="00637C62" w14:paraId="7D0ECB3E" w14:textId="77777777" w:rsidTr="009817A6">
        <w:tc>
          <w:tcPr>
            <w:tcW w:w="1134" w:type="dxa"/>
          </w:tcPr>
          <w:p w14:paraId="1B7429D4" w14:textId="77777777" w:rsidR="0003467E" w:rsidRDefault="0003467E" w:rsidP="001543FD">
            <w:pPr>
              <w:spacing w:before="0" w:after="0" w:line="264" w:lineRule="auto"/>
            </w:pPr>
            <w:r>
              <w:t>Intervention</w:t>
            </w:r>
          </w:p>
        </w:tc>
        <w:tc>
          <w:tcPr>
            <w:tcW w:w="8647" w:type="dxa"/>
          </w:tcPr>
          <w:p w14:paraId="52756775" w14:textId="77777777" w:rsidR="0003467E" w:rsidRPr="00637C62" w:rsidRDefault="0003467E" w:rsidP="001543FD">
            <w:pPr>
              <w:spacing w:before="0" w:after="0" w:line="264" w:lineRule="auto"/>
            </w:pPr>
            <w:r>
              <w:t>B</w:t>
            </w:r>
            <w:r w:rsidRPr="00637C62">
              <w:rPr>
                <w:lang w:val="de-DE"/>
              </w:rPr>
              <w:t>rexucabtagene autoleucel</w:t>
            </w:r>
          </w:p>
        </w:tc>
      </w:tr>
      <w:tr w:rsidR="0003467E" w14:paraId="5B18F862" w14:textId="77777777" w:rsidTr="009817A6">
        <w:tc>
          <w:tcPr>
            <w:tcW w:w="1134" w:type="dxa"/>
          </w:tcPr>
          <w:p w14:paraId="3B97FE43" w14:textId="77777777" w:rsidR="0003467E" w:rsidRDefault="0003467E" w:rsidP="001543FD">
            <w:pPr>
              <w:spacing w:before="0" w:after="0" w:line="264" w:lineRule="auto"/>
            </w:pPr>
            <w:r>
              <w:t>Comparator</w:t>
            </w:r>
          </w:p>
        </w:tc>
        <w:tc>
          <w:tcPr>
            <w:tcW w:w="8647" w:type="dxa"/>
          </w:tcPr>
          <w:p w14:paraId="3CB0024D" w14:textId="4840FAD2" w:rsidR="0059684D" w:rsidRDefault="0059684D" w:rsidP="00944F58">
            <w:pPr>
              <w:spacing w:before="0"/>
              <w:ind w:left="34"/>
            </w:pPr>
            <w:r>
              <w:t xml:space="preserve">The </w:t>
            </w:r>
            <w:r w:rsidRPr="00B71535">
              <w:t>proposed comparator</w:t>
            </w:r>
            <w:r>
              <w:t xml:space="preserve">s to be investigated are:  </w:t>
            </w:r>
          </w:p>
          <w:p w14:paraId="47550F0D" w14:textId="77777777" w:rsidR="0059684D" w:rsidRDefault="0059684D" w:rsidP="0059684D">
            <w:pPr>
              <w:pStyle w:val="ListParagraph"/>
              <w:numPr>
                <w:ilvl w:val="0"/>
                <w:numId w:val="32"/>
              </w:numPr>
              <w:ind w:left="457" w:hanging="239"/>
            </w:pPr>
            <w:r>
              <w:t xml:space="preserve">Salvage therapy in second and third line with the most relevant specific salvage therapies being </w:t>
            </w:r>
            <w:r w:rsidRPr="00B71535">
              <w:t xml:space="preserve">blinatumomab </w:t>
            </w:r>
            <w:r>
              <w:t xml:space="preserve">or </w:t>
            </w:r>
            <w:proofErr w:type="spellStart"/>
            <w:r>
              <w:t>i</w:t>
            </w:r>
            <w:r w:rsidRPr="00B71535">
              <w:t>notuzumab</w:t>
            </w:r>
            <w:proofErr w:type="spellEnd"/>
            <w:r w:rsidRPr="00B71535">
              <w:t xml:space="preserve"> with the intention to proceed to </w:t>
            </w:r>
            <w:proofErr w:type="spellStart"/>
            <w:r>
              <w:t>a</w:t>
            </w:r>
            <w:r w:rsidRPr="00B71535">
              <w:t>llo</w:t>
            </w:r>
            <w:proofErr w:type="spellEnd"/>
            <w:r w:rsidRPr="00B71535">
              <w:t xml:space="preserve">-SCT); </w:t>
            </w:r>
            <w:r>
              <w:t>and t</w:t>
            </w:r>
            <w:r w:rsidRPr="00B71535">
              <w:t xml:space="preserve">he alternative comparator is conventional salvage chemotherapy with the intention to proceed to </w:t>
            </w:r>
            <w:proofErr w:type="spellStart"/>
            <w:r>
              <w:t>a</w:t>
            </w:r>
            <w:r w:rsidRPr="00C15040">
              <w:t>llo</w:t>
            </w:r>
            <w:proofErr w:type="spellEnd"/>
            <w:r>
              <w:t>-</w:t>
            </w:r>
            <w:r w:rsidRPr="00C15040">
              <w:t>SCT</w:t>
            </w:r>
            <w:r w:rsidRPr="00B71535">
              <w:t>.</w:t>
            </w:r>
            <w:r>
              <w:t xml:space="preserve"> </w:t>
            </w:r>
          </w:p>
          <w:p w14:paraId="252F3FB7" w14:textId="77777777" w:rsidR="0059684D" w:rsidRDefault="0059684D" w:rsidP="0059684D">
            <w:pPr>
              <w:pStyle w:val="ListParagraph"/>
              <w:numPr>
                <w:ilvl w:val="0"/>
                <w:numId w:val="32"/>
              </w:numPr>
              <w:ind w:left="457" w:hanging="239"/>
            </w:pPr>
            <w:proofErr w:type="spellStart"/>
            <w:r>
              <w:t>Dasatinib</w:t>
            </w:r>
            <w:proofErr w:type="spellEnd"/>
            <w:r>
              <w:t xml:space="preserve"> in second and third line, in p</w:t>
            </w:r>
            <w:r w:rsidRPr="00032DF5">
              <w:t>atients with Ph1-positive ALL</w:t>
            </w:r>
            <w:r>
              <w:t xml:space="preserve"> and </w:t>
            </w:r>
            <w:r w:rsidRPr="00032DF5">
              <w:rPr>
                <w:i/>
                <w:iCs/>
              </w:rPr>
              <w:t>BCR-ABL</w:t>
            </w:r>
            <w:r w:rsidRPr="00032DF5">
              <w:t> mutations</w:t>
            </w:r>
            <w:r>
              <w:t>.</w:t>
            </w:r>
          </w:p>
          <w:p w14:paraId="51022A2E" w14:textId="10678E72" w:rsidR="0003467E" w:rsidRDefault="0059684D" w:rsidP="0059684D">
            <w:pPr>
              <w:pStyle w:val="ListParagraph"/>
              <w:numPr>
                <w:ilvl w:val="0"/>
                <w:numId w:val="32"/>
              </w:numPr>
              <w:ind w:left="457" w:hanging="239"/>
            </w:pPr>
            <w:proofErr w:type="spellStart"/>
            <w:r>
              <w:t>T</w:t>
            </w:r>
            <w:r w:rsidRPr="00072BEC">
              <w:t>isagenlecleucel</w:t>
            </w:r>
            <w:proofErr w:type="spellEnd"/>
            <w:r w:rsidRPr="00072BEC">
              <w:t xml:space="preserve"> </w:t>
            </w:r>
            <w:r>
              <w:t>in second and third line in eligible patients up to 25 years of age.</w:t>
            </w:r>
          </w:p>
        </w:tc>
      </w:tr>
      <w:tr w:rsidR="0003467E" w14:paraId="2F8B718A" w14:textId="77777777" w:rsidTr="009817A6">
        <w:tc>
          <w:tcPr>
            <w:tcW w:w="1134" w:type="dxa"/>
          </w:tcPr>
          <w:p w14:paraId="67FDA0FD" w14:textId="77777777" w:rsidR="0003467E" w:rsidRDefault="0003467E" w:rsidP="001543FD">
            <w:pPr>
              <w:spacing w:before="0" w:after="0" w:line="264" w:lineRule="auto"/>
            </w:pPr>
            <w:r>
              <w:t>Outcomes</w:t>
            </w:r>
          </w:p>
        </w:tc>
        <w:tc>
          <w:tcPr>
            <w:tcW w:w="8647" w:type="dxa"/>
          </w:tcPr>
          <w:p w14:paraId="0815FE81" w14:textId="77777777" w:rsidR="0003467E" w:rsidRPr="00D921E2" w:rsidRDefault="0003467E" w:rsidP="001543FD">
            <w:pPr>
              <w:spacing w:before="0" w:after="0" w:line="264" w:lineRule="auto"/>
              <w:rPr>
                <w:u w:val="single"/>
              </w:rPr>
            </w:pPr>
            <w:r w:rsidRPr="00D921E2">
              <w:rPr>
                <w:u w:val="single"/>
              </w:rPr>
              <w:t xml:space="preserve">Clinical Effectiveness: </w:t>
            </w:r>
          </w:p>
          <w:p w14:paraId="4ED14040" w14:textId="77777777" w:rsidR="0003467E" w:rsidRDefault="0003467E" w:rsidP="009817A6">
            <w:pPr>
              <w:pStyle w:val="ListParagraph"/>
              <w:numPr>
                <w:ilvl w:val="0"/>
                <w:numId w:val="30"/>
              </w:numPr>
              <w:spacing w:before="0" w:after="0"/>
              <w:ind w:left="357" w:hanging="357"/>
              <w:contextualSpacing w:val="0"/>
              <w:jc w:val="left"/>
            </w:pPr>
            <w:r>
              <w:t>Objective response rate (ORR) and Complete response rate (CRR)</w:t>
            </w:r>
          </w:p>
          <w:p w14:paraId="4C9AC997" w14:textId="77777777" w:rsidR="0003467E" w:rsidRDefault="0003467E" w:rsidP="009817A6">
            <w:pPr>
              <w:pStyle w:val="ListParagraph"/>
              <w:numPr>
                <w:ilvl w:val="0"/>
                <w:numId w:val="30"/>
              </w:numPr>
              <w:spacing w:before="0" w:after="0"/>
              <w:ind w:left="357" w:hanging="357"/>
              <w:contextualSpacing w:val="0"/>
              <w:jc w:val="left"/>
            </w:pPr>
            <w:r>
              <w:t>Duration of response</w:t>
            </w:r>
          </w:p>
          <w:p w14:paraId="693486BC" w14:textId="77777777" w:rsidR="0003467E" w:rsidRDefault="0003467E" w:rsidP="009817A6">
            <w:pPr>
              <w:pStyle w:val="ListParagraph"/>
              <w:numPr>
                <w:ilvl w:val="0"/>
                <w:numId w:val="30"/>
              </w:numPr>
              <w:spacing w:before="0" w:after="0"/>
              <w:ind w:left="357" w:hanging="357"/>
              <w:contextualSpacing w:val="0"/>
              <w:jc w:val="left"/>
            </w:pPr>
            <w:r>
              <w:t>Health-related quality of life (</w:t>
            </w:r>
            <w:proofErr w:type="spellStart"/>
            <w:r>
              <w:t>HRQoL</w:t>
            </w:r>
            <w:proofErr w:type="spellEnd"/>
            <w:r>
              <w:t>) in patients achieving and those not achieving response</w:t>
            </w:r>
          </w:p>
          <w:p w14:paraId="1F21D52E" w14:textId="77777777" w:rsidR="0003467E" w:rsidRDefault="0003467E" w:rsidP="009817A6">
            <w:pPr>
              <w:pStyle w:val="ListParagraph"/>
              <w:numPr>
                <w:ilvl w:val="0"/>
                <w:numId w:val="30"/>
              </w:numPr>
              <w:spacing w:before="0" w:after="0"/>
              <w:ind w:left="357" w:hanging="357"/>
              <w:contextualSpacing w:val="0"/>
              <w:jc w:val="left"/>
            </w:pPr>
            <w:r>
              <w:t>Survival in responders and non-responders</w:t>
            </w:r>
          </w:p>
          <w:p w14:paraId="6FFC1B5A" w14:textId="77777777" w:rsidR="0003467E" w:rsidRDefault="0003467E" w:rsidP="009817A6">
            <w:pPr>
              <w:pStyle w:val="ListParagraph"/>
              <w:numPr>
                <w:ilvl w:val="0"/>
                <w:numId w:val="30"/>
              </w:numPr>
              <w:spacing w:before="0" w:after="0"/>
              <w:ind w:left="357" w:hanging="357"/>
              <w:contextualSpacing w:val="0"/>
              <w:jc w:val="left"/>
            </w:pPr>
            <w:r>
              <w:t>Quality of life in responders and non-responders</w:t>
            </w:r>
          </w:p>
          <w:p w14:paraId="35B23D23" w14:textId="77777777" w:rsidR="0003467E" w:rsidRDefault="0003467E" w:rsidP="009817A6">
            <w:pPr>
              <w:pStyle w:val="ListParagraph"/>
              <w:numPr>
                <w:ilvl w:val="0"/>
                <w:numId w:val="30"/>
              </w:numPr>
              <w:spacing w:before="0" w:after="0"/>
              <w:ind w:left="357" w:hanging="357"/>
              <w:contextualSpacing w:val="0"/>
              <w:jc w:val="left"/>
            </w:pPr>
            <w:r>
              <w:t>Progression-free survival (PFS)</w:t>
            </w:r>
          </w:p>
          <w:p w14:paraId="11E041DB" w14:textId="77777777" w:rsidR="0003467E" w:rsidRDefault="0003467E" w:rsidP="009817A6">
            <w:pPr>
              <w:pStyle w:val="ListParagraph"/>
              <w:numPr>
                <w:ilvl w:val="0"/>
                <w:numId w:val="30"/>
              </w:numPr>
              <w:spacing w:before="0" w:after="0"/>
              <w:ind w:left="357" w:hanging="357"/>
              <w:contextualSpacing w:val="0"/>
              <w:jc w:val="left"/>
            </w:pPr>
            <w:proofErr w:type="spellStart"/>
            <w:r>
              <w:t>HRQoL</w:t>
            </w:r>
            <w:proofErr w:type="spellEnd"/>
            <w:r>
              <w:t xml:space="preserve"> in patients who are progression-free and those with progression</w:t>
            </w:r>
          </w:p>
          <w:p w14:paraId="634B35BD" w14:textId="77777777" w:rsidR="0003467E" w:rsidRDefault="0003467E" w:rsidP="009817A6">
            <w:pPr>
              <w:pStyle w:val="ListParagraph"/>
              <w:numPr>
                <w:ilvl w:val="0"/>
                <w:numId w:val="30"/>
              </w:numPr>
              <w:spacing w:before="0" w:after="0"/>
              <w:ind w:left="357" w:hanging="357"/>
              <w:contextualSpacing w:val="0"/>
              <w:jc w:val="left"/>
            </w:pPr>
            <w:r>
              <w:t>Overall survival</w:t>
            </w:r>
          </w:p>
          <w:p w14:paraId="575982ED" w14:textId="77777777" w:rsidR="0003467E" w:rsidRDefault="0003467E" w:rsidP="009817A6">
            <w:pPr>
              <w:pStyle w:val="ListParagraph"/>
              <w:numPr>
                <w:ilvl w:val="0"/>
                <w:numId w:val="30"/>
              </w:numPr>
              <w:spacing w:before="0" w:after="0"/>
              <w:ind w:left="357" w:hanging="357"/>
              <w:contextualSpacing w:val="0"/>
              <w:jc w:val="left"/>
            </w:pPr>
            <w:r>
              <w:t>Quality adjusted survival</w:t>
            </w:r>
          </w:p>
          <w:p w14:paraId="2000B430" w14:textId="77777777" w:rsidR="0003467E" w:rsidRPr="00D921E2" w:rsidRDefault="0003467E" w:rsidP="009817A6">
            <w:pPr>
              <w:spacing w:before="60" w:after="0"/>
              <w:rPr>
                <w:u w:val="single"/>
              </w:rPr>
            </w:pPr>
            <w:r w:rsidRPr="00D921E2">
              <w:rPr>
                <w:u w:val="single"/>
              </w:rPr>
              <w:t xml:space="preserve">Clinical efficacy: </w:t>
            </w:r>
          </w:p>
          <w:p w14:paraId="560D531A" w14:textId="77777777" w:rsidR="0003467E" w:rsidRDefault="0003467E" w:rsidP="009817A6">
            <w:pPr>
              <w:pStyle w:val="ListParagraph"/>
              <w:numPr>
                <w:ilvl w:val="0"/>
                <w:numId w:val="30"/>
              </w:numPr>
              <w:spacing w:before="0" w:after="0"/>
              <w:ind w:left="357" w:hanging="357"/>
              <w:contextualSpacing w:val="0"/>
              <w:jc w:val="left"/>
            </w:pPr>
            <w:r>
              <w:t>Percentage of patients having brexucabtagene autoleucel infused of those who underwent leukapheresis</w:t>
            </w:r>
          </w:p>
          <w:p w14:paraId="5839F917" w14:textId="77777777" w:rsidR="0003467E" w:rsidRDefault="0003467E" w:rsidP="009817A6">
            <w:pPr>
              <w:pStyle w:val="ListParagraph"/>
              <w:numPr>
                <w:ilvl w:val="0"/>
                <w:numId w:val="30"/>
              </w:numPr>
              <w:spacing w:before="0" w:after="0"/>
              <w:ind w:left="357" w:hanging="357"/>
              <w:contextualSpacing w:val="0"/>
              <w:jc w:val="left"/>
            </w:pPr>
            <w:r>
              <w:t>Time from collection (leukapheresis) to infusion of brexucabtagene autoleucel</w:t>
            </w:r>
          </w:p>
          <w:p w14:paraId="4315CFBB" w14:textId="77777777" w:rsidR="0003467E" w:rsidRPr="00A33CCD" w:rsidRDefault="0003467E" w:rsidP="009817A6">
            <w:pPr>
              <w:spacing w:before="60" w:after="0"/>
              <w:rPr>
                <w:u w:val="single"/>
              </w:rPr>
            </w:pPr>
            <w:r w:rsidRPr="00A33CCD">
              <w:rPr>
                <w:u w:val="single"/>
              </w:rPr>
              <w:t>Safety Outcomes:</w:t>
            </w:r>
          </w:p>
          <w:p w14:paraId="36CF13BF" w14:textId="77777777" w:rsidR="0003467E" w:rsidRDefault="0003467E" w:rsidP="009817A6">
            <w:pPr>
              <w:pStyle w:val="ListParagraph"/>
              <w:numPr>
                <w:ilvl w:val="0"/>
                <w:numId w:val="30"/>
              </w:numPr>
              <w:spacing w:before="0" w:after="0"/>
              <w:ind w:left="357" w:hanging="357"/>
              <w:contextualSpacing w:val="0"/>
              <w:jc w:val="left"/>
            </w:pPr>
            <w:r>
              <w:t>Incidence of adverse events (AEs) and serious adverse events (SAEs)</w:t>
            </w:r>
          </w:p>
          <w:p w14:paraId="413565EC" w14:textId="77777777" w:rsidR="0003467E" w:rsidRDefault="0003467E" w:rsidP="009817A6">
            <w:pPr>
              <w:pStyle w:val="ListParagraph"/>
              <w:numPr>
                <w:ilvl w:val="0"/>
                <w:numId w:val="30"/>
              </w:numPr>
              <w:spacing w:before="0" w:after="0"/>
              <w:ind w:left="357" w:hanging="357"/>
              <w:contextualSpacing w:val="0"/>
              <w:jc w:val="left"/>
            </w:pPr>
            <w:r>
              <w:t>Incidence of events of special interest (e.g., cytokine release syndrome)</w:t>
            </w:r>
          </w:p>
          <w:p w14:paraId="3893D8EA" w14:textId="77777777" w:rsidR="0003467E" w:rsidRPr="00A33CCD" w:rsidRDefault="0003467E" w:rsidP="009817A6">
            <w:pPr>
              <w:spacing w:before="60" w:after="0"/>
              <w:rPr>
                <w:u w:val="single"/>
              </w:rPr>
            </w:pPr>
            <w:r w:rsidRPr="00A33CCD">
              <w:rPr>
                <w:u w:val="single"/>
              </w:rPr>
              <w:t>Cost-effectiveness:</w:t>
            </w:r>
          </w:p>
          <w:p w14:paraId="1AF55C1B" w14:textId="77777777" w:rsidR="0003467E" w:rsidRDefault="0003467E" w:rsidP="009817A6">
            <w:pPr>
              <w:pStyle w:val="ListParagraph"/>
              <w:numPr>
                <w:ilvl w:val="0"/>
                <w:numId w:val="30"/>
              </w:numPr>
              <w:spacing w:before="0" w:after="0"/>
              <w:ind w:left="357" w:hanging="357"/>
              <w:contextualSpacing w:val="0"/>
              <w:jc w:val="left"/>
            </w:pPr>
            <w:r w:rsidRPr="00097E6E">
              <w:t>Healthcare resource use and associated costs</w:t>
            </w:r>
            <w:r>
              <w:t xml:space="preserve"> (including pre- and post-infusion), presented in disaggregated and aggregated format</w:t>
            </w:r>
          </w:p>
          <w:p w14:paraId="51DB3C24" w14:textId="77777777" w:rsidR="0003467E" w:rsidRDefault="0003467E" w:rsidP="009817A6">
            <w:pPr>
              <w:pStyle w:val="ListParagraph"/>
              <w:numPr>
                <w:ilvl w:val="0"/>
                <w:numId w:val="30"/>
              </w:numPr>
              <w:spacing w:before="0" w:after="0"/>
              <w:ind w:left="357" w:hanging="357"/>
              <w:contextualSpacing w:val="0"/>
              <w:jc w:val="left"/>
            </w:pPr>
            <w:r>
              <w:t>Incremental cost per life year gained (LYG)</w:t>
            </w:r>
          </w:p>
          <w:p w14:paraId="629F2417" w14:textId="77777777" w:rsidR="0003467E" w:rsidRDefault="0003467E" w:rsidP="009817A6">
            <w:pPr>
              <w:pStyle w:val="ListParagraph"/>
              <w:numPr>
                <w:ilvl w:val="0"/>
                <w:numId w:val="30"/>
              </w:numPr>
              <w:spacing w:before="0" w:after="0"/>
              <w:ind w:left="357" w:hanging="357"/>
              <w:contextualSpacing w:val="0"/>
              <w:jc w:val="left"/>
            </w:pPr>
            <w:r>
              <w:t>Incremental cost per quality adjusted life year (QALY)</w:t>
            </w:r>
          </w:p>
          <w:p w14:paraId="0E387F98" w14:textId="77777777" w:rsidR="0003467E" w:rsidRPr="00A33CCD" w:rsidRDefault="0003467E" w:rsidP="009817A6">
            <w:pPr>
              <w:spacing w:before="60" w:after="0"/>
              <w:rPr>
                <w:u w:val="single"/>
              </w:rPr>
            </w:pPr>
            <w:r w:rsidRPr="00A33CCD">
              <w:rPr>
                <w:u w:val="single"/>
              </w:rPr>
              <w:t>Financial implications:</w:t>
            </w:r>
          </w:p>
          <w:p w14:paraId="288399A6" w14:textId="77777777" w:rsidR="0003467E" w:rsidRDefault="0003467E" w:rsidP="009817A6">
            <w:pPr>
              <w:pStyle w:val="ListParagraph"/>
              <w:numPr>
                <w:ilvl w:val="0"/>
                <w:numId w:val="30"/>
              </w:numPr>
              <w:spacing w:before="0" w:after="0"/>
              <w:ind w:left="357" w:hanging="357"/>
              <w:contextualSpacing w:val="0"/>
              <w:jc w:val="left"/>
            </w:pPr>
            <w:r>
              <w:t>Number of patients suitable for treatment</w:t>
            </w:r>
          </w:p>
          <w:p w14:paraId="5BAA4E51" w14:textId="77777777" w:rsidR="0003467E" w:rsidRDefault="0003467E" w:rsidP="0003467E">
            <w:pPr>
              <w:pStyle w:val="ListParagraph"/>
              <w:numPr>
                <w:ilvl w:val="0"/>
                <w:numId w:val="30"/>
              </w:numPr>
              <w:spacing w:before="0" w:after="0"/>
              <w:ind w:left="357" w:hanging="357"/>
              <w:contextualSpacing w:val="0"/>
              <w:jc w:val="left"/>
            </w:pPr>
            <w:r>
              <w:t>Number of patients who receive treatment and associated financial implications</w:t>
            </w:r>
          </w:p>
        </w:tc>
      </w:tr>
    </w:tbl>
    <w:p w14:paraId="15607CBF" w14:textId="6A652E36" w:rsidR="008B77F7" w:rsidRPr="003C07A0" w:rsidRDefault="003C07A0" w:rsidP="003C07A0">
      <w:pPr>
        <w:pStyle w:val="Heading1"/>
      </w:pPr>
      <w:r>
        <w:lastRenderedPageBreak/>
        <w:t>REFERENCES</w:t>
      </w:r>
    </w:p>
    <w:p w14:paraId="12D46299" w14:textId="77777777" w:rsidR="007471D5" w:rsidRPr="007471D5" w:rsidRDefault="008B77F7" w:rsidP="007471D5">
      <w:pPr>
        <w:pStyle w:val="EndNoteBibliography"/>
        <w:spacing w:after="0"/>
        <w:ind w:left="720" w:hanging="720"/>
        <w:rPr>
          <w:noProof/>
        </w:rPr>
      </w:pPr>
      <w:r>
        <w:rPr>
          <w:szCs w:val="20"/>
        </w:rPr>
        <w:fldChar w:fldCharType="begin"/>
      </w:r>
      <w:r>
        <w:rPr>
          <w:szCs w:val="20"/>
        </w:rPr>
        <w:instrText xml:space="preserve"> ADDIN EN.REFLIST </w:instrText>
      </w:r>
      <w:r>
        <w:rPr>
          <w:szCs w:val="20"/>
        </w:rPr>
        <w:fldChar w:fldCharType="separate"/>
      </w:r>
      <w:r w:rsidR="007471D5" w:rsidRPr="007471D5">
        <w:rPr>
          <w:noProof/>
        </w:rPr>
        <w:t>1.</w:t>
      </w:r>
      <w:r w:rsidR="007471D5" w:rsidRPr="007471D5">
        <w:rPr>
          <w:noProof/>
        </w:rPr>
        <w:tab/>
        <w:t>Paul S, Kantarjian H, Jabbour EJ. Adult Acute Lymphoblastic Leukemia. Mayo Clin Proc 2016;91(11):1645-1666. DOI: 10.1016/j.mayocp.2016.09.010.</w:t>
      </w:r>
    </w:p>
    <w:p w14:paraId="70A41726" w14:textId="5D833F67" w:rsidR="007471D5" w:rsidRPr="007471D5" w:rsidRDefault="007471D5" w:rsidP="007471D5">
      <w:pPr>
        <w:pStyle w:val="EndNoteBibliography"/>
        <w:spacing w:after="0"/>
        <w:ind w:left="720" w:hanging="720"/>
        <w:rPr>
          <w:noProof/>
        </w:rPr>
      </w:pPr>
      <w:r w:rsidRPr="007471D5">
        <w:rPr>
          <w:noProof/>
        </w:rPr>
        <w:t>2.</w:t>
      </w:r>
      <w:r w:rsidRPr="007471D5">
        <w:rPr>
          <w:noProof/>
        </w:rPr>
        <w:tab/>
        <w:t>AIHW Australian Institute of Health and Welfare. Cancer data in Australia. Cancer summary data visualisation. (</w:t>
      </w:r>
      <w:hyperlink r:id="rId31" w:history="1">
        <w:r w:rsidRPr="007471D5">
          <w:rPr>
            <w:rStyle w:val="Hyperlink"/>
            <w:noProof/>
          </w:rPr>
          <w:t>https://www.aihw.gov.au/reports/cancer/cancer-data-in-australia/contents/cancer-summary-data-visualisation</w:t>
        </w:r>
      </w:hyperlink>
      <w:r w:rsidRPr="007471D5">
        <w:rPr>
          <w:noProof/>
        </w:rPr>
        <w:t>).</w:t>
      </w:r>
    </w:p>
    <w:p w14:paraId="1D239416" w14:textId="0C376275" w:rsidR="007471D5" w:rsidRPr="007471D5" w:rsidRDefault="007471D5" w:rsidP="007471D5">
      <w:pPr>
        <w:pStyle w:val="EndNoteBibliography"/>
        <w:spacing w:after="0"/>
        <w:ind w:left="720" w:hanging="720"/>
        <w:rPr>
          <w:noProof/>
        </w:rPr>
      </w:pPr>
      <w:r w:rsidRPr="007471D5">
        <w:rPr>
          <w:noProof/>
        </w:rPr>
        <w:t>3.</w:t>
      </w:r>
      <w:r w:rsidRPr="007471D5">
        <w:rPr>
          <w:noProof/>
        </w:rPr>
        <w:tab/>
        <w:t>NCCN. Acute Lymphoblastic Leukemia: NCCN Clinical Practice Guidelines in Oncology. National Comprehensive Cancer Network 2021;Version 4.2021(January 7, 2022) (</w:t>
      </w:r>
      <w:hyperlink r:id="rId32" w:history="1">
        <w:r w:rsidRPr="007471D5">
          <w:rPr>
            <w:rStyle w:val="Hyperlink"/>
            <w:noProof/>
          </w:rPr>
          <w:t>https://www.nccn.org/professionals/physician_gls/pdf/all.pdf</w:t>
        </w:r>
      </w:hyperlink>
      <w:r w:rsidRPr="007471D5">
        <w:rPr>
          <w:noProof/>
        </w:rPr>
        <w:t>).</w:t>
      </w:r>
    </w:p>
    <w:p w14:paraId="63C48431" w14:textId="77777777" w:rsidR="007471D5" w:rsidRPr="007471D5" w:rsidRDefault="007471D5" w:rsidP="007471D5">
      <w:pPr>
        <w:pStyle w:val="EndNoteBibliography"/>
        <w:spacing w:after="0"/>
        <w:ind w:left="720" w:hanging="720"/>
        <w:rPr>
          <w:noProof/>
        </w:rPr>
      </w:pPr>
      <w:r w:rsidRPr="007471D5">
        <w:rPr>
          <w:noProof/>
        </w:rPr>
        <w:t>4.</w:t>
      </w:r>
      <w:r w:rsidRPr="007471D5">
        <w:rPr>
          <w:noProof/>
        </w:rPr>
        <w:tab/>
        <w:t>Terwilliger T, Abdul-Hay M. Acute lymphoblastic leukemia: a comprehensive review and 2017 update. Blood Cancer J 2017;7(6):e577. DOI: 10.1038/bcj.2017.53.</w:t>
      </w:r>
    </w:p>
    <w:p w14:paraId="14BA7C4E" w14:textId="77777777" w:rsidR="007471D5" w:rsidRPr="007471D5" w:rsidRDefault="007471D5" w:rsidP="007471D5">
      <w:pPr>
        <w:pStyle w:val="EndNoteBibliography"/>
        <w:spacing w:after="0"/>
        <w:ind w:left="720" w:hanging="720"/>
        <w:rPr>
          <w:noProof/>
        </w:rPr>
      </w:pPr>
      <w:r w:rsidRPr="007471D5">
        <w:rPr>
          <w:noProof/>
        </w:rPr>
        <w:t>5.</w:t>
      </w:r>
      <w:r w:rsidRPr="007471D5">
        <w:rPr>
          <w:noProof/>
        </w:rPr>
        <w:tab/>
        <w:t>Bassan R, Bruggemann M, Radcliffe HS, Hartfield E, Kreuzbauer G, Wetten S. A systematic literature review and meta-analysis of minimal residual disease as a prognostic indicator in adult B-cell acute lymphoblastic leukemia. Haematologica 2019;104(10):2028-2039. DOI: 10.3324/haematol.2018.201053.</w:t>
      </w:r>
    </w:p>
    <w:p w14:paraId="0A5248FF" w14:textId="622146DA" w:rsidR="007471D5" w:rsidRPr="007471D5" w:rsidRDefault="007471D5" w:rsidP="007471D5">
      <w:pPr>
        <w:pStyle w:val="EndNoteBibliography"/>
        <w:spacing w:after="0"/>
        <w:ind w:left="720" w:hanging="720"/>
        <w:rPr>
          <w:noProof/>
        </w:rPr>
      </w:pPr>
      <w:r w:rsidRPr="007471D5">
        <w:rPr>
          <w:noProof/>
        </w:rPr>
        <w:t>6.</w:t>
      </w:r>
      <w:r w:rsidRPr="007471D5">
        <w:rPr>
          <w:noProof/>
        </w:rPr>
        <w:tab/>
        <w:t>Leukaemia Foundation. Acute Lymphoblastic Leukaemia. (</w:t>
      </w:r>
      <w:hyperlink r:id="rId33" w:history="1">
        <w:r w:rsidRPr="007471D5">
          <w:rPr>
            <w:rStyle w:val="Hyperlink"/>
            <w:noProof/>
          </w:rPr>
          <w:t>https://www.leukaemia.org.au/blood-cancer-information/types-of-blood-cancer/leukaemia/acute-lymphoblastic-leukaemia/</w:t>
        </w:r>
      </w:hyperlink>
      <w:r w:rsidRPr="007471D5">
        <w:rPr>
          <w:noProof/>
        </w:rPr>
        <w:t>).</w:t>
      </w:r>
    </w:p>
    <w:p w14:paraId="504A642C" w14:textId="77777777" w:rsidR="007471D5" w:rsidRPr="007471D5" w:rsidRDefault="007471D5" w:rsidP="007471D5">
      <w:pPr>
        <w:pStyle w:val="EndNoteBibliography"/>
        <w:spacing w:after="0"/>
        <w:ind w:left="720" w:hanging="720"/>
        <w:rPr>
          <w:noProof/>
        </w:rPr>
      </w:pPr>
      <w:r w:rsidRPr="007471D5">
        <w:rPr>
          <w:noProof/>
        </w:rPr>
        <w:t>7.</w:t>
      </w:r>
      <w:r w:rsidRPr="007471D5">
        <w:rPr>
          <w:noProof/>
        </w:rPr>
        <w:tab/>
        <w:t>Gokbuget N, Dombret H, Ribera JM, et al. International reference analysis of outcomes in adults with B-precursor Ph-negative relapsed/refractory acute lymphoblastic leukemia. Haematologica 2016;101(12):1524-1533. DOI: 10.3324/haematol.2016.144311.</w:t>
      </w:r>
    </w:p>
    <w:p w14:paraId="3B135D2A" w14:textId="77777777" w:rsidR="007471D5" w:rsidRPr="007471D5" w:rsidRDefault="007471D5" w:rsidP="007471D5">
      <w:pPr>
        <w:pStyle w:val="EndNoteBibliography"/>
        <w:spacing w:after="0"/>
        <w:ind w:left="720" w:hanging="720"/>
        <w:rPr>
          <w:noProof/>
        </w:rPr>
      </w:pPr>
      <w:r w:rsidRPr="007471D5">
        <w:rPr>
          <w:noProof/>
        </w:rPr>
        <w:t>8.</w:t>
      </w:r>
      <w:r w:rsidRPr="007471D5">
        <w:rPr>
          <w:noProof/>
        </w:rPr>
        <w:tab/>
        <w:t>Shah BD, Ghobadi A, Oluwole OO, et al. KTE-X19 for relapsed or refractory adult B-cell acute lymphoblastic leukaemia: phase 2 results of the single-arm, open-label, multicentre ZUMA-3 study. The Lancet 2021;398(10299):491-502. DOI: 10.1016/s0140-6736(21)01222-8.</w:t>
      </w:r>
    </w:p>
    <w:p w14:paraId="0D860FA5" w14:textId="77777777" w:rsidR="007471D5" w:rsidRPr="007471D5" w:rsidRDefault="007471D5" w:rsidP="007471D5">
      <w:pPr>
        <w:pStyle w:val="EndNoteBibliography"/>
        <w:spacing w:after="0"/>
        <w:ind w:left="720" w:hanging="720"/>
        <w:rPr>
          <w:noProof/>
        </w:rPr>
      </w:pPr>
      <w:r w:rsidRPr="007471D5">
        <w:rPr>
          <w:noProof/>
        </w:rPr>
        <w:t>9.</w:t>
      </w:r>
      <w:r w:rsidRPr="007471D5">
        <w:rPr>
          <w:noProof/>
        </w:rPr>
        <w:tab/>
        <w:t>Shah BD, Bishop MR, Oluwole OO, et al. KTE-X19 anti-CD19 CAR T-cell therapy in adult relapsed/refractory acute lymphoblastic leukemia: ZUMA-3 phase 1 results. Blood 2021;138(1):11-22. DOI: 10.1182/blood.2020009098.</w:t>
      </w:r>
    </w:p>
    <w:p w14:paraId="7F1B7694" w14:textId="77777777" w:rsidR="007471D5" w:rsidRPr="007471D5" w:rsidRDefault="007471D5" w:rsidP="007471D5">
      <w:pPr>
        <w:pStyle w:val="EndNoteBibliography"/>
        <w:spacing w:after="0"/>
        <w:ind w:left="720" w:hanging="720"/>
        <w:rPr>
          <w:noProof/>
        </w:rPr>
      </w:pPr>
      <w:r w:rsidRPr="007471D5">
        <w:rPr>
          <w:noProof/>
        </w:rPr>
        <w:t>10.</w:t>
      </w:r>
      <w:r w:rsidRPr="007471D5">
        <w:rPr>
          <w:noProof/>
        </w:rPr>
        <w:tab/>
        <w:t>Shah BD, Faghmous I, Whitmore J, Masouleh BK, Xu H. ABSTRACT: The Comparison of Kte-X19 to Current Standards of Care: A Pre-Specified Synthetic Control Study Utilizing Individual Patient Level Data from Historic Clinical Trials (SCHOLAR-3). Blood 2021;138(Supplement 1):ABSTRACT ONLY:3844-3844. DOI: 10.1182/blood-2021-146598.</w:t>
      </w:r>
    </w:p>
    <w:p w14:paraId="557D2664" w14:textId="77777777" w:rsidR="007471D5" w:rsidRPr="007471D5" w:rsidRDefault="007471D5" w:rsidP="007471D5">
      <w:pPr>
        <w:pStyle w:val="EndNoteBibliography"/>
        <w:spacing w:after="0"/>
        <w:ind w:left="720" w:hanging="720"/>
        <w:rPr>
          <w:noProof/>
        </w:rPr>
      </w:pPr>
      <w:r w:rsidRPr="007471D5">
        <w:rPr>
          <w:noProof/>
        </w:rPr>
        <w:t>11.</w:t>
      </w:r>
      <w:r w:rsidRPr="007471D5">
        <w:rPr>
          <w:noProof/>
        </w:rPr>
        <w:tab/>
        <w:t>Shah BDF, I.; Whitmore, J.; Masouleh, B.K.; Xu, H. POSTER: The Comparison of KTE-X19 to Current Standards of Care: A Prespecified Synthetic Control Study Utilizing Individual Patient-Level Data from Historic Clinical Trials (SCHOLAR-3). BLOOD 2021;POSTER(Presented at ASH 2021).</w:t>
      </w:r>
    </w:p>
    <w:p w14:paraId="77B18FD8" w14:textId="77777777" w:rsidR="007471D5" w:rsidRPr="007471D5" w:rsidRDefault="007471D5" w:rsidP="007471D5">
      <w:pPr>
        <w:pStyle w:val="EndNoteBibliography"/>
        <w:spacing w:after="0"/>
        <w:ind w:left="720" w:hanging="720"/>
        <w:rPr>
          <w:noProof/>
        </w:rPr>
      </w:pPr>
      <w:r w:rsidRPr="007471D5">
        <w:rPr>
          <w:noProof/>
        </w:rPr>
        <w:t>12.</w:t>
      </w:r>
      <w:r w:rsidRPr="007471D5">
        <w:rPr>
          <w:noProof/>
        </w:rPr>
        <w:tab/>
        <w:t>Katz AJ, Chia VM, Schoonen WM, Kelsh MA. Acute lymphoblastic leukemia: an assessment of international incidence, survival, and disease burden. Cancer Causes Control 2015;26(11):1627-42. DOI: 10.1007/s10552-015-0657-6.</w:t>
      </w:r>
    </w:p>
    <w:p w14:paraId="1E83FA2A" w14:textId="77777777" w:rsidR="007471D5" w:rsidRPr="007471D5" w:rsidRDefault="007471D5" w:rsidP="007471D5">
      <w:pPr>
        <w:pStyle w:val="EndNoteBibliography"/>
        <w:ind w:left="720" w:hanging="720"/>
        <w:rPr>
          <w:noProof/>
        </w:rPr>
      </w:pPr>
      <w:r w:rsidRPr="007471D5">
        <w:rPr>
          <w:noProof/>
        </w:rPr>
        <w:t>13.</w:t>
      </w:r>
      <w:r w:rsidRPr="007471D5">
        <w:rPr>
          <w:noProof/>
        </w:rPr>
        <w:tab/>
        <w:t>Hoelzer D, Bassan R, Dombret H, et al. Acute lymphoblastic leukaemia in adult patients: ESMO Clinical Practice Guidelines for diagnosis, treatment and follow-up. Ann Oncol 2016;27(suppl 5):v69-v82. DOI: 10.1093/annonc/mdw025.</w:t>
      </w:r>
    </w:p>
    <w:p w14:paraId="1BFD1DDC" w14:textId="79DC966E" w:rsidR="00F41106" w:rsidRDefault="008B77F7">
      <w:pPr>
        <w:rPr>
          <w:szCs w:val="20"/>
        </w:rPr>
      </w:pPr>
      <w:r>
        <w:rPr>
          <w:szCs w:val="20"/>
        </w:rPr>
        <w:fldChar w:fldCharType="end"/>
      </w:r>
    </w:p>
    <w:sectPr w:rsidR="00F4110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48F2" w14:textId="77777777" w:rsidR="00E25935" w:rsidRDefault="00E25935" w:rsidP="00CF2DFA">
      <w:pPr>
        <w:spacing w:after="0"/>
      </w:pPr>
      <w:r>
        <w:separator/>
      </w:r>
    </w:p>
  </w:endnote>
  <w:endnote w:type="continuationSeparator" w:id="0">
    <w:p w14:paraId="7A6EFF77" w14:textId="77777777" w:rsidR="00E25935" w:rsidRDefault="00E2593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561cdbbe">
    <w:altName w:val="Cambria"/>
    <w:panose1 w:val="00000000000000000000"/>
    <w:charset w:val="00"/>
    <w:family w:val="roman"/>
    <w:notTrueType/>
    <w:pitch w:val="default"/>
  </w:font>
  <w:font w:name="Shaker2Lancet">
    <w:altName w:val="Cambria"/>
    <w:panose1 w:val="00000000000000000000"/>
    <w:charset w:val="00"/>
    <w:family w:val="roman"/>
    <w:notTrueType/>
    <w:pitch w:val="default"/>
  </w:font>
  <w:font w:name="AdvOT5fa4e291">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E382" w14:textId="77777777" w:rsidR="00E25935" w:rsidRDefault="00E25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FDFCCF1" w14:textId="77777777" w:rsidR="00E25935" w:rsidRDefault="00E2593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7C615B7" w14:textId="77777777" w:rsidR="00E25935" w:rsidRPr="003F7CB9" w:rsidRDefault="00E2593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88B0" w14:textId="77777777" w:rsidR="00E25935" w:rsidRDefault="00E2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31F1" w14:textId="77777777" w:rsidR="00E25935" w:rsidRDefault="00E25935" w:rsidP="00CF2DFA">
      <w:pPr>
        <w:spacing w:after="0"/>
      </w:pPr>
      <w:r>
        <w:separator/>
      </w:r>
    </w:p>
  </w:footnote>
  <w:footnote w:type="continuationSeparator" w:id="0">
    <w:p w14:paraId="758EDA83" w14:textId="77777777" w:rsidR="00E25935" w:rsidRDefault="00E25935" w:rsidP="00CF2DFA">
      <w:pPr>
        <w:spacing w:after="0"/>
      </w:pPr>
      <w:r>
        <w:continuationSeparator/>
      </w:r>
    </w:p>
  </w:footnote>
  <w:footnote w:id="1">
    <w:p w14:paraId="6750F6BC" w14:textId="667C8CF9" w:rsidR="00E25935" w:rsidRPr="001A37C5" w:rsidRDefault="00E25935" w:rsidP="00AA29E8">
      <w:pPr>
        <w:pStyle w:val="FootnoteText"/>
        <w:jc w:val="left"/>
        <w:rPr>
          <w:color w:val="0000FF" w:themeColor="hyperlink"/>
          <w:sz w:val="16"/>
          <w:szCs w:val="16"/>
          <w:u w:val="single"/>
          <w:lang w:val="en-US"/>
        </w:rPr>
      </w:pPr>
      <w:r w:rsidRPr="001A37C5">
        <w:rPr>
          <w:rStyle w:val="FootnoteReference"/>
          <w:sz w:val="16"/>
          <w:szCs w:val="16"/>
        </w:rPr>
        <w:footnoteRef/>
      </w:r>
      <w:r w:rsidRPr="001A37C5">
        <w:rPr>
          <w:sz w:val="16"/>
          <w:szCs w:val="16"/>
        </w:rPr>
        <w:t xml:space="preserve"> </w:t>
      </w:r>
      <w:r w:rsidRPr="001A37C5">
        <w:rPr>
          <w:sz w:val="16"/>
          <w:szCs w:val="16"/>
          <w:lang w:val="en-US"/>
        </w:rPr>
        <w:t xml:space="preserve">MSAC Application 1647 Redacted Public Summary Document - </w:t>
      </w:r>
      <w:hyperlink r:id="rId1" w:history="1">
        <w:r w:rsidRPr="001A37C5">
          <w:rPr>
            <w:rStyle w:val="Hyperlink"/>
            <w:sz w:val="16"/>
            <w:szCs w:val="16"/>
            <w:lang w:val="en-US"/>
          </w:rPr>
          <w:t>http://www.msac.gov.au/internet/msac/publishing.nsf/Content/A10E3D10B9DBC1F2CA258614002163DC/$File/1647%20Final%20PSD%20-%20July%202021_redacted.pdf</w:t>
        </w:r>
      </w:hyperlink>
    </w:p>
  </w:footnote>
  <w:footnote w:id="2">
    <w:p w14:paraId="6A2F862E" w14:textId="26B35355" w:rsidR="00E25935" w:rsidRPr="008A5E06" w:rsidRDefault="00E25935"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AIHW 2021 - </w:t>
      </w:r>
      <w:hyperlink r:id="rId2" w:history="1">
        <w:r w:rsidRPr="008A5E06">
          <w:rPr>
            <w:rStyle w:val="Hyperlink"/>
            <w:sz w:val="16"/>
            <w:szCs w:val="16"/>
          </w:rPr>
          <w:t>https://www.aihw.gov.au/reports/cancer/cancer-data-in-australia/contents/cancer-summary-data-visualisation</w:t>
        </w:r>
      </w:hyperlink>
    </w:p>
  </w:footnote>
  <w:footnote w:id="3">
    <w:p w14:paraId="37488FB6" w14:textId="77777777" w:rsidR="00E25935" w:rsidRPr="008A5E06" w:rsidRDefault="00E25935"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Leukaemia Foundation - </w:t>
      </w:r>
      <w:hyperlink r:id="rId3" w:history="1">
        <w:r w:rsidRPr="008A5E06">
          <w:rPr>
            <w:rStyle w:val="Hyperlink"/>
            <w:sz w:val="16"/>
            <w:szCs w:val="16"/>
          </w:rPr>
          <w:t>https://www.leukaemia.org.au/blood-cancer-information/types-of-blood-cancer/leukaemia/acute-lymphoblastic-leukaemia/</w:t>
        </w:r>
      </w:hyperlink>
    </w:p>
  </w:footnote>
  <w:footnote w:id="4">
    <w:p w14:paraId="443D3502" w14:textId="2FD0FFA4" w:rsidR="00E25935" w:rsidRPr="008A5E06" w:rsidRDefault="00E25935"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Leukaemia Foundation - </w:t>
      </w:r>
      <w:hyperlink r:id="rId4" w:history="1">
        <w:r w:rsidRPr="008A5E06">
          <w:rPr>
            <w:rStyle w:val="Hyperlink"/>
            <w:sz w:val="16"/>
            <w:szCs w:val="16"/>
          </w:rPr>
          <w:t>https://www.leukaemia.org.au/blood-cancer-information/types-of-blood-cancer/leukaemia/acute-lymphoblastic-leukaemia/</w:t>
        </w:r>
      </w:hyperlink>
    </w:p>
  </w:footnote>
  <w:footnote w:id="5">
    <w:p w14:paraId="29B5ACE1" w14:textId="68D841CF" w:rsidR="00E25935" w:rsidRPr="006C6734" w:rsidRDefault="00E25935" w:rsidP="00A35FCD">
      <w:pPr>
        <w:pStyle w:val="FootnoteText"/>
        <w:jc w:val="left"/>
        <w:rPr>
          <w:lang w:val="en-US"/>
        </w:rPr>
      </w:pPr>
      <w:r w:rsidRPr="008A5E06">
        <w:rPr>
          <w:rStyle w:val="FootnoteReference"/>
          <w:sz w:val="16"/>
          <w:szCs w:val="16"/>
        </w:rPr>
        <w:footnoteRef/>
      </w:r>
      <w:r w:rsidRPr="008A5E06">
        <w:rPr>
          <w:sz w:val="16"/>
          <w:szCs w:val="16"/>
        </w:rPr>
        <w:t xml:space="preserve"> Rare Cancers Australia - </w:t>
      </w:r>
      <w:hyperlink r:id="rId5" w:history="1">
        <w:r w:rsidRPr="008A5E06">
          <w:rPr>
            <w:rStyle w:val="Hyperlink"/>
            <w:sz w:val="16"/>
            <w:szCs w:val="16"/>
          </w:rPr>
          <w:t>http://knowledge.rarecancers.org.au/knowledgebase/cancer-types/132/acute-lymphoblastic-leukaemia-all</w:t>
        </w:r>
      </w:hyperlink>
    </w:p>
  </w:footnote>
  <w:footnote w:id="6">
    <w:p w14:paraId="1FA873AA" w14:textId="075BBE29" w:rsidR="00E25935" w:rsidRPr="00AC538C" w:rsidRDefault="00E25935">
      <w:pPr>
        <w:pStyle w:val="FootnoteText"/>
        <w:rPr>
          <w:lang w:val="en-US"/>
        </w:rPr>
      </w:pPr>
      <w:r>
        <w:rPr>
          <w:rStyle w:val="FootnoteReference"/>
        </w:rPr>
        <w:footnoteRef/>
      </w:r>
      <w:r>
        <w:t xml:space="preserve"> </w:t>
      </w:r>
      <w:r>
        <w:rPr>
          <w:lang w:val="en-US"/>
        </w:rPr>
        <w:t xml:space="preserve">AIHW 2021 - </w:t>
      </w:r>
      <w:hyperlink r:id="rId6" w:history="1">
        <w:r w:rsidRPr="00631136">
          <w:rPr>
            <w:rStyle w:val="Hyperlink"/>
          </w:rPr>
          <w:t>https://www.aihw.gov.au/reports/cancer/cancer-data-in-australia/contents/cancer-incidence-by-age-visualisation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EA40" w14:textId="77777777" w:rsidR="00E25935" w:rsidRDefault="00E2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5E1A" w14:textId="77777777" w:rsidR="00E25935" w:rsidRDefault="00E25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D301C" w14:textId="77777777" w:rsidR="00E25935" w:rsidRDefault="00E25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5CF"/>
    <w:multiLevelType w:val="hybridMultilevel"/>
    <w:tmpl w:val="18EA5302"/>
    <w:lvl w:ilvl="0" w:tplc="E59C356C">
      <w:start w:val="1"/>
      <w:numFmt w:val="decimal"/>
      <w:lvlText w:val="%1."/>
      <w:lvlJc w:val="left"/>
      <w:pPr>
        <w:ind w:left="939" w:hanging="360"/>
      </w:pPr>
      <w:rPr>
        <w:rFonts w:ascii="Calibri" w:eastAsia="Calibri" w:hAnsi="Calibri" w:cs="Calibri" w:hint="default"/>
        <w:b w:val="0"/>
        <w:bCs w:val="0"/>
        <w:i w:val="0"/>
        <w:iCs w:val="0"/>
        <w:w w:val="100"/>
        <w:sz w:val="20"/>
        <w:szCs w:val="20"/>
        <w:lang w:val="en-US" w:eastAsia="en-US" w:bidi="ar-SA"/>
      </w:rPr>
    </w:lvl>
    <w:lvl w:ilvl="1" w:tplc="D2D4C320">
      <w:numFmt w:val="bullet"/>
      <w:lvlText w:val="•"/>
      <w:lvlJc w:val="left"/>
      <w:pPr>
        <w:ind w:left="1810" w:hanging="360"/>
      </w:pPr>
      <w:rPr>
        <w:rFonts w:hint="default"/>
        <w:lang w:val="en-US" w:eastAsia="en-US" w:bidi="ar-SA"/>
      </w:rPr>
    </w:lvl>
    <w:lvl w:ilvl="2" w:tplc="5DD08414">
      <w:numFmt w:val="bullet"/>
      <w:lvlText w:val="•"/>
      <w:lvlJc w:val="left"/>
      <w:pPr>
        <w:ind w:left="2681" w:hanging="360"/>
      </w:pPr>
      <w:rPr>
        <w:rFonts w:hint="default"/>
        <w:lang w:val="en-US" w:eastAsia="en-US" w:bidi="ar-SA"/>
      </w:rPr>
    </w:lvl>
    <w:lvl w:ilvl="3" w:tplc="515A4BAC">
      <w:numFmt w:val="bullet"/>
      <w:lvlText w:val="•"/>
      <w:lvlJc w:val="left"/>
      <w:pPr>
        <w:ind w:left="3551" w:hanging="360"/>
      </w:pPr>
      <w:rPr>
        <w:rFonts w:hint="default"/>
        <w:lang w:val="en-US" w:eastAsia="en-US" w:bidi="ar-SA"/>
      </w:rPr>
    </w:lvl>
    <w:lvl w:ilvl="4" w:tplc="86E6C384">
      <w:numFmt w:val="bullet"/>
      <w:lvlText w:val="•"/>
      <w:lvlJc w:val="left"/>
      <w:pPr>
        <w:ind w:left="4422" w:hanging="360"/>
      </w:pPr>
      <w:rPr>
        <w:rFonts w:hint="default"/>
        <w:lang w:val="en-US" w:eastAsia="en-US" w:bidi="ar-SA"/>
      </w:rPr>
    </w:lvl>
    <w:lvl w:ilvl="5" w:tplc="42E01898">
      <w:numFmt w:val="bullet"/>
      <w:lvlText w:val="•"/>
      <w:lvlJc w:val="left"/>
      <w:pPr>
        <w:ind w:left="5293" w:hanging="360"/>
      </w:pPr>
      <w:rPr>
        <w:rFonts w:hint="default"/>
        <w:lang w:val="en-US" w:eastAsia="en-US" w:bidi="ar-SA"/>
      </w:rPr>
    </w:lvl>
    <w:lvl w:ilvl="6" w:tplc="F58482FE">
      <w:numFmt w:val="bullet"/>
      <w:lvlText w:val="•"/>
      <w:lvlJc w:val="left"/>
      <w:pPr>
        <w:ind w:left="6163" w:hanging="360"/>
      </w:pPr>
      <w:rPr>
        <w:rFonts w:hint="default"/>
        <w:lang w:val="en-US" w:eastAsia="en-US" w:bidi="ar-SA"/>
      </w:rPr>
    </w:lvl>
    <w:lvl w:ilvl="7" w:tplc="EB1AEBEE">
      <w:numFmt w:val="bullet"/>
      <w:lvlText w:val="•"/>
      <w:lvlJc w:val="left"/>
      <w:pPr>
        <w:ind w:left="7034" w:hanging="360"/>
      </w:pPr>
      <w:rPr>
        <w:rFonts w:hint="default"/>
        <w:lang w:val="en-US" w:eastAsia="en-US" w:bidi="ar-SA"/>
      </w:rPr>
    </w:lvl>
    <w:lvl w:ilvl="8" w:tplc="9EB4CD58">
      <w:numFmt w:val="bullet"/>
      <w:lvlText w:val="•"/>
      <w:lvlJc w:val="left"/>
      <w:pPr>
        <w:ind w:left="7905" w:hanging="360"/>
      </w:pPr>
      <w:rPr>
        <w:rFonts w:hint="default"/>
        <w:lang w:val="en-US" w:eastAsia="en-US" w:bidi="ar-SA"/>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519F2"/>
    <w:multiLevelType w:val="hybridMultilevel"/>
    <w:tmpl w:val="D48A6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4A36DC"/>
    <w:multiLevelType w:val="hybridMultilevel"/>
    <w:tmpl w:val="8F58B0D8"/>
    <w:lvl w:ilvl="0" w:tplc="0C9878B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93CEA"/>
    <w:multiLevelType w:val="hybridMultilevel"/>
    <w:tmpl w:val="2B98AE04"/>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0" w15:restartNumberingAfterBreak="0">
    <w:nsid w:val="27774217"/>
    <w:multiLevelType w:val="hybridMultilevel"/>
    <w:tmpl w:val="0D0619BA"/>
    <w:lvl w:ilvl="0" w:tplc="A3C42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75966"/>
    <w:multiLevelType w:val="hybridMultilevel"/>
    <w:tmpl w:val="91B2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7B4333"/>
    <w:multiLevelType w:val="hybridMultilevel"/>
    <w:tmpl w:val="59708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09727D"/>
    <w:multiLevelType w:val="hybridMultilevel"/>
    <w:tmpl w:val="E6A6FC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54F2F5D"/>
    <w:multiLevelType w:val="hybridMultilevel"/>
    <w:tmpl w:val="18EA5302"/>
    <w:lvl w:ilvl="0" w:tplc="E59C356C">
      <w:start w:val="1"/>
      <w:numFmt w:val="decimal"/>
      <w:lvlText w:val="%1."/>
      <w:lvlJc w:val="left"/>
      <w:pPr>
        <w:ind w:left="939" w:hanging="360"/>
      </w:pPr>
      <w:rPr>
        <w:rFonts w:ascii="Calibri" w:eastAsia="Calibri" w:hAnsi="Calibri" w:cs="Calibri" w:hint="default"/>
        <w:b w:val="0"/>
        <w:bCs w:val="0"/>
        <w:i w:val="0"/>
        <w:iCs w:val="0"/>
        <w:w w:val="100"/>
        <w:sz w:val="20"/>
        <w:szCs w:val="20"/>
        <w:lang w:val="en-US" w:eastAsia="en-US" w:bidi="ar-SA"/>
      </w:rPr>
    </w:lvl>
    <w:lvl w:ilvl="1" w:tplc="D2D4C320">
      <w:numFmt w:val="bullet"/>
      <w:lvlText w:val="•"/>
      <w:lvlJc w:val="left"/>
      <w:pPr>
        <w:ind w:left="1810" w:hanging="360"/>
      </w:pPr>
      <w:rPr>
        <w:rFonts w:hint="default"/>
        <w:lang w:val="en-US" w:eastAsia="en-US" w:bidi="ar-SA"/>
      </w:rPr>
    </w:lvl>
    <w:lvl w:ilvl="2" w:tplc="5DD08414">
      <w:numFmt w:val="bullet"/>
      <w:lvlText w:val="•"/>
      <w:lvlJc w:val="left"/>
      <w:pPr>
        <w:ind w:left="2681" w:hanging="360"/>
      </w:pPr>
      <w:rPr>
        <w:rFonts w:hint="default"/>
        <w:lang w:val="en-US" w:eastAsia="en-US" w:bidi="ar-SA"/>
      </w:rPr>
    </w:lvl>
    <w:lvl w:ilvl="3" w:tplc="515A4BAC">
      <w:numFmt w:val="bullet"/>
      <w:lvlText w:val="•"/>
      <w:lvlJc w:val="left"/>
      <w:pPr>
        <w:ind w:left="3551" w:hanging="360"/>
      </w:pPr>
      <w:rPr>
        <w:rFonts w:hint="default"/>
        <w:lang w:val="en-US" w:eastAsia="en-US" w:bidi="ar-SA"/>
      </w:rPr>
    </w:lvl>
    <w:lvl w:ilvl="4" w:tplc="86E6C384">
      <w:numFmt w:val="bullet"/>
      <w:lvlText w:val="•"/>
      <w:lvlJc w:val="left"/>
      <w:pPr>
        <w:ind w:left="4422" w:hanging="360"/>
      </w:pPr>
      <w:rPr>
        <w:rFonts w:hint="default"/>
        <w:lang w:val="en-US" w:eastAsia="en-US" w:bidi="ar-SA"/>
      </w:rPr>
    </w:lvl>
    <w:lvl w:ilvl="5" w:tplc="42E01898">
      <w:numFmt w:val="bullet"/>
      <w:lvlText w:val="•"/>
      <w:lvlJc w:val="left"/>
      <w:pPr>
        <w:ind w:left="5293" w:hanging="360"/>
      </w:pPr>
      <w:rPr>
        <w:rFonts w:hint="default"/>
        <w:lang w:val="en-US" w:eastAsia="en-US" w:bidi="ar-SA"/>
      </w:rPr>
    </w:lvl>
    <w:lvl w:ilvl="6" w:tplc="F58482FE">
      <w:numFmt w:val="bullet"/>
      <w:lvlText w:val="•"/>
      <w:lvlJc w:val="left"/>
      <w:pPr>
        <w:ind w:left="6163" w:hanging="360"/>
      </w:pPr>
      <w:rPr>
        <w:rFonts w:hint="default"/>
        <w:lang w:val="en-US" w:eastAsia="en-US" w:bidi="ar-SA"/>
      </w:rPr>
    </w:lvl>
    <w:lvl w:ilvl="7" w:tplc="EB1AEBEE">
      <w:numFmt w:val="bullet"/>
      <w:lvlText w:val="•"/>
      <w:lvlJc w:val="left"/>
      <w:pPr>
        <w:ind w:left="7034" w:hanging="360"/>
      </w:pPr>
      <w:rPr>
        <w:rFonts w:hint="default"/>
        <w:lang w:val="en-US" w:eastAsia="en-US" w:bidi="ar-SA"/>
      </w:rPr>
    </w:lvl>
    <w:lvl w:ilvl="8" w:tplc="9EB4CD58">
      <w:numFmt w:val="bullet"/>
      <w:lvlText w:val="•"/>
      <w:lvlJc w:val="left"/>
      <w:pPr>
        <w:ind w:left="7905" w:hanging="360"/>
      </w:pPr>
      <w:rPr>
        <w:rFonts w:hint="default"/>
        <w:lang w:val="en-US" w:eastAsia="en-US" w:bidi="ar-SA"/>
      </w:rPr>
    </w:lvl>
  </w:abstractNum>
  <w:abstractNum w:abstractNumId="1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2F411B1"/>
    <w:multiLevelType w:val="hybridMultilevel"/>
    <w:tmpl w:val="F0AEC184"/>
    <w:lvl w:ilvl="0" w:tplc="B7EAFA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7383E"/>
    <w:multiLevelType w:val="hybridMultilevel"/>
    <w:tmpl w:val="DF8212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0B6D1E"/>
    <w:multiLevelType w:val="hybridMultilevel"/>
    <w:tmpl w:val="6404794A"/>
    <w:lvl w:ilvl="0" w:tplc="93409F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61661CB"/>
    <w:multiLevelType w:val="hybridMultilevel"/>
    <w:tmpl w:val="0D061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7B754A"/>
    <w:multiLevelType w:val="hybridMultilevel"/>
    <w:tmpl w:val="AC548E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141CC"/>
    <w:multiLevelType w:val="hybridMultilevel"/>
    <w:tmpl w:val="FC6E99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601098"/>
    <w:multiLevelType w:val="hybridMultilevel"/>
    <w:tmpl w:val="A3C41DD8"/>
    <w:lvl w:ilvl="0" w:tplc="3E0E1BB0">
      <w:start w:val="40"/>
      <w:numFmt w:val="decimal"/>
      <w:lvlText w:val="%1."/>
      <w:lvlJc w:val="left"/>
      <w:pPr>
        <w:ind w:left="579" w:hanging="360"/>
      </w:pPr>
      <w:rPr>
        <w:rFonts w:ascii="Calibri" w:eastAsia="Calibri" w:hAnsi="Calibri" w:cs="Calibri" w:hint="default"/>
        <w:b/>
        <w:bCs/>
        <w:i w:val="0"/>
        <w:iCs w:val="0"/>
        <w:spacing w:val="-1"/>
        <w:w w:val="100"/>
        <w:sz w:val="20"/>
        <w:szCs w:val="20"/>
        <w:lang w:val="en-US" w:eastAsia="en-US" w:bidi="ar-SA"/>
      </w:rPr>
    </w:lvl>
    <w:lvl w:ilvl="1" w:tplc="75688F14">
      <w:numFmt w:val="bullet"/>
      <w:lvlText w:val="•"/>
      <w:lvlJc w:val="left"/>
      <w:pPr>
        <w:ind w:left="1074" w:hanging="316"/>
      </w:pPr>
      <w:rPr>
        <w:rFonts w:ascii="Calibri" w:eastAsia="Calibri" w:hAnsi="Calibri" w:cs="Calibri" w:hint="default"/>
        <w:b w:val="0"/>
        <w:bCs w:val="0"/>
        <w:i w:val="0"/>
        <w:iCs w:val="0"/>
        <w:w w:val="100"/>
        <w:sz w:val="20"/>
        <w:szCs w:val="20"/>
        <w:lang w:val="en-US" w:eastAsia="en-US" w:bidi="ar-SA"/>
      </w:rPr>
    </w:lvl>
    <w:lvl w:ilvl="2" w:tplc="64DCB366">
      <w:numFmt w:val="bullet"/>
      <w:lvlText w:val="o"/>
      <w:lvlJc w:val="left"/>
      <w:pPr>
        <w:ind w:left="1356" w:hanging="282"/>
      </w:pPr>
      <w:rPr>
        <w:rFonts w:ascii="Courier New" w:eastAsia="Courier New" w:hAnsi="Courier New" w:cs="Courier New" w:hint="default"/>
        <w:b w:val="0"/>
        <w:bCs w:val="0"/>
        <w:i w:val="0"/>
        <w:iCs w:val="0"/>
        <w:w w:val="100"/>
        <w:sz w:val="20"/>
        <w:szCs w:val="20"/>
        <w:lang w:val="en-US" w:eastAsia="en-US" w:bidi="ar-SA"/>
      </w:rPr>
    </w:lvl>
    <w:lvl w:ilvl="3" w:tplc="F8DEF204">
      <w:numFmt w:val="bullet"/>
      <w:lvlText w:val="•"/>
      <w:lvlJc w:val="left"/>
      <w:pPr>
        <w:ind w:left="2395" w:hanging="282"/>
      </w:pPr>
      <w:rPr>
        <w:rFonts w:hint="default"/>
        <w:lang w:val="en-US" w:eastAsia="en-US" w:bidi="ar-SA"/>
      </w:rPr>
    </w:lvl>
    <w:lvl w:ilvl="4" w:tplc="44109996">
      <w:numFmt w:val="bullet"/>
      <w:lvlText w:val="•"/>
      <w:lvlJc w:val="left"/>
      <w:pPr>
        <w:ind w:left="3431" w:hanging="282"/>
      </w:pPr>
      <w:rPr>
        <w:rFonts w:hint="default"/>
        <w:lang w:val="en-US" w:eastAsia="en-US" w:bidi="ar-SA"/>
      </w:rPr>
    </w:lvl>
    <w:lvl w:ilvl="5" w:tplc="BB565B10">
      <w:numFmt w:val="bullet"/>
      <w:lvlText w:val="•"/>
      <w:lvlJc w:val="left"/>
      <w:pPr>
        <w:ind w:left="4467" w:hanging="282"/>
      </w:pPr>
      <w:rPr>
        <w:rFonts w:hint="default"/>
        <w:lang w:val="en-US" w:eastAsia="en-US" w:bidi="ar-SA"/>
      </w:rPr>
    </w:lvl>
    <w:lvl w:ilvl="6" w:tplc="03426D74">
      <w:numFmt w:val="bullet"/>
      <w:lvlText w:val="•"/>
      <w:lvlJc w:val="left"/>
      <w:pPr>
        <w:ind w:left="5503" w:hanging="282"/>
      </w:pPr>
      <w:rPr>
        <w:rFonts w:hint="default"/>
        <w:lang w:val="en-US" w:eastAsia="en-US" w:bidi="ar-SA"/>
      </w:rPr>
    </w:lvl>
    <w:lvl w:ilvl="7" w:tplc="96DAD8E8">
      <w:numFmt w:val="bullet"/>
      <w:lvlText w:val="•"/>
      <w:lvlJc w:val="left"/>
      <w:pPr>
        <w:ind w:left="6539" w:hanging="282"/>
      </w:pPr>
      <w:rPr>
        <w:rFonts w:hint="default"/>
        <w:lang w:val="en-US" w:eastAsia="en-US" w:bidi="ar-SA"/>
      </w:rPr>
    </w:lvl>
    <w:lvl w:ilvl="8" w:tplc="BF3C0386">
      <w:numFmt w:val="bullet"/>
      <w:lvlText w:val="•"/>
      <w:lvlJc w:val="left"/>
      <w:pPr>
        <w:ind w:left="7574" w:hanging="282"/>
      </w:pPr>
      <w:rPr>
        <w:rFonts w:hint="default"/>
        <w:lang w:val="en-US" w:eastAsia="en-US" w:bidi="ar-SA"/>
      </w:rPr>
    </w:lvl>
  </w:abstractNum>
  <w:abstractNum w:abstractNumId="2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7356D"/>
    <w:multiLevelType w:val="hybridMultilevel"/>
    <w:tmpl w:val="973A0EF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9883386"/>
    <w:multiLevelType w:val="hybridMultilevel"/>
    <w:tmpl w:val="D64EF0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DAE4374"/>
    <w:multiLevelType w:val="hybridMultilevel"/>
    <w:tmpl w:val="0388CB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7"/>
  </w:num>
  <w:num w:numId="2">
    <w:abstractNumId w:val="30"/>
  </w:num>
  <w:num w:numId="3">
    <w:abstractNumId w:val="2"/>
  </w:num>
  <w:num w:numId="4">
    <w:abstractNumId w:val="28"/>
  </w:num>
  <w:num w:numId="5">
    <w:abstractNumId w:val="5"/>
  </w:num>
  <w:num w:numId="6">
    <w:abstractNumId w:val="23"/>
  </w:num>
  <w:num w:numId="7">
    <w:abstractNumId w:val="13"/>
  </w:num>
  <w:num w:numId="8">
    <w:abstractNumId w:val="29"/>
  </w:num>
  <w:num w:numId="9">
    <w:abstractNumId w:val="4"/>
  </w:num>
  <w:num w:numId="10">
    <w:abstractNumId w:val="26"/>
  </w:num>
  <w:num w:numId="11">
    <w:abstractNumId w:val="8"/>
  </w:num>
  <w:num w:numId="12">
    <w:abstractNumId w:val="24"/>
  </w:num>
  <w:num w:numId="13">
    <w:abstractNumId w:val="6"/>
  </w:num>
  <w:num w:numId="14">
    <w:abstractNumId w:val="16"/>
  </w:num>
  <w:num w:numId="15">
    <w:abstractNumId w:val="1"/>
  </w:num>
  <w:num w:numId="16">
    <w:abstractNumId w:val="0"/>
  </w:num>
  <w:num w:numId="17">
    <w:abstractNumId w:val="27"/>
  </w:num>
  <w:num w:numId="18">
    <w:abstractNumId w:val="25"/>
  </w:num>
  <w:num w:numId="19">
    <w:abstractNumId w:val="19"/>
  </w:num>
  <w:num w:numId="20">
    <w:abstractNumId w:val="33"/>
  </w:num>
  <w:num w:numId="21">
    <w:abstractNumId w:val="20"/>
  </w:num>
  <w:num w:numId="22">
    <w:abstractNumId w:val="22"/>
  </w:num>
  <w:num w:numId="23">
    <w:abstractNumId w:val="10"/>
  </w:num>
  <w:num w:numId="24">
    <w:abstractNumId w:val="9"/>
  </w:num>
  <w:num w:numId="25">
    <w:abstractNumId w:val="31"/>
  </w:num>
  <w:num w:numId="26">
    <w:abstractNumId w:val="3"/>
  </w:num>
  <w:num w:numId="27">
    <w:abstractNumId w:val="18"/>
  </w:num>
  <w:num w:numId="28">
    <w:abstractNumId w:val="11"/>
  </w:num>
  <w:num w:numId="29">
    <w:abstractNumId w:val="12"/>
  </w:num>
  <w:num w:numId="30">
    <w:abstractNumId w:val="7"/>
  </w:num>
  <w:num w:numId="31">
    <w:abstractNumId w:val="14"/>
  </w:num>
  <w:num w:numId="32">
    <w:abstractNumId w:val="21"/>
  </w:num>
  <w:num w:numId="33">
    <w:abstractNumId w:val="32"/>
  </w:num>
  <w:num w:numId="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a2xz5tmwatawezss9vrteztavaxffdtd50&quot;&gt;TECARTUS RR ALL&lt;record-ids&gt;&lt;item&gt;1&lt;/item&gt;&lt;item&gt;2&lt;/item&gt;&lt;item&gt;3&lt;/item&gt;&lt;item&gt;4&lt;/item&gt;&lt;item&gt;5&lt;/item&gt;&lt;item&gt;7&lt;/item&gt;&lt;item&gt;8&lt;/item&gt;&lt;item&gt;9&lt;/item&gt;&lt;item&gt;10&lt;/item&gt;&lt;item&gt;11&lt;/item&gt;&lt;item&gt;13&lt;/item&gt;&lt;item&gt;14&lt;/item&gt;&lt;item&gt;15&lt;/item&gt;&lt;/record-ids&gt;&lt;/item&gt;&lt;/Libraries&gt;"/>
  </w:docVars>
  <w:rsids>
    <w:rsidRoot w:val="00BF6AC5"/>
    <w:rsid w:val="000034E5"/>
    <w:rsid w:val="00006C45"/>
    <w:rsid w:val="00007ABC"/>
    <w:rsid w:val="000110DC"/>
    <w:rsid w:val="000158AA"/>
    <w:rsid w:val="000159B9"/>
    <w:rsid w:val="00016A76"/>
    <w:rsid w:val="00016B6E"/>
    <w:rsid w:val="00022978"/>
    <w:rsid w:val="00023E21"/>
    <w:rsid w:val="00025ABC"/>
    <w:rsid w:val="00026412"/>
    <w:rsid w:val="0003034F"/>
    <w:rsid w:val="00031F6F"/>
    <w:rsid w:val="000322FD"/>
    <w:rsid w:val="00032361"/>
    <w:rsid w:val="00032DF5"/>
    <w:rsid w:val="0003467E"/>
    <w:rsid w:val="00034D6E"/>
    <w:rsid w:val="00035B94"/>
    <w:rsid w:val="0004245F"/>
    <w:rsid w:val="0004466F"/>
    <w:rsid w:val="00044A8F"/>
    <w:rsid w:val="00045480"/>
    <w:rsid w:val="0005089D"/>
    <w:rsid w:val="000511B3"/>
    <w:rsid w:val="000525BC"/>
    <w:rsid w:val="00056F06"/>
    <w:rsid w:val="00062104"/>
    <w:rsid w:val="00063FF4"/>
    <w:rsid w:val="00072BEC"/>
    <w:rsid w:val="00073222"/>
    <w:rsid w:val="000770BA"/>
    <w:rsid w:val="00082B62"/>
    <w:rsid w:val="0008323F"/>
    <w:rsid w:val="00083B14"/>
    <w:rsid w:val="00084B1C"/>
    <w:rsid w:val="00092580"/>
    <w:rsid w:val="00093F22"/>
    <w:rsid w:val="000955E7"/>
    <w:rsid w:val="00095B45"/>
    <w:rsid w:val="000A0928"/>
    <w:rsid w:val="000A110D"/>
    <w:rsid w:val="000A478F"/>
    <w:rsid w:val="000A5B32"/>
    <w:rsid w:val="000A7C4E"/>
    <w:rsid w:val="000B12FA"/>
    <w:rsid w:val="000B3CD0"/>
    <w:rsid w:val="000C2F70"/>
    <w:rsid w:val="000D066E"/>
    <w:rsid w:val="000D0831"/>
    <w:rsid w:val="000D1CBD"/>
    <w:rsid w:val="000E2E02"/>
    <w:rsid w:val="000E47E7"/>
    <w:rsid w:val="000E5439"/>
    <w:rsid w:val="000F3129"/>
    <w:rsid w:val="000F340D"/>
    <w:rsid w:val="00102686"/>
    <w:rsid w:val="00107459"/>
    <w:rsid w:val="0011036E"/>
    <w:rsid w:val="001130B0"/>
    <w:rsid w:val="0011369B"/>
    <w:rsid w:val="001172B6"/>
    <w:rsid w:val="0011742E"/>
    <w:rsid w:val="001238BD"/>
    <w:rsid w:val="00123D10"/>
    <w:rsid w:val="00124809"/>
    <w:rsid w:val="00126B33"/>
    <w:rsid w:val="00127637"/>
    <w:rsid w:val="0013236B"/>
    <w:rsid w:val="00133CC7"/>
    <w:rsid w:val="00141C12"/>
    <w:rsid w:val="00146160"/>
    <w:rsid w:val="00147AB0"/>
    <w:rsid w:val="001543FD"/>
    <w:rsid w:val="00154B00"/>
    <w:rsid w:val="00156969"/>
    <w:rsid w:val="00157F80"/>
    <w:rsid w:val="001644E9"/>
    <w:rsid w:val="00166047"/>
    <w:rsid w:val="00172065"/>
    <w:rsid w:val="00173012"/>
    <w:rsid w:val="00176C14"/>
    <w:rsid w:val="001845D9"/>
    <w:rsid w:val="00185675"/>
    <w:rsid w:val="0018630F"/>
    <w:rsid w:val="00186E17"/>
    <w:rsid w:val="001906CD"/>
    <w:rsid w:val="00191B99"/>
    <w:rsid w:val="0019694B"/>
    <w:rsid w:val="00197D29"/>
    <w:rsid w:val="001A02E3"/>
    <w:rsid w:val="001A1ADF"/>
    <w:rsid w:val="001A365C"/>
    <w:rsid w:val="001A37C5"/>
    <w:rsid w:val="001A46B2"/>
    <w:rsid w:val="001A6CC4"/>
    <w:rsid w:val="001B0DC7"/>
    <w:rsid w:val="001B171D"/>
    <w:rsid w:val="001B29A1"/>
    <w:rsid w:val="001B5169"/>
    <w:rsid w:val="001B6164"/>
    <w:rsid w:val="001B7CB8"/>
    <w:rsid w:val="001C579F"/>
    <w:rsid w:val="001C7E51"/>
    <w:rsid w:val="001D317C"/>
    <w:rsid w:val="001D77ED"/>
    <w:rsid w:val="001E1180"/>
    <w:rsid w:val="001E23EA"/>
    <w:rsid w:val="001E379F"/>
    <w:rsid w:val="001E4482"/>
    <w:rsid w:val="001E520F"/>
    <w:rsid w:val="001E6381"/>
    <w:rsid w:val="001E6919"/>
    <w:rsid w:val="001E6958"/>
    <w:rsid w:val="001F0AAD"/>
    <w:rsid w:val="001F779D"/>
    <w:rsid w:val="00201924"/>
    <w:rsid w:val="00202473"/>
    <w:rsid w:val="002053F2"/>
    <w:rsid w:val="002069EF"/>
    <w:rsid w:val="00206D63"/>
    <w:rsid w:val="002112B9"/>
    <w:rsid w:val="0021185D"/>
    <w:rsid w:val="002179F3"/>
    <w:rsid w:val="002232CC"/>
    <w:rsid w:val="00224DC7"/>
    <w:rsid w:val="00226777"/>
    <w:rsid w:val="00226E08"/>
    <w:rsid w:val="00230973"/>
    <w:rsid w:val="002309F7"/>
    <w:rsid w:val="00230A0D"/>
    <w:rsid w:val="00235BD1"/>
    <w:rsid w:val="00237B4F"/>
    <w:rsid w:val="00242A01"/>
    <w:rsid w:val="00242B0E"/>
    <w:rsid w:val="00247DF0"/>
    <w:rsid w:val="0025022D"/>
    <w:rsid w:val="00252BF3"/>
    <w:rsid w:val="00254813"/>
    <w:rsid w:val="00257FF2"/>
    <w:rsid w:val="002643FE"/>
    <w:rsid w:val="00265822"/>
    <w:rsid w:val="0027105F"/>
    <w:rsid w:val="002711FB"/>
    <w:rsid w:val="00271BE4"/>
    <w:rsid w:val="00273515"/>
    <w:rsid w:val="0027548C"/>
    <w:rsid w:val="00276FF4"/>
    <w:rsid w:val="0028052F"/>
    <w:rsid w:val="00282B37"/>
    <w:rsid w:val="00282BE8"/>
    <w:rsid w:val="00283318"/>
    <w:rsid w:val="00285525"/>
    <w:rsid w:val="00285DBA"/>
    <w:rsid w:val="00287170"/>
    <w:rsid w:val="00287C14"/>
    <w:rsid w:val="00292B49"/>
    <w:rsid w:val="00294CD8"/>
    <w:rsid w:val="002952FC"/>
    <w:rsid w:val="00295458"/>
    <w:rsid w:val="00296405"/>
    <w:rsid w:val="002A270B"/>
    <w:rsid w:val="002A50FD"/>
    <w:rsid w:val="002A5834"/>
    <w:rsid w:val="002A6753"/>
    <w:rsid w:val="002B28D7"/>
    <w:rsid w:val="002B7EB6"/>
    <w:rsid w:val="002C0B61"/>
    <w:rsid w:val="002C15E6"/>
    <w:rsid w:val="002C164B"/>
    <w:rsid w:val="002C247D"/>
    <w:rsid w:val="002C3345"/>
    <w:rsid w:val="002D409A"/>
    <w:rsid w:val="002D4447"/>
    <w:rsid w:val="002D4BCE"/>
    <w:rsid w:val="002D4BFC"/>
    <w:rsid w:val="002D4E54"/>
    <w:rsid w:val="002E01B8"/>
    <w:rsid w:val="002E0843"/>
    <w:rsid w:val="002E6E2A"/>
    <w:rsid w:val="002F30E7"/>
    <w:rsid w:val="00300EEB"/>
    <w:rsid w:val="00301392"/>
    <w:rsid w:val="003013A9"/>
    <w:rsid w:val="00301958"/>
    <w:rsid w:val="003020B5"/>
    <w:rsid w:val="003027BB"/>
    <w:rsid w:val="0030475F"/>
    <w:rsid w:val="00304D9C"/>
    <w:rsid w:val="00310A10"/>
    <w:rsid w:val="00327D25"/>
    <w:rsid w:val="003319A7"/>
    <w:rsid w:val="00334FE3"/>
    <w:rsid w:val="00337F62"/>
    <w:rsid w:val="00341087"/>
    <w:rsid w:val="003421AE"/>
    <w:rsid w:val="003433D1"/>
    <w:rsid w:val="00344B24"/>
    <w:rsid w:val="003453EC"/>
    <w:rsid w:val="003456B9"/>
    <w:rsid w:val="0035067D"/>
    <w:rsid w:val="00353162"/>
    <w:rsid w:val="00353A16"/>
    <w:rsid w:val="00354F28"/>
    <w:rsid w:val="0035776D"/>
    <w:rsid w:val="00364FD9"/>
    <w:rsid w:val="00367C1B"/>
    <w:rsid w:val="00375817"/>
    <w:rsid w:val="00376B61"/>
    <w:rsid w:val="003771D3"/>
    <w:rsid w:val="00382407"/>
    <w:rsid w:val="003863FF"/>
    <w:rsid w:val="00386A64"/>
    <w:rsid w:val="00386FA1"/>
    <w:rsid w:val="00390142"/>
    <w:rsid w:val="003904AC"/>
    <w:rsid w:val="00391A8D"/>
    <w:rsid w:val="003923FC"/>
    <w:rsid w:val="00392F00"/>
    <w:rsid w:val="00397377"/>
    <w:rsid w:val="003A0571"/>
    <w:rsid w:val="003A22DE"/>
    <w:rsid w:val="003A2860"/>
    <w:rsid w:val="003A3C35"/>
    <w:rsid w:val="003A7D30"/>
    <w:rsid w:val="003B3C5C"/>
    <w:rsid w:val="003B605D"/>
    <w:rsid w:val="003C07A0"/>
    <w:rsid w:val="003C199B"/>
    <w:rsid w:val="003C1C5A"/>
    <w:rsid w:val="003C47CA"/>
    <w:rsid w:val="003C5212"/>
    <w:rsid w:val="003D2577"/>
    <w:rsid w:val="003D6DE1"/>
    <w:rsid w:val="003D795C"/>
    <w:rsid w:val="003E2774"/>
    <w:rsid w:val="003E2BC8"/>
    <w:rsid w:val="003E30FB"/>
    <w:rsid w:val="003E3118"/>
    <w:rsid w:val="003F115D"/>
    <w:rsid w:val="003F2711"/>
    <w:rsid w:val="003F2DB4"/>
    <w:rsid w:val="003F56B8"/>
    <w:rsid w:val="003F6C70"/>
    <w:rsid w:val="003F7CB9"/>
    <w:rsid w:val="00402C5F"/>
    <w:rsid w:val="00403333"/>
    <w:rsid w:val="00404AD3"/>
    <w:rsid w:val="004052F2"/>
    <w:rsid w:val="004116C2"/>
    <w:rsid w:val="00411735"/>
    <w:rsid w:val="00412695"/>
    <w:rsid w:val="00415C74"/>
    <w:rsid w:val="00417914"/>
    <w:rsid w:val="00421503"/>
    <w:rsid w:val="004314B5"/>
    <w:rsid w:val="0043654D"/>
    <w:rsid w:val="00437F60"/>
    <w:rsid w:val="0044007C"/>
    <w:rsid w:val="004471B6"/>
    <w:rsid w:val="00447928"/>
    <w:rsid w:val="00451840"/>
    <w:rsid w:val="00455919"/>
    <w:rsid w:val="0046041E"/>
    <w:rsid w:val="00460C9A"/>
    <w:rsid w:val="00463FCA"/>
    <w:rsid w:val="00464924"/>
    <w:rsid w:val="00472946"/>
    <w:rsid w:val="0047322B"/>
    <w:rsid w:val="0047363C"/>
    <w:rsid w:val="0047484A"/>
    <w:rsid w:val="004755E5"/>
    <w:rsid w:val="0047581D"/>
    <w:rsid w:val="004779AA"/>
    <w:rsid w:val="00480289"/>
    <w:rsid w:val="00481279"/>
    <w:rsid w:val="00483368"/>
    <w:rsid w:val="00484CAD"/>
    <w:rsid w:val="00487B2A"/>
    <w:rsid w:val="00490F23"/>
    <w:rsid w:val="004910C6"/>
    <w:rsid w:val="00491AAE"/>
    <w:rsid w:val="00492BCA"/>
    <w:rsid w:val="00494011"/>
    <w:rsid w:val="0049490B"/>
    <w:rsid w:val="00495379"/>
    <w:rsid w:val="004955BF"/>
    <w:rsid w:val="0049560E"/>
    <w:rsid w:val="004A03EC"/>
    <w:rsid w:val="004A0BF4"/>
    <w:rsid w:val="004A263B"/>
    <w:rsid w:val="004A63C9"/>
    <w:rsid w:val="004B1547"/>
    <w:rsid w:val="004B362D"/>
    <w:rsid w:val="004B68AE"/>
    <w:rsid w:val="004C1F66"/>
    <w:rsid w:val="004C35B0"/>
    <w:rsid w:val="004C49EF"/>
    <w:rsid w:val="004C4A19"/>
    <w:rsid w:val="004C5570"/>
    <w:rsid w:val="004D00C9"/>
    <w:rsid w:val="004D34FE"/>
    <w:rsid w:val="004D3846"/>
    <w:rsid w:val="004E16F5"/>
    <w:rsid w:val="004E3CC7"/>
    <w:rsid w:val="004E5B69"/>
    <w:rsid w:val="004E71F0"/>
    <w:rsid w:val="004F0CEF"/>
    <w:rsid w:val="004F2A87"/>
    <w:rsid w:val="00502001"/>
    <w:rsid w:val="00503B6C"/>
    <w:rsid w:val="00504AB7"/>
    <w:rsid w:val="00505F4B"/>
    <w:rsid w:val="00507C56"/>
    <w:rsid w:val="0052344E"/>
    <w:rsid w:val="00525981"/>
    <w:rsid w:val="00526478"/>
    <w:rsid w:val="005272F8"/>
    <w:rsid w:val="00530204"/>
    <w:rsid w:val="00534C5F"/>
    <w:rsid w:val="00537757"/>
    <w:rsid w:val="00540257"/>
    <w:rsid w:val="0054192F"/>
    <w:rsid w:val="00544EB3"/>
    <w:rsid w:val="0054594B"/>
    <w:rsid w:val="00545EFB"/>
    <w:rsid w:val="00547180"/>
    <w:rsid w:val="0054749B"/>
    <w:rsid w:val="00551CC6"/>
    <w:rsid w:val="00554E7A"/>
    <w:rsid w:val="0056015F"/>
    <w:rsid w:val="00560541"/>
    <w:rsid w:val="00560B7E"/>
    <w:rsid w:val="005615E3"/>
    <w:rsid w:val="005672D0"/>
    <w:rsid w:val="00572CEB"/>
    <w:rsid w:val="005734FF"/>
    <w:rsid w:val="00582165"/>
    <w:rsid w:val="005834C9"/>
    <w:rsid w:val="00585C8D"/>
    <w:rsid w:val="00595440"/>
    <w:rsid w:val="00595764"/>
    <w:rsid w:val="0059684D"/>
    <w:rsid w:val="005970C3"/>
    <w:rsid w:val="005A38DA"/>
    <w:rsid w:val="005A58BA"/>
    <w:rsid w:val="005A5D30"/>
    <w:rsid w:val="005A6AB9"/>
    <w:rsid w:val="005A7322"/>
    <w:rsid w:val="005C055A"/>
    <w:rsid w:val="005C333E"/>
    <w:rsid w:val="005C3989"/>
    <w:rsid w:val="005C3AE7"/>
    <w:rsid w:val="005D0677"/>
    <w:rsid w:val="005D16EE"/>
    <w:rsid w:val="005D3877"/>
    <w:rsid w:val="005E143B"/>
    <w:rsid w:val="005E2520"/>
    <w:rsid w:val="005E294C"/>
    <w:rsid w:val="005E2CE3"/>
    <w:rsid w:val="005E3382"/>
    <w:rsid w:val="005E7024"/>
    <w:rsid w:val="005F3F07"/>
    <w:rsid w:val="00603D04"/>
    <w:rsid w:val="00605149"/>
    <w:rsid w:val="00606857"/>
    <w:rsid w:val="00610782"/>
    <w:rsid w:val="00615721"/>
    <w:rsid w:val="00615F42"/>
    <w:rsid w:val="006258C2"/>
    <w:rsid w:val="00626365"/>
    <w:rsid w:val="00630E22"/>
    <w:rsid w:val="006357F8"/>
    <w:rsid w:val="00636A63"/>
    <w:rsid w:val="00636E73"/>
    <w:rsid w:val="006371E7"/>
    <w:rsid w:val="0064168C"/>
    <w:rsid w:val="00643755"/>
    <w:rsid w:val="006455A5"/>
    <w:rsid w:val="0064588C"/>
    <w:rsid w:val="00657B46"/>
    <w:rsid w:val="00661B0D"/>
    <w:rsid w:val="00663A89"/>
    <w:rsid w:val="00663B9D"/>
    <w:rsid w:val="00671A37"/>
    <w:rsid w:val="006764EC"/>
    <w:rsid w:val="006835FE"/>
    <w:rsid w:val="0068418D"/>
    <w:rsid w:val="00693787"/>
    <w:rsid w:val="00693BFD"/>
    <w:rsid w:val="006946F3"/>
    <w:rsid w:val="00695065"/>
    <w:rsid w:val="006A0A36"/>
    <w:rsid w:val="006A1038"/>
    <w:rsid w:val="006A29F5"/>
    <w:rsid w:val="006A3FFA"/>
    <w:rsid w:val="006A649A"/>
    <w:rsid w:val="006A74CB"/>
    <w:rsid w:val="006B1B49"/>
    <w:rsid w:val="006B3B98"/>
    <w:rsid w:val="006B3CA2"/>
    <w:rsid w:val="006B6390"/>
    <w:rsid w:val="006C0356"/>
    <w:rsid w:val="006C0843"/>
    <w:rsid w:val="006C5798"/>
    <w:rsid w:val="006C6734"/>
    <w:rsid w:val="006C74B1"/>
    <w:rsid w:val="006E110D"/>
    <w:rsid w:val="006E21E2"/>
    <w:rsid w:val="006E21E9"/>
    <w:rsid w:val="006E57AA"/>
    <w:rsid w:val="006F20CF"/>
    <w:rsid w:val="006F38ED"/>
    <w:rsid w:val="00700D33"/>
    <w:rsid w:val="0070256F"/>
    <w:rsid w:val="007036BA"/>
    <w:rsid w:val="00704082"/>
    <w:rsid w:val="00707512"/>
    <w:rsid w:val="00707D4D"/>
    <w:rsid w:val="00723446"/>
    <w:rsid w:val="00723503"/>
    <w:rsid w:val="00723BEF"/>
    <w:rsid w:val="00725E2C"/>
    <w:rsid w:val="00727401"/>
    <w:rsid w:val="0073015C"/>
    <w:rsid w:val="00730C04"/>
    <w:rsid w:val="0073597B"/>
    <w:rsid w:val="007378F6"/>
    <w:rsid w:val="0074545D"/>
    <w:rsid w:val="00745AA8"/>
    <w:rsid w:val="00746D2E"/>
    <w:rsid w:val="007471D5"/>
    <w:rsid w:val="007522E3"/>
    <w:rsid w:val="0075335B"/>
    <w:rsid w:val="00753C44"/>
    <w:rsid w:val="00754383"/>
    <w:rsid w:val="007564D1"/>
    <w:rsid w:val="00757232"/>
    <w:rsid w:val="00760679"/>
    <w:rsid w:val="00763628"/>
    <w:rsid w:val="0076637E"/>
    <w:rsid w:val="00767E99"/>
    <w:rsid w:val="00770506"/>
    <w:rsid w:val="00772128"/>
    <w:rsid w:val="00772E62"/>
    <w:rsid w:val="00775A6A"/>
    <w:rsid w:val="0077789B"/>
    <w:rsid w:val="00780D29"/>
    <w:rsid w:val="007847A6"/>
    <w:rsid w:val="00785937"/>
    <w:rsid w:val="00790F0C"/>
    <w:rsid w:val="00791C8D"/>
    <w:rsid w:val="007934C3"/>
    <w:rsid w:val="0079354C"/>
    <w:rsid w:val="00794181"/>
    <w:rsid w:val="007A1490"/>
    <w:rsid w:val="007A7F6F"/>
    <w:rsid w:val="007B0274"/>
    <w:rsid w:val="007B4C76"/>
    <w:rsid w:val="007B67C5"/>
    <w:rsid w:val="007B7BDD"/>
    <w:rsid w:val="007C0AAE"/>
    <w:rsid w:val="007C2260"/>
    <w:rsid w:val="007D1E52"/>
    <w:rsid w:val="007D2358"/>
    <w:rsid w:val="007D3C44"/>
    <w:rsid w:val="007D5406"/>
    <w:rsid w:val="007D5706"/>
    <w:rsid w:val="007E0480"/>
    <w:rsid w:val="007E2BC5"/>
    <w:rsid w:val="007E2EE9"/>
    <w:rsid w:val="007E39E4"/>
    <w:rsid w:val="007E6FB3"/>
    <w:rsid w:val="007F21B4"/>
    <w:rsid w:val="008007DF"/>
    <w:rsid w:val="00802553"/>
    <w:rsid w:val="00803EAB"/>
    <w:rsid w:val="008046B5"/>
    <w:rsid w:val="008057AE"/>
    <w:rsid w:val="00810224"/>
    <w:rsid w:val="008127C0"/>
    <w:rsid w:val="00812EDD"/>
    <w:rsid w:val="00813072"/>
    <w:rsid w:val="008139C5"/>
    <w:rsid w:val="00816045"/>
    <w:rsid w:val="0081650F"/>
    <w:rsid w:val="00816CF4"/>
    <w:rsid w:val="0082195F"/>
    <w:rsid w:val="00824A49"/>
    <w:rsid w:val="00825EAF"/>
    <w:rsid w:val="00826E15"/>
    <w:rsid w:val="00832B31"/>
    <w:rsid w:val="00833DBA"/>
    <w:rsid w:val="00840058"/>
    <w:rsid w:val="008403E0"/>
    <w:rsid w:val="00841BBC"/>
    <w:rsid w:val="00844544"/>
    <w:rsid w:val="00845031"/>
    <w:rsid w:val="0084657B"/>
    <w:rsid w:val="00847662"/>
    <w:rsid w:val="00853C2E"/>
    <w:rsid w:val="00855944"/>
    <w:rsid w:val="00856E83"/>
    <w:rsid w:val="0085794F"/>
    <w:rsid w:val="00864A18"/>
    <w:rsid w:val="008652AF"/>
    <w:rsid w:val="00867E0B"/>
    <w:rsid w:val="00870719"/>
    <w:rsid w:val="00870833"/>
    <w:rsid w:val="008741BE"/>
    <w:rsid w:val="00874571"/>
    <w:rsid w:val="00881F93"/>
    <w:rsid w:val="00882CB5"/>
    <w:rsid w:val="00883641"/>
    <w:rsid w:val="00884E69"/>
    <w:rsid w:val="00890082"/>
    <w:rsid w:val="008908DC"/>
    <w:rsid w:val="0089736D"/>
    <w:rsid w:val="008A48D2"/>
    <w:rsid w:val="008A5E06"/>
    <w:rsid w:val="008A6113"/>
    <w:rsid w:val="008A7423"/>
    <w:rsid w:val="008B2610"/>
    <w:rsid w:val="008B471D"/>
    <w:rsid w:val="008B49E4"/>
    <w:rsid w:val="008B729C"/>
    <w:rsid w:val="008B77F7"/>
    <w:rsid w:val="008C251B"/>
    <w:rsid w:val="008C4A93"/>
    <w:rsid w:val="008C4ED0"/>
    <w:rsid w:val="008D1A4B"/>
    <w:rsid w:val="008D3743"/>
    <w:rsid w:val="008D59CE"/>
    <w:rsid w:val="008D68D2"/>
    <w:rsid w:val="008E0E49"/>
    <w:rsid w:val="008E35FD"/>
    <w:rsid w:val="008E6227"/>
    <w:rsid w:val="008E78B9"/>
    <w:rsid w:val="008F6774"/>
    <w:rsid w:val="008F6953"/>
    <w:rsid w:val="008F6B83"/>
    <w:rsid w:val="00900108"/>
    <w:rsid w:val="00901F1C"/>
    <w:rsid w:val="00903847"/>
    <w:rsid w:val="0090543D"/>
    <w:rsid w:val="009056C5"/>
    <w:rsid w:val="0091147C"/>
    <w:rsid w:val="00913B6D"/>
    <w:rsid w:val="00916434"/>
    <w:rsid w:val="00917DEB"/>
    <w:rsid w:val="009262F2"/>
    <w:rsid w:val="00935ED0"/>
    <w:rsid w:val="00937791"/>
    <w:rsid w:val="009379EB"/>
    <w:rsid w:val="0094303B"/>
    <w:rsid w:val="00943A5E"/>
    <w:rsid w:val="00943B70"/>
    <w:rsid w:val="00944F58"/>
    <w:rsid w:val="0094574B"/>
    <w:rsid w:val="00950F45"/>
    <w:rsid w:val="00951933"/>
    <w:rsid w:val="00953FF1"/>
    <w:rsid w:val="00954343"/>
    <w:rsid w:val="00955271"/>
    <w:rsid w:val="0096066E"/>
    <w:rsid w:val="009619E4"/>
    <w:rsid w:val="00963C9C"/>
    <w:rsid w:val="00965B6B"/>
    <w:rsid w:val="00971EDB"/>
    <w:rsid w:val="00972BF7"/>
    <w:rsid w:val="00974733"/>
    <w:rsid w:val="00974A56"/>
    <w:rsid w:val="00974D50"/>
    <w:rsid w:val="00975E38"/>
    <w:rsid w:val="009817A6"/>
    <w:rsid w:val="00981844"/>
    <w:rsid w:val="00987ABE"/>
    <w:rsid w:val="00991EE4"/>
    <w:rsid w:val="009939DC"/>
    <w:rsid w:val="00993B9C"/>
    <w:rsid w:val="00996D9B"/>
    <w:rsid w:val="009A1DAB"/>
    <w:rsid w:val="009A39FE"/>
    <w:rsid w:val="009A49EA"/>
    <w:rsid w:val="009A52DA"/>
    <w:rsid w:val="009A5961"/>
    <w:rsid w:val="009B4E1E"/>
    <w:rsid w:val="009C03FB"/>
    <w:rsid w:val="009C2923"/>
    <w:rsid w:val="009C2D02"/>
    <w:rsid w:val="009C4B4F"/>
    <w:rsid w:val="009D01D8"/>
    <w:rsid w:val="009D0888"/>
    <w:rsid w:val="009D49AB"/>
    <w:rsid w:val="009D6589"/>
    <w:rsid w:val="009E3EB1"/>
    <w:rsid w:val="009F0C02"/>
    <w:rsid w:val="009F1966"/>
    <w:rsid w:val="009F5758"/>
    <w:rsid w:val="00A0283F"/>
    <w:rsid w:val="00A04F4A"/>
    <w:rsid w:val="00A113BA"/>
    <w:rsid w:val="00A121D2"/>
    <w:rsid w:val="00A12B09"/>
    <w:rsid w:val="00A12E38"/>
    <w:rsid w:val="00A13B22"/>
    <w:rsid w:val="00A26343"/>
    <w:rsid w:val="00A31250"/>
    <w:rsid w:val="00A33679"/>
    <w:rsid w:val="00A337F3"/>
    <w:rsid w:val="00A35FCD"/>
    <w:rsid w:val="00A3741C"/>
    <w:rsid w:val="00A4050C"/>
    <w:rsid w:val="00A408B5"/>
    <w:rsid w:val="00A415D7"/>
    <w:rsid w:val="00A518C8"/>
    <w:rsid w:val="00A529E2"/>
    <w:rsid w:val="00A539F8"/>
    <w:rsid w:val="00A62DAF"/>
    <w:rsid w:val="00A6491A"/>
    <w:rsid w:val="00A6594E"/>
    <w:rsid w:val="00A721FD"/>
    <w:rsid w:val="00A727B6"/>
    <w:rsid w:val="00A7513F"/>
    <w:rsid w:val="00A75D46"/>
    <w:rsid w:val="00A77E47"/>
    <w:rsid w:val="00A810A5"/>
    <w:rsid w:val="00A81998"/>
    <w:rsid w:val="00A81CC6"/>
    <w:rsid w:val="00A83EC6"/>
    <w:rsid w:val="00A86997"/>
    <w:rsid w:val="00A872E8"/>
    <w:rsid w:val="00A8732C"/>
    <w:rsid w:val="00A9062D"/>
    <w:rsid w:val="00A93F58"/>
    <w:rsid w:val="00A96329"/>
    <w:rsid w:val="00AA0F2D"/>
    <w:rsid w:val="00AA134B"/>
    <w:rsid w:val="00AA29E8"/>
    <w:rsid w:val="00AA2CFE"/>
    <w:rsid w:val="00AA5FDA"/>
    <w:rsid w:val="00AA6291"/>
    <w:rsid w:val="00AB2542"/>
    <w:rsid w:val="00AC0C91"/>
    <w:rsid w:val="00AC538C"/>
    <w:rsid w:val="00AD2E85"/>
    <w:rsid w:val="00AD37D4"/>
    <w:rsid w:val="00AD4FF2"/>
    <w:rsid w:val="00AD7986"/>
    <w:rsid w:val="00AE1188"/>
    <w:rsid w:val="00AE40E7"/>
    <w:rsid w:val="00AE6224"/>
    <w:rsid w:val="00AE738C"/>
    <w:rsid w:val="00AE7431"/>
    <w:rsid w:val="00AF1046"/>
    <w:rsid w:val="00AF4466"/>
    <w:rsid w:val="00AF5D1E"/>
    <w:rsid w:val="00B040A9"/>
    <w:rsid w:val="00B13778"/>
    <w:rsid w:val="00B1711E"/>
    <w:rsid w:val="00B17CBE"/>
    <w:rsid w:val="00B17E26"/>
    <w:rsid w:val="00B231A4"/>
    <w:rsid w:val="00B25D20"/>
    <w:rsid w:val="00B31C99"/>
    <w:rsid w:val="00B354D7"/>
    <w:rsid w:val="00B37E0F"/>
    <w:rsid w:val="00B45CA5"/>
    <w:rsid w:val="00B53BA6"/>
    <w:rsid w:val="00B5456E"/>
    <w:rsid w:val="00B56382"/>
    <w:rsid w:val="00B570A1"/>
    <w:rsid w:val="00B5731D"/>
    <w:rsid w:val="00B6378B"/>
    <w:rsid w:val="00B63E3A"/>
    <w:rsid w:val="00B71535"/>
    <w:rsid w:val="00B715E8"/>
    <w:rsid w:val="00B75965"/>
    <w:rsid w:val="00B771AD"/>
    <w:rsid w:val="00B80335"/>
    <w:rsid w:val="00B814CB"/>
    <w:rsid w:val="00B87234"/>
    <w:rsid w:val="00BA0CF8"/>
    <w:rsid w:val="00BA1ADF"/>
    <w:rsid w:val="00BA51FC"/>
    <w:rsid w:val="00BA72E3"/>
    <w:rsid w:val="00BB003A"/>
    <w:rsid w:val="00BB3358"/>
    <w:rsid w:val="00BB3382"/>
    <w:rsid w:val="00BB3643"/>
    <w:rsid w:val="00BB64AC"/>
    <w:rsid w:val="00BC19F3"/>
    <w:rsid w:val="00BC3DA0"/>
    <w:rsid w:val="00BC424B"/>
    <w:rsid w:val="00BD3FCD"/>
    <w:rsid w:val="00BD6323"/>
    <w:rsid w:val="00BE0FDE"/>
    <w:rsid w:val="00BE1FE9"/>
    <w:rsid w:val="00BE2E82"/>
    <w:rsid w:val="00BF6497"/>
    <w:rsid w:val="00BF6AC5"/>
    <w:rsid w:val="00BF7E89"/>
    <w:rsid w:val="00C01121"/>
    <w:rsid w:val="00C030A5"/>
    <w:rsid w:val="00C05A45"/>
    <w:rsid w:val="00C0796F"/>
    <w:rsid w:val="00C113CB"/>
    <w:rsid w:val="00C11B34"/>
    <w:rsid w:val="00C12C5C"/>
    <w:rsid w:val="00C15040"/>
    <w:rsid w:val="00C16877"/>
    <w:rsid w:val="00C171FB"/>
    <w:rsid w:val="00C209C2"/>
    <w:rsid w:val="00C2267F"/>
    <w:rsid w:val="00C22AD8"/>
    <w:rsid w:val="00C3557E"/>
    <w:rsid w:val="00C3594B"/>
    <w:rsid w:val="00C35BD1"/>
    <w:rsid w:val="00C40993"/>
    <w:rsid w:val="00C42AB0"/>
    <w:rsid w:val="00C43102"/>
    <w:rsid w:val="00C4696B"/>
    <w:rsid w:val="00C50513"/>
    <w:rsid w:val="00C53013"/>
    <w:rsid w:val="00C5345D"/>
    <w:rsid w:val="00C54503"/>
    <w:rsid w:val="00C54610"/>
    <w:rsid w:val="00C63055"/>
    <w:rsid w:val="00C64596"/>
    <w:rsid w:val="00C71834"/>
    <w:rsid w:val="00C73B62"/>
    <w:rsid w:val="00C76D8F"/>
    <w:rsid w:val="00C776B1"/>
    <w:rsid w:val="00C815FE"/>
    <w:rsid w:val="00C81FA0"/>
    <w:rsid w:val="00C847AE"/>
    <w:rsid w:val="00C84F4C"/>
    <w:rsid w:val="00C85213"/>
    <w:rsid w:val="00C97171"/>
    <w:rsid w:val="00C97EC8"/>
    <w:rsid w:val="00CA04C6"/>
    <w:rsid w:val="00CA26DD"/>
    <w:rsid w:val="00CA2EE4"/>
    <w:rsid w:val="00CA6582"/>
    <w:rsid w:val="00CB12EC"/>
    <w:rsid w:val="00CB177B"/>
    <w:rsid w:val="00CB3C2F"/>
    <w:rsid w:val="00CC09D7"/>
    <w:rsid w:val="00CC12B8"/>
    <w:rsid w:val="00CC15B3"/>
    <w:rsid w:val="00CC5AB1"/>
    <w:rsid w:val="00CD22E3"/>
    <w:rsid w:val="00CD4E44"/>
    <w:rsid w:val="00CD5AE4"/>
    <w:rsid w:val="00CD6981"/>
    <w:rsid w:val="00CD7A7D"/>
    <w:rsid w:val="00CE0F9E"/>
    <w:rsid w:val="00CE23B0"/>
    <w:rsid w:val="00CE294C"/>
    <w:rsid w:val="00CE30B2"/>
    <w:rsid w:val="00CE671A"/>
    <w:rsid w:val="00CF0D9F"/>
    <w:rsid w:val="00CF2D8E"/>
    <w:rsid w:val="00CF2DFA"/>
    <w:rsid w:val="00CF5AD8"/>
    <w:rsid w:val="00CF7AE6"/>
    <w:rsid w:val="00D00122"/>
    <w:rsid w:val="00D01D2A"/>
    <w:rsid w:val="00D073B6"/>
    <w:rsid w:val="00D10B47"/>
    <w:rsid w:val="00D11EB1"/>
    <w:rsid w:val="00D17F17"/>
    <w:rsid w:val="00D203A3"/>
    <w:rsid w:val="00D23597"/>
    <w:rsid w:val="00D242F1"/>
    <w:rsid w:val="00D269F6"/>
    <w:rsid w:val="00D30891"/>
    <w:rsid w:val="00D30BDC"/>
    <w:rsid w:val="00D30F4A"/>
    <w:rsid w:val="00D33E32"/>
    <w:rsid w:val="00D37070"/>
    <w:rsid w:val="00D448AB"/>
    <w:rsid w:val="00D508E4"/>
    <w:rsid w:val="00D52506"/>
    <w:rsid w:val="00D5564B"/>
    <w:rsid w:val="00D56765"/>
    <w:rsid w:val="00D57F88"/>
    <w:rsid w:val="00D66A77"/>
    <w:rsid w:val="00D7105C"/>
    <w:rsid w:val="00D73646"/>
    <w:rsid w:val="00D777B4"/>
    <w:rsid w:val="00D77A90"/>
    <w:rsid w:val="00D8360B"/>
    <w:rsid w:val="00D851A1"/>
    <w:rsid w:val="00D85676"/>
    <w:rsid w:val="00D86738"/>
    <w:rsid w:val="00D874B2"/>
    <w:rsid w:val="00D96ADA"/>
    <w:rsid w:val="00DA2886"/>
    <w:rsid w:val="00DA5534"/>
    <w:rsid w:val="00DA5E50"/>
    <w:rsid w:val="00DA7763"/>
    <w:rsid w:val="00DA7D0C"/>
    <w:rsid w:val="00DB00A2"/>
    <w:rsid w:val="00DB2224"/>
    <w:rsid w:val="00DB311C"/>
    <w:rsid w:val="00DB40E3"/>
    <w:rsid w:val="00DB432D"/>
    <w:rsid w:val="00DB519B"/>
    <w:rsid w:val="00DB7096"/>
    <w:rsid w:val="00DB7190"/>
    <w:rsid w:val="00DB7F76"/>
    <w:rsid w:val="00DC5E83"/>
    <w:rsid w:val="00DC70BE"/>
    <w:rsid w:val="00DC7694"/>
    <w:rsid w:val="00DC7FBE"/>
    <w:rsid w:val="00DD130E"/>
    <w:rsid w:val="00DD25D0"/>
    <w:rsid w:val="00DD2E5D"/>
    <w:rsid w:val="00DD308E"/>
    <w:rsid w:val="00DD7BCE"/>
    <w:rsid w:val="00DE39C9"/>
    <w:rsid w:val="00DF0C51"/>
    <w:rsid w:val="00DF0D47"/>
    <w:rsid w:val="00DF1652"/>
    <w:rsid w:val="00DF3451"/>
    <w:rsid w:val="00DF6D37"/>
    <w:rsid w:val="00E048ED"/>
    <w:rsid w:val="00E04FB3"/>
    <w:rsid w:val="00E05451"/>
    <w:rsid w:val="00E058F2"/>
    <w:rsid w:val="00E059AB"/>
    <w:rsid w:val="00E05D9C"/>
    <w:rsid w:val="00E06102"/>
    <w:rsid w:val="00E23E71"/>
    <w:rsid w:val="00E24FB8"/>
    <w:rsid w:val="00E25935"/>
    <w:rsid w:val="00E27555"/>
    <w:rsid w:val="00E30F19"/>
    <w:rsid w:val="00E33C4A"/>
    <w:rsid w:val="00E357B9"/>
    <w:rsid w:val="00E4321E"/>
    <w:rsid w:val="00E44B80"/>
    <w:rsid w:val="00E45461"/>
    <w:rsid w:val="00E47623"/>
    <w:rsid w:val="00E57920"/>
    <w:rsid w:val="00E60529"/>
    <w:rsid w:val="00E6222F"/>
    <w:rsid w:val="00E641EF"/>
    <w:rsid w:val="00E64A93"/>
    <w:rsid w:val="00E70D86"/>
    <w:rsid w:val="00E721B1"/>
    <w:rsid w:val="00E7628E"/>
    <w:rsid w:val="00E82F54"/>
    <w:rsid w:val="00E84815"/>
    <w:rsid w:val="00E8649B"/>
    <w:rsid w:val="00E871CD"/>
    <w:rsid w:val="00E90990"/>
    <w:rsid w:val="00E95D3D"/>
    <w:rsid w:val="00E95FE2"/>
    <w:rsid w:val="00EA0E25"/>
    <w:rsid w:val="00EA173C"/>
    <w:rsid w:val="00EA3415"/>
    <w:rsid w:val="00EB0145"/>
    <w:rsid w:val="00EB3FC2"/>
    <w:rsid w:val="00EB552D"/>
    <w:rsid w:val="00EC127A"/>
    <w:rsid w:val="00EC1FF9"/>
    <w:rsid w:val="00EC2737"/>
    <w:rsid w:val="00EC690D"/>
    <w:rsid w:val="00ED05B0"/>
    <w:rsid w:val="00EE2716"/>
    <w:rsid w:val="00EE6450"/>
    <w:rsid w:val="00EE7335"/>
    <w:rsid w:val="00EF680D"/>
    <w:rsid w:val="00EF6F71"/>
    <w:rsid w:val="00F01C2C"/>
    <w:rsid w:val="00F0259A"/>
    <w:rsid w:val="00F02E0D"/>
    <w:rsid w:val="00F04FD0"/>
    <w:rsid w:val="00F10ED8"/>
    <w:rsid w:val="00F12C20"/>
    <w:rsid w:val="00F1460E"/>
    <w:rsid w:val="00F15CA9"/>
    <w:rsid w:val="00F17741"/>
    <w:rsid w:val="00F222BE"/>
    <w:rsid w:val="00F24179"/>
    <w:rsid w:val="00F24FD6"/>
    <w:rsid w:val="00F27DFF"/>
    <w:rsid w:val="00F301F1"/>
    <w:rsid w:val="00F30C22"/>
    <w:rsid w:val="00F33F1A"/>
    <w:rsid w:val="00F402A0"/>
    <w:rsid w:val="00F41106"/>
    <w:rsid w:val="00F53F68"/>
    <w:rsid w:val="00F547F7"/>
    <w:rsid w:val="00F54CCF"/>
    <w:rsid w:val="00F5655B"/>
    <w:rsid w:val="00F61D7A"/>
    <w:rsid w:val="00F637B3"/>
    <w:rsid w:val="00F66CF7"/>
    <w:rsid w:val="00F67A83"/>
    <w:rsid w:val="00F67BCB"/>
    <w:rsid w:val="00F70DF3"/>
    <w:rsid w:val="00F71045"/>
    <w:rsid w:val="00F763AA"/>
    <w:rsid w:val="00F77C57"/>
    <w:rsid w:val="00F81206"/>
    <w:rsid w:val="00F813C7"/>
    <w:rsid w:val="00F83566"/>
    <w:rsid w:val="00F83A9D"/>
    <w:rsid w:val="00F906B5"/>
    <w:rsid w:val="00F93784"/>
    <w:rsid w:val="00F971CC"/>
    <w:rsid w:val="00F97AF1"/>
    <w:rsid w:val="00FA2CAA"/>
    <w:rsid w:val="00FA3DA1"/>
    <w:rsid w:val="00FA4EE9"/>
    <w:rsid w:val="00FA6554"/>
    <w:rsid w:val="00FB0F45"/>
    <w:rsid w:val="00FB3012"/>
    <w:rsid w:val="00FB30B1"/>
    <w:rsid w:val="00FB7F6D"/>
    <w:rsid w:val="00FC1607"/>
    <w:rsid w:val="00FD0733"/>
    <w:rsid w:val="00FD54E8"/>
    <w:rsid w:val="00FE16C1"/>
    <w:rsid w:val="00FE19FF"/>
    <w:rsid w:val="00FE33A6"/>
    <w:rsid w:val="00FE33AC"/>
    <w:rsid w:val="00FE5452"/>
    <w:rsid w:val="00FF1B7C"/>
    <w:rsid w:val="00FF23A3"/>
    <w:rsid w:val="00FF23B8"/>
    <w:rsid w:val="00FF59A8"/>
    <w:rsid w:val="00FF7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73C8"/>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35"/>
    <w:pPr>
      <w:spacing w:before="120" w:after="120" w:line="240" w:lineRule="auto"/>
      <w:jc w:val="both"/>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unhideWhenUsed/>
    <w:qFormat/>
    <w:rsid w:val="001720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unhideWhenUsed/>
    <w:rsid w:val="00746D2E"/>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F0D9F"/>
    <w:rPr>
      <w:color w:val="605E5C"/>
      <w:shd w:val="clear" w:color="auto" w:fill="E1DFDD"/>
    </w:rPr>
  </w:style>
  <w:style w:type="paragraph" w:styleId="BodyText">
    <w:name w:val="Body Text"/>
    <w:basedOn w:val="Normal"/>
    <w:link w:val="BodyTextChar"/>
    <w:uiPriority w:val="1"/>
    <w:qFormat/>
    <w:rsid w:val="00E45461"/>
    <w:pPr>
      <w:widowControl w:val="0"/>
      <w:autoSpaceDE w:val="0"/>
      <w:autoSpaceDN w:val="0"/>
      <w:spacing w:before="0" w:after="0"/>
    </w:pPr>
    <w:rPr>
      <w:rFonts w:ascii="Calibri" w:eastAsia="Calibri" w:hAnsi="Calibri" w:cs="Calibri"/>
      <w:szCs w:val="20"/>
      <w:lang w:val="en-US"/>
    </w:rPr>
  </w:style>
  <w:style w:type="character" w:customStyle="1" w:styleId="BodyTextChar">
    <w:name w:val="Body Text Char"/>
    <w:basedOn w:val="DefaultParagraphFont"/>
    <w:link w:val="BodyText"/>
    <w:uiPriority w:val="1"/>
    <w:rsid w:val="00E45461"/>
    <w:rPr>
      <w:rFonts w:ascii="Calibri" w:eastAsia="Calibri" w:hAnsi="Calibri" w:cs="Calibri"/>
      <w:sz w:val="20"/>
      <w:szCs w:val="20"/>
      <w:lang w:val="en-US"/>
    </w:rPr>
  </w:style>
  <w:style w:type="paragraph" w:customStyle="1" w:styleId="list-item">
    <w:name w:val="list-item"/>
    <w:basedOn w:val="Normal"/>
    <w:rsid w:val="00BE1FE9"/>
    <w:pPr>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D86738"/>
    <w:pPr>
      <w:keepNext/>
      <w:spacing w:before="0" w:after="0"/>
    </w:pPr>
    <w:rPr>
      <w:b/>
      <w:iCs/>
      <w:color w:val="000000" w:themeColor="text1"/>
      <w:sz w:val="18"/>
      <w:szCs w:val="18"/>
    </w:rPr>
  </w:style>
  <w:style w:type="character" w:customStyle="1" w:styleId="Heading4Char">
    <w:name w:val="Heading 4 Char"/>
    <w:basedOn w:val="DefaultParagraphFont"/>
    <w:link w:val="Heading4"/>
    <w:uiPriority w:val="9"/>
    <w:rsid w:val="00172065"/>
    <w:rPr>
      <w:rFonts w:asciiTheme="majorHAnsi" w:eastAsiaTheme="majorEastAsia" w:hAnsiTheme="majorHAnsi" w:cstheme="majorBidi"/>
      <w:i/>
      <w:iCs/>
      <w:color w:val="365F91" w:themeColor="accent1" w:themeShade="BF"/>
      <w:sz w:val="20"/>
    </w:rPr>
  </w:style>
  <w:style w:type="character" w:customStyle="1" w:styleId="apple-converted-space">
    <w:name w:val="apple-converted-space"/>
    <w:basedOn w:val="DefaultParagraphFont"/>
    <w:rsid w:val="00032DF5"/>
  </w:style>
  <w:style w:type="character" w:styleId="Emphasis">
    <w:name w:val="Emphasis"/>
    <w:basedOn w:val="DefaultParagraphFont"/>
    <w:uiPriority w:val="20"/>
    <w:qFormat/>
    <w:rsid w:val="00032DF5"/>
    <w:rPr>
      <w:i/>
      <w:iCs/>
    </w:rPr>
  </w:style>
  <w:style w:type="paragraph" w:styleId="FootnoteText">
    <w:name w:val="footnote text"/>
    <w:basedOn w:val="Normal"/>
    <w:link w:val="FootnoteTextChar"/>
    <w:uiPriority w:val="99"/>
    <w:semiHidden/>
    <w:unhideWhenUsed/>
    <w:rsid w:val="00595764"/>
    <w:pPr>
      <w:spacing w:before="0" w:after="0"/>
    </w:pPr>
    <w:rPr>
      <w:szCs w:val="20"/>
    </w:rPr>
  </w:style>
  <w:style w:type="character" w:customStyle="1" w:styleId="FootnoteTextChar">
    <w:name w:val="Footnote Text Char"/>
    <w:basedOn w:val="DefaultParagraphFont"/>
    <w:link w:val="FootnoteText"/>
    <w:uiPriority w:val="99"/>
    <w:semiHidden/>
    <w:rsid w:val="00595764"/>
    <w:rPr>
      <w:sz w:val="20"/>
      <w:szCs w:val="20"/>
    </w:rPr>
  </w:style>
  <w:style w:type="character" w:styleId="FootnoteReference">
    <w:name w:val="footnote reference"/>
    <w:basedOn w:val="DefaultParagraphFont"/>
    <w:uiPriority w:val="99"/>
    <w:semiHidden/>
    <w:unhideWhenUsed/>
    <w:rsid w:val="00595764"/>
    <w:rPr>
      <w:vertAlign w:val="superscript"/>
    </w:rPr>
  </w:style>
  <w:style w:type="character" w:styleId="FollowedHyperlink">
    <w:name w:val="FollowedHyperlink"/>
    <w:basedOn w:val="DefaultParagraphFont"/>
    <w:uiPriority w:val="99"/>
    <w:semiHidden/>
    <w:unhideWhenUsed/>
    <w:rsid w:val="00045480"/>
    <w:rPr>
      <w:color w:val="800080" w:themeColor="followedHyperlink"/>
      <w:u w:val="single"/>
    </w:rPr>
  </w:style>
  <w:style w:type="paragraph" w:styleId="Revision">
    <w:name w:val="Revision"/>
    <w:hidden/>
    <w:uiPriority w:val="99"/>
    <w:semiHidden/>
    <w:rsid w:val="002C164B"/>
    <w:pPr>
      <w:spacing w:after="0" w:line="240" w:lineRule="auto"/>
    </w:pPr>
    <w:rPr>
      <w:sz w:val="20"/>
    </w:rPr>
  </w:style>
  <w:style w:type="paragraph" w:customStyle="1" w:styleId="EndNoteBibliographyTitle">
    <w:name w:val="EndNote Bibliography Title"/>
    <w:basedOn w:val="Normal"/>
    <w:link w:val="EndNoteBibliographyTitleChar"/>
    <w:rsid w:val="008B77F7"/>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B77F7"/>
    <w:rPr>
      <w:rFonts w:ascii="Calibri" w:hAnsi="Calibri" w:cs="Calibri"/>
      <w:sz w:val="20"/>
      <w:lang w:val="en-US"/>
    </w:rPr>
  </w:style>
  <w:style w:type="paragraph" w:customStyle="1" w:styleId="EndNoteBibliography">
    <w:name w:val="EndNote Bibliography"/>
    <w:basedOn w:val="Normal"/>
    <w:link w:val="EndNoteBibliographyChar"/>
    <w:rsid w:val="008B77F7"/>
    <w:rPr>
      <w:rFonts w:ascii="Calibri" w:hAnsi="Calibri" w:cs="Calibri"/>
      <w:lang w:val="en-US"/>
    </w:rPr>
  </w:style>
  <w:style w:type="character" w:customStyle="1" w:styleId="EndNoteBibliographyChar">
    <w:name w:val="EndNote Bibliography Char"/>
    <w:basedOn w:val="DefaultParagraphFont"/>
    <w:link w:val="EndNoteBibliography"/>
    <w:rsid w:val="008B77F7"/>
    <w:rPr>
      <w:rFonts w:ascii="Calibri" w:hAnsi="Calibri" w:cs="Calibri"/>
      <w:sz w:val="20"/>
      <w:lang w:val="en-US"/>
    </w:rPr>
  </w:style>
  <w:style w:type="paragraph" w:customStyle="1" w:styleId="Response">
    <w:name w:val="Response"/>
    <w:basedOn w:val="Normal"/>
    <w:link w:val="ResponseChar"/>
    <w:qFormat/>
    <w:rsid w:val="00502001"/>
    <w:pPr>
      <w:spacing w:line="259" w:lineRule="auto"/>
      <w:ind w:left="425"/>
      <w:jc w:val="left"/>
    </w:pPr>
  </w:style>
  <w:style w:type="character" w:customStyle="1" w:styleId="ResponseChar">
    <w:name w:val="Response Char"/>
    <w:basedOn w:val="DefaultParagraphFont"/>
    <w:link w:val="Response"/>
    <w:rsid w:val="0050200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445">
      <w:bodyDiv w:val="1"/>
      <w:marLeft w:val="0"/>
      <w:marRight w:val="0"/>
      <w:marTop w:val="0"/>
      <w:marBottom w:val="0"/>
      <w:divBdr>
        <w:top w:val="none" w:sz="0" w:space="0" w:color="auto"/>
        <w:left w:val="none" w:sz="0" w:space="0" w:color="auto"/>
        <w:bottom w:val="none" w:sz="0" w:space="0" w:color="auto"/>
        <w:right w:val="none" w:sz="0" w:space="0" w:color="auto"/>
      </w:divBdr>
      <w:divsChild>
        <w:div w:id="359353940">
          <w:marLeft w:val="0"/>
          <w:marRight w:val="0"/>
          <w:marTop w:val="0"/>
          <w:marBottom w:val="0"/>
          <w:divBdr>
            <w:top w:val="none" w:sz="0" w:space="0" w:color="auto"/>
            <w:left w:val="none" w:sz="0" w:space="0" w:color="auto"/>
            <w:bottom w:val="none" w:sz="0" w:space="0" w:color="auto"/>
            <w:right w:val="none" w:sz="0" w:space="0" w:color="auto"/>
          </w:divBdr>
          <w:divsChild>
            <w:div w:id="635337634">
              <w:marLeft w:val="0"/>
              <w:marRight w:val="0"/>
              <w:marTop w:val="0"/>
              <w:marBottom w:val="0"/>
              <w:divBdr>
                <w:top w:val="none" w:sz="0" w:space="0" w:color="auto"/>
                <w:left w:val="none" w:sz="0" w:space="0" w:color="auto"/>
                <w:bottom w:val="none" w:sz="0" w:space="0" w:color="auto"/>
                <w:right w:val="none" w:sz="0" w:space="0" w:color="auto"/>
              </w:divBdr>
              <w:divsChild>
                <w:div w:id="830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395">
      <w:bodyDiv w:val="1"/>
      <w:marLeft w:val="0"/>
      <w:marRight w:val="0"/>
      <w:marTop w:val="0"/>
      <w:marBottom w:val="0"/>
      <w:divBdr>
        <w:top w:val="none" w:sz="0" w:space="0" w:color="auto"/>
        <w:left w:val="none" w:sz="0" w:space="0" w:color="auto"/>
        <w:bottom w:val="none" w:sz="0" w:space="0" w:color="auto"/>
        <w:right w:val="none" w:sz="0" w:space="0" w:color="auto"/>
      </w:divBdr>
    </w:div>
    <w:div w:id="28996285">
      <w:bodyDiv w:val="1"/>
      <w:marLeft w:val="0"/>
      <w:marRight w:val="0"/>
      <w:marTop w:val="0"/>
      <w:marBottom w:val="0"/>
      <w:divBdr>
        <w:top w:val="none" w:sz="0" w:space="0" w:color="auto"/>
        <w:left w:val="none" w:sz="0" w:space="0" w:color="auto"/>
        <w:bottom w:val="none" w:sz="0" w:space="0" w:color="auto"/>
        <w:right w:val="none" w:sz="0" w:space="0" w:color="auto"/>
      </w:divBdr>
      <w:divsChild>
        <w:div w:id="1767577348">
          <w:marLeft w:val="0"/>
          <w:marRight w:val="0"/>
          <w:marTop w:val="0"/>
          <w:marBottom w:val="0"/>
          <w:divBdr>
            <w:top w:val="none" w:sz="0" w:space="0" w:color="auto"/>
            <w:left w:val="none" w:sz="0" w:space="0" w:color="auto"/>
            <w:bottom w:val="none" w:sz="0" w:space="0" w:color="auto"/>
            <w:right w:val="none" w:sz="0" w:space="0" w:color="auto"/>
          </w:divBdr>
          <w:divsChild>
            <w:div w:id="11762152">
              <w:marLeft w:val="0"/>
              <w:marRight w:val="0"/>
              <w:marTop w:val="0"/>
              <w:marBottom w:val="0"/>
              <w:divBdr>
                <w:top w:val="none" w:sz="0" w:space="0" w:color="auto"/>
                <w:left w:val="none" w:sz="0" w:space="0" w:color="auto"/>
                <w:bottom w:val="none" w:sz="0" w:space="0" w:color="auto"/>
                <w:right w:val="none" w:sz="0" w:space="0" w:color="auto"/>
              </w:divBdr>
              <w:divsChild>
                <w:div w:id="1440296890">
                  <w:marLeft w:val="0"/>
                  <w:marRight w:val="0"/>
                  <w:marTop w:val="0"/>
                  <w:marBottom w:val="0"/>
                  <w:divBdr>
                    <w:top w:val="none" w:sz="0" w:space="0" w:color="auto"/>
                    <w:left w:val="none" w:sz="0" w:space="0" w:color="auto"/>
                    <w:bottom w:val="none" w:sz="0" w:space="0" w:color="auto"/>
                    <w:right w:val="none" w:sz="0" w:space="0" w:color="auto"/>
                  </w:divBdr>
                  <w:divsChild>
                    <w:div w:id="780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7616">
      <w:bodyDiv w:val="1"/>
      <w:marLeft w:val="0"/>
      <w:marRight w:val="0"/>
      <w:marTop w:val="0"/>
      <w:marBottom w:val="0"/>
      <w:divBdr>
        <w:top w:val="none" w:sz="0" w:space="0" w:color="auto"/>
        <w:left w:val="none" w:sz="0" w:space="0" w:color="auto"/>
        <w:bottom w:val="none" w:sz="0" w:space="0" w:color="auto"/>
        <w:right w:val="none" w:sz="0" w:space="0" w:color="auto"/>
      </w:divBdr>
      <w:divsChild>
        <w:div w:id="1174415339">
          <w:marLeft w:val="0"/>
          <w:marRight w:val="0"/>
          <w:marTop w:val="0"/>
          <w:marBottom w:val="0"/>
          <w:divBdr>
            <w:top w:val="none" w:sz="0" w:space="0" w:color="auto"/>
            <w:left w:val="none" w:sz="0" w:space="0" w:color="auto"/>
            <w:bottom w:val="none" w:sz="0" w:space="0" w:color="auto"/>
            <w:right w:val="none" w:sz="0" w:space="0" w:color="auto"/>
          </w:divBdr>
          <w:divsChild>
            <w:div w:id="2129808201">
              <w:marLeft w:val="0"/>
              <w:marRight w:val="0"/>
              <w:marTop w:val="0"/>
              <w:marBottom w:val="0"/>
              <w:divBdr>
                <w:top w:val="none" w:sz="0" w:space="0" w:color="auto"/>
                <w:left w:val="none" w:sz="0" w:space="0" w:color="auto"/>
                <w:bottom w:val="none" w:sz="0" w:space="0" w:color="auto"/>
                <w:right w:val="none" w:sz="0" w:space="0" w:color="auto"/>
              </w:divBdr>
              <w:divsChild>
                <w:div w:id="6698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2235">
      <w:bodyDiv w:val="1"/>
      <w:marLeft w:val="0"/>
      <w:marRight w:val="0"/>
      <w:marTop w:val="0"/>
      <w:marBottom w:val="0"/>
      <w:divBdr>
        <w:top w:val="none" w:sz="0" w:space="0" w:color="auto"/>
        <w:left w:val="none" w:sz="0" w:space="0" w:color="auto"/>
        <w:bottom w:val="none" w:sz="0" w:space="0" w:color="auto"/>
        <w:right w:val="none" w:sz="0" w:space="0" w:color="auto"/>
      </w:divBdr>
    </w:div>
    <w:div w:id="57285067">
      <w:bodyDiv w:val="1"/>
      <w:marLeft w:val="0"/>
      <w:marRight w:val="0"/>
      <w:marTop w:val="0"/>
      <w:marBottom w:val="0"/>
      <w:divBdr>
        <w:top w:val="none" w:sz="0" w:space="0" w:color="auto"/>
        <w:left w:val="none" w:sz="0" w:space="0" w:color="auto"/>
        <w:bottom w:val="none" w:sz="0" w:space="0" w:color="auto"/>
        <w:right w:val="none" w:sz="0" w:space="0" w:color="auto"/>
      </w:divBdr>
    </w:div>
    <w:div w:id="122044248">
      <w:bodyDiv w:val="1"/>
      <w:marLeft w:val="0"/>
      <w:marRight w:val="0"/>
      <w:marTop w:val="0"/>
      <w:marBottom w:val="0"/>
      <w:divBdr>
        <w:top w:val="none" w:sz="0" w:space="0" w:color="auto"/>
        <w:left w:val="none" w:sz="0" w:space="0" w:color="auto"/>
        <w:bottom w:val="none" w:sz="0" w:space="0" w:color="auto"/>
        <w:right w:val="none" w:sz="0" w:space="0" w:color="auto"/>
      </w:divBdr>
      <w:divsChild>
        <w:div w:id="1771193539">
          <w:marLeft w:val="0"/>
          <w:marRight w:val="0"/>
          <w:marTop w:val="0"/>
          <w:marBottom w:val="0"/>
          <w:divBdr>
            <w:top w:val="none" w:sz="0" w:space="0" w:color="auto"/>
            <w:left w:val="none" w:sz="0" w:space="0" w:color="auto"/>
            <w:bottom w:val="none" w:sz="0" w:space="0" w:color="auto"/>
            <w:right w:val="none" w:sz="0" w:space="0" w:color="auto"/>
          </w:divBdr>
          <w:divsChild>
            <w:div w:id="2055806103">
              <w:marLeft w:val="0"/>
              <w:marRight w:val="0"/>
              <w:marTop w:val="0"/>
              <w:marBottom w:val="0"/>
              <w:divBdr>
                <w:top w:val="none" w:sz="0" w:space="0" w:color="auto"/>
                <w:left w:val="none" w:sz="0" w:space="0" w:color="auto"/>
                <w:bottom w:val="none" w:sz="0" w:space="0" w:color="auto"/>
                <w:right w:val="none" w:sz="0" w:space="0" w:color="auto"/>
              </w:divBdr>
              <w:divsChild>
                <w:div w:id="1258752661">
                  <w:marLeft w:val="0"/>
                  <w:marRight w:val="0"/>
                  <w:marTop w:val="0"/>
                  <w:marBottom w:val="0"/>
                  <w:divBdr>
                    <w:top w:val="none" w:sz="0" w:space="0" w:color="auto"/>
                    <w:left w:val="none" w:sz="0" w:space="0" w:color="auto"/>
                    <w:bottom w:val="none" w:sz="0" w:space="0" w:color="auto"/>
                    <w:right w:val="none" w:sz="0" w:space="0" w:color="auto"/>
                  </w:divBdr>
                  <w:divsChild>
                    <w:div w:id="15245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7854">
      <w:bodyDiv w:val="1"/>
      <w:marLeft w:val="0"/>
      <w:marRight w:val="0"/>
      <w:marTop w:val="0"/>
      <w:marBottom w:val="0"/>
      <w:divBdr>
        <w:top w:val="none" w:sz="0" w:space="0" w:color="auto"/>
        <w:left w:val="none" w:sz="0" w:space="0" w:color="auto"/>
        <w:bottom w:val="none" w:sz="0" w:space="0" w:color="auto"/>
        <w:right w:val="none" w:sz="0" w:space="0" w:color="auto"/>
      </w:divBdr>
      <w:divsChild>
        <w:div w:id="972293634">
          <w:marLeft w:val="0"/>
          <w:marRight w:val="0"/>
          <w:marTop w:val="0"/>
          <w:marBottom w:val="0"/>
          <w:divBdr>
            <w:top w:val="none" w:sz="0" w:space="0" w:color="auto"/>
            <w:left w:val="none" w:sz="0" w:space="0" w:color="auto"/>
            <w:bottom w:val="none" w:sz="0" w:space="0" w:color="auto"/>
            <w:right w:val="none" w:sz="0" w:space="0" w:color="auto"/>
          </w:divBdr>
          <w:divsChild>
            <w:div w:id="1390811659">
              <w:marLeft w:val="0"/>
              <w:marRight w:val="0"/>
              <w:marTop w:val="0"/>
              <w:marBottom w:val="0"/>
              <w:divBdr>
                <w:top w:val="none" w:sz="0" w:space="0" w:color="auto"/>
                <w:left w:val="none" w:sz="0" w:space="0" w:color="auto"/>
                <w:bottom w:val="none" w:sz="0" w:space="0" w:color="auto"/>
                <w:right w:val="none" w:sz="0" w:space="0" w:color="auto"/>
              </w:divBdr>
              <w:divsChild>
                <w:div w:id="4872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21">
      <w:bodyDiv w:val="1"/>
      <w:marLeft w:val="0"/>
      <w:marRight w:val="0"/>
      <w:marTop w:val="0"/>
      <w:marBottom w:val="0"/>
      <w:divBdr>
        <w:top w:val="none" w:sz="0" w:space="0" w:color="auto"/>
        <w:left w:val="none" w:sz="0" w:space="0" w:color="auto"/>
        <w:bottom w:val="none" w:sz="0" w:space="0" w:color="auto"/>
        <w:right w:val="none" w:sz="0" w:space="0" w:color="auto"/>
      </w:divBdr>
      <w:divsChild>
        <w:div w:id="25065304">
          <w:marLeft w:val="0"/>
          <w:marRight w:val="0"/>
          <w:marTop w:val="0"/>
          <w:marBottom w:val="0"/>
          <w:divBdr>
            <w:top w:val="none" w:sz="0" w:space="0" w:color="auto"/>
            <w:left w:val="none" w:sz="0" w:space="0" w:color="auto"/>
            <w:bottom w:val="none" w:sz="0" w:space="0" w:color="auto"/>
            <w:right w:val="none" w:sz="0" w:space="0" w:color="auto"/>
          </w:divBdr>
          <w:divsChild>
            <w:div w:id="1361005173">
              <w:marLeft w:val="0"/>
              <w:marRight w:val="0"/>
              <w:marTop w:val="0"/>
              <w:marBottom w:val="0"/>
              <w:divBdr>
                <w:top w:val="none" w:sz="0" w:space="0" w:color="auto"/>
                <w:left w:val="none" w:sz="0" w:space="0" w:color="auto"/>
                <w:bottom w:val="none" w:sz="0" w:space="0" w:color="auto"/>
                <w:right w:val="none" w:sz="0" w:space="0" w:color="auto"/>
              </w:divBdr>
              <w:divsChild>
                <w:div w:id="159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2494">
      <w:bodyDiv w:val="1"/>
      <w:marLeft w:val="0"/>
      <w:marRight w:val="0"/>
      <w:marTop w:val="0"/>
      <w:marBottom w:val="0"/>
      <w:divBdr>
        <w:top w:val="none" w:sz="0" w:space="0" w:color="auto"/>
        <w:left w:val="none" w:sz="0" w:space="0" w:color="auto"/>
        <w:bottom w:val="none" w:sz="0" w:space="0" w:color="auto"/>
        <w:right w:val="none" w:sz="0" w:space="0" w:color="auto"/>
      </w:divBdr>
      <w:divsChild>
        <w:div w:id="673459550">
          <w:marLeft w:val="0"/>
          <w:marRight w:val="0"/>
          <w:marTop w:val="0"/>
          <w:marBottom w:val="0"/>
          <w:divBdr>
            <w:top w:val="none" w:sz="0" w:space="0" w:color="auto"/>
            <w:left w:val="none" w:sz="0" w:space="0" w:color="auto"/>
            <w:bottom w:val="none" w:sz="0" w:space="0" w:color="auto"/>
            <w:right w:val="none" w:sz="0" w:space="0" w:color="auto"/>
          </w:divBdr>
          <w:divsChild>
            <w:div w:id="1038898436">
              <w:marLeft w:val="0"/>
              <w:marRight w:val="0"/>
              <w:marTop w:val="0"/>
              <w:marBottom w:val="0"/>
              <w:divBdr>
                <w:top w:val="none" w:sz="0" w:space="0" w:color="auto"/>
                <w:left w:val="none" w:sz="0" w:space="0" w:color="auto"/>
                <w:bottom w:val="none" w:sz="0" w:space="0" w:color="auto"/>
                <w:right w:val="none" w:sz="0" w:space="0" w:color="auto"/>
              </w:divBdr>
              <w:divsChild>
                <w:div w:id="21026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681">
      <w:bodyDiv w:val="1"/>
      <w:marLeft w:val="0"/>
      <w:marRight w:val="0"/>
      <w:marTop w:val="0"/>
      <w:marBottom w:val="0"/>
      <w:divBdr>
        <w:top w:val="none" w:sz="0" w:space="0" w:color="auto"/>
        <w:left w:val="none" w:sz="0" w:space="0" w:color="auto"/>
        <w:bottom w:val="none" w:sz="0" w:space="0" w:color="auto"/>
        <w:right w:val="none" w:sz="0" w:space="0" w:color="auto"/>
      </w:divBdr>
    </w:div>
    <w:div w:id="209075157">
      <w:bodyDiv w:val="1"/>
      <w:marLeft w:val="0"/>
      <w:marRight w:val="0"/>
      <w:marTop w:val="0"/>
      <w:marBottom w:val="0"/>
      <w:divBdr>
        <w:top w:val="none" w:sz="0" w:space="0" w:color="auto"/>
        <w:left w:val="none" w:sz="0" w:space="0" w:color="auto"/>
        <w:bottom w:val="none" w:sz="0" w:space="0" w:color="auto"/>
        <w:right w:val="none" w:sz="0" w:space="0" w:color="auto"/>
      </w:divBdr>
      <w:divsChild>
        <w:div w:id="1723478713">
          <w:marLeft w:val="0"/>
          <w:marRight w:val="0"/>
          <w:marTop w:val="0"/>
          <w:marBottom w:val="0"/>
          <w:divBdr>
            <w:top w:val="none" w:sz="0" w:space="0" w:color="auto"/>
            <w:left w:val="none" w:sz="0" w:space="0" w:color="auto"/>
            <w:bottom w:val="none" w:sz="0" w:space="0" w:color="auto"/>
            <w:right w:val="none" w:sz="0" w:space="0" w:color="auto"/>
          </w:divBdr>
          <w:divsChild>
            <w:div w:id="34740782">
              <w:marLeft w:val="0"/>
              <w:marRight w:val="0"/>
              <w:marTop w:val="0"/>
              <w:marBottom w:val="0"/>
              <w:divBdr>
                <w:top w:val="none" w:sz="0" w:space="0" w:color="auto"/>
                <w:left w:val="none" w:sz="0" w:space="0" w:color="auto"/>
                <w:bottom w:val="none" w:sz="0" w:space="0" w:color="auto"/>
                <w:right w:val="none" w:sz="0" w:space="0" w:color="auto"/>
              </w:divBdr>
              <w:divsChild>
                <w:div w:id="4408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6121">
      <w:bodyDiv w:val="1"/>
      <w:marLeft w:val="0"/>
      <w:marRight w:val="0"/>
      <w:marTop w:val="0"/>
      <w:marBottom w:val="0"/>
      <w:divBdr>
        <w:top w:val="none" w:sz="0" w:space="0" w:color="auto"/>
        <w:left w:val="none" w:sz="0" w:space="0" w:color="auto"/>
        <w:bottom w:val="none" w:sz="0" w:space="0" w:color="auto"/>
        <w:right w:val="none" w:sz="0" w:space="0" w:color="auto"/>
      </w:divBdr>
      <w:divsChild>
        <w:div w:id="1891844758">
          <w:marLeft w:val="0"/>
          <w:marRight w:val="0"/>
          <w:marTop w:val="0"/>
          <w:marBottom w:val="0"/>
          <w:divBdr>
            <w:top w:val="none" w:sz="0" w:space="0" w:color="auto"/>
            <w:left w:val="none" w:sz="0" w:space="0" w:color="auto"/>
            <w:bottom w:val="none" w:sz="0" w:space="0" w:color="auto"/>
            <w:right w:val="none" w:sz="0" w:space="0" w:color="auto"/>
          </w:divBdr>
          <w:divsChild>
            <w:div w:id="1398439227">
              <w:marLeft w:val="0"/>
              <w:marRight w:val="0"/>
              <w:marTop w:val="0"/>
              <w:marBottom w:val="0"/>
              <w:divBdr>
                <w:top w:val="none" w:sz="0" w:space="0" w:color="auto"/>
                <w:left w:val="none" w:sz="0" w:space="0" w:color="auto"/>
                <w:bottom w:val="none" w:sz="0" w:space="0" w:color="auto"/>
                <w:right w:val="none" w:sz="0" w:space="0" w:color="auto"/>
              </w:divBdr>
              <w:divsChild>
                <w:div w:id="2100130299">
                  <w:marLeft w:val="0"/>
                  <w:marRight w:val="0"/>
                  <w:marTop w:val="0"/>
                  <w:marBottom w:val="0"/>
                  <w:divBdr>
                    <w:top w:val="none" w:sz="0" w:space="0" w:color="auto"/>
                    <w:left w:val="none" w:sz="0" w:space="0" w:color="auto"/>
                    <w:bottom w:val="none" w:sz="0" w:space="0" w:color="auto"/>
                    <w:right w:val="none" w:sz="0" w:space="0" w:color="auto"/>
                  </w:divBdr>
                  <w:divsChild>
                    <w:div w:id="1464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359">
      <w:bodyDiv w:val="1"/>
      <w:marLeft w:val="0"/>
      <w:marRight w:val="0"/>
      <w:marTop w:val="0"/>
      <w:marBottom w:val="0"/>
      <w:divBdr>
        <w:top w:val="none" w:sz="0" w:space="0" w:color="auto"/>
        <w:left w:val="none" w:sz="0" w:space="0" w:color="auto"/>
        <w:bottom w:val="none" w:sz="0" w:space="0" w:color="auto"/>
        <w:right w:val="none" w:sz="0" w:space="0" w:color="auto"/>
      </w:divBdr>
      <w:divsChild>
        <w:div w:id="1344357554">
          <w:marLeft w:val="0"/>
          <w:marRight w:val="0"/>
          <w:marTop w:val="0"/>
          <w:marBottom w:val="0"/>
          <w:divBdr>
            <w:top w:val="none" w:sz="0" w:space="0" w:color="auto"/>
            <w:left w:val="none" w:sz="0" w:space="0" w:color="auto"/>
            <w:bottom w:val="none" w:sz="0" w:space="0" w:color="auto"/>
            <w:right w:val="none" w:sz="0" w:space="0" w:color="auto"/>
          </w:divBdr>
          <w:divsChild>
            <w:div w:id="68158766">
              <w:marLeft w:val="0"/>
              <w:marRight w:val="0"/>
              <w:marTop w:val="0"/>
              <w:marBottom w:val="0"/>
              <w:divBdr>
                <w:top w:val="none" w:sz="0" w:space="0" w:color="auto"/>
                <w:left w:val="none" w:sz="0" w:space="0" w:color="auto"/>
                <w:bottom w:val="none" w:sz="0" w:space="0" w:color="auto"/>
                <w:right w:val="none" w:sz="0" w:space="0" w:color="auto"/>
              </w:divBdr>
              <w:divsChild>
                <w:div w:id="538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260">
      <w:bodyDiv w:val="1"/>
      <w:marLeft w:val="0"/>
      <w:marRight w:val="0"/>
      <w:marTop w:val="0"/>
      <w:marBottom w:val="0"/>
      <w:divBdr>
        <w:top w:val="none" w:sz="0" w:space="0" w:color="auto"/>
        <w:left w:val="none" w:sz="0" w:space="0" w:color="auto"/>
        <w:bottom w:val="none" w:sz="0" w:space="0" w:color="auto"/>
        <w:right w:val="none" w:sz="0" w:space="0" w:color="auto"/>
      </w:divBdr>
    </w:div>
    <w:div w:id="215892882">
      <w:bodyDiv w:val="1"/>
      <w:marLeft w:val="0"/>
      <w:marRight w:val="0"/>
      <w:marTop w:val="0"/>
      <w:marBottom w:val="0"/>
      <w:divBdr>
        <w:top w:val="none" w:sz="0" w:space="0" w:color="auto"/>
        <w:left w:val="none" w:sz="0" w:space="0" w:color="auto"/>
        <w:bottom w:val="none" w:sz="0" w:space="0" w:color="auto"/>
        <w:right w:val="none" w:sz="0" w:space="0" w:color="auto"/>
      </w:divBdr>
      <w:divsChild>
        <w:div w:id="1563516501">
          <w:marLeft w:val="0"/>
          <w:marRight w:val="0"/>
          <w:marTop w:val="0"/>
          <w:marBottom w:val="0"/>
          <w:divBdr>
            <w:top w:val="none" w:sz="0" w:space="0" w:color="auto"/>
            <w:left w:val="none" w:sz="0" w:space="0" w:color="auto"/>
            <w:bottom w:val="none" w:sz="0" w:space="0" w:color="auto"/>
            <w:right w:val="none" w:sz="0" w:space="0" w:color="auto"/>
          </w:divBdr>
          <w:divsChild>
            <w:div w:id="1875923909">
              <w:marLeft w:val="0"/>
              <w:marRight w:val="0"/>
              <w:marTop w:val="0"/>
              <w:marBottom w:val="0"/>
              <w:divBdr>
                <w:top w:val="none" w:sz="0" w:space="0" w:color="auto"/>
                <w:left w:val="none" w:sz="0" w:space="0" w:color="auto"/>
                <w:bottom w:val="none" w:sz="0" w:space="0" w:color="auto"/>
                <w:right w:val="none" w:sz="0" w:space="0" w:color="auto"/>
              </w:divBdr>
              <w:divsChild>
                <w:div w:id="1884294087">
                  <w:marLeft w:val="0"/>
                  <w:marRight w:val="0"/>
                  <w:marTop w:val="0"/>
                  <w:marBottom w:val="0"/>
                  <w:divBdr>
                    <w:top w:val="none" w:sz="0" w:space="0" w:color="auto"/>
                    <w:left w:val="none" w:sz="0" w:space="0" w:color="auto"/>
                    <w:bottom w:val="none" w:sz="0" w:space="0" w:color="auto"/>
                    <w:right w:val="none" w:sz="0" w:space="0" w:color="auto"/>
                  </w:divBdr>
                  <w:divsChild>
                    <w:div w:id="6471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50388">
      <w:bodyDiv w:val="1"/>
      <w:marLeft w:val="0"/>
      <w:marRight w:val="0"/>
      <w:marTop w:val="0"/>
      <w:marBottom w:val="0"/>
      <w:divBdr>
        <w:top w:val="none" w:sz="0" w:space="0" w:color="auto"/>
        <w:left w:val="none" w:sz="0" w:space="0" w:color="auto"/>
        <w:bottom w:val="none" w:sz="0" w:space="0" w:color="auto"/>
        <w:right w:val="none" w:sz="0" w:space="0" w:color="auto"/>
      </w:divBdr>
    </w:div>
    <w:div w:id="232931060">
      <w:bodyDiv w:val="1"/>
      <w:marLeft w:val="0"/>
      <w:marRight w:val="0"/>
      <w:marTop w:val="0"/>
      <w:marBottom w:val="0"/>
      <w:divBdr>
        <w:top w:val="none" w:sz="0" w:space="0" w:color="auto"/>
        <w:left w:val="none" w:sz="0" w:space="0" w:color="auto"/>
        <w:bottom w:val="none" w:sz="0" w:space="0" w:color="auto"/>
        <w:right w:val="none" w:sz="0" w:space="0" w:color="auto"/>
      </w:divBdr>
    </w:div>
    <w:div w:id="260113418">
      <w:bodyDiv w:val="1"/>
      <w:marLeft w:val="0"/>
      <w:marRight w:val="0"/>
      <w:marTop w:val="0"/>
      <w:marBottom w:val="0"/>
      <w:divBdr>
        <w:top w:val="none" w:sz="0" w:space="0" w:color="auto"/>
        <w:left w:val="none" w:sz="0" w:space="0" w:color="auto"/>
        <w:bottom w:val="none" w:sz="0" w:space="0" w:color="auto"/>
        <w:right w:val="none" w:sz="0" w:space="0" w:color="auto"/>
      </w:divBdr>
      <w:divsChild>
        <w:div w:id="384572014">
          <w:marLeft w:val="0"/>
          <w:marRight w:val="0"/>
          <w:marTop w:val="0"/>
          <w:marBottom w:val="0"/>
          <w:divBdr>
            <w:top w:val="none" w:sz="0" w:space="0" w:color="auto"/>
            <w:left w:val="none" w:sz="0" w:space="0" w:color="auto"/>
            <w:bottom w:val="none" w:sz="0" w:space="0" w:color="auto"/>
            <w:right w:val="none" w:sz="0" w:space="0" w:color="auto"/>
          </w:divBdr>
          <w:divsChild>
            <w:div w:id="1593972278">
              <w:marLeft w:val="0"/>
              <w:marRight w:val="0"/>
              <w:marTop w:val="0"/>
              <w:marBottom w:val="0"/>
              <w:divBdr>
                <w:top w:val="none" w:sz="0" w:space="0" w:color="auto"/>
                <w:left w:val="none" w:sz="0" w:space="0" w:color="auto"/>
                <w:bottom w:val="none" w:sz="0" w:space="0" w:color="auto"/>
                <w:right w:val="none" w:sz="0" w:space="0" w:color="auto"/>
              </w:divBdr>
              <w:divsChild>
                <w:div w:id="758872135">
                  <w:marLeft w:val="0"/>
                  <w:marRight w:val="0"/>
                  <w:marTop w:val="0"/>
                  <w:marBottom w:val="0"/>
                  <w:divBdr>
                    <w:top w:val="none" w:sz="0" w:space="0" w:color="auto"/>
                    <w:left w:val="none" w:sz="0" w:space="0" w:color="auto"/>
                    <w:bottom w:val="none" w:sz="0" w:space="0" w:color="auto"/>
                    <w:right w:val="none" w:sz="0" w:space="0" w:color="auto"/>
                  </w:divBdr>
                  <w:divsChild>
                    <w:div w:id="924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20080">
      <w:bodyDiv w:val="1"/>
      <w:marLeft w:val="0"/>
      <w:marRight w:val="0"/>
      <w:marTop w:val="0"/>
      <w:marBottom w:val="0"/>
      <w:divBdr>
        <w:top w:val="none" w:sz="0" w:space="0" w:color="auto"/>
        <w:left w:val="none" w:sz="0" w:space="0" w:color="auto"/>
        <w:bottom w:val="none" w:sz="0" w:space="0" w:color="auto"/>
        <w:right w:val="none" w:sz="0" w:space="0" w:color="auto"/>
      </w:divBdr>
      <w:divsChild>
        <w:div w:id="1910264825">
          <w:marLeft w:val="0"/>
          <w:marRight w:val="0"/>
          <w:marTop w:val="0"/>
          <w:marBottom w:val="0"/>
          <w:divBdr>
            <w:top w:val="none" w:sz="0" w:space="0" w:color="auto"/>
            <w:left w:val="none" w:sz="0" w:space="0" w:color="auto"/>
            <w:bottom w:val="none" w:sz="0" w:space="0" w:color="auto"/>
            <w:right w:val="none" w:sz="0" w:space="0" w:color="auto"/>
          </w:divBdr>
          <w:divsChild>
            <w:div w:id="380979401">
              <w:marLeft w:val="0"/>
              <w:marRight w:val="0"/>
              <w:marTop w:val="0"/>
              <w:marBottom w:val="0"/>
              <w:divBdr>
                <w:top w:val="none" w:sz="0" w:space="0" w:color="auto"/>
                <w:left w:val="none" w:sz="0" w:space="0" w:color="auto"/>
                <w:bottom w:val="none" w:sz="0" w:space="0" w:color="auto"/>
                <w:right w:val="none" w:sz="0" w:space="0" w:color="auto"/>
              </w:divBdr>
              <w:divsChild>
                <w:div w:id="9059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5989">
      <w:bodyDiv w:val="1"/>
      <w:marLeft w:val="0"/>
      <w:marRight w:val="0"/>
      <w:marTop w:val="0"/>
      <w:marBottom w:val="0"/>
      <w:divBdr>
        <w:top w:val="none" w:sz="0" w:space="0" w:color="auto"/>
        <w:left w:val="none" w:sz="0" w:space="0" w:color="auto"/>
        <w:bottom w:val="none" w:sz="0" w:space="0" w:color="auto"/>
        <w:right w:val="none" w:sz="0" w:space="0" w:color="auto"/>
      </w:divBdr>
    </w:div>
    <w:div w:id="277688990">
      <w:bodyDiv w:val="1"/>
      <w:marLeft w:val="0"/>
      <w:marRight w:val="0"/>
      <w:marTop w:val="0"/>
      <w:marBottom w:val="0"/>
      <w:divBdr>
        <w:top w:val="none" w:sz="0" w:space="0" w:color="auto"/>
        <w:left w:val="none" w:sz="0" w:space="0" w:color="auto"/>
        <w:bottom w:val="none" w:sz="0" w:space="0" w:color="auto"/>
        <w:right w:val="none" w:sz="0" w:space="0" w:color="auto"/>
      </w:divBdr>
      <w:divsChild>
        <w:div w:id="934169389">
          <w:marLeft w:val="0"/>
          <w:marRight w:val="0"/>
          <w:marTop w:val="0"/>
          <w:marBottom w:val="0"/>
          <w:divBdr>
            <w:top w:val="none" w:sz="0" w:space="0" w:color="auto"/>
            <w:left w:val="none" w:sz="0" w:space="0" w:color="auto"/>
            <w:bottom w:val="none" w:sz="0" w:space="0" w:color="auto"/>
            <w:right w:val="none" w:sz="0" w:space="0" w:color="auto"/>
          </w:divBdr>
          <w:divsChild>
            <w:div w:id="794176043">
              <w:marLeft w:val="0"/>
              <w:marRight w:val="0"/>
              <w:marTop w:val="0"/>
              <w:marBottom w:val="0"/>
              <w:divBdr>
                <w:top w:val="none" w:sz="0" w:space="0" w:color="auto"/>
                <w:left w:val="none" w:sz="0" w:space="0" w:color="auto"/>
                <w:bottom w:val="none" w:sz="0" w:space="0" w:color="auto"/>
                <w:right w:val="none" w:sz="0" w:space="0" w:color="auto"/>
              </w:divBdr>
              <w:divsChild>
                <w:div w:id="1011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1979381">
      <w:bodyDiv w:val="1"/>
      <w:marLeft w:val="0"/>
      <w:marRight w:val="0"/>
      <w:marTop w:val="0"/>
      <w:marBottom w:val="0"/>
      <w:divBdr>
        <w:top w:val="none" w:sz="0" w:space="0" w:color="auto"/>
        <w:left w:val="none" w:sz="0" w:space="0" w:color="auto"/>
        <w:bottom w:val="none" w:sz="0" w:space="0" w:color="auto"/>
        <w:right w:val="none" w:sz="0" w:space="0" w:color="auto"/>
      </w:divBdr>
      <w:divsChild>
        <w:div w:id="689912483">
          <w:marLeft w:val="0"/>
          <w:marRight w:val="0"/>
          <w:marTop w:val="0"/>
          <w:marBottom w:val="0"/>
          <w:divBdr>
            <w:top w:val="none" w:sz="0" w:space="0" w:color="auto"/>
            <w:left w:val="none" w:sz="0" w:space="0" w:color="auto"/>
            <w:bottom w:val="none" w:sz="0" w:space="0" w:color="auto"/>
            <w:right w:val="none" w:sz="0" w:space="0" w:color="auto"/>
          </w:divBdr>
          <w:divsChild>
            <w:div w:id="191189412">
              <w:marLeft w:val="0"/>
              <w:marRight w:val="0"/>
              <w:marTop w:val="0"/>
              <w:marBottom w:val="0"/>
              <w:divBdr>
                <w:top w:val="none" w:sz="0" w:space="0" w:color="auto"/>
                <w:left w:val="none" w:sz="0" w:space="0" w:color="auto"/>
                <w:bottom w:val="none" w:sz="0" w:space="0" w:color="auto"/>
                <w:right w:val="none" w:sz="0" w:space="0" w:color="auto"/>
              </w:divBdr>
              <w:divsChild>
                <w:div w:id="1763454432">
                  <w:marLeft w:val="0"/>
                  <w:marRight w:val="0"/>
                  <w:marTop w:val="0"/>
                  <w:marBottom w:val="0"/>
                  <w:divBdr>
                    <w:top w:val="none" w:sz="0" w:space="0" w:color="auto"/>
                    <w:left w:val="none" w:sz="0" w:space="0" w:color="auto"/>
                    <w:bottom w:val="none" w:sz="0" w:space="0" w:color="auto"/>
                    <w:right w:val="none" w:sz="0" w:space="0" w:color="auto"/>
                  </w:divBdr>
                  <w:divsChild>
                    <w:div w:id="5427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4470">
      <w:bodyDiv w:val="1"/>
      <w:marLeft w:val="0"/>
      <w:marRight w:val="0"/>
      <w:marTop w:val="0"/>
      <w:marBottom w:val="0"/>
      <w:divBdr>
        <w:top w:val="none" w:sz="0" w:space="0" w:color="auto"/>
        <w:left w:val="none" w:sz="0" w:space="0" w:color="auto"/>
        <w:bottom w:val="none" w:sz="0" w:space="0" w:color="auto"/>
        <w:right w:val="none" w:sz="0" w:space="0" w:color="auto"/>
      </w:divBdr>
      <w:divsChild>
        <w:div w:id="1586498378">
          <w:marLeft w:val="0"/>
          <w:marRight w:val="0"/>
          <w:marTop w:val="0"/>
          <w:marBottom w:val="0"/>
          <w:divBdr>
            <w:top w:val="none" w:sz="0" w:space="0" w:color="auto"/>
            <w:left w:val="none" w:sz="0" w:space="0" w:color="auto"/>
            <w:bottom w:val="none" w:sz="0" w:space="0" w:color="auto"/>
            <w:right w:val="none" w:sz="0" w:space="0" w:color="auto"/>
          </w:divBdr>
          <w:divsChild>
            <w:div w:id="1026950847">
              <w:marLeft w:val="0"/>
              <w:marRight w:val="0"/>
              <w:marTop w:val="0"/>
              <w:marBottom w:val="0"/>
              <w:divBdr>
                <w:top w:val="none" w:sz="0" w:space="0" w:color="auto"/>
                <w:left w:val="none" w:sz="0" w:space="0" w:color="auto"/>
                <w:bottom w:val="none" w:sz="0" w:space="0" w:color="auto"/>
                <w:right w:val="none" w:sz="0" w:space="0" w:color="auto"/>
              </w:divBdr>
              <w:divsChild>
                <w:div w:id="2038696579">
                  <w:marLeft w:val="0"/>
                  <w:marRight w:val="0"/>
                  <w:marTop w:val="0"/>
                  <w:marBottom w:val="0"/>
                  <w:divBdr>
                    <w:top w:val="none" w:sz="0" w:space="0" w:color="auto"/>
                    <w:left w:val="none" w:sz="0" w:space="0" w:color="auto"/>
                    <w:bottom w:val="none" w:sz="0" w:space="0" w:color="auto"/>
                    <w:right w:val="none" w:sz="0" w:space="0" w:color="auto"/>
                  </w:divBdr>
                  <w:divsChild>
                    <w:div w:id="18885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0707">
      <w:bodyDiv w:val="1"/>
      <w:marLeft w:val="0"/>
      <w:marRight w:val="0"/>
      <w:marTop w:val="0"/>
      <w:marBottom w:val="0"/>
      <w:divBdr>
        <w:top w:val="none" w:sz="0" w:space="0" w:color="auto"/>
        <w:left w:val="none" w:sz="0" w:space="0" w:color="auto"/>
        <w:bottom w:val="none" w:sz="0" w:space="0" w:color="auto"/>
        <w:right w:val="none" w:sz="0" w:space="0" w:color="auto"/>
      </w:divBdr>
      <w:divsChild>
        <w:div w:id="2093623269">
          <w:marLeft w:val="0"/>
          <w:marRight w:val="0"/>
          <w:marTop w:val="0"/>
          <w:marBottom w:val="0"/>
          <w:divBdr>
            <w:top w:val="none" w:sz="0" w:space="0" w:color="auto"/>
            <w:left w:val="none" w:sz="0" w:space="0" w:color="auto"/>
            <w:bottom w:val="none" w:sz="0" w:space="0" w:color="auto"/>
            <w:right w:val="none" w:sz="0" w:space="0" w:color="auto"/>
          </w:divBdr>
          <w:divsChild>
            <w:div w:id="1790202272">
              <w:marLeft w:val="0"/>
              <w:marRight w:val="0"/>
              <w:marTop w:val="0"/>
              <w:marBottom w:val="0"/>
              <w:divBdr>
                <w:top w:val="none" w:sz="0" w:space="0" w:color="auto"/>
                <w:left w:val="none" w:sz="0" w:space="0" w:color="auto"/>
                <w:bottom w:val="none" w:sz="0" w:space="0" w:color="auto"/>
                <w:right w:val="none" w:sz="0" w:space="0" w:color="auto"/>
              </w:divBdr>
              <w:divsChild>
                <w:div w:id="1857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1091">
      <w:bodyDiv w:val="1"/>
      <w:marLeft w:val="0"/>
      <w:marRight w:val="0"/>
      <w:marTop w:val="0"/>
      <w:marBottom w:val="0"/>
      <w:divBdr>
        <w:top w:val="none" w:sz="0" w:space="0" w:color="auto"/>
        <w:left w:val="none" w:sz="0" w:space="0" w:color="auto"/>
        <w:bottom w:val="none" w:sz="0" w:space="0" w:color="auto"/>
        <w:right w:val="none" w:sz="0" w:space="0" w:color="auto"/>
      </w:divBdr>
      <w:divsChild>
        <w:div w:id="333843491">
          <w:marLeft w:val="0"/>
          <w:marRight w:val="0"/>
          <w:marTop w:val="0"/>
          <w:marBottom w:val="0"/>
          <w:divBdr>
            <w:top w:val="none" w:sz="0" w:space="0" w:color="auto"/>
            <w:left w:val="none" w:sz="0" w:space="0" w:color="auto"/>
            <w:bottom w:val="none" w:sz="0" w:space="0" w:color="auto"/>
            <w:right w:val="none" w:sz="0" w:space="0" w:color="auto"/>
          </w:divBdr>
          <w:divsChild>
            <w:div w:id="465854574">
              <w:marLeft w:val="0"/>
              <w:marRight w:val="0"/>
              <w:marTop w:val="0"/>
              <w:marBottom w:val="0"/>
              <w:divBdr>
                <w:top w:val="none" w:sz="0" w:space="0" w:color="auto"/>
                <w:left w:val="none" w:sz="0" w:space="0" w:color="auto"/>
                <w:bottom w:val="none" w:sz="0" w:space="0" w:color="auto"/>
                <w:right w:val="none" w:sz="0" w:space="0" w:color="auto"/>
              </w:divBdr>
              <w:divsChild>
                <w:div w:id="726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713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07">
          <w:marLeft w:val="0"/>
          <w:marRight w:val="0"/>
          <w:marTop w:val="0"/>
          <w:marBottom w:val="0"/>
          <w:divBdr>
            <w:top w:val="none" w:sz="0" w:space="0" w:color="auto"/>
            <w:left w:val="none" w:sz="0" w:space="0" w:color="auto"/>
            <w:bottom w:val="none" w:sz="0" w:space="0" w:color="auto"/>
            <w:right w:val="none" w:sz="0" w:space="0" w:color="auto"/>
          </w:divBdr>
          <w:divsChild>
            <w:div w:id="1568565557">
              <w:marLeft w:val="0"/>
              <w:marRight w:val="0"/>
              <w:marTop w:val="0"/>
              <w:marBottom w:val="0"/>
              <w:divBdr>
                <w:top w:val="none" w:sz="0" w:space="0" w:color="auto"/>
                <w:left w:val="none" w:sz="0" w:space="0" w:color="auto"/>
                <w:bottom w:val="none" w:sz="0" w:space="0" w:color="auto"/>
                <w:right w:val="none" w:sz="0" w:space="0" w:color="auto"/>
              </w:divBdr>
              <w:divsChild>
                <w:div w:id="8013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306">
      <w:bodyDiv w:val="1"/>
      <w:marLeft w:val="0"/>
      <w:marRight w:val="0"/>
      <w:marTop w:val="0"/>
      <w:marBottom w:val="0"/>
      <w:divBdr>
        <w:top w:val="none" w:sz="0" w:space="0" w:color="auto"/>
        <w:left w:val="none" w:sz="0" w:space="0" w:color="auto"/>
        <w:bottom w:val="none" w:sz="0" w:space="0" w:color="auto"/>
        <w:right w:val="none" w:sz="0" w:space="0" w:color="auto"/>
      </w:divBdr>
      <w:divsChild>
        <w:div w:id="910308576">
          <w:marLeft w:val="0"/>
          <w:marRight w:val="0"/>
          <w:marTop w:val="0"/>
          <w:marBottom w:val="0"/>
          <w:divBdr>
            <w:top w:val="none" w:sz="0" w:space="0" w:color="auto"/>
            <w:left w:val="none" w:sz="0" w:space="0" w:color="auto"/>
            <w:bottom w:val="none" w:sz="0" w:space="0" w:color="auto"/>
            <w:right w:val="none" w:sz="0" w:space="0" w:color="auto"/>
          </w:divBdr>
          <w:divsChild>
            <w:div w:id="1871256195">
              <w:marLeft w:val="0"/>
              <w:marRight w:val="0"/>
              <w:marTop w:val="0"/>
              <w:marBottom w:val="0"/>
              <w:divBdr>
                <w:top w:val="none" w:sz="0" w:space="0" w:color="auto"/>
                <w:left w:val="none" w:sz="0" w:space="0" w:color="auto"/>
                <w:bottom w:val="none" w:sz="0" w:space="0" w:color="auto"/>
                <w:right w:val="none" w:sz="0" w:space="0" w:color="auto"/>
              </w:divBdr>
              <w:divsChild>
                <w:div w:id="1541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5592">
      <w:bodyDiv w:val="1"/>
      <w:marLeft w:val="0"/>
      <w:marRight w:val="0"/>
      <w:marTop w:val="0"/>
      <w:marBottom w:val="0"/>
      <w:divBdr>
        <w:top w:val="none" w:sz="0" w:space="0" w:color="auto"/>
        <w:left w:val="none" w:sz="0" w:space="0" w:color="auto"/>
        <w:bottom w:val="none" w:sz="0" w:space="0" w:color="auto"/>
        <w:right w:val="none" w:sz="0" w:space="0" w:color="auto"/>
      </w:divBdr>
    </w:div>
    <w:div w:id="518812057">
      <w:bodyDiv w:val="1"/>
      <w:marLeft w:val="0"/>
      <w:marRight w:val="0"/>
      <w:marTop w:val="0"/>
      <w:marBottom w:val="0"/>
      <w:divBdr>
        <w:top w:val="none" w:sz="0" w:space="0" w:color="auto"/>
        <w:left w:val="none" w:sz="0" w:space="0" w:color="auto"/>
        <w:bottom w:val="none" w:sz="0" w:space="0" w:color="auto"/>
        <w:right w:val="none" w:sz="0" w:space="0" w:color="auto"/>
      </w:divBdr>
      <w:divsChild>
        <w:div w:id="1343777316">
          <w:marLeft w:val="0"/>
          <w:marRight w:val="0"/>
          <w:marTop w:val="0"/>
          <w:marBottom w:val="0"/>
          <w:divBdr>
            <w:top w:val="none" w:sz="0" w:space="0" w:color="auto"/>
            <w:left w:val="none" w:sz="0" w:space="0" w:color="auto"/>
            <w:bottom w:val="none" w:sz="0" w:space="0" w:color="auto"/>
            <w:right w:val="none" w:sz="0" w:space="0" w:color="auto"/>
          </w:divBdr>
          <w:divsChild>
            <w:div w:id="245194637">
              <w:marLeft w:val="0"/>
              <w:marRight w:val="0"/>
              <w:marTop w:val="0"/>
              <w:marBottom w:val="0"/>
              <w:divBdr>
                <w:top w:val="none" w:sz="0" w:space="0" w:color="auto"/>
                <w:left w:val="none" w:sz="0" w:space="0" w:color="auto"/>
                <w:bottom w:val="none" w:sz="0" w:space="0" w:color="auto"/>
                <w:right w:val="none" w:sz="0" w:space="0" w:color="auto"/>
              </w:divBdr>
              <w:divsChild>
                <w:div w:id="2020739924">
                  <w:marLeft w:val="0"/>
                  <w:marRight w:val="0"/>
                  <w:marTop w:val="0"/>
                  <w:marBottom w:val="0"/>
                  <w:divBdr>
                    <w:top w:val="none" w:sz="0" w:space="0" w:color="auto"/>
                    <w:left w:val="none" w:sz="0" w:space="0" w:color="auto"/>
                    <w:bottom w:val="none" w:sz="0" w:space="0" w:color="auto"/>
                    <w:right w:val="none" w:sz="0" w:space="0" w:color="auto"/>
                  </w:divBdr>
                  <w:divsChild>
                    <w:div w:id="330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73026">
      <w:bodyDiv w:val="1"/>
      <w:marLeft w:val="0"/>
      <w:marRight w:val="0"/>
      <w:marTop w:val="0"/>
      <w:marBottom w:val="0"/>
      <w:divBdr>
        <w:top w:val="none" w:sz="0" w:space="0" w:color="auto"/>
        <w:left w:val="none" w:sz="0" w:space="0" w:color="auto"/>
        <w:bottom w:val="none" w:sz="0" w:space="0" w:color="auto"/>
        <w:right w:val="none" w:sz="0" w:space="0" w:color="auto"/>
      </w:divBdr>
    </w:div>
    <w:div w:id="532577120">
      <w:bodyDiv w:val="1"/>
      <w:marLeft w:val="0"/>
      <w:marRight w:val="0"/>
      <w:marTop w:val="0"/>
      <w:marBottom w:val="0"/>
      <w:divBdr>
        <w:top w:val="none" w:sz="0" w:space="0" w:color="auto"/>
        <w:left w:val="none" w:sz="0" w:space="0" w:color="auto"/>
        <w:bottom w:val="none" w:sz="0" w:space="0" w:color="auto"/>
        <w:right w:val="none" w:sz="0" w:space="0" w:color="auto"/>
      </w:divBdr>
      <w:divsChild>
        <w:div w:id="1275556406">
          <w:marLeft w:val="0"/>
          <w:marRight w:val="0"/>
          <w:marTop w:val="0"/>
          <w:marBottom w:val="0"/>
          <w:divBdr>
            <w:top w:val="none" w:sz="0" w:space="0" w:color="auto"/>
            <w:left w:val="none" w:sz="0" w:space="0" w:color="auto"/>
            <w:bottom w:val="none" w:sz="0" w:space="0" w:color="auto"/>
            <w:right w:val="none" w:sz="0" w:space="0" w:color="auto"/>
          </w:divBdr>
          <w:divsChild>
            <w:div w:id="1733309292">
              <w:marLeft w:val="0"/>
              <w:marRight w:val="0"/>
              <w:marTop w:val="0"/>
              <w:marBottom w:val="0"/>
              <w:divBdr>
                <w:top w:val="none" w:sz="0" w:space="0" w:color="auto"/>
                <w:left w:val="none" w:sz="0" w:space="0" w:color="auto"/>
                <w:bottom w:val="none" w:sz="0" w:space="0" w:color="auto"/>
                <w:right w:val="none" w:sz="0" w:space="0" w:color="auto"/>
              </w:divBdr>
              <w:divsChild>
                <w:div w:id="1286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47056">
      <w:bodyDiv w:val="1"/>
      <w:marLeft w:val="0"/>
      <w:marRight w:val="0"/>
      <w:marTop w:val="0"/>
      <w:marBottom w:val="0"/>
      <w:divBdr>
        <w:top w:val="none" w:sz="0" w:space="0" w:color="auto"/>
        <w:left w:val="none" w:sz="0" w:space="0" w:color="auto"/>
        <w:bottom w:val="none" w:sz="0" w:space="0" w:color="auto"/>
        <w:right w:val="none" w:sz="0" w:space="0" w:color="auto"/>
      </w:divBdr>
      <w:divsChild>
        <w:div w:id="150558417">
          <w:marLeft w:val="0"/>
          <w:marRight w:val="0"/>
          <w:marTop w:val="0"/>
          <w:marBottom w:val="0"/>
          <w:divBdr>
            <w:top w:val="none" w:sz="0" w:space="0" w:color="auto"/>
            <w:left w:val="none" w:sz="0" w:space="0" w:color="auto"/>
            <w:bottom w:val="none" w:sz="0" w:space="0" w:color="auto"/>
            <w:right w:val="none" w:sz="0" w:space="0" w:color="auto"/>
          </w:divBdr>
          <w:divsChild>
            <w:div w:id="1293294030">
              <w:marLeft w:val="0"/>
              <w:marRight w:val="0"/>
              <w:marTop w:val="0"/>
              <w:marBottom w:val="0"/>
              <w:divBdr>
                <w:top w:val="none" w:sz="0" w:space="0" w:color="auto"/>
                <w:left w:val="none" w:sz="0" w:space="0" w:color="auto"/>
                <w:bottom w:val="none" w:sz="0" w:space="0" w:color="auto"/>
                <w:right w:val="none" w:sz="0" w:space="0" w:color="auto"/>
              </w:divBdr>
              <w:divsChild>
                <w:div w:id="13587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6489">
      <w:bodyDiv w:val="1"/>
      <w:marLeft w:val="0"/>
      <w:marRight w:val="0"/>
      <w:marTop w:val="0"/>
      <w:marBottom w:val="0"/>
      <w:divBdr>
        <w:top w:val="none" w:sz="0" w:space="0" w:color="auto"/>
        <w:left w:val="none" w:sz="0" w:space="0" w:color="auto"/>
        <w:bottom w:val="none" w:sz="0" w:space="0" w:color="auto"/>
        <w:right w:val="none" w:sz="0" w:space="0" w:color="auto"/>
      </w:divBdr>
      <w:divsChild>
        <w:div w:id="901866324">
          <w:marLeft w:val="0"/>
          <w:marRight w:val="0"/>
          <w:marTop w:val="0"/>
          <w:marBottom w:val="0"/>
          <w:divBdr>
            <w:top w:val="none" w:sz="0" w:space="0" w:color="auto"/>
            <w:left w:val="none" w:sz="0" w:space="0" w:color="auto"/>
            <w:bottom w:val="none" w:sz="0" w:space="0" w:color="auto"/>
            <w:right w:val="none" w:sz="0" w:space="0" w:color="auto"/>
          </w:divBdr>
          <w:divsChild>
            <w:div w:id="955021081">
              <w:marLeft w:val="0"/>
              <w:marRight w:val="0"/>
              <w:marTop w:val="0"/>
              <w:marBottom w:val="0"/>
              <w:divBdr>
                <w:top w:val="none" w:sz="0" w:space="0" w:color="auto"/>
                <w:left w:val="none" w:sz="0" w:space="0" w:color="auto"/>
                <w:bottom w:val="none" w:sz="0" w:space="0" w:color="auto"/>
                <w:right w:val="none" w:sz="0" w:space="0" w:color="auto"/>
              </w:divBdr>
              <w:divsChild>
                <w:div w:id="3666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6633">
      <w:bodyDiv w:val="1"/>
      <w:marLeft w:val="0"/>
      <w:marRight w:val="0"/>
      <w:marTop w:val="0"/>
      <w:marBottom w:val="0"/>
      <w:divBdr>
        <w:top w:val="none" w:sz="0" w:space="0" w:color="auto"/>
        <w:left w:val="none" w:sz="0" w:space="0" w:color="auto"/>
        <w:bottom w:val="none" w:sz="0" w:space="0" w:color="auto"/>
        <w:right w:val="none" w:sz="0" w:space="0" w:color="auto"/>
      </w:divBdr>
      <w:divsChild>
        <w:div w:id="702704708">
          <w:marLeft w:val="0"/>
          <w:marRight w:val="0"/>
          <w:marTop w:val="0"/>
          <w:marBottom w:val="0"/>
          <w:divBdr>
            <w:top w:val="none" w:sz="0" w:space="0" w:color="auto"/>
            <w:left w:val="none" w:sz="0" w:space="0" w:color="auto"/>
            <w:bottom w:val="none" w:sz="0" w:space="0" w:color="auto"/>
            <w:right w:val="none" w:sz="0" w:space="0" w:color="auto"/>
          </w:divBdr>
          <w:divsChild>
            <w:div w:id="397703688">
              <w:marLeft w:val="0"/>
              <w:marRight w:val="0"/>
              <w:marTop w:val="0"/>
              <w:marBottom w:val="0"/>
              <w:divBdr>
                <w:top w:val="none" w:sz="0" w:space="0" w:color="auto"/>
                <w:left w:val="none" w:sz="0" w:space="0" w:color="auto"/>
                <w:bottom w:val="none" w:sz="0" w:space="0" w:color="auto"/>
                <w:right w:val="none" w:sz="0" w:space="0" w:color="auto"/>
              </w:divBdr>
              <w:divsChild>
                <w:div w:id="511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3404">
      <w:bodyDiv w:val="1"/>
      <w:marLeft w:val="0"/>
      <w:marRight w:val="0"/>
      <w:marTop w:val="0"/>
      <w:marBottom w:val="0"/>
      <w:divBdr>
        <w:top w:val="none" w:sz="0" w:space="0" w:color="auto"/>
        <w:left w:val="none" w:sz="0" w:space="0" w:color="auto"/>
        <w:bottom w:val="none" w:sz="0" w:space="0" w:color="auto"/>
        <w:right w:val="none" w:sz="0" w:space="0" w:color="auto"/>
      </w:divBdr>
      <w:divsChild>
        <w:div w:id="678851636">
          <w:marLeft w:val="0"/>
          <w:marRight w:val="0"/>
          <w:marTop w:val="0"/>
          <w:marBottom w:val="0"/>
          <w:divBdr>
            <w:top w:val="none" w:sz="0" w:space="0" w:color="auto"/>
            <w:left w:val="none" w:sz="0" w:space="0" w:color="auto"/>
            <w:bottom w:val="none" w:sz="0" w:space="0" w:color="auto"/>
            <w:right w:val="none" w:sz="0" w:space="0" w:color="auto"/>
          </w:divBdr>
          <w:divsChild>
            <w:div w:id="240679919">
              <w:marLeft w:val="0"/>
              <w:marRight w:val="0"/>
              <w:marTop w:val="0"/>
              <w:marBottom w:val="0"/>
              <w:divBdr>
                <w:top w:val="none" w:sz="0" w:space="0" w:color="auto"/>
                <w:left w:val="none" w:sz="0" w:space="0" w:color="auto"/>
                <w:bottom w:val="none" w:sz="0" w:space="0" w:color="auto"/>
                <w:right w:val="none" w:sz="0" w:space="0" w:color="auto"/>
              </w:divBdr>
              <w:divsChild>
                <w:div w:id="862744911">
                  <w:marLeft w:val="0"/>
                  <w:marRight w:val="0"/>
                  <w:marTop w:val="0"/>
                  <w:marBottom w:val="0"/>
                  <w:divBdr>
                    <w:top w:val="none" w:sz="0" w:space="0" w:color="auto"/>
                    <w:left w:val="none" w:sz="0" w:space="0" w:color="auto"/>
                    <w:bottom w:val="none" w:sz="0" w:space="0" w:color="auto"/>
                    <w:right w:val="none" w:sz="0" w:space="0" w:color="auto"/>
                  </w:divBdr>
                  <w:divsChild>
                    <w:div w:id="13798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1415">
      <w:bodyDiv w:val="1"/>
      <w:marLeft w:val="0"/>
      <w:marRight w:val="0"/>
      <w:marTop w:val="0"/>
      <w:marBottom w:val="0"/>
      <w:divBdr>
        <w:top w:val="none" w:sz="0" w:space="0" w:color="auto"/>
        <w:left w:val="none" w:sz="0" w:space="0" w:color="auto"/>
        <w:bottom w:val="none" w:sz="0" w:space="0" w:color="auto"/>
        <w:right w:val="none" w:sz="0" w:space="0" w:color="auto"/>
      </w:divBdr>
    </w:div>
    <w:div w:id="669985604">
      <w:bodyDiv w:val="1"/>
      <w:marLeft w:val="0"/>
      <w:marRight w:val="0"/>
      <w:marTop w:val="0"/>
      <w:marBottom w:val="0"/>
      <w:divBdr>
        <w:top w:val="none" w:sz="0" w:space="0" w:color="auto"/>
        <w:left w:val="none" w:sz="0" w:space="0" w:color="auto"/>
        <w:bottom w:val="none" w:sz="0" w:space="0" w:color="auto"/>
        <w:right w:val="none" w:sz="0" w:space="0" w:color="auto"/>
      </w:divBdr>
      <w:divsChild>
        <w:div w:id="136577949">
          <w:marLeft w:val="0"/>
          <w:marRight w:val="0"/>
          <w:marTop w:val="0"/>
          <w:marBottom w:val="0"/>
          <w:divBdr>
            <w:top w:val="none" w:sz="0" w:space="0" w:color="auto"/>
            <w:left w:val="none" w:sz="0" w:space="0" w:color="auto"/>
            <w:bottom w:val="none" w:sz="0" w:space="0" w:color="auto"/>
            <w:right w:val="none" w:sz="0" w:space="0" w:color="auto"/>
          </w:divBdr>
          <w:divsChild>
            <w:div w:id="1856339396">
              <w:marLeft w:val="0"/>
              <w:marRight w:val="0"/>
              <w:marTop w:val="0"/>
              <w:marBottom w:val="0"/>
              <w:divBdr>
                <w:top w:val="none" w:sz="0" w:space="0" w:color="auto"/>
                <w:left w:val="none" w:sz="0" w:space="0" w:color="auto"/>
                <w:bottom w:val="none" w:sz="0" w:space="0" w:color="auto"/>
                <w:right w:val="none" w:sz="0" w:space="0" w:color="auto"/>
              </w:divBdr>
              <w:divsChild>
                <w:div w:id="14447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8875">
      <w:bodyDiv w:val="1"/>
      <w:marLeft w:val="0"/>
      <w:marRight w:val="0"/>
      <w:marTop w:val="0"/>
      <w:marBottom w:val="0"/>
      <w:divBdr>
        <w:top w:val="none" w:sz="0" w:space="0" w:color="auto"/>
        <w:left w:val="none" w:sz="0" w:space="0" w:color="auto"/>
        <w:bottom w:val="none" w:sz="0" w:space="0" w:color="auto"/>
        <w:right w:val="none" w:sz="0" w:space="0" w:color="auto"/>
      </w:divBdr>
      <w:divsChild>
        <w:div w:id="1937245389">
          <w:marLeft w:val="0"/>
          <w:marRight w:val="0"/>
          <w:marTop w:val="0"/>
          <w:marBottom w:val="0"/>
          <w:divBdr>
            <w:top w:val="none" w:sz="0" w:space="0" w:color="auto"/>
            <w:left w:val="none" w:sz="0" w:space="0" w:color="auto"/>
            <w:bottom w:val="none" w:sz="0" w:space="0" w:color="auto"/>
            <w:right w:val="none" w:sz="0" w:space="0" w:color="auto"/>
          </w:divBdr>
          <w:divsChild>
            <w:div w:id="1696808821">
              <w:marLeft w:val="0"/>
              <w:marRight w:val="0"/>
              <w:marTop w:val="0"/>
              <w:marBottom w:val="0"/>
              <w:divBdr>
                <w:top w:val="none" w:sz="0" w:space="0" w:color="auto"/>
                <w:left w:val="none" w:sz="0" w:space="0" w:color="auto"/>
                <w:bottom w:val="none" w:sz="0" w:space="0" w:color="auto"/>
                <w:right w:val="none" w:sz="0" w:space="0" w:color="auto"/>
              </w:divBdr>
              <w:divsChild>
                <w:div w:id="11844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59051">
      <w:bodyDiv w:val="1"/>
      <w:marLeft w:val="0"/>
      <w:marRight w:val="0"/>
      <w:marTop w:val="0"/>
      <w:marBottom w:val="0"/>
      <w:divBdr>
        <w:top w:val="none" w:sz="0" w:space="0" w:color="auto"/>
        <w:left w:val="none" w:sz="0" w:space="0" w:color="auto"/>
        <w:bottom w:val="none" w:sz="0" w:space="0" w:color="auto"/>
        <w:right w:val="none" w:sz="0" w:space="0" w:color="auto"/>
      </w:divBdr>
      <w:divsChild>
        <w:div w:id="1614940245">
          <w:marLeft w:val="0"/>
          <w:marRight w:val="0"/>
          <w:marTop w:val="0"/>
          <w:marBottom w:val="0"/>
          <w:divBdr>
            <w:top w:val="none" w:sz="0" w:space="0" w:color="auto"/>
            <w:left w:val="none" w:sz="0" w:space="0" w:color="auto"/>
            <w:bottom w:val="none" w:sz="0" w:space="0" w:color="auto"/>
            <w:right w:val="none" w:sz="0" w:space="0" w:color="auto"/>
          </w:divBdr>
          <w:divsChild>
            <w:div w:id="1494562782">
              <w:marLeft w:val="0"/>
              <w:marRight w:val="0"/>
              <w:marTop w:val="0"/>
              <w:marBottom w:val="0"/>
              <w:divBdr>
                <w:top w:val="none" w:sz="0" w:space="0" w:color="auto"/>
                <w:left w:val="none" w:sz="0" w:space="0" w:color="auto"/>
                <w:bottom w:val="none" w:sz="0" w:space="0" w:color="auto"/>
                <w:right w:val="none" w:sz="0" w:space="0" w:color="auto"/>
              </w:divBdr>
              <w:divsChild>
                <w:div w:id="1778518756">
                  <w:marLeft w:val="0"/>
                  <w:marRight w:val="0"/>
                  <w:marTop w:val="0"/>
                  <w:marBottom w:val="0"/>
                  <w:divBdr>
                    <w:top w:val="none" w:sz="0" w:space="0" w:color="auto"/>
                    <w:left w:val="none" w:sz="0" w:space="0" w:color="auto"/>
                    <w:bottom w:val="none" w:sz="0" w:space="0" w:color="auto"/>
                    <w:right w:val="none" w:sz="0" w:space="0" w:color="auto"/>
                  </w:divBdr>
                  <w:divsChild>
                    <w:div w:id="8976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87229">
      <w:bodyDiv w:val="1"/>
      <w:marLeft w:val="0"/>
      <w:marRight w:val="0"/>
      <w:marTop w:val="0"/>
      <w:marBottom w:val="0"/>
      <w:divBdr>
        <w:top w:val="none" w:sz="0" w:space="0" w:color="auto"/>
        <w:left w:val="none" w:sz="0" w:space="0" w:color="auto"/>
        <w:bottom w:val="none" w:sz="0" w:space="0" w:color="auto"/>
        <w:right w:val="none" w:sz="0" w:space="0" w:color="auto"/>
      </w:divBdr>
    </w:div>
    <w:div w:id="755790640">
      <w:bodyDiv w:val="1"/>
      <w:marLeft w:val="0"/>
      <w:marRight w:val="0"/>
      <w:marTop w:val="0"/>
      <w:marBottom w:val="0"/>
      <w:divBdr>
        <w:top w:val="none" w:sz="0" w:space="0" w:color="auto"/>
        <w:left w:val="none" w:sz="0" w:space="0" w:color="auto"/>
        <w:bottom w:val="none" w:sz="0" w:space="0" w:color="auto"/>
        <w:right w:val="none" w:sz="0" w:space="0" w:color="auto"/>
      </w:divBdr>
    </w:div>
    <w:div w:id="771049026">
      <w:bodyDiv w:val="1"/>
      <w:marLeft w:val="0"/>
      <w:marRight w:val="0"/>
      <w:marTop w:val="0"/>
      <w:marBottom w:val="0"/>
      <w:divBdr>
        <w:top w:val="none" w:sz="0" w:space="0" w:color="auto"/>
        <w:left w:val="none" w:sz="0" w:space="0" w:color="auto"/>
        <w:bottom w:val="none" w:sz="0" w:space="0" w:color="auto"/>
        <w:right w:val="none" w:sz="0" w:space="0" w:color="auto"/>
      </w:divBdr>
      <w:divsChild>
        <w:div w:id="532304993">
          <w:marLeft w:val="0"/>
          <w:marRight w:val="0"/>
          <w:marTop w:val="0"/>
          <w:marBottom w:val="0"/>
          <w:divBdr>
            <w:top w:val="none" w:sz="0" w:space="0" w:color="auto"/>
            <w:left w:val="none" w:sz="0" w:space="0" w:color="auto"/>
            <w:bottom w:val="none" w:sz="0" w:space="0" w:color="auto"/>
            <w:right w:val="none" w:sz="0" w:space="0" w:color="auto"/>
          </w:divBdr>
          <w:divsChild>
            <w:div w:id="207959938">
              <w:marLeft w:val="0"/>
              <w:marRight w:val="0"/>
              <w:marTop w:val="0"/>
              <w:marBottom w:val="0"/>
              <w:divBdr>
                <w:top w:val="none" w:sz="0" w:space="0" w:color="auto"/>
                <w:left w:val="none" w:sz="0" w:space="0" w:color="auto"/>
                <w:bottom w:val="none" w:sz="0" w:space="0" w:color="auto"/>
                <w:right w:val="none" w:sz="0" w:space="0" w:color="auto"/>
              </w:divBdr>
              <w:divsChild>
                <w:div w:id="203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3143">
      <w:bodyDiv w:val="1"/>
      <w:marLeft w:val="0"/>
      <w:marRight w:val="0"/>
      <w:marTop w:val="0"/>
      <w:marBottom w:val="0"/>
      <w:divBdr>
        <w:top w:val="none" w:sz="0" w:space="0" w:color="auto"/>
        <w:left w:val="none" w:sz="0" w:space="0" w:color="auto"/>
        <w:bottom w:val="none" w:sz="0" w:space="0" w:color="auto"/>
        <w:right w:val="none" w:sz="0" w:space="0" w:color="auto"/>
      </w:divBdr>
      <w:divsChild>
        <w:div w:id="870531888">
          <w:marLeft w:val="0"/>
          <w:marRight w:val="0"/>
          <w:marTop w:val="0"/>
          <w:marBottom w:val="0"/>
          <w:divBdr>
            <w:top w:val="none" w:sz="0" w:space="0" w:color="auto"/>
            <w:left w:val="none" w:sz="0" w:space="0" w:color="auto"/>
            <w:bottom w:val="none" w:sz="0" w:space="0" w:color="auto"/>
            <w:right w:val="none" w:sz="0" w:space="0" w:color="auto"/>
          </w:divBdr>
          <w:divsChild>
            <w:div w:id="20739785">
              <w:marLeft w:val="0"/>
              <w:marRight w:val="0"/>
              <w:marTop w:val="0"/>
              <w:marBottom w:val="0"/>
              <w:divBdr>
                <w:top w:val="none" w:sz="0" w:space="0" w:color="auto"/>
                <w:left w:val="none" w:sz="0" w:space="0" w:color="auto"/>
                <w:bottom w:val="none" w:sz="0" w:space="0" w:color="auto"/>
                <w:right w:val="none" w:sz="0" w:space="0" w:color="auto"/>
              </w:divBdr>
              <w:divsChild>
                <w:div w:id="1648823153">
                  <w:marLeft w:val="0"/>
                  <w:marRight w:val="0"/>
                  <w:marTop w:val="0"/>
                  <w:marBottom w:val="0"/>
                  <w:divBdr>
                    <w:top w:val="none" w:sz="0" w:space="0" w:color="auto"/>
                    <w:left w:val="none" w:sz="0" w:space="0" w:color="auto"/>
                    <w:bottom w:val="none" w:sz="0" w:space="0" w:color="auto"/>
                    <w:right w:val="none" w:sz="0" w:space="0" w:color="auto"/>
                  </w:divBdr>
                  <w:divsChild>
                    <w:div w:id="1122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9319">
      <w:bodyDiv w:val="1"/>
      <w:marLeft w:val="0"/>
      <w:marRight w:val="0"/>
      <w:marTop w:val="0"/>
      <w:marBottom w:val="0"/>
      <w:divBdr>
        <w:top w:val="none" w:sz="0" w:space="0" w:color="auto"/>
        <w:left w:val="none" w:sz="0" w:space="0" w:color="auto"/>
        <w:bottom w:val="none" w:sz="0" w:space="0" w:color="auto"/>
        <w:right w:val="none" w:sz="0" w:space="0" w:color="auto"/>
      </w:divBdr>
      <w:divsChild>
        <w:div w:id="194388208">
          <w:marLeft w:val="0"/>
          <w:marRight w:val="0"/>
          <w:marTop w:val="0"/>
          <w:marBottom w:val="0"/>
          <w:divBdr>
            <w:top w:val="none" w:sz="0" w:space="0" w:color="auto"/>
            <w:left w:val="none" w:sz="0" w:space="0" w:color="auto"/>
            <w:bottom w:val="none" w:sz="0" w:space="0" w:color="auto"/>
            <w:right w:val="none" w:sz="0" w:space="0" w:color="auto"/>
          </w:divBdr>
          <w:divsChild>
            <w:div w:id="1524399076">
              <w:marLeft w:val="0"/>
              <w:marRight w:val="0"/>
              <w:marTop w:val="0"/>
              <w:marBottom w:val="0"/>
              <w:divBdr>
                <w:top w:val="none" w:sz="0" w:space="0" w:color="auto"/>
                <w:left w:val="none" w:sz="0" w:space="0" w:color="auto"/>
                <w:bottom w:val="none" w:sz="0" w:space="0" w:color="auto"/>
                <w:right w:val="none" w:sz="0" w:space="0" w:color="auto"/>
              </w:divBdr>
              <w:divsChild>
                <w:div w:id="13722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1010">
      <w:bodyDiv w:val="1"/>
      <w:marLeft w:val="0"/>
      <w:marRight w:val="0"/>
      <w:marTop w:val="0"/>
      <w:marBottom w:val="0"/>
      <w:divBdr>
        <w:top w:val="none" w:sz="0" w:space="0" w:color="auto"/>
        <w:left w:val="none" w:sz="0" w:space="0" w:color="auto"/>
        <w:bottom w:val="none" w:sz="0" w:space="0" w:color="auto"/>
        <w:right w:val="none" w:sz="0" w:space="0" w:color="auto"/>
      </w:divBdr>
      <w:divsChild>
        <w:div w:id="1923681205">
          <w:marLeft w:val="0"/>
          <w:marRight w:val="0"/>
          <w:marTop w:val="0"/>
          <w:marBottom w:val="0"/>
          <w:divBdr>
            <w:top w:val="none" w:sz="0" w:space="0" w:color="auto"/>
            <w:left w:val="none" w:sz="0" w:space="0" w:color="auto"/>
            <w:bottom w:val="none" w:sz="0" w:space="0" w:color="auto"/>
            <w:right w:val="none" w:sz="0" w:space="0" w:color="auto"/>
          </w:divBdr>
          <w:divsChild>
            <w:div w:id="1961840638">
              <w:marLeft w:val="0"/>
              <w:marRight w:val="0"/>
              <w:marTop w:val="0"/>
              <w:marBottom w:val="0"/>
              <w:divBdr>
                <w:top w:val="none" w:sz="0" w:space="0" w:color="auto"/>
                <w:left w:val="none" w:sz="0" w:space="0" w:color="auto"/>
                <w:bottom w:val="none" w:sz="0" w:space="0" w:color="auto"/>
                <w:right w:val="none" w:sz="0" w:space="0" w:color="auto"/>
              </w:divBdr>
              <w:divsChild>
                <w:div w:id="1716463798">
                  <w:marLeft w:val="0"/>
                  <w:marRight w:val="0"/>
                  <w:marTop w:val="0"/>
                  <w:marBottom w:val="0"/>
                  <w:divBdr>
                    <w:top w:val="none" w:sz="0" w:space="0" w:color="auto"/>
                    <w:left w:val="none" w:sz="0" w:space="0" w:color="auto"/>
                    <w:bottom w:val="none" w:sz="0" w:space="0" w:color="auto"/>
                    <w:right w:val="none" w:sz="0" w:space="0" w:color="auto"/>
                  </w:divBdr>
                  <w:divsChild>
                    <w:div w:id="1547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4236">
      <w:bodyDiv w:val="1"/>
      <w:marLeft w:val="0"/>
      <w:marRight w:val="0"/>
      <w:marTop w:val="0"/>
      <w:marBottom w:val="0"/>
      <w:divBdr>
        <w:top w:val="none" w:sz="0" w:space="0" w:color="auto"/>
        <w:left w:val="none" w:sz="0" w:space="0" w:color="auto"/>
        <w:bottom w:val="none" w:sz="0" w:space="0" w:color="auto"/>
        <w:right w:val="none" w:sz="0" w:space="0" w:color="auto"/>
      </w:divBdr>
    </w:div>
    <w:div w:id="839735964">
      <w:bodyDiv w:val="1"/>
      <w:marLeft w:val="0"/>
      <w:marRight w:val="0"/>
      <w:marTop w:val="0"/>
      <w:marBottom w:val="0"/>
      <w:divBdr>
        <w:top w:val="none" w:sz="0" w:space="0" w:color="auto"/>
        <w:left w:val="none" w:sz="0" w:space="0" w:color="auto"/>
        <w:bottom w:val="none" w:sz="0" w:space="0" w:color="auto"/>
        <w:right w:val="none" w:sz="0" w:space="0" w:color="auto"/>
      </w:divBdr>
    </w:div>
    <w:div w:id="843201776">
      <w:bodyDiv w:val="1"/>
      <w:marLeft w:val="0"/>
      <w:marRight w:val="0"/>
      <w:marTop w:val="0"/>
      <w:marBottom w:val="0"/>
      <w:divBdr>
        <w:top w:val="none" w:sz="0" w:space="0" w:color="auto"/>
        <w:left w:val="none" w:sz="0" w:space="0" w:color="auto"/>
        <w:bottom w:val="none" w:sz="0" w:space="0" w:color="auto"/>
        <w:right w:val="none" w:sz="0" w:space="0" w:color="auto"/>
      </w:divBdr>
      <w:divsChild>
        <w:div w:id="762724027">
          <w:marLeft w:val="0"/>
          <w:marRight w:val="0"/>
          <w:marTop w:val="0"/>
          <w:marBottom w:val="0"/>
          <w:divBdr>
            <w:top w:val="none" w:sz="0" w:space="0" w:color="auto"/>
            <w:left w:val="none" w:sz="0" w:space="0" w:color="auto"/>
            <w:bottom w:val="none" w:sz="0" w:space="0" w:color="auto"/>
            <w:right w:val="none" w:sz="0" w:space="0" w:color="auto"/>
          </w:divBdr>
          <w:divsChild>
            <w:div w:id="1141575222">
              <w:marLeft w:val="0"/>
              <w:marRight w:val="0"/>
              <w:marTop w:val="0"/>
              <w:marBottom w:val="0"/>
              <w:divBdr>
                <w:top w:val="none" w:sz="0" w:space="0" w:color="auto"/>
                <w:left w:val="none" w:sz="0" w:space="0" w:color="auto"/>
                <w:bottom w:val="none" w:sz="0" w:space="0" w:color="auto"/>
                <w:right w:val="none" w:sz="0" w:space="0" w:color="auto"/>
              </w:divBdr>
              <w:divsChild>
                <w:div w:id="1460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2744">
      <w:bodyDiv w:val="1"/>
      <w:marLeft w:val="0"/>
      <w:marRight w:val="0"/>
      <w:marTop w:val="0"/>
      <w:marBottom w:val="0"/>
      <w:divBdr>
        <w:top w:val="none" w:sz="0" w:space="0" w:color="auto"/>
        <w:left w:val="none" w:sz="0" w:space="0" w:color="auto"/>
        <w:bottom w:val="none" w:sz="0" w:space="0" w:color="auto"/>
        <w:right w:val="none" w:sz="0" w:space="0" w:color="auto"/>
      </w:divBdr>
    </w:div>
    <w:div w:id="864713939">
      <w:bodyDiv w:val="1"/>
      <w:marLeft w:val="0"/>
      <w:marRight w:val="0"/>
      <w:marTop w:val="0"/>
      <w:marBottom w:val="0"/>
      <w:divBdr>
        <w:top w:val="none" w:sz="0" w:space="0" w:color="auto"/>
        <w:left w:val="none" w:sz="0" w:space="0" w:color="auto"/>
        <w:bottom w:val="none" w:sz="0" w:space="0" w:color="auto"/>
        <w:right w:val="none" w:sz="0" w:space="0" w:color="auto"/>
      </w:divBdr>
    </w:div>
    <w:div w:id="879514987">
      <w:bodyDiv w:val="1"/>
      <w:marLeft w:val="0"/>
      <w:marRight w:val="0"/>
      <w:marTop w:val="0"/>
      <w:marBottom w:val="0"/>
      <w:divBdr>
        <w:top w:val="none" w:sz="0" w:space="0" w:color="auto"/>
        <w:left w:val="none" w:sz="0" w:space="0" w:color="auto"/>
        <w:bottom w:val="none" w:sz="0" w:space="0" w:color="auto"/>
        <w:right w:val="none" w:sz="0" w:space="0" w:color="auto"/>
      </w:divBdr>
      <w:divsChild>
        <w:div w:id="708381338">
          <w:marLeft w:val="0"/>
          <w:marRight w:val="0"/>
          <w:marTop w:val="0"/>
          <w:marBottom w:val="0"/>
          <w:divBdr>
            <w:top w:val="none" w:sz="0" w:space="0" w:color="auto"/>
            <w:left w:val="none" w:sz="0" w:space="0" w:color="auto"/>
            <w:bottom w:val="none" w:sz="0" w:space="0" w:color="auto"/>
            <w:right w:val="none" w:sz="0" w:space="0" w:color="auto"/>
          </w:divBdr>
          <w:divsChild>
            <w:div w:id="2106684989">
              <w:marLeft w:val="0"/>
              <w:marRight w:val="0"/>
              <w:marTop w:val="0"/>
              <w:marBottom w:val="0"/>
              <w:divBdr>
                <w:top w:val="none" w:sz="0" w:space="0" w:color="auto"/>
                <w:left w:val="none" w:sz="0" w:space="0" w:color="auto"/>
                <w:bottom w:val="none" w:sz="0" w:space="0" w:color="auto"/>
                <w:right w:val="none" w:sz="0" w:space="0" w:color="auto"/>
              </w:divBdr>
              <w:divsChild>
                <w:div w:id="1185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1814">
      <w:bodyDiv w:val="1"/>
      <w:marLeft w:val="0"/>
      <w:marRight w:val="0"/>
      <w:marTop w:val="0"/>
      <w:marBottom w:val="0"/>
      <w:divBdr>
        <w:top w:val="none" w:sz="0" w:space="0" w:color="auto"/>
        <w:left w:val="none" w:sz="0" w:space="0" w:color="auto"/>
        <w:bottom w:val="none" w:sz="0" w:space="0" w:color="auto"/>
        <w:right w:val="none" w:sz="0" w:space="0" w:color="auto"/>
      </w:divBdr>
    </w:div>
    <w:div w:id="935137258">
      <w:bodyDiv w:val="1"/>
      <w:marLeft w:val="0"/>
      <w:marRight w:val="0"/>
      <w:marTop w:val="0"/>
      <w:marBottom w:val="0"/>
      <w:divBdr>
        <w:top w:val="none" w:sz="0" w:space="0" w:color="auto"/>
        <w:left w:val="none" w:sz="0" w:space="0" w:color="auto"/>
        <w:bottom w:val="none" w:sz="0" w:space="0" w:color="auto"/>
        <w:right w:val="none" w:sz="0" w:space="0" w:color="auto"/>
      </w:divBdr>
    </w:div>
    <w:div w:id="940645774">
      <w:bodyDiv w:val="1"/>
      <w:marLeft w:val="0"/>
      <w:marRight w:val="0"/>
      <w:marTop w:val="0"/>
      <w:marBottom w:val="0"/>
      <w:divBdr>
        <w:top w:val="none" w:sz="0" w:space="0" w:color="auto"/>
        <w:left w:val="none" w:sz="0" w:space="0" w:color="auto"/>
        <w:bottom w:val="none" w:sz="0" w:space="0" w:color="auto"/>
        <w:right w:val="none" w:sz="0" w:space="0" w:color="auto"/>
      </w:divBdr>
      <w:divsChild>
        <w:div w:id="873467776">
          <w:marLeft w:val="0"/>
          <w:marRight w:val="0"/>
          <w:marTop w:val="0"/>
          <w:marBottom w:val="0"/>
          <w:divBdr>
            <w:top w:val="none" w:sz="0" w:space="0" w:color="auto"/>
            <w:left w:val="none" w:sz="0" w:space="0" w:color="auto"/>
            <w:bottom w:val="none" w:sz="0" w:space="0" w:color="auto"/>
            <w:right w:val="none" w:sz="0" w:space="0" w:color="auto"/>
          </w:divBdr>
          <w:divsChild>
            <w:div w:id="123470322">
              <w:marLeft w:val="0"/>
              <w:marRight w:val="0"/>
              <w:marTop w:val="0"/>
              <w:marBottom w:val="0"/>
              <w:divBdr>
                <w:top w:val="none" w:sz="0" w:space="0" w:color="auto"/>
                <w:left w:val="none" w:sz="0" w:space="0" w:color="auto"/>
                <w:bottom w:val="none" w:sz="0" w:space="0" w:color="auto"/>
                <w:right w:val="none" w:sz="0" w:space="0" w:color="auto"/>
              </w:divBdr>
              <w:divsChild>
                <w:div w:id="605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5794">
      <w:bodyDiv w:val="1"/>
      <w:marLeft w:val="0"/>
      <w:marRight w:val="0"/>
      <w:marTop w:val="0"/>
      <w:marBottom w:val="0"/>
      <w:divBdr>
        <w:top w:val="none" w:sz="0" w:space="0" w:color="auto"/>
        <w:left w:val="none" w:sz="0" w:space="0" w:color="auto"/>
        <w:bottom w:val="none" w:sz="0" w:space="0" w:color="auto"/>
        <w:right w:val="none" w:sz="0" w:space="0" w:color="auto"/>
      </w:divBdr>
      <w:divsChild>
        <w:div w:id="1077678603">
          <w:marLeft w:val="0"/>
          <w:marRight w:val="0"/>
          <w:marTop w:val="0"/>
          <w:marBottom w:val="0"/>
          <w:divBdr>
            <w:top w:val="none" w:sz="0" w:space="0" w:color="auto"/>
            <w:left w:val="none" w:sz="0" w:space="0" w:color="auto"/>
            <w:bottom w:val="none" w:sz="0" w:space="0" w:color="auto"/>
            <w:right w:val="none" w:sz="0" w:space="0" w:color="auto"/>
          </w:divBdr>
          <w:divsChild>
            <w:div w:id="89281100">
              <w:marLeft w:val="0"/>
              <w:marRight w:val="0"/>
              <w:marTop w:val="0"/>
              <w:marBottom w:val="0"/>
              <w:divBdr>
                <w:top w:val="none" w:sz="0" w:space="0" w:color="auto"/>
                <w:left w:val="none" w:sz="0" w:space="0" w:color="auto"/>
                <w:bottom w:val="none" w:sz="0" w:space="0" w:color="auto"/>
                <w:right w:val="none" w:sz="0" w:space="0" w:color="auto"/>
              </w:divBdr>
              <w:divsChild>
                <w:div w:id="1647974969">
                  <w:marLeft w:val="0"/>
                  <w:marRight w:val="0"/>
                  <w:marTop w:val="0"/>
                  <w:marBottom w:val="0"/>
                  <w:divBdr>
                    <w:top w:val="none" w:sz="0" w:space="0" w:color="auto"/>
                    <w:left w:val="none" w:sz="0" w:space="0" w:color="auto"/>
                    <w:bottom w:val="none" w:sz="0" w:space="0" w:color="auto"/>
                    <w:right w:val="none" w:sz="0" w:space="0" w:color="auto"/>
                  </w:divBdr>
                  <w:divsChild>
                    <w:div w:id="6796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06385">
      <w:bodyDiv w:val="1"/>
      <w:marLeft w:val="0"/>
      <w:marRight w:val="0"/>
      <w:marTop w:val="0"/>
      <w:marBottom w:val="0"/>
      <w:divBdr>
        <w:top w:val="none" w:sz="0" w:space="0" w:color="auto"/>
        <w:left w:val="none" w:sz="0" w:space="0" w:color="auto"/>
        <w:bottom w:val="none" w:sz="0" w:space="0" w:color="auto"/>
        <w:right w:val="none" w:sz="0" w:space="0" w:color="auto"/>
      </w:divBdr>
    </w:div>
    <w:div w:id="978262725">
      <w:bodyDiv w:val="1"/>
      <w:marLeft w:val="0"/>
      <w:marRight w:val="0"/>
      <w:marTop w:val="0"/>
      <w:marBottom w:val="0"/>
      <w:divBdr>
        <w:top w:val="none" w:sz="0" w:space="0" w:color="auto"/>
        <w:left w:val="none" w:sz="0" w:space="0" w:color="auto"/>
        <w:bottom w:val="none" w:sz="0" w:space="0" w:color="auto"/>
        <w:right w:val="none" w:sz="0" w:space="0" w:color="auto"/>
      </w:divBdr>
    </w:div>
    <w:div w:id="1002046455">
      <w:bodyDiv w:val="1"/>
      <w:marLeft w:val="0"/>
      <w:marRight w:val="0"/>
      <w:marTop w:val="0"/>
      <w:marBottom w:val="0"/>
      <w:divBdr>
        <w:top w:val="none" w:sz="0" w:space="0" w:color="auto"/>
        <w:left w:val="none" w:sz="0" w:space="0" w:color="auto"/>
        <w:bottom w:val="none" w:sz="0" w:space="0" w:color="auto"/>
        <w:right w:val="none" w:sz="0" w:space="0" w:color="auto"/>
      </w:divBdr>
    </w:div>
    <w:div w:id="1014384018">
      <w:bodyDiv w:val="1"/>
      <w:marLeft w:val="0"/>
      <w:marRight w:val="0"/>
      <w:marTop w:val="0"/>
      <w:marBottom w:val="0"/>
      <w:divBdr>
        <w:top w:val="none" w:sz="0" w:space="0" w:color="auto"/>
        <w:left w:val="none" w:sz="0" w:space="0" w:color="auto"/>
        <w:bottom w:val="none" w:sz="0" w:space="0" w:color="auto"/>
        <w:right w:val="none" w:sz="0" w:space="0" w:color="auto"/>
      </w:divBdr>
      <w:divsChild>
        <w:div w:id="453794520">
          <w:marLeft w:val="0"/>
          <w:marRight w:val="0"/>
          <w:marTop w:val="0"/>
          <w:marBottom w:val="0"/>
          <w:divBdr>
            <w:top w:val="none" w:sz="0" w:space="0" w:color="auto"/>
            <w:left w:val="none" w:sz="0" w:space="0" w:color="auto"/>
            <w:bottom w:val="none" w:sz="0" w:space="0" w:color="auto"/>
            <w:right w:val="none" w:sz="0" w:space="0" w:color="auto"/>
          </w:divBdr>
          <w:divsChild>
            <w:div w:id="1023480557">
              <w:marLeft w:val="0"/>
              <w:marRight w:val="0"/>
              <w:marTop w:val="0"/>
              <w:marBottom w:val="0"/>
              <w:divBdr>
                <w:top w:val="none" w:sz="0" w:space="0" w:color="auto"/>
                <w:left w:val="none" w:sz="0" w:space="0" w:color="auto"/>
                <w:bottom w:val="none" w:sz="0" w:space="0" w:color="auto"/>
                <w:right w:val="none" w:sz="0" w:space="0" w:color="auto"/>
              </w:divBdr>
              <w:divsChild>
                <w:div w:id="1560435710">
                  <w:marLeft w:val="0"/>
                  <w:marRight w:val="0"/>
                  <w:marTop w:val="0"/>
                  <w:marBottom w:val="0"/>
                  <w:divBdr>
                    <w:top w:val="none" w:sz="0" w:space="0" w:color="auto"/>
                    <w:left w:val="none" w:sz="0" w:space="0" w:color="auto"/>
                    <w:bottom w:val="none" w:sz="0" w:space="0" w:color="auto"/>
                    <w:right w:val="none" w:sz="0" w:space="0" w:color="auto"/>
                  </w:divBdr>
                  <w:divsChild>
                    <w:div w:id="9456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0797">
      <w:bodyDiv w:val="1"/>
      <w:marLeft w:val="0"/>
      <w:marRight w:val="0"/>
      <w:marTop w:val="0"/>
      <w:marBottom w:val="0"/>
      <w:divBdr>
        <w:top w:val="none" w:sz="0" w:space="0" w:color="auto"/>
        <w:left w:val="none" w:sz="0" w:space="0" w:color="auto"/>
        <w:bottom w:val="none" w:sz="0" w:space="0" w:color="auto"/>
        <w:right w:val="none" w:sz="0" w:space="0" w:color="auto"/>
      </w:divBdr>
      <w:divsChild>
        <w:div w:id="1605770200">
          <w:marLeft w:val="0"/>
          <w:marRight w:val="0"/>
          <w:marTop w:val="0"/>
          <w:marBottom w:val="0"/>
          <w:divBdr>
            <w:top w:val="none" w:sz="0" w:space="0" w:color="auto"/>
            <w:left w:val="none" w:sz="0" w:space="0" w:color="auto"/>
            <w:bottom w:val="none" w:sz="0" w:space="0" w:color="auto"/>
            <w:right w:val="none" w:sz="0" w:space="0" w:color="auto"/>
          </w:divBdr>
          <w:divsChild>
            <w:div w:id="1560432041">
              <w:marLeft w:val="0"/>
              <w:marRight w:val="0"/>
              <w:marTop w:val="0"/>
              <w:marBottom w:val="0"/>
              <w:divBdr>
                <w:top w:val="none" w:sz="0" w:space="0" w:color="auto"/>
                <w:left w:val="none" w:sz="0" w:space="0" w:color="auto"/>
                <w:bottom w:val="none" w:sz="0" w:space="0" w:color="auto"/>
                <w:right w:val="none" w:sz="0" w:space="0" w:color="auto"/>
              </w:divBdr>
              <w:divsChild>
                <w:div w:id="1904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0555">
      <w:bodyDiv w:val="1"/>
      <w:marLeft w:val="0"/>
      <w:marRight w:val="0"/>
      <w:marTop w:val="0"/>
      <w:marBottom w:val="0"/>
      <w:divBdr>
        <w:top w:val="none" w:sz="0" w:space="0" w:color="auto"/>
        <w:left w:val="none" w:sz="0" w:space="0" w:color="auto"/>
        <w:bottom w:val="none" w:sz="0" w:space="0" w:color="auto"/>
        <w:right w:val="none" w:sz="0" w:space="0" w:color="auto"/>
      </w:divBdr>
    </w:div>
    <w:div w:id="106217164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127046007">
      <w:bodyDiv w:val="1"/>
      <w:marLeft w:val="0"/>
      <w:marRight w:val="0"/>
      <w:marTop w:val="0"/>
      <w:marBottom w:val="0"/>
      <w:divBdr>
        <w:top w:val="none" w:sz="0" w:space="0" w:color="auto"/>
        <w:left w:val="none" w:sz="0" w:space="0" w:color="auto"/>
        <w:bottom w:val="none" w:sz="0" w:space="0" w:color="auto"/>
        <w:right w:val="none" w:sz="0" w:space="0" w:color="auto"/>
      </w:divBdr>
      <w:divsChild>
        <w:div w:id="658579884">
          <w:marLeft w:val="0"/>
          <w:marRight w:val="0"/>
          <w:marTop w:val="0"/>
          <w:marBottom w:val="0"/>
          <w:divBdr>
            <w:top w:val="none" w:sz="0" w:space="0" w:color="auto"/>
            <w:left w:val="none" w:sz="0" w:space="0" w:color="auto"/>
            <w:bottom w:val="none" w:sz="0" w:space="0" w:color="auto"/>
            <w:right w:val="none" w:sz="0" w:space="0" w:color="auto"/>
          </w:divBdr>
          <w:divsChild>
            <w:div w:id="500125602">
              <w:marLeft w:val="0"/>
              <w:marRight w:val="0"/>
              <w:marTop w:val="0"/>
              <w:marBottom w:val="0"/>
              <w:divBdr>
                <w:top w:val="none" w:sz="0" w:space="0" w:color="auto"/>
                <w:left w:val="none" w:sz="0" w:space="0" w:color="auto"/>
                <w:bottom w:val="none" w:sz="0" w:space="0" w:color="auto"/>
                <w:right w:val="none" w:sz="0" w:space="0" w:color="auto"/>
              </w:divBdr>
              <w:divsChild>
                <w:div w:id="1718774172">
                  <w:marLeft w:val="0"/>
                  <w:marRight w:val="0"/>
                  <w:marTop w:val="0"/>
                  <w:marBottom w:val="0"/>
                  <w:divBdr>
                    <w:top w:val="none" w:sz="0" w:space="0" w:color="auto"/>
                    <w:left w:val="none" w:sz="0" w:space="0" w:color="auto"/>
                    <w:bottom w:val="none" w:sz="0" w:space="0" w:color="auto"/>
                    <w:right w:val="none" w:sz="0" w:space="0" w:color="auto"/>
                  </w:divBdr>
                  <w:divsChild>
                    <w:div w:id="1523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6302">
      <w:bodyDiv w:val="1"/>
      <w:marLeft w:val="0"/>
      <w:marRight w:val="0"/>
      <w:marTop w:val="0"/>
      <w:marBottom w:val="0"/>
      <w:divBdr>
        <w:top w:val="none" w:sz="0" w:space="0" w:color="auto"/>
        <w:left w:val="none" w:sz="0" w:space="0" w:color="auto"/>
        <w:bottom w:val="none" w:sz="0" w:space="0" w:color="auto"/>
        <w:right w:val="none" w:sz="0" w:space="0" w:color="auto"/>
      </w:divBdr>
      <w:divsChild>
        <w:div w:id="433524662">
          <w:marLeft w:val="0"/>
          <w:marRight w:val="0"/>
          <w:marTop w:val="0"/>
          <w:marBottom w:val="0"/>
          <w:divBdr>
            <w:top w:val="none" w:sz="0" w:space="0" w:color="auto"/>
            <w:left w:val="none" w:sz="0" w:space="0" w:color="auto"/>
            <w:bottom w:val="none" w:sz="0" w:space="0" w:color="auto"/>
            <w:right w:val="none" w:sz="0" w:space="0" w:color="auto"/>
          </w:divBdr>
          <w:divsChild>
            <w:div w:id="958803348">
              <w:marLeft w:val="0"/>
              <w:marRight w:val="0"/>
              <w:marTop w:val="0"/>
              <w:marBottom w:val="0"/>
              <w:divBdr>
                <w:top w:val="none" w:sz="0" w:space="0" w:color="auto"/>
                <w:left w:val="none" w:sz="0" w:space="0" w:color="auto"/>
                <w:bottom w:val="none" w:sz="0" w:space="0" w:color="auto"/>
                <w:right w:val="none" w:sz="0" w:space="0" w:color="auto"/>
              </w:divBdr>
              <w:divsChild>
                <w:div w:id="18141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169">
      <w:bodyDiv w:val="1"/>
      <w:marLeft w:val="0"/>
      <w:marRight w:val="0"/>
      <w:marTop w:val="0"/>
      <w:marBottom w:val="0"/>
      <w:divBdr>
        <w:top w:val="none" w:sz="0" w:space="0" w:color="auto"/>
        <w:left w:val="none" w:sz="0" w:space="0" w:color="auto"/>
        <w:bottom w:val="none" w:sz="0" w:space="0" w:color="auto"/>
        <w:right w:val="none" w:sz="0" w:space="0" w:color="auto"/>
      </w:divBdr>
    </w:div>
    <w:div w:id="1141536299">
      <w:bodyDiv w:val="1"/>
      <w:marLeft w:val="0"/>
      <w:marRight w:val="0"/>
      <w:marTop w:val="0"/>
      <w:marBottom w:val="0"/>
      <w:divBdr>
        <w:top w:val="none" w:sz="0" w:space="0" w:color="auto"/>
        <w:left w:val="none" w:sz="0" w:space="0" w:color="auto"/>
        <w:bottom w:val="none" w:sz="0" w:space="0" w:color="auto"/>
        <w:right w:val="none" w:sz="0" w:space="0" w:color="auto"/>
      </w:divBdr>
      <w:divsChild>
        <w:div w:id="1888108373">
          <w:marLeft w:val="0"/>
          <w:marRight w:val="0"/>
          <w:marTop w:val="0"/>
          <w:marBottom w:val="0"/>
          <w:divBdr>
            <w:top w:val="none" w:sz="0" w:space="0" w:color="auto"/>
            <w:left w:val="none" w:sz="0" w:space="0" w:color="auto"/>
            <w:bottom w:val="none" w:sz="0" w:space="0" w:color="auto"/>
            <w:right w:val="none" w:sz="0" w:space="0" w:color="auto"/>
          </w:divBdr>
          <w:divsChild>
            <w:div w:id="859202316">
              <w:marLeft w:val="0"/>
              <w:marRight w:val="0"/>
              <w:marTop w:val="0"/>
              <w:marBottom w:val="0"/>
              <w:divBdr>
                <w:top w:val="none" w:sz="0" w:space="0" w:color="auto"/>
                <w:left w:val="none" w:sz="0" w:space="0" w:color="auto"/>
                <w:bottom w:val="none" w:sz="0" w:space="0" w:color="auto"/>
                <w:right w:val="none" w:sz="0" w:space="0" w:color="auto"/>
              </w:divBdr>
              <w:divsChild>
                <w:div w:id="458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245">
      <w:bodyDiv w:val="1"/>
      <w:marLeft w:val="0"/>
      <w:marRight w:val="0"/>
      <w:marTop w:val="0"/>
      <w:marBottom w:val="0"/>
      <w:divBdr>
        <w:top w:val="none" w:sz="0" w:space="0" w:color="auto"/>
        <w:left w:val="none" w:sz="0" w:space="0" w:color="auto"/>
        <w:bottom w:val="none" w:sz="0" w:space="0" w:color="auto"/>
        <w:right w:val="none" w:sz="0" w:space="0" w:color="auto"/>
      </w:divBdr>
      <w:divsChild>
        <w:div w:id="964122732">
          <w:marLeft w:val="0"/>
          <w:marRight w:val="0"/>
          <w:marTop w:val="0"/>
          <w:marBottom w:val="0"/>
          <w:divBdr>
            <w:top w:val="none" w:sz="0" w:space="0" w:color="auto"/>
            <w:left w:val="none" w:sz="0" w:space="0" w:color="auto"/>
            <w:bottom w:val="none" w:sz="0" w:space="0" w:color="auto"/>
            <w:right w:val="none" w:sz="0" w:space="0" w:color="auto"/>
          </w:divBdr>
          <w:divsChild>
            <w:div w:id="1936132405">
              <w:marLeft w:val="0"/>
              <w:marRight w:val="0"/>
              <w:marTop w:val="0"/>
              <w:marBottom w:val="0"/>
              <w:divBdr>
                <w:top w:val="none" w:sz="0" w:space="0" w:color="auto"/>
                <w:left w:val="none" w:sz="0" w:space="0" w:color="auto"/>
                <w:bottom w:val="none" w:sz="0" w:space="0" w:color="auto"/>
                <w:right w:val="none" w:sz="0" w:space="0" w:color="auto"/>
              </w:divBdr>
              <w:divsChild>
                <w:div w:id="8143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7123">
      <w:bodyDiv w:val="1"/>
      <w:marLeft w:val="0"/>
      <w:marRight w:val="0"/>
      <w:marTop w:val="0"/>
      <w:marBottom w:val="0"/>
      <w:divBdr>
        <w:top w:val="none" w:sz="0" w:space="0" w:color="auto"/>
        <w:left w:val="none" w:sz="0" w:space="0" w:color="auto"/>
        <w:bottom w:val="none" w:sz="0" w:space="0" w:color="auto"/>
        <w:right w:val="none" w:sz="0" w:space="0" w:color="auto"/>
      </w:divBdr>
      <w:divsChild>
        <w:div w:id="718938339">
          <w:marLeft w:val="0"/>
          <w:marRight w:val="0"/>
          <w:marTop w:val="0"/>
          <w:marBottom w:val="0"/>
          <w:divBdr>
            <w:top w:val="none" w:sz="0" w:space="0" w:color="auto"/>
            <w:left w:val="none" w:sz="0" w:space="0" w:color="auto"/>
            <w:bottom w:val="none" w:sz="0" w:space="0" w:color="auto"/>
            <w:right w:val="none" w:sz="0" w:space="0" w:color="auto"/>
          </w:divBdr>
          <w:divsChild>
            <w:div w:id="1400901487">
              <w:marLeft w:val="0"/>
              <w:marRight w:val="0"/>
              <w:marTop w:val="0"/>
              <w:marBottom w:val="0"/>
              <w:divBdr>
                <w:top w:val="none" w:sz="0" w:space="0" w:color="auto"/>
                <w:left w:val="none" w:sz="0" w:space="0" w:color="auto"/>
                <w:bottom w:val="none" w:sz="0" w:space="0" w:color="auto"/>
                <w:right w:val="none" w:sz="0" w:space="0" w:color="auto"/>
              </w:divBdr>
              <w:divsChild>
                <w:div w:id="1131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39">
          <w:marLeft w:val="0"/>
          <w:marRight w:val="0"/>
          <w:marTop w:val="0"/>
          <w:marBottom w:val="0"/>
          <w:divBdr>
            <w:top w:val="none" w:sz="0" w:space="0" w:color="auto"/>
            <w:left w:val="none" w:sz="0" w:space="0" w:color="auto"/>
            <w:bottom w:val="none" w:sz="0" w:space="0" w:color="auto"/>
            <w:right w:val="none" w:sz="0" w:space="0" w:color="auto"/>
          </w:divBdr>
          <w:divsChild>
            <w:div w:id="527723501">
              <w:marLeft w:val="0"/>
              <w:marRight w:val="0"/>
              <w:marTop w:val="0"/>
              <w:marBottom w:val="0"/>
              <w:divBdr>
                <w:top w:val="none" w:sz="0" w:space="0" w:color="auto"/>
                <w:left w:val="none" w:sz="0" w:space="0" w:color="auto"/>
                <w:bottom w:val="none" w:sz="0" w:space="0" w:color="auto"/>
                <w:right w:val="none" w:sz="0" w:space="0" w:color="auto"/>
              </w:divBdr>
              <w:divsChild>
                <w:div w:id="1700545878">
                  <w:marLeft w:val="0"/>
                  <w:marRight w:val="0"/>
                  <w:marTop w:val="0"/>
                  <w:marBottom w:val="0"/>
                  <w:divBdr>
                    <w:top w:val="none" w:sz="0" w:space="0" w:color="auto"/>
                    <w:left w:val="none" w:sz="0" w:space="0" w:color="auto"/>
                    <w:bottom w:val="none" w:sz="0" w:space="0" w:color="auto"/>
                    <w:right w:val="none" w:sz="0" w:space="0" w:color="auto"/>
                  </w:divBdr>
                  <w:divsChild>
                    <w:div w:id="3578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4980">
      <w:bodyDiv w:val="1"/>
      <w:marLeft w:val="0"/>
      <w:marRight w:val="0"/>
      <w:marTop w:val="0"/>
      <w:marBottom w:val="0"/>
      <w:divBdr>
        <w:top w:val="none" w:sz="0" w:space="0" w:color="auto"/>
        <w:left w:val="none" w:sz="0" w:space="0" w:color="auto"/>
        <w:bottom w:val="none" w:sz="0" w:space="0" w:color="auto"/>
        <w:right w:val="none" w:sz="0" w:space="0" w:color="auto"/>
      </w:divBdr>
    </w:div>
    <w:div w:id="1225795157">
      <w:bodyDiv w:val="1"/>
      <w:marLeft w:val="0"/>
      <w:marRight w:val="0"/>
      <w:marTop w:val="0"/>
      <w:marBottom w:val="0"/>
      <w:divBdr>
        <w:top w:val="none" w:sz="0" w:space="0" w:color="auto"/>
        <w:left w:val="none" w:sz="0" w:space="0" w:color="auto"/>
        <w:bottom w:val="none" w:sz="0" w:space="0" w:color="auto"/>
        <w:right w:val="none" w:sz="0" w:space="0" w:color="auto"/>
      </w:divBdr>
      <w:divsChild>
        <w:div w:id="177083218">
          <w:marLeft w:val="0"/>
          <w:marRight w:val="0"/>
          <w:marTop w:val="0"/>
          <w:marBottom w:val="0"/>
          <w:divBdr>
            <w:top w:val="none" w:sz="0" w:space="0" w:color="auto"/>
            <w:left w:val="none" w:sz="0" w:space="0" w:color="auto"/>
            <w:bottom w:val="none" w:sz="0" w:space="0" w:color="auto"/>
            <w:right w:val="none" w:sz="0" w:space="0" w:color="auto"/>
          </w:divBdr>
          <w:divsChild>
            <w:div w:id="882061479">
              <w:marLeft w:val="0"/>
              <w:marRight w:val="0"/>
              <w:marTop w:val="0"/>
              <w:marBottom w:val="0"/>
              <w:divBdr>
                <w:top w:val="none" w:sz="0" w:space="0" w:color="auto"/>
                <w:left w:val="none" w:sz="0" w:space="0" w:color="auto"/>
                <w:bottom w:val="none" w:sz="0" w:space="0" w:color="auto"/>
                <w:right w:val="none" w:sz="0" w:space="0" w:color="auto"/>
              </w:divBdr>
              <w:divsChild>
                <w:div w:id="8882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419">
      <w:bodyDiv w:val="1"/>
      <w:marLeft w:val="0"/>
      <w:marRight w:val="0"/>
      <w:marTop w:val="0"/>
      <w:marBottom w:val="0"/>
      <w:divBdr>
        <w:top w:val="none" w:sz="0" w:space="0" w:color="auto"/>
        <w:left w:val="none" w:sz="0" w:space="0" w:color="auto"/>
        <w:bottom w:val="none" w:sz="0" w:space="0" w:color="auto"/>
        <w:right w:val="none" w:sz="0" w:space="0" w:color="auto"/>
      </w:divBdr>
      <w:divsChild>
        <w:div w:id="952132016">
          <w:marLeft w:val="0"/>
          <w:marRight w:val="0"/>
          <w:marTop w:val="0"/>
          <w:marBottom w:val="0"/>
          <w:divBdr>
            <w:top w:val="none" w:sz="0" w:space="0" w:color="auto"/>
            <w:left w:val="none" w:sz="0" w:space="0" w:color="auto"/>
            <w:bottom w:val="none" w:sz="0" w:space="0" w:color="auto"/>
            <w:right w:val="none" w:sz="0" w:space="0" w:color="auto"/>
          </w:divBdr>
          <w:divsChild>
            <w:div w:id="1149321048">
              <w:marLeft w:val="0"/>
              <w:marRight w:val="0"/>
              <w:marTop w:val="0"/>
              <w:marBottom w:val="0"/>
              <w:divBdr>
                <w:top w:val="none" w:sz="0" w:space="0" w:color="auto"/>
                <w:left w:val="none" w:sz="0" w:space="0" w:color="auto"/>
                <w:bottom w:val="none" w:sz="0" w:space="0" w:color="auto"/>
                <w:right w:val="none" w:sz="0" w:space="0" w:color="auto"/>
              </w:divBdr>
              <w:divsChild>
                <w:div w:id="318118475">
                  <w:marLeft w:val="0"/>
                  <w:marRight w:val="0"/>
                  <w:marTop w:val="0"/>
                  <w:marBottom w:val="0"/>
                  <w:divBdr>
                    <w:top w:val="none" w:sz="0" w:space="0" w:color="auto"/>
                    <w:left w:val="none" w:sz="0" w:space="0" w:color="auto"/>
                    <w:bottom w:val="none" w:sz="0" w:space="0" w:color="auto"/>
                    <w:right w:val="none" w:sz="0" w:space="0" w:color="auto"/>
                  </w:divBdr>
                  <w:divsChild>
                    <w:div w:id="8578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7261">
      <w:bodyDiv w:val="1"/>
      <w:marLeft w:val="0"/>
      <w:marRight w:val="0"/>
      <w:marTop w:val="0"/>
      <w:marBottom w:val="0"/>
      <w:divBdr>
        <w:top w:val="none" w:sz="0" w:space="0" w:color="auto"/>
        <w:left w:val="none" w:sz="0" w:space="0" w:color="auto"/>
        <w:bottom w:val="none" w:sz="0" w:space="0" w:color="auto"/>
        <w:right w:val="none" w:sz="0" w:space="0" w:color="auto"/>
      </w:divBdr>
      <w:divsChild>
        <w:div w:id="954675605">
          <w:marLeft w:val="0"/>
          <w:marRight w:val="0"/>
          <w:marTop w:val="0"/>
          <w:marBottom w:val="0"/>
          <w:divBdr>
            <w:top w:val="none" w:sz="0" w:space="0" w:color="auto"/>
            <w:left w:val="none" w:sz="0" w:space="0" w:color="auto"/>
            <w:bottom w:val="none" w:sz="0" w:space="0" w:color="auto"/>
            <w:right w:val="none" w:sz="0" w:space="0" w:color="auto"/>
          </w:divBdr>
          <w:divsChild>
            <w:div w:id="1570655983">
              <w:marLeft w:val="0"/>
              <w:marRight w:val="0"/>
              <w:marTop w:val="0"/>
              <w:marBottom w:val="0"/>
              <w:divBdr>
                <w:top w:val="none" w:sz="0" w:space="0" w:color="auto"/>
                <w:left w:val="none" w:sz="0" w:space="0" w:color="auto"/>
                <w:bottom w:val="none" w:sz="0" w:space="0" w:color="auto"/>
                <w:right w:val="none" w:sz="0" w:space="0" w:color="auto"/>
              </w:divBdr>
              <w:divsChild>
                <w:div w:id="14586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8745">
      <w:bodyDiv w:val="1"/>
      <w:marLeft w:val="0"/>
      <w:marRight w:val="0"/>
      <w:marTop w:val="0"/>
      <w:marBottom w:val="0"/>
      <w:divBdr>
        <w:top w:val="none" w:sz="0" w:space="0" w:color="auto"/>
        <w:left w:val="none" w:sz="0" w:space="0" w:color="auto"/>
        <w:bottom w:val="none" w:sz="0" w:space="0" w:color="auto"/>
        <w:right w:val="none" w:sz="0" w:space="0" w:color="auto"/>
      </w:divBdr>
      <w:divsChild>
        <w:div w:id="135296494">
          <w:marLeft w:val="0"/>
          <w:marRight w:val="0"/>
          <w:marTop w:val="0"/>
          <w:marBottom w:val="0"/>
          <w:divBdr>
            <w:top w:val="none" w:sz="0" w:space="0" w:color="auto"/>
            <w:left w:val="none" w:sz="0" w:space="0" w:color="auto"/>
            <w:bottom w:val="none" w:sz="0" w:space="0" w:color="auto"/>
            <w:right w:val="none" w:sz="0" w:space="0" w:color="auto"/>
          </w:divBdr>
          <w:divsChild>
            <w:div w:id="259720376">
              <w:marLeft w:val="0"/>
              <w:marRight w:val="0"/>
              <w:marTop w:val="0"/>
              <w:marBottom w:val="0"/>
              <w:divBdr>
                <w:top w:val="none" w:sz="0" w:space="0" w:color="auto"/>
                <w:left w:val="none" w:sz="0" w:space="0" w:color="auto"/>
                <w:bottom w:val="none" w:sz="0" w:space="0" w:color="auto"/>
                <w:right w:val="none" w:sz="0" w:space="0" w:color="auto"/>
              </w:divBdr>
              <w:divsChild>
                <w:div w:id="1198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5822">
      <w:bodyDiv w:val="1"/>
      <w:marLeft w:val="0"/>
      <w:marRight w:val="0"/>
      <w:marTop w:val="0"/>
      <w:marBottom w:val="0"/>
      <w:divBdr>
        <w:top w:val="none" w:sz="0" w:space="0" w:color="auto"/>
        <w:left w:val="none" w:sz="0" w:space="0" w:color="auto"/>
        <w:bottom w:val="none" w:sz="0" w:space="0" w:color="auto"/>
        <w:right w:val="none" w:sz="0" w:space="0" w:color="auto"/>
      </w:divBdr>
    </w:div>
    <w:div w:id="1298299201">
      <w:bodyDiv w:val="1"/>
      <w:marLeft w:val="0"/>
      <w:marRight w:val="0"/>
      <w:marTop w:val="0"/>
      <w:marBottom w:val="0"/>
      <w:divBdr>
        <w:top w:val="none" w:sz="0" w:space="0" w:color="auto"/>
        <w:left w:val="none" w:sz="0" w:space="0" w:color="auto"/>
        <w:bottom w:val="none" w:sz="0" w:space="0" w:color="auto"/>
        <w:right w:val="none" w:sz="0" w:space="0" w:color="auto"/>
      </w:divBdr>
      <w:divsChild>
        <w:div w:id="46495024">
          <w:marLeft w:val="0"/>
          <w:marRight w:val="0"/>
          <w:marTop w:val="0"/>
          <w:marBottom w:val="0"/>
          <w:divBdr>
            <w:top w:val="none" w:sz="0" w:space="0" w:color="auto"/>
            <w:left w:val="none" w:sz="0" w:space="0" w:color="auto"/>
            <w:bottom w:val="none" w:sz="0" w:space="0" w:color="auto"/>
            <w:right w:val="none" w:sz="0" w:space="0" w:color="auto"/>
          </w:divBdr>
          <w:divsChild>
            <w:div w:id="359818027">
              <w:marLeft w:val="0"/>
              <w:marRight w:val="0"/>
              <w:marTop w:val="0"/>
              <w:marBottom w:val="0"/>
              <w:divBdr>
                <w:top w:val="none" w:sz="0" w:space="0" w:color="auto"/>
                <w:left w:val="none" w:sz="0" w:space="0" w:color="auto"/>
                <w:bottom w:val="none" w:sz="0" w:space="0" w:color="auto"/>
                <w:right w:val="none" w:sz="0" w:space="0" w:color="auto"/>
              </w:divBdr>
              <w:divsChild>
                <w:div w:id="279193693">
                  <w:marLeft w:val="0"/>
                  <w:marRight w:val="0"/>
                  <w:marTop w:val="0"/>
                  <w:marBottom w:val="0"/>
                  <w:divBdr>
                    <w:top w:val="none" w:sz="0" w:space="0" w:color="auto"/>
                    <w:left w:val="none" w:sz="0" w:space="0" w:color="auto"/>
                    <w:bottom w:val="none" w:sz="0" w:space="0" w:color="auto"/>
                    <w:right w:val="none" w:sz="0" w:space="0" w:color="auto"/>
                  </w:divBdr>
                  <w:divsChild>
                    <w:div w:id="11327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7478">
      <w:bodyDiv w:val="1"/>
      <w:marLeft w:val="0"/>
      <w:marRight w:val="0"/>
      <w:marTop w:val="0"/>
      <w:marBottom w:val="0"/>
      <w:divBdr>
        <w:top w:val="none" w:sz="0" w:space="0" w:color="auto"/>
        <w:left w:val="none" w:sz="0" w:space="0" w:color="auto"/>
        <w:bottom w:val="none" w:sz="0" w:space="0" w:color="auto"/>
        <w:right w:val="none" w:sz="0" w:space="0" w:color="auto"/>
      </w:divBdr>
      <w:divsChild>
        <w:div w:id="887227297">
          <w:marLeft w:val="0"/>
          <w:marRight w:val="0"/>
          <w:marTop w:val="0"/>
          <w:marBottom w:val="0"/>
          <w:divBdr>
            <w:top w:val="none" w:sz="0" w:space="0" w:color="auto"/>
            <w:left w:val="none" w:sz="0" w:space="0" w:color="auto"/>
            <w:bottom w:val="none" w:sz="0" w:space="0" w:color="auto"/>
            <w:right w:val="none" w:sz="0" w:space="0" w:color="auto"/>
          </w:divBdr>
          <w:divsChild>
            <w:div w:id="149174120">
              <w:marLeft w:val="0"/>
              <w:marRight w:val="0"/>
              <w:marTop w:val="0"/>
              <w:marBottom w:val="0"/>
              <w:divBdr>
                <w:top w:val="none" w:sz="0" w:space="0" w:color="auto"/>
                <w:left w:val="none" w:sz="0" w:space="0" w:color="auto"/>
                <w:bottom w:val="none" w:sz="0" w:space="0" w:color="auto"/>
                <w:right w:val="none" w:sz="0" w:space="0" w:color="auto"/>
              </w:divBdr>
              <w:divsChild>
                <w:div w:id="12346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3740">
      <w:bodyDiv w:val="1"/>
      <w:marLeft w:val="0"/>
      <w:marRight w:val="0"/>
      <w:marTop w:val="0"/>
      <w:marBottom w:val="0"/>
      <w:divBdr>
        <w:top w:val="none" w:sz="0" w:space="0" w:color="auto"/>
        <w:left w:val="none" w:sz="0" w:space="0" w:color="auto"/>
        <w:bottom w:val="none" w:sz="0" w:space="0" w:color="auto"/>
        <w:right w:val="none" w:sz="0" w:space="0" w:color="auto"/>
      </w:divBdr>
    </w:div>
    <w:div w:id="1361511674">
      <w:bodyDiv w:val="1"/>
      <w:marLeft w:val="0"/>
      <w:marRight w:val="0"/>
      <w:marTop w:val="0"/>
      <w:marBottom w:val="0"/>
      <w:divBdr>
        <w:top w:val="none" w:sz="0" w:space="0" w:color="auto"/>
        <w:left w:val="none" w:sz="0" w:space="0" w:color="auto"/>
        <w:bottom w:val="none" w:sz="0" w:space="0" w:color="auto"/>
        <w:right w:val="none" w:sz="0" w:space="0" w:color="auto"/>
      </w:divBdr>
      <w:divsChild>
        <w:div w:id="956180892">
          <w:marLeft w:val="0"/>
          <w:marRight w:val="0"/>
          <w:marTop w:val="0"/>
          <w:marBottom w:val="0"/>
          <w:divBdr>
            <w:top w:val="none" w:sz="0" w:space="0" w:color="auto"/>
            <w:left w:val="none" w:sz="0" w:space="0" w:color="auto"/>
            <w:bottom w:val="none" w:sz="0" w:space="0" w:color="auto"/>
            <w:right w:val="none" w:sz="0" w:space="0" w:color="auto"/>
          </w:divBdr>
          <w:divsChild>
            <w:div w:id="1558711268">
              <w:marLeft w:val="0"/>
              <w:marRight w:val="0"/>
              <w:marTop w:val="0"/>
              <w:marBottom w:val="0"/>
              <w:divBdr>
                <w:top w:val="none" w:sz="0" w:space="0" w:color="auto"/>
                <w:left w:val="none" w:sz="0" w:space="0" w:color="auto"/>
                <w:bottom w:val="none" w:sz="0" w:space="0" w:color="auto"/>
                <w:right w:val="none" w:sz="0" w:space="0" w:color="auto"/>
              </w:divBdr>
              <w:divsChild>
                <w:div w:id="1125928614">
                  <w:marLeft w:val="0"/>
                  <w:marRight w:val="0"/>
                  <w:marTop w:val="0"/>
                  <w:marBottom w:val="0"/>
                  <w:divBdr>
                    <w:top w:val="none" w:sz="0" w:space="0" w:color="auto"/>
                    <w:left w:val="none" w:sz="0" w:space="0" w:color="auto"/>
                    <w:bottom w:val="none" w:sz="0" w:space="0" w:color="auto"/>
                    <w:right w:val="none" w:sz="0" w:space="0" w:color="auto"/>
                  </w:divBdr>
                  <w:divsChild>
                    <w:div w:id="2097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4505">
      <w:bodyDiv w:val="1"/>
      <w:marLeft w:val="0"/>
      <w:marRight w:val="0"/>
      <w:marTop w:val="0"/>
      <w:marBottom w:val="0"/>
      <w:divBdr>
        <w:top w:val="none" w:sz="0" w:space="0" w:color="auto"/>
        <w:left w:val="none" w:sz="0" w:space="0" w:color="auto"/>
        <w:bottom w:val="none" w:sz="0" w:space="0" w:color="auto"/>
        <w:right w:val="none" w:sz="0" w:space="0" w:color="auto"/>
      </w:divBdr>
      <w:divsChild>
        <w:div w:id="87966416">
          <w:marLeft w:val="0"/>
          <w:marRight w:val="0"/>
          <w:marTop w:val="0"/>
          <w:marBottom w:val="0"/>
          <w:divBdr>
            <w:top w:val="none" w:sz="0" w:space="0" w:color="auto"/>
            <w:left w:val="none" w:sz="0" w:space="0" w:color="auto"/>
            <w:bottom w:val="none" w:sz="0" w:space="0" w:color="auto"/>
            <w:right w:val="none" w:sz="0" w:space="0" w:color="auto"/>
          </w:divBdr>
          <w:divsChild>
            <w:div w:id="1896743983">
              <w:marLeft w:val="0"/>
              <w:marRight w:val="0"/>
              <w:marTop w:val="0"/>
              <w:marBottom w:val="0"/>
              <w:divBdr>
                <w:top w:val="none" w:sz="0" w:space="0" w:color="auto"/>
                <w:left w:val="none" w:sz="0" w:space="0" w:color="auto"/>
                <w:bottom w:val="none" w:sz="0" w:space="0" w:color="auto"/>
                <w:right w:val="none" w:sz="0" w:space="0" w:color="auto"/>
              </w:divBdr>
              <w:divsChild>
                <w:div w:id="4026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5910">
      <w:bodyDiv w:val="1"/>
      <w:marLeft w:val="0"/>
      <w:marRight w:val="0"/>
      <w:marTop w:val="0"/>
      <w:marBottom w:val="0"/>
      <w:divBdr>
        <w:top w:val="none" w:sz="0" w:space="0" w:color="auto"/>
        <w:left w:val="none" w:sz="0" w:space="0" w:color="auto"/>
        <w:bottom w:val="none" w:sz="0" w:space="0" w:color="auto"/>
        <w:right w:val="none" w:sz="0" w:space="0" w:color="auto"/>
      </w:divBdr>
    </w:div>
    <w:div w:id="1544293657">
      <w:bodyDiv w:val="1"/>
      <w:marLeft w:val="0"/>
      <w:marRight w:val="0"/>
      <w:marTop w:val="0"/>
      <w:marBottom w:val="0"/>
      <w:divBdr>
        <w:top w:val="none" w:sz="0" w:space="0" w:color="auto"/>
        <w:left w:val="none" w:sz="0" w:space="0" w:color="auto"/>
        <w:bottom w:val="none" w:sz="0" w:space="0" w:color="auto"/>
        <w:right w:val="none" w:sz="0" w:space="0" w:color="auto"/>
      </w:divBdr>
      <w:divsChild>
        <w:div w:id="248202027">
          <w:marLeft w:val="0"/>
          <w:marRight w:val="0"/>
          <w:marTop w:val="0"/>
          <w:marBottom w:val="0"/>
          <w:divBdr>
            <w:top w:val="none" w:sz="0" w:space="0" w:color="auto"/>
            <w:left w:val="none" w:sz="0" w:space="0" w:color="auto"/>
            <w:bottom w:val="none" w:sz="0" w:space="0" w:color="auto"/>
            <w:right w:val="none" w:sz="0" w:space="0" w:color="auto"/>
          </w:divBdr>
          <w:divsChild>
            <w:div w:id="1075278733">
              <w:marLeft w:val="0"/>
              <w:marRight w:val="0"/>
              <w:marTop w:val="0"/>
              <w:marBottom w:val="0"/>
              <w:divBdr>
                <w:top w:val="none" w:sz="0" w:space="0" w:color="auto"/>
                <w:left w:val="none" w:sz="0" w:space="0" w:color="auto"/>
                <w:bottom w:val="none" w:sz="0" w:space="0" w:color="auto"/>
                <w:right w:val="none" w:sz="0" w:space="0" w:color="auto"/>
              </w:divBdr>
              <w:divsChild>
                <w:div w:id="1056245008">
                  <w:marLeft w:val="0"/>
                  <w:marRight w:val="0"/>
                  <w:marTop w:val="0"/>
                  <w:marBottom w:val="0"/>
                  <w:divBdr>
                    <w:top w:val="none" w:sz="0" w:space="0" w:color="auto"/>
                    <w:left w:val="none" w:sz="0" w:space="0" w:color="auto"/>
                    <w:bottom w:val="none" w:sz="0" w:space="0" w:color="auto"/>
                    <w:right w:val="none" w:sz="0" w:space="0" w:color="auto"/>
                  </w:divBdr>
                  <w:divsChild>
                    <w:div w:id="8126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2124">
      <w:bodyDiv w:val="1"/>
      <w:marLeft w:val="0"/>
      <w:marRight w:val="0"/>
      <w:marTop w:val="0"/>
      <w:marBottom w:val="0"/>
      <w:divBdr>
        <w:top w:val="none" w:sz="0" w:space="0" w:color="auto"/>
        <w:left w:val="none" w:sz="0" w:space="0" w:color="auto"/>
        <w:bottom w:val="none" w:sz="0" w:space="0" w:color="auto"/>
        <w:right w:val="none" w:sz="0" w:space="0" w:color="auto"/>
      </w:divBdr>
    </w:div>
    <w:div w:id="1648439489">
      <w:bodyDiv w:val="1"/>
      <w:marLeft w:val="0"/>
      <w:marRight w:val="0"/>
      <w:marTop w:val="0"/>
      <w:marBottom w:val="0"/>
      <w:divBdr>
        <w:top w:val="none" w:sz="0" w:space="0" w:color="auto"/>
        <w:left w:val="none" w:sz="0" w:space="0" w:color="auto"/>
        <w:bottom w:val="none" w:sz="0" w:space="0" w:color="auto"/>
        <w:right w:val="none" w:sz="0" w:space="0" w:color="auto"/>
      </w:divBdr>
      <w:divsChild>
        <w:div w:id="382943669">
          <w:marLeft w:val="0"/>
          <w:marRight w:val="0"/>
          <w:marTop w:val="0"/>
          <w:marBottom w:val="0"/>
          <w:divBdr>
            <w:top w:val="none" w:sz="0" w:space="0" w:color="auto"/>
            <w:left w:val="none" w:sz="0" w:space="0" w:color="auto"/>
            <w:bottom w:val="none" w:sz="0" w:space="0" w:color="auto"/>
            <w:right w:val="none" w:sz="0" w:space="0" w:color="auto"/>
          </w:divBdr>
          <w:divsChild>
            <w:div w:id="661396629">
              <w:marLeft w:val="0"/>
              <w:marRight w:val="0"/>
              <w:marTop w:val="0"/>
              <w:marBottom w:val="0"/>
              <w:divBdr>
                <w:top w:val="none" w:sz="0" w:space="0" w:color="auto"/>
                <w:left w:val="none" w:sz="0" w:space="0" w:color="auto"/>
                <w:bottom w:val="none" w:sz="0" w:space="0" w:color="auto"/>
                <w:right w:val="none" w:sz="0" w:space="0" w:color="auto"/>
              </w:divBdr>
              <w:divsChild>
                <w:div w:id="21029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559">
      <w:bodyDiv w:val="1"/>
      <w:marLeft w:val="0"/>
      <w:marRight w:val="0"/>
      <w:marTop w:val="0"/>
      <w:marBottom w:val="0"/>
      <w:divBdr>
        <w:top w:val="none" w:sz="0" w:space="0" w:color="auto"/>
        <w:left w:val="none" w:sz="0" w:space="0" w:color="auto"/>
        <w:bottom w:val="none" w:sz="0" w:space="0" w:color="auto"/>
        <w:right w:val="none" w:sz="0" w:space="0" w:color="auto"/>
      </w:divBdr>
    </w:div>
    <w:div w:id="1679966407">
      <w:bodyDiv w:val="1"/>
      <w:marLeft w:val="0"/>
      <w:marRight w:val="0"/>
      <w:marTop w:val="0"/>
      <w:marBottom w:val="0"/>
      <w:divBdr>
        <w:top w:val="none" w:sz="0" w:space="0" w:color="auto"/>
        <w:left w:val="none" w:sz="0" w:space="0" w:color="auto"/>
        <w:bottom w:val="none" w:sz="0" w:space="0" w:color="auto"/>
        <w:right w:val="none" w:sz="0" w:space="0" w:color="auto"/>
      </w:divBdr>
      <w:divsChild>
        <w:div w:id="1602369366">
          <w:marLeft w:val="0"/>
          <w:marRight w:val="0"/>
          <w:marTop w:val="0"/>
          <w:marBottom w:val="0"/>
          <w:divBdr>
            <w:top w:val="none" w:sz="0" w:space="0" w:color="auto"/>
            <w:left w:val="none" w:sz="0" w:space="0" w:color="auto"/>
            <w:bottom w:val="none" w:sz="0" w:space="0" w:color="auto"/>
            <w:right w:val="none" w:sz="0" w:space="0" w:color="auto"/>
          </w:divBdr>
          <w:divsChild>
            <w:div w:id="798032401">
              <w:marLeft w:val="0"/>
              <w:marRight w:val="0"/>
              <w:marTop w:val="0"/>
              <w:marBottom w:val="0"/>
              <w:divBdr>
                <w:top w:val="none" w:sz="0" w:space="0" w:color="auto"/>
                <w:left w:val="none" w:sz="0" w:space="0" w:color="auto"/>
                <w:bottom w:val="none" w:sz="0" w:space="0" w:color="auto"/>
                <w:right w:val="none" w:sz="0" w:space="0" w:color="auto"/>
              </w:divBdr>
              <w:divsChild>
                <w:div w:id="12222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0227">
      <w:bodyDiv w:val="1"/>
      <w:marLeft w:val="0"/>
      <w:marRight w:val="0"/>
      <w:marTop w:val="0"/>
      <w:marBottom w:val="0"/>
      <w:divBdr>
        <w:top w:val="none" w:sz="0" w:space="0" w:color="auto"/>
        <w:left w:val="none" w:sz="0" w:space="0" w:color="auto"/>
        <w:bottom w:val="none" w:sz="0" w:space="0" w:color="auto"/>
        <w:right w:val="none" w:sz="0" w:space="0" w:color="auto"/>
      </w:divBdr>
    </w:div>
    <w:div w:id="1734545211">
      <w:bodyDiv w:val="1"/>
      <w:marLeft w:val="0"/>
      <w:marRight w:val="0"/>
      <w:marTop w:val="0"/>
      <w:marBottom w:val="0"/>
      <w:divBdr>
        <w:top w:val="none" w:sz="0" w:space="0" w:color="auto"/>
        <w:left w:val="none" w:sz="0" w:space="0" w:color="auto"/>
        <w:bottom w:val="none" w:sz="0" w:space="0" w:color="auto"/>
        <w:right w:val="none" w:sz="0" w:space="0" w:color="auto"/>
      </w:divBdr>
      <w:divsChild>
        <w:div w:id="77530775">
          <w:marLeft w:val="0"/>
          <w:marRight w:val="0"/>
          <w:marTop w:val="0"/>
          <w:marBottom w:val="0"/>
          <w:divBdr>
            <w:top w:val="none" w:sz="0" w:space="0" w:color="auto"/>
            <w:left w:val="none" w:sz="0" w:space="0" w:color="auto"/>
            <w:bottom w:val="none" w:sz="0" w:space="0" w:color="auto"/>
            <w:right w:val="none" w:sz="0" w:space="0" w:color="auto"/>
          </w:divBdr>
          <w:divsChild>
            <w:div w:id="300118121">
              <w:marLeft w:val="0"/>
              <w:marRight w:val="0"/>
              <w:marTop w:val="0"/>
              <w:marBottom w:val="0"/>
              <w:divBdr>
                <w:top w:val="none" w:sz="0" w:space="0" w:color="auto"/>
                <w:left w:val="none" w:sz="0" w:space="0" w:color="auto"/>
                <w:bottom w:val="none" w:sz="0" w:space="0" w:color="auto"/>
                <w:right w:val="none" w:sz="0" w:space="0" w:color="auto"/>
              </w:divBdr>
              <w:divsChild>
                <w:div w:id="144590937">
                  <w:marLeft w:val="0"/>
                  <w:marRight w:val="0"/>
                  <w:marTop w:val="0"/>
                  <w:marBottom w:val="0"/>
                  <w:divBdr>
                    <w:top w:val="none" w:sz="0" w:space="0" w:color="auto"/>
                    <w:left w:val="none" w:sz="0" w:space="0" w:color="auto"/>
                    <w:bottom w:val="none" w:sz="0" w:space="0" w:color="auto"/>
                    <w:right w:val="none" w:sz="0" w:space="0" w:color="auto"/>
                  </w:divBdr>
                  <w:divsChild>
                    <w:div w:id="19139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4231">
      <w:bodyDiv w:val="1"/>
      <w:marLeft w:val="0"/>
      <w:marRight w:val="0"/>
      <w:marTop w:val="0"/>
      <w:marBottom w:val="0"/>
      <w:divBdr>
        <w:top w:val="none" w:sz="0" w:space="0" w:color="auto"/>
        <w:left w:val="none" w:sz="0" w:space="0" w:color="auto"/>
        <w:bottom w:val="none" w:sz="0" w:space="0" w:color="auto"/>
        <w:right w:val="none" w:sz="0" w:space="0" w:color="auto"/>
      </w:divBdr>
    </w:div>
    <w:div w:id="1797142188">
      <w:bodyDiv w:val="1"/>
      <w:marLeft w:val="0"/>
      <w:marRight w:val="0"/>
      <w:marTop w:val="0"/>
      <w:marBottom w:val="0"/>
      <w:divBdr>
        <w:top w:val="none" w:sz="0" w:space="0" w:color="auto"/>
        <w:left w:val="none" w:sz="0" w:space="0" w:color="auto"/>
        <w:bottom w:val="none" w:sz="0" w:space="0" w:color="auto"/>
        <w:right w:val="none" w:sz="0" w:space="0" w:color="auto"/>
      </w:divBdr>
    </w:div>
    <w:div w:id="1840390256">
      <w:bodyDiv w:val="1"/>
      <w:marLeft w:val="0"/>
      <w:marRight w:val="0"/>
      <w:marTop w:val="0"/>
      <w:marBottom w:val="0"/>
      <w:divBdr>
        <w:top w:val="none" w:sz="0" w:space="0" w:color="auto"/>
        <w:left w:val="none" w:sz="0" w:space="0" w:color="auto"/>
        <w:bottom w:val="none" w:sz="0" w:space="0" w:color="auto"/>
        <w:right w:val="none" w:sz="0" w:space="0" w:color="auto"/>
      </w:divBdr>
      <w:divsChild>
        <w:div w:id="742414101">
          <w:marLeft w:val="0"/>
          <w:marRight w:val="0"/>
          <w:marTop w:val="0"/>
          <w:marBottom w:val="0"/>
          <w:divBdr>
            <w:top w:val="none" w:sz="0" w:space="0" w:color="auto"/>
            <w:left w:val="none" w:sz="0" w:space="0" w:color="auto"/>
            <w:bottom w:val="none" w:sz="0" w:space="0" w:color="auto"/>
            <w:right w:val="none" w:sz="0" w:space="0" w:color="auto"/>
          </w:divBdr>
          <w:divsChild>
            <w:div w:id="1245533114">
              <w:marLeft w:val="0"/>
              <w:marRight w:val="0"/>
              <w:marTop w:val="0"/>
              <w:marBottom w:val="0"/>
              <w:divBdr>
                <w:top w:val="none" w:sz="0" w:space="0" w:color="auto"/>
                <w:left w:val="none" w:sz="0" w:space="0" w:color="auto"/>
                <w:bottom w:val="none" w:sz="0" w:space="0" w:color="auto"/>
                <w:right w:val="none" w:sz="0" w:space="0" w:color="auto"/>
              </w:divBdr>
              <w:divsChild>
                <w:div w:id="9645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4489">
      <w:bodyDiv w:val="1"/>
      <w:marLeft w:val="0"/>
      <w:marRight w:val="0"/>
      <w:marTop w:val="0"/>
      <w:marBottom w:val="0"/>
      <w:divBdr>
        <w:top w:val="none" w:sz="0" w:space="0" w:color="auto"/>
        <w:left w:val="none" w:sz="0" w:space="0" w:color="auto"/>
        <w:bottom w:val="none" w:sz="0" w:space="0" w:color="auto"/>
        <w:right w:val="none" w:sz="0" w:space="0" w:color="auto"/>
      </w:divBdr>
    </w:div>
    <w:div w:id="1865286791">
      <w:bodyDiv w:val="1"/>
      <w:marLeft w:val="0"/>
      <w:marRight w:val="0"/>
      <w:marTop w:val="0"/>
      <w:marBottom w:val="0"/>
      <w:divBdr>
        <w:top w:val="none" w:sz="0" w:space="0" w:color="auto"/>
        <w:left w:val="none" w:sz="0" w:space="0" w:color="auto"/>
        <w:bottom w:val="none" w:sz="0" w:space="0" w:color="auto"/>
        <w:right w:val="none" w:sz="0" w:space="0" w:color="auto"/>
      </w:divBdr>
    </w:div>
    <w:div w:id="1890191101">
      <w:bodyDiv w:val="1"/>
      <w:marLeft w:val="0"/>
      <w:marRight w:val="0"/>
      <w:marTop w:val="0"/>
      <w:marBottom w:val="0"/>
      <w:divBdr>
        <w:top w:val="none" w:sz="0" w:space="0" w:color="auto"/>
        <w:left w:val="none" w:sz="0" w:space="0" w:color="auto"/>
        <w:bottom w:val="none" w:sz="0" w:space="0" w:color="auto"/>
        <w:right w:val="none" w:sz="0" w:space="0" w:color="auto"/>
      </w:divBdr>
      <w:divsChild>
        <w:div w:id="1968006304">
          <w:marLeft w:val="0"/>
          <w:marRight w:val="0"/>
          <w:marTop w:val="0"/>
          <w:marBottom w:val="0"/>
          <w:divBdr>
            <w:top w:val="none" w:sz="0" w:space="0" w:color="auto"/>
            <w:left w:val="none" w:sz="0" w:space="0" w:color="auto"/>
            <w:bottom w:val="none" w:sz="0" w:space="0" w:color="auto"/>
            <w:right w:val="none" w:sz="0" w:space="0" w:color="auto"/>
          </w:divBdr>
          <w:divsChild>
            <w:div w:id="774908680">
              <w:marLeft w:val="0"/>
              <w:marRight w:val="0"/>
              <w:marTop w:val="0"/>
              <w:marBottom w:val="0"/>
              <w:divBdr>
                <w:top w:val="none" w:sz="0" w:space="0" w:color="auto"/>
                <w:left w:val="none" w:sz="0" w:space="0" w:color="auto"/>
                <w:bottom w:val="none" w:sz="0" w:space="0" w:color="auto"/>
                <w:right w:val="none" w:sz="0" w:space="0" w:color="auto"/>
              </w:divBdr>
              <w:divsChild>
                <w:div w:id="516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183">
      <w:bodyDiv w:val="1"/>
      <w:marLeft w:val="0"/>
      <w:marRight w:val="0"/>
      <w:marTop w:val="0"/>
      <w:marBottom w:val="0"/>
      <w:divBdr>
        <w:top w:val="none" w:sz="0" w:space="0" w:color="auto"/>
        <w:left w:val="none" w:sz="0" w:space="0" w:color="auto"/>
        <w:bottom w:val="none" w:sz="0" w:space="0" w:color="auto"/>
        <w:right w:val="none" w:sz="0" w:space="0" w:color="auto"/>
      </w:divBdr>
    </w:div>
    <w:div w:id="1916041437">
      <w:bodyDiv w:val="1"/>
      <w:marLeft w:val="0"/>
      <w:marRight w:val="0"/>
      <w:marTop w:val="0"/>
      <w:marBottom w:val="0"/>
      <w:divBdr>
        <w:top w:val="none" w:sz="0" w:space="0" w:color="auto"/>
        <w:left w:val="none" w:sz="0" w:space="0" w:color="auto"/>
        <w:bottom w:val="none" w:sz="0" w:space="0" w:color="auto"/>
        <w:right w:val="none" w:sz="0" w:space="0" w:color="auto"/>
      </w:divBdr>
      <w:divsChild>
        <w:div w:id="248735337">
          <w:marLeft w:val="0"/>
          <w:marRight w:val="0"/>
          <w:marTop w:val="0"/>
          <w:marBottom w:val="0"/>
          <w:divBdr>
            <w:top w:val="none" w:sz="0" w:space="0" w:color="auto"/>
            <w:left w:val="none" w:sz="0" w:space="0" w:color="auto"/>
            <w:bottom w:val="none" w:sz="0" w:space="0" w:color="auto"/>
            <w:right w:val="none" w:sz="0" w:space="0" w:color="auto"/>
          </w:divBdr>
          <w:divsChild>
            <w:div w:id="518740635">
              <w:marLeft w:val="0"/>
              <w:marRight w:val="0"/>
              <w:marTop w:val="0"/>
              <w:marBottom w:val="0"/>
              <w:divBdr>
                <w:top w:val="none" w:sz="0" w:space="0" w:color="auto"/>
                <w:left w:val="none" w:sz="0" w:space="0" w:color="auto"/>
                <w:bottom w:val="none" w:sz="0" w:space="0" w:color="auto"/>
                <w:right w:val="none" w:sz="0" w:space="0" w:color="auto"/>
              </w:divBdr>
              <w:divsChild>
                <w:div w:id="11590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3455">
      <w:bodyDiv w:val="1"/>
      <w:marLeft w:val="0"/>
      <w:marRight w:val="0"/>
      <w:marTop w:val="0"/>
      <w:marBottom w:val="0"/>
      <w:divBdr>
        <w:top w:val="none" w:sz="0" w:space="0" w:color="auto"/>
        <w:left w:val="none" w:sz="0" w:space="0" w:color="auto"/>
        <w:bottom w:val="none" w:sz="0" w:space="0" w:color="auto"/>
        <w:right w:val="none" w:sz="0" w:space="0" w:color="auto"/>
      </w:divBdr>
      <w:divsChild>
        <w:div w:id="1463966129">
          <w:marLeft w:val="0"/>
          <w:marRight w:val="0"/>
          <w:marTop w:val="0"/>
          <w:marBottom w:val="0"/>
          <w:divBdr>
            <w:top w:val="none" w:sz="0" w:space="0" w:color="auto"/>
            <w:left w:val="none" w:sz="0" w:space="0" w:color="auto"/>
            <w:bottom w:val="none" w:sz="0" w:space="0" w:color="auto"/>
            <w:right w:val="none" w:sz="0" w:space="0" w:color="auto"/>
          </w:divBdr>
          <w:divsChild>
            <w:div w:id="1967538633">
              <w:marLeft w:val="0"/>
              <w:marRight w:val="0"/>
              <w:marTop w:val="0"/>
              <w:marBottom w:val="0"/>
              <w:divBdr>
                <w:top w:val="none" w:sz="0" w:space="0" w:color="auto"/>
                <w:left w:val="none" w:sz="0" w:space="0" w:color="auto"/>
                <w:bottom w:val="none" w:sz="0" w:space="0" w:color="auto"/>
                <w:right w:val="none" w:sz="0" w:space="0" w:color="auto"/>
              </w:divBdr>
              <w:divsChild>
                <w:div w:id="1135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4211">
      <w:bodyDiv w:val="1"/>
      <w:marLeft w:val="0"/>
      <w:marRight w:val="0"/>
      <w:marTop w:val="0"/>
      <w:marBottom w:val="0"/>
      <w:divBdr>
        <w:top w:val="none" w:sz="0" w:space="0" w:color="auto"/>
        <w:left w:val="none" w:sz="0" w:space="0" w:color="auto"/>
        <w:bottom w:val="none" w:sz="0" w:space="0" w:color="auto"/>
        <w:right w:val="none" w:sz="0" w:space="0" w:color="auto"/>
      </w:divBdr>
    </w:div>
    <w:div w:id="1936554706">
      <w:bodyDiv w:val="1"/>
      <w:marLeft w:val="0"/>
      <w:marRight w:val="0"/>
      <w:marTop w:val="0"/>
      <w:marBottom w:val="0"/>
      <w:divBdr>
        <w:top w:val="none" w:sz="0" w:space="0" w:color="auto"/>
        <w:left w:val="none" w:sz="0" w:space="0" w:color="auto"/>
        <w:bottom w:val="none" w:sz="0" w:space="0" w:color="auto"/>
        <w:right w:val="none" w:sz="0" w:space="0" w:color="auto"/>
      </w:divBdr>
    </w:div>
    <w:div w:id="1955557782">
      <w:bodyDiv w:val="1"/>
      <w:marLeft w:val="0"/>
      <w:marRight w:val="0"/>
      <w:marTop w:val="0"/>
      <w:marBottom w:val="0"/>
      <w:divBdr>
        <w:top w:val="none" w:sz="0" w:space="0" w:color="auto"/>
        <w:left w:val="none" w:sz="0" w:space="0" w:color="auto"/>
        <w:bottom w:val="none" w:sz="0" w:space="0" w:color="auto"/>
        <w:right w:val="none" w:sz="0" w:space="0" w:color="auto"/>
      </w:divBdr>
    </w:div>
    <w:div w:id="1981230899">
      <w:bodyDiv w:val="1"/>
      <w:marLeft w:val="0"/>
      <w:marRight w:val="0"/>
      <w:marTop w:val="0"/>
      <w:marBottom w:val="0"/>
      <w:divBdr>
        <w:top w:val="none" w:sz="0" w:space="0" w:color="auto"/>
        <w:left w:val="none" w:sz="0" w:space="0" w:color="auto"/>
        <w:bottom w:val="none" w:sz="0" w:space="0" w:color="auto"/>
        <w:right w:val="none" w:sz="0" w:space="0" w:color="auto"/>
      </w:divBdr>
      <w:divsChild>
        <w:div w:id="2044204320">
          <w:marLeft w:val="0"/>
          <w:marRight w:val="0"/>
          <w:marTop w:val="0"/>
          <w:marBottom w:val="0"/>
          <w:divBdr>
            <w:top w:val="none" w:sz="0" w:space="0" w:color="auto"/>
            <w:left w:val="none" w:sz="0" w:space="0" w:color="auto"/>
            <w:bottom w:val="none" w:sz="0" w:space="0" w:color="auto"/>
            <w:right w:val="none" w:sz="0" w:space="0" w:color="auto"/>
          </w:divBdr>
          <w:divsChild>
            <w:div w:id="2003584692">
              <w:marLeft w:val="0"/>
              <w:marRight w:val="0"/>
              <w:marTop w:val="0"/>
              <w:marBottom w:val="0"/>
              <w:divBdr>
                <w:top w:val="none" w:sz="0" w:space="0" w:color="auto"/>
                <w:left w:val="none" w:sz="0" w:space="0" w:color="auto"/>
                <w:bottom w:val="none" w:sz="0" w:space="0" w:color="auto"/>
                <w:right w:val="none" w:sz="0" w:space="0" w:color="auto"/>
              </w:divBdr>
              <w:divsChild>
                <w:div w:id="299194134">
                  <w:marLeft w:val="0"/>
                  <w:marRight w:val="0"/>
                  <w:marTop w:val="0"/>
                  <w:marBottom w:val="0"/>
                  <w:divBdr>
                    <w:top w:val="none" w:sz="0" w:space="0" w:color="auto"/>
                    <w:left w:val="none" w:sz="0" w:space="0" w:color="auto"/>
                    <w:bottom w:val="none" w:sz="0" w:space="0" w:color="auto"/>
                    <w:right w:val="none" w:sz="0" w:space="0" w:color="auto"/>
                  </w:divBdr>
                  <w:divsChild>
                    <w:div w:id="3436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491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61">
          <w:marLeft w:val="0"/>
          <w:marRight w:val="0"/>
          <w:marTop w:val="0"/>
          <w:marBottom w:val="0"/>
          <w:divBdr>
            <w:top w:val="none" w:sz="0" w:space="0" w:color="auto"/>
            <w:left w:val="none" w:sz="0" w:space="0" w:color="auto"/>
            <w:bottom w:val="none" w:sz="0" w:space="0" w:color="auto"/>
            <w:right w:val="none" w:sz="0" w:space="0" w:color="auto"/>
          </w:divBdr>
          <w:divsChild>
            <w:div w:id="552697777">
              <w:marLeft w:val="0"/>
              <w:marRight w:val="0"/>
              <w:marTop w:val="0"/>
              <w:marBottom w:val="0"/>
              <w:divBdr>
                <w:top w:val="none" w:sz="0" w:space="0" w:color="auto"/>
                <w:left w:val="none" w:sz="0" w:space="0" w:color="auto"/>
                <w:bottom w:val="none" w:sz="0" w:space="0" w:color="auto"/>
                <w:right w:val="none" w:sz="0" w:space="0" w:color="auto"/>
              </w:divBdr>
              <w:divsChild>
                <w:div w:id="1279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7854">
      <w:bodyDiv w:val="1"/>
      <w:marLeft w:val="0"/>
      <w:marRight w:val="0"/>
      <w:marTop w:val="0"/>
      <w:marBottom w:val="0"/>
      <w:divBdr>
        <w:top w:val="none" w:sz="0" w:space="0" w:color="auto"/>
        <w:left w:val="none" w:sz="0" w:space="0" w:color="auto"/>
        <w:bottom w:val="none" w:sz="0" w:space="0" w:color="auto"/>
        <w:right w:val="none" w:sz="0" w:space="0" w:color="auto"/>
      </w:divBdr>
    </w:div>
    <w:div w:id="2029060998">
      <w:bodyDiv w:val="1"/>
      <w:marLeft w:val="0"/>
      <w:marRight w:val="0"/>
      <w:marTop w:val="0"/>
      <w:marBottom w:val="0"/>
      <w:divBdr>
        <w:top w:val="none" w:sz="0" w:space="0" w:color="auto"/>
        <w:left w:val="none" w:sz="0" w:space="0" w:color="auto"/>
        <w:bottom w:val="none" w:sz="0" w:space="0" w:color="auto"/>
        <w:right w:val="none" w:sz="0" w:space="0" w:color="auto"/>
      </w:divBdr>
      <w:divsChild>
        <w:div w:id="1206601923">
          <w:marLeft w:val="0"/>
          <w:marRight w:val="0"/>
          <w:marTop w:val="0"/>
          <w:marBottom w:val="0"/>
          <w:divBdr>
            <w:top w:val="none" w:sz="0" w:space="0" w:color="auto"/>
            <w:left w:val="none" w:sz="0" w:space="0" w:color="auto"/>
            <w:bottom w:val="none" w:sz="0" w:space="0" w:color="auto"/>
            <w:right w:val="none" w:sz="0" w:space="0" w:color="auto"/>
          </w:divBdr>
          <w:divsChild>
            <w:div w:id="771971600">
              <w:marLeft w:val="0"/>
              <w:marRight w:val="0"/>
              <w:marTop w:val="0"/>
              <w:marBottom w:val="0"/>
              <w:divBdr>
                <w:top w:val="none" w:sz="0" w:space="0" w:color="auto"/>
                <w:left w:val="none" w:sz="0" w:space="0" w:color="auto"/>
                <w:bottom w:val="none" w:sz="0" w:space="0" w:color="auto"/>
                <w:right w:val="none" w:sz="0" w:space="0" w:color="auto"/>
              </w:divBdr>
              <w:divsChild>
                <w:div w:id="5873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8568">
      <w:bodyDiv w:val="1"/>
      <w:marLeft w:val="0"/>
      <w:marRight w:val="0"/>
      <w:marTop w:val="0"/>
      <w:marBottom w:val="0"/>
      <w:divBdr>
        <w:top w:val="none" w:sz="0" w:space="0" w:color="auto"/>
        <w:left w:val="none" w:sz="0" w:space="0" w:color="auto"/>
        <w:bottom w:val="none" w:sz="0" w:space="0" w:color="auto"/>
        <w:right w:val="none" w:sz="0" w:space="0" w:color="auto"/>
      </w:divBdr>
      <w:divsChild>
        <w:div w:id="1937783421">
          <w:marLeft w:val="0"/>
          <w:marRight w:val="0"/>
          <w:marTop w:val="0"/>
          <w:marBottom w:val="0"/>
          <w:divBdr>
            <w:top w:val="none" w:sz="0" w:space="0" w:color="auto"/>
            <w:left w:val="none" w:sz="0" w:space="0" w:color="auto"/>
            <w:bottom w:val="none" w:sz="0" w:space="0" w:color="auto"/>
            <w:right w:val="none" w:sz="0" w:space="0" w:color="auto"/>
          </w:divBdr>
          <w:divsChild>
            <w:div w:id="854416807">
              <w:marLeft w:val="0"/>
              <w:marRight w:val="0"/>
              <w:marTop w:val="0"/>
              <w:marBottom w:val="0"/>
              <w:divBdr>
                <w:top w:val="none" w:sz="0" w:space="0" w:color="auto"/>
                <w:left w:val="none" w:sz="0" w:space="0" w:color="auto"/>
                <w:bottom w:val="none" w:sz="0" w:space="0" w:color="auto"/>
                <w:right w:val="none" w:sz="0" w:space="0" w:color="auto"/>
              </w:divBdr>
              <w:divsChild>
                <w:div w:id="16918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40102">
      <w:bodyDiv w:val="1"/>
      <w:marLeft w:val="0"/>
      <w:marRight w:val="0"/>
      <w:marTop w:val="0"/>
      <w:marBottom w:val="0"/>
      <w:divBdr>
        <w:top w:val="none" w:sz="0" w:space="0" w:color="auto"/>
        <w:left w:val="none" w:sz="0" w:space="0" w:color="auto"/>
        <w:bottom w:val="none" w:sz="0" w:space="0" w:color="auto"/>
        <w:right w:val="none" w:sz="0" w:space="0" w:color="auto"/>
      </w:divBdr>
      <w:divsChild>
        <w:div w:id="1169639279">
          <w:marLeft w:val="0"/>
          <w:marRight w:val="0"/>
          <w:marTop w:val="0"/>
          <w:marBottom w:val="0"/>
          <w:divBdr>
            <w:top w:val="none" w:sz="0" w:space="0" w:color="auto"/>
            <w:left w:val="none" w:sz="0" w:space="0" w:color="auto"/>
            <w:bottom w:val="none" w:sz="0" w:space="0" w:color="auto"/>
            <w:right w:val="none" w:sz="0" w:space="0" w:color="auto"/>
          </w:divBdr>
          <w:divsChild>
            <w:div w:id="564146471">
              <w:marLeft w:val="0"/>
              <w:marRight w:val="0"/>
              <w:marTop w:val="0"/>
              <w:marBottom w:val="0"/>
              <w:divBdr>
                <w:top w:val="none" w:sz="0" w:space="0" w:color="auto"/>
                <w:left w:val="none" w:sz="0" w:space="0" w:color="auto"/>
                <w:bottom w:val="none" w:sz="0" w:space="0" w:color="auto"/>
                <w:right w:val="none" w:sz="0" w:space="0" w:color="auto"/>
              </w:divBdr>
              <w:divsChild>
                <w:div w:id="899365396">
                  <w:marLeft w:val="0"/>
                  <w:marRight w:val="0"/>
                  <w:marTop w:val="0"/>
                  <w:marBottom w:val="0"/>
                  <w:divBdr>
                    <w:top w:val="none" w:sz="0" w:space="0" w:color="auto"/>
                    <w:left w:val="none" w:sz="0" w:space="0" w:color="auto"/>
                    <w:bottom w:val="none" w:sz="0" w:space="0" w:color="auto"/>
                    <w:right w:val="none" w:sz="0" w:space="0" w:color="auto"/>
                  </w:divBdr>
                  <w:divsChild>
                    <w:div w:id="14212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63344">
      <w:bodyDiv w:val="1"/>
      <w:marLeft w:val="0"/>
      <w:marRight w:val="0"/>
      <w:marTop w:val="0"/>
      <w:marBottom w:val="0"/>
      <w:divBdr>
        <w:top w:val="none" w:sz="0" w:space="0" w:color="auto"/>
        <w:left w:val="none" w:sz="0" w:space="0" w:color="auto"/>
        <w:bottom w:val="none" w:sz="0" w:space="0" w:color="auto"/>
        <w:right w:val="none" w:sz="0" w:space="0" w:color="auto"/>
      </w:divBdr>
      <w:divsChild>
        <w:div w:id="1503277089">
          <w:marLeft w:val="0"/>
          <w:marRight w:val="0"/>
          <w:marTop w:val="0"/>
          <w:marBottom w:val="0"/>
          <w:divBdr>
            <w:top w:val="none" w:sz="0" w:space="0" w:color="auto"/>
            <w:left w:val="none" w:sz="0" w:space="0" w:color="auto"/>
            <w:bottom w:val="none" w:sz="0" w:space="0" w:color="auto"/>
            <w:right w:val="none" w:sz="0" w:space="0" w:color="auto"/>
          </w:divBdr>
          <w:divsChild>
            <w:div w:id="850222733">
              <w:marLeft w:val="0"/>
              <w:marRight w:val="0"/>
              <w:marTop w:val="0"/>
              <w:marBottom w:val="0"/>
              <w:divBdr>
                <w:top w:val="none" w:sz="0" w:space="0" w:color="auto"/>
                <w:left w:val="none" w:sz="0" w:space="0" w:color="auto"/>
                <w:bottom w:val="none" w:sz="0" w:space="0" w:color="auto"/>
                <w:right w:val="none" w:sz="0" w:space="0" w:color="auto"/>
              </w:divBdr>
              <w:divsChild>
                <w:div w:id="7373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6022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2696735">
      <w:bodyDiv w:val="1"/>
      <w:marLeft w:val="0"/>
      <w:marRight w:val="0"/>
      <w:marTop w:val="0"/>
      <w:marBottom w:val="0"/>
      <w:divBdr>
        <w:top w:val="none" w:sz="0" w:space="0" w:color="auto"/>
        <w:left w:val="none" w:sz="0" w:space="0" w:color="auto"/>
        <w:bottom w:val="none" w:sz="0" w:space="0" w:color="auto"/>
        <w:right w:val="none" w:sz="0" w:space="0" w:color="auto"/>
      </w:divBdr>
      <w:divsChild>
        <w:div w:id="1837720009">
          <w:marLeft w:val="0"/>
          <w:marRight w:val="0"/>
          <w:marTop w:val="0"/>
          <w:marBottom w:val="0"/>
          <w:divBdr>
            <w:top w:val="none" w:sz="0" w:space="0" w:color="auto"/>
            <w:left w:val="none" w:sz="0" w:space="0" w:color="auto"/>
            <w:bottom w:val="none" w:sz="0" w:space="0" w:color="auto"/>
            <w:right w:val="none" w:sz="0" w:space="0" w:color="auto"/>
          </w:divBdr>
          <w:divsChild>
            <w:div w:id="1371145272">
              <w:marLeft w:val="0"/>
              <w:marRight w:val="0"/>
              <w:marTop w:val="0"/>
              <w:marBottom w:val="0"/>
              <w:divBdr>
                <w:top w:val="none" w:sz="0" w:space="0" w:color="auto"/>
                <w:left w:val="none" w:sz="0" w:space="0" w:color="auto"/>
                <w:bottom w:val="none" w:sz="0" w:space="0" w:color="auto"/>
                <w:right w:val="none" w:sz="0" w:space="0" w:color="auto"/>
              </w:divBdr>
              <w:divsChild>
                <w:div w:id="2133666864">
                  <w:marLeft w:val="0"/>
                  <w:marRight w:val="0"/>
                  <w:marTop w:val="0"/>
                  <w:marBottom w:val="0"/>
                  <w:divBdr>
                    <w:top w:val="none" w:sz="0" w:space="0" w:color="auto"/>
                    <w:left w:val="none" w:sz="0" w:space="0" w:color="auto"/>
                    <w:bottom w:val="none" w:sz="0" w:space="0" w:color="auto"/>
                    <w:right w:val="none" w:sz="0" w:space="0" w:color="auto"/>
                  </w:divBdr>
                  <w:divsChild>
                    <w:div w:id="1228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93726">
      <w:bodyDiv w:val="1"/>
      <w:marLeft w:val="0"/>
      <w:marRight w:val="0"/>
      <w:marTop w:val="0"/>
      <w:marBottom w:val="0"/>
      <w:divBdr>
        <w:top w:val="none" w:sz="0" w:space="0" w:color="auto"/>
        <w:left w:val="none" w:sz="0" w:space="0" w:color="auto"/>
        <w:bottom w:val="none" w:sz="0" w:space="0" w:color="auto"/>
        <w:right w:val="none" w:sz="0" w:space="0" w:color="auto"/>
      </w:divBdr>
      <w:divsChild>
        <w:div w:id="511064665">
          <w:marLeft w:val="0"/>
          <w:marRight w:val="0"/>
          <w:marTop w:val="0"/>
          <w:marBottom w:val="0"/>
          <w:divBdr>
            <w:top w:val="none" w:sz="0" w:space="0" w:color="auto"/>
            <w:left w:val="none" w:sz="0" w:space="0" w:color="auto"/>
            <w:bottom w:val="none" w:sz="0" w:space="0" w:color="auto"/>
            <w:right w:val="none" w:sz="0" w:space="0" w:color="auto"/>
          </w:divBdr>
          <w:divsChild>
            <w:div w:id="875434650">
              <w:marLeft w:val="0"/>
              <w:marRight w:val="0"/>
              <w:marTop w:val="0"/>
              <w:marBottom w:val="0"/>
              <w:divBdr>
                <w:top w:val="none" w:sz="0" w:space="0" w:color="auto"/>
                <w:left w:val="none" w:sz="0" w:space="0" w:color="auto"/>
                <w:bottom w:val="none" w:sz="0" w:space="0" w:color="auto"/>
                <w:right w:val="none" w:sz="0" w:space="0" w:color="auto"/>
              </w:divBdr>
              <w:divsChild>
                <w:div w:id="2103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2454">
      <w:bodyDiv w:val="1"/>
      <w:marLeft w:val="0"/>
      <w:marRight w:val="0"/>
      <w:marTop w:val="0"/>
      <w:marBottom w:val="0"/>
      <w:divBdr>
        <w:top w:val="none" w:sz="0" w:space="0" w:color="auto"/>
        <w:left w:val="none" w:sz="0" w:space="0" w:color="auto"/>
        <w:bottom w:val="none" w:sz="0" w:space="0" w:color="auto"/>
        <w:right w:val="none" w:sz="0" w:space="0" w:color="auto"/>
      </w:divBdr>
    </w:div>
    <w:div w:id="2105226341">
      <w:bodyDiv w:val="1"/>
      <w:marLeft w:val="0"/>
      <w:marRight w:val="0"/>
      <w:marTop w:val="0"/>
      <w:marBottom w:val="0"/>
      <w:divBdr>
        <w:top w:val="none" w:sz="0" w:space="0" w:color="auto"/>
        <w:left w:val="none" w:sz="0" w:space="0" w:color="auto"/>
        <w:bottom w:val="none" w:sz="0" w:space="0" w:color="auto"/>
        <w:right w:val="none" w:sz="0" w:space="0" w:color="auto"/>
      </w:divBdr>
      <w:divsChild>
        <w:div w:id="1708942787">
          <w:marLeft w:val="0"/>
          <w:marRight w:val="0"/>
          <w:marTop w:val="0"/>
          <w:marBottom w:val="0"/>
          <w:divBdr>
            <w:top w:val="none" w:sz="0" w:space="0" w:color="auto"/>
            <w:left w:val="none" w:sz="0" w:space="0" w:color="auto"/>
            <w:bottom w:val="none" w:sz="0" w:space="0" w:color="auto"/>
            <w:right w:val="none" w:sz="0" w:space="0" w:color="auto"/>
          </w:divBdr>
          <w:divsChild>
            <w:div w:id="2140298392">
              <w:marLeft w:val="0"/>
              <w:marRight w:val="0"/>
              <w:marTop w:val="0"/>
              <w:marBottom w:val="0"/>
              <w:divBdr>
                <w:top w:val="none" w:sz="0" w:space="0" w:color="auto"/>
                <w:left w:val="none" w:sz="0" w:space="0" w:color="auto"/>
                <w:bottom w:val="none" w:sz="0" w:space="0" w:color="auto"/>
                <w:right w:val="none" w:sz="0" w:space="0" w:color="auto"/>
              </w:divBdr>
              <w:divsChild>
                <w:div w:id="1190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2836">
      <w:bodyDiv w:val="1"/>
      <w:marLeft w:val="0"/>
      <w:marRight w:val="0"/>
      <w:marTop w:val="0"/>
      <w:marBottom w:val="0"/>
      <w:divBdr>
        <w:top w:val="none" w:sz="0" w:space="0" w:color="auto"/>
        <w:left w:val="none" w:sz="0" w:space="0" w:color="auto"/>
        <w:bottom w:val="none" w:sz="0" w:space="0" w:color="auto"/>
        <w:right w:val="none" w:sz="0" w:space="0" w:color="auto"/>
      </w:divBdr>
      <w:divsChild>
        <w:div w:id="1020160558">
          <w:marLeft w:val="0"/>
          <w:marRight w:val="0"/>
          <w:marTop w:val="0"/>
          <w:marBottom w:val="0"/>
          <w:divBdr>
            <w:top w:val="none" w:sz="0" w:space="0" w:color="auto"/>
            <w:left w:val="none" w:sz="0" w:space="0" w:color="auto"/>
            <w:bottom w:val="none" w:sz="0" w:space="0" w:color="auto"/>
            <w:right w:val="none" w:sz="0" w:space="0" w:color="auto"/>
          </w:divBdr>
          <w:divsChild>
            <w:div w:id="1778983373">
              <w:marLeft w:val="0"/>
              <w:marRight w:val="0"/>
              <w:marTop w:val="0"/>
              <w:marBottom w:val="0"/>
              <w:divBdr>
                <w:top w:val="none" w:sz="0" w:space="0" w:color="auto"/>
                <w:left w:val="none" w:sz="0" w:space="0" w:color="auto"/>
                <w:bottom w:val="none" w:sz="0" w:space="0" w:color="auto"/>
                <w:right w:val="none" w:sz="0" w:space="0" w:color="auto"/>
              </w:divBdr>
              <w:divsChild>
                <w:div w:id="139856152">
                  <w:marLeft w:val="0"/>
                  <w:marRight w:val="0"/>
                  <w:marTop w:val="0"/>
                  <w:marBottom w:val="0"/>
                  <w:divBdr>
                    <w:top w:val="none" w:sz="0" w:space="0" w:color="auto"/>
                    <w:left w:val="none" w:sz="0" w:space="0" w:color="auto"/>
                    <w:bottom w:val="none" w:sz="0" w:space="0" w:color="auto"/>
                    <w:right w:val="none" w:sz="0" w:space="0" w:color="auto"/>
                  </w:divBdr>
                  <w:divsChild>
                    <w:div w:id="17639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008">
      <w:bodyDiv w:val="1"/>
      <w:marLeft w:val="0"/>
      <w:marRight w:val="0"/>
      <w:marTop w:val="0"/>
      <w:marBottom w:val="0"/>
      <w:divBdr>
        <w:top w:val="none" w:sz="0" w:space="0" w:color="auto"/>
        <w:left w:val="none" w:sz="0" w:space="0" w:color="auto"/>
        <w:bottom w:val="none" w:sz="0" w:space="0" w:color="auto"/>
        <w:right w:val="none" w:sz="0" w:space="0" w:color="auto"/>
      </w:divBdr>
      <w:divsChild>
        <w:div w:id="437723075">
          <w:marLeft w:val="0"/>
          <w:marRight w:val="0"/>
          <w:marTop w:val="0"/>
          <w:marBottom w:val="0"/>
          <w:divBdr>
            <w:top w:val="none" w:sz="0" w:space="0" w:color="auto"/>
            <w:left w:val="none" w:sz="0" w:space="0" w:color="auto"/>
            <w:bottom w:val="none" w:sz="0" w:space="0" w:color="auto"/>
            <w:right w:val="none" w:sz="0" w:space="0" w:color="auto"/>
          </w:divBdr>
          <w:divsChild>
            <w:div w:id="32508562">
              <w:marLeft w:val="0"/>
              <w:marRight w:val="0"/>
              <w:marTop w:val="0"/>
              <w:marBottom w:val="0"/>
              <w:divBdr>
                <w:top w:val="none" w:sz="0" w:space="0" w:color="auto"/>
                <w:left w:val="none" w:sz="0" w:space="0" w:color="auto"/>
                <w:bottom w:val="none" w:sz="0" w:space="0" w:color="auto"/>
                <w:right w:val="none" w:sz="0" w:space="0" w:color="auto"/>
              </w:divBdr>
              <w:divsChild>
                <w:div w:id="172229329">
                  <w:marLeft w:val="0"/>
                  <w:marRight w:val="0"/>
                  <w:marTop w:val="0"/>
                  <w:marBottom w:val="0"/>
                  <w:divBdr>
                    <w:top w:val="none" w:sz="0" w:space="0" w:color="auto"/>
                    <w:left w:val="none" w:sz="0" w:space="0" w:color="auto"/>
                    <w:bottom w:val="none" w:sz="0" w:space="0" w:color="auto"/>
                    <w:right w:val="none" w:sz="0" w:space="0" w:color="auto"/>
                  </w:divBdr>
                  <w:divsChild>
                    <w:div w:id="2901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ac.gov.au/internet/msac/publishing.nsf/Content/1519-public" TargetMode="External"/><Relationship Id="rId18" Type="http://schemas.openxmlformats.org/officeDocument/2006/relationships/footer" Target="footer1.xml"/><Relationship Id="rId26" Type="http://schemas.openxmlformats.org/officeDocument/2006/relationships/hyperlink" Target="https://www.astctjournal.org/action/showPdf?pii=S1083-8791%2818%2931153-4"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A10E3D10B9DBC1F2CA258614002163DC/$File/1647%20Final%20PSD%20-%20July%202021_redacted.pdf" TargetMode="External"/><Relationship Id="rId17" Type="http://schemas.openxmlformats.org/officeDocument/2006/relationships/header" Target="header2.xml"/><Relationship Id="rId25" Type="http://schemas.openxmlformats.org/officeDocument/2006/relationships/hyperlink" Target="https://ascopubs.org/doi/abs/10.1200/JCO.2021.39.15_suppl.7002" TargetMode="External"/><Relationship Id="rId33" Type="http://schemas.openxmlformats.org/officeDocument/2006/relationships/hyperlink" Target="https://www.leukaemia.org.au/blood-cancer-information/types-of-blood-cancer/leukaemia/acute-lymphoblastic-leukaemi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47-public" TargetMode="External"/><Relationship Id="rId24" Type="http://schemas.openxmlformats.org/officeDocument/2006/relationships/hyperlink" Target="https://ashpublications.org/blood/article/138/1/11/475697/KTE-X19-anti-CD19-CAR-T-cell-therapy-in-adult" TargetMode="External"/><Relationship Id="rId32" Type="http://schemas.openxmlformats.org/officeDocument/2006/relationships/hyperlink" Target="https://www.nccn.org/professionals/physician_gls/pdf/all.pdf" TargetMode="External"/><Relationship Id="rId5" Type="http://schemas.openxmlformats.org/officeDocument/2006/relationships/webSettings" Target="webSettings.xml"/><Relationship Id="rId15" Type="http://schemas.openxmlformats.org/officeDocument/2006/relationships/hyperlink" Target="https://tga-search.clients.funnelback.com/s/search.html?collection=tga-artg&amp;profile=record&amp;meta_i=371431" TargetMode="External"/><Relationship Id="rId23" Type="http://schemas.openxmlformats.org/officeDocument/2006/relationships/hyperlink" Target="https://www.thelancet.com/journals/lancet/article/PIIS0140-6736(21)01222-8/fulltext" TargetMode="External"/><Relationship Id="rId28" Type="http://schemas.openxmlformats.org/officeDocument/2006/relationships/image" Target="media/image2.emf"/><Relationship Id="rId10" Type="http://schemas.openxmlformats.org/officeDocument/2006/relationships/hyperlink" Target="http://www.msac.gov.au/" TargetMode="External"/><Relationship Id="rId19" Type="http://schemas.openxmlformats.org/officeDocument/2006/relationships/footer" Target="footer2.xml"/><Relationship Id="rId31" Type="http://schemas.openxmlformats.org/officeDocument/2006/relationships/hyperlink" Target="https://www.aihw.gov.au/reports/cancer/cancer-data-in-australia/contents/cancer-summary-data-visualisation"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blood.gov.au/national-product-list" TargetMode="External"/><Relationship Id="rId22" Type="http://schemas.openxmlformats.org/officeDocument/2006/relationships/hyperlink" Target="https://clinicaltrials.gov/ct2/show/NCT02614066" TargetMode="External"/><Relationship Id="rId27" Type="http://schemas.openxmlformats.org/officeDocument/2006/relationships/hyperlink" Target="https://ashpublications.org/blood/article-split/138/Supplement%201/3844/481068/The-Comparison-of-Kte-X19-to-Current-Standards-of" TargetMode="External"/><Relationship Id="rId30" Type="http://schemas.openxmlformats.org/officeDocument/2006/relationships/image" Target="media/image4.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ukaemia.org.au/blood-cancer-information/types-of-blood-cancer/leukaemia/acute-lymphoblastic-leukaemia/" TargetMode="External"/><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www.msac.gov.au/internet/msac/publishing.nsf/Content/A10E3D10B9DBC1F2CA258614002163DC/$File/1647%20Final%20PSD%20-%20July%202021_redacted.pdf" TargetMode="External"/><Relationship Id="rId6" Type="http://schemas.openxmlformats.org/officeDocument/2006/relationships/hyperlink" Target="https://www.aihw.gov.au/reports/cancer/cancer-data-in-australia/contents/cancer-incidence-by-age-visualisation" TargetMode="External"/><Relationship Id="rId5" Type="http://schemas.openxmlformats.org/officeDocument/2006/relationships/hyperlink" Target="http://knowledge.rarecancers.org.au/knowledgebase/cancer-types/132/acute-lymphoblastic-leukaemia-all" TargetMode="External"/><Relationship Id="rId4" Type="http://schemas.openxmlformats.org/officeDocument/2006/relationships/hyperlink" Target="https://www.leukaemia.org.au/blood-cancer-information/types-of-blood-cancer/leukaemia/acute-lymphoblastic-leuka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423A-F52D-4887-A9B6-02BE5A4C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15732</Words>
  <Characters>89675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105197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3</cp:revision>
  <cp:lastPrinted>2021-05-10T01:34:00Z</cp:lastPrinted>
  <dcterms:created xsi:type="dcterms:W3CDTF">2022-06-10T04:15:00Z</dcterms:created>
  <dcterms:modified xsi:type="dcterms:W3CDTF">2022-07-08T00:36:00Z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