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E980C" w14:textId="77777777" w:rsidR="000B4720" w:rsidRDefault="000B4720" w:rsidP="006478E7">
      <w:pPr>
        <w:spacing w:before="120" w:after="120" w:line="312" w:lineRule="auto"/>
        <w:jc w:val="center"/>
      </w:pPr>
    </w:p>
    <w:p w14:paraId="19FE6B6C" w14:textId="44D00939" w:rsidR="006478E7" w:rsidRPr="00490FBB" w:rsidRDefault="006478E7" w:rsidP="006478E7">
      <w:pPr>
        <w:spacing w:before="120" w:after="120" w:line="312" w:lineRule="auto"/>
        <w:jc w:val="center"/>
      </w:pPr>
      <w:r w:rsidRPr="00490FBB">
        <w:rPr>
          <w:b/>
          <w:noProof/>
          <w:lang w:eastAsia="en-AU"/>
        </w:rPr>
        <w:drawing>
          <wp:inline distT="0" distB="0" distL="0" distR="0" wp14:anchorId="42587FCD" wp14:editId="582BB802">
            <wp:extent cx="1891665" cy="1229995"/>
            <wp:effectExtent l="0" t="0" r="0" b="0"/>
            <wp:docPr id="1" name="Picture 1" title="Department of Health Logo"/>
            <wp:cNvGraphicFramePr/>
            <a:graphic xmlns:a="http://schemas.openxmlformats.org/drawingml/2006/main">
              <a:graphicData uri="http://schemas.openxmlformats.org/drawingml/2006/picture">
                <pic:pic xmlns:pic="http://schemas.openxmlformats.org/drawingml/2006/picture">
                  <pic:nvPicPr>
                    <pic:cNvPr id="1" name="Picture 2" title="Department of Health 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50B6D781" w14:textId="2D465A61" w:rsidR="006478E7" w:rsidRPr="00CD5123" w:rsidRDefault="00324347" w:rsidP="008C4B3C">
      <w:pPr>
        <w:spacing w:before="1800"/>
        <w:jc w:val="center"/>
        <w:rPr>
          <w:rFonts w:cs="Calibri"/>
          <w:b/>
          <w:bCs/>
          <w:color w:val="000000"/>
          <w:sz w:val="48"/>
          <w:szCs w:val="48"/>
          <w:u w:color="000000"/>
          <w:lang w:val="en-US" w:eastAsia="en-AU"/>
        </w:rPr>
      </w:pPr>
      <w:r>
        <w:rPr>
          <w:rFonts w:cs="Calibri"/>
          <w:b/>
          <w:bCs/>
          <w:color w:val="000000"/>
          <w:sz w:val="48"/>
          <w:szCs w:val="48"/>
          <w:u w:color="000000"/>
          <w:lang w:val="en-US" w:eastAsia="en-AU"/>
        </w:rPr>
        <w:t xml:space="preserve">MSAC </w:t>
      </w:r>
      <w:r w:rsidR="006478E7" w:rsidRPr="00CD5123">
        <w:rPr>
          <w:rFonts w:cs="Calibri"/>
          <w:b/>
          <w:bCs/>
          <w:color w:val="000000"/>
          <w:sz w:val="48"/>
          <w:szCs w:val="48"/>
          <w:u w:color="000000"/>
          <w:lang w:val="en-US" w:eastAsia="en-AU"/>
        </w:rPr>
        <w:t xml:space="preserve">Application </w:t>
      </w:r>
      <w:r w:rsidR="00FE16FB" w:rsidRPr="00CD5123">
        <w:rPr>
          <w:rFonts w:cs="Calibri"/>
          <w:b/>
          <w:bCs/>
          <w:color w:val="000000"/>
          <w:sz w:val="48"/>
          <w:szCs w:val="48"/>
          <w:u w:color="000000"/>
          <w:lang w:val="en-US" w:eastAsia="en-AU"/>
        </w:rPr>
        <w:t>1684</w:t>
      </w:r>
      <w:r w:rsidR="006478E7" w:rsidRPr="00CD5123">
        <w:rPr>
          <w:rFonts w:cs="Calibri"/>
          <w:b/>
          <w:bCs/>
          <w:color w:val="000000"/>
          <w:sz w:val="48"/>
          <w:szCs w:val="48"/>
          <w:u w:color="000000"/>
          <w:lang w:val="en-US" w:eastAsia="en-AU"/>
        </w:rPr>
        <w:t>:</w:t>
      </w:r>
    </w:p>
    <w:p w14:paraId="11765312" w14:textId="11D30EAB" w:rsidR="006478E7" w:rsidRPr="00CD5123" w:rsidRDefault="00352C35" w:rsidP="006478E7">
      <w:pPr>
        <w:jc w:val="center"/>
        <w:rPr>
          <w:rFonts w:cs="Calibri"/>
          <w:b/>
          <w:bCs/>
          <w:color w:val="548DD4"/>
          <w:sz w:val="48"/>
          <w:szCs w:val="48"/>
          <w:u w:color="000000"/>
          <w:lang w:val="en-US" w:eastAsia="en-AU"/>
        </w:rPr>
      </w:pPr>
      <w:r w:rsidRPr="00CD5123">
        <w:rPr>
          <w:rFonts w:cs="Calibri"/>
          <w:b/>
          <w:bCs/>
          <w:color w:val="548DD4"/>
          <w:sz w:val="48"/>
          <w:szCs w:val="48"/>
          <w:u w:color="000000"/>
          <w:lang w:val="en-US" w:eastAsia="en-AU"/>
        </w:rPr>
        <w:t>Genetic testing for variants associated with haematological malignancies</w:t>
      </w:r>
    </w:p>
    <w:p w14:paraId="39CC0389" w14:textId="00E92067" w:rsidR="006478E7" w:rsidRPr="008730A1" w:rsidRDefault="00984587" w:rsidP="008730A1">
      <w:pPr>
        <w:spacing w:before="1800"/>
        <w:jc w:val="center"/>
        <w:rPr>
          <w:b/>
          <w:bCs/>
          <w:sz w:val="72"/>
          <w:szCs w:val="72"/>
        </w:rPr>
      </w:pPr>
      <w:r w:rsidRPr="008730A1">
        <w:rPr>
          <w:b/>
          <w:bCs/>
          <w:sz w:val="72"/>
          <w:szCs w:val="72"/>
        </w:rPr>
        <w:t>R</w:t>
      </w:r>
      <w:r w:rsidR="00874201" w:rsidRPr="008730A1">
        <w:rPr>
          <w:b/>
          <w:bCs/>
          <w:sz w:val="72"/>
          <w:szCs w:val="72"/>
        </w:rPr>
        <w:t>atified</w:t>
      </w:r>
      <w:r w:rsidR="008730A1" w:rsidRPr="008730A1">
        <w:rPr>
          <w:b/>
          <w:bCs/>
          <w:sz w:val="72"/>
          <w:szCs w:val="72"/>
        </w:rPr>
        <w:br/>
      </w:r>
      <w:r w:rsidR="006478E7" w:rsidRPr="008730A1">
        <w:rPr>
          <w:b/>
          <w:bCs/>
          <w:sz w:val="72"/>
          <w:szCs w:val="72"/>
        </w:rPr>
        <w:t>PICO Confirmation</w:t>
      </w:r>
    </w:p>
    <w:p w14:paraId="00B6F80E" w14:textId="47B3F514" w:rsidR="00C85140" w:rsidRPr="008730A1" w:rsidRDefault="00C85140">
      <w:pPr>
        <w:spacing w:after="160" w:line="259" w:lineRule="auto"/>
      </w:pPr>
      <w:r w:rsidRPr="008730A1">
        <w:br w:type="page"/>
      </w:r>
    </w:p>
    <w:p w14:paraId="4FE3C7B5" w14:textId="5265317D" w:rsidR="00BF4695" w:rsidRPr="00324347" w:rsidRDefault="006478E7">
      <w:pPr>
        <w:rPr>
          <w:rFonts w:ascii="Arial Narrow" w:hAnsi="Arial Narrow"/>
          <w:b/>
          <w:bCs/>
          <w:i/>
          <w:iCs/>
          <w:color w:val="0070C0"/>
          <w:sz w:val="20"/>
          <w:szCs w:val="20"/>
        </w:rPr>
      </w:pPr>
      <w:r w:rsidRPr="00324347">
        <w:rPr>
          <w:b/>
          <w:bCs/>
          <w:i/>
          <w:iCs/>
          <w:color w:val="0070C0"/>
        </w:rPr>
        <w:lastRenderedPageBreak/>
        <w:t>Summary of PI</w:t>
      </w:r>
      <w:r w:rsidR="00235B21" w:rsidRPr="00324347">
        <w:rPr>
          <w:b/>
          <w:bCs/>
          <w:i/>
          <w:iCs/>
          <w:color w:val="0070C0"/>
        </w:rPr>
        <w:t xml:space="preserve">CO/PPICO criteria to define </w:t>
      </w:r>
      <w:r w:rsidRPr="00324347">
        <w:rPr>
          <w:b/>
          <w:bCs/>
          <w:i/>
          <w:iCs/>
          <w:color w:val="0070C0"/>
        </w:rPr>
        <w:t>question(s) to be addressed in an Assessment Report to the Medical Services Advisory Committee (MSAC)</w:t>
      </w:r>
    </w:p>
    <w:p w14:paraId="1F1D2B5F" w14:textId="47252C7D" w:rsidR="00B537D1" w:rsidRDefault="00B537D1" w:rsidP="005D2D85">
      <w:pPr>
        <w:pStyle w:val="Caption"/>
      </w:pPr>
      <w:r>
        <w:t xml:space="preserve">Table </w:t>
      </w:r>
      <w:r>
        <w:fldChar w:fldCharType="begin"/>
      </w:r>
      <w:r>
        <w:instrText xml:space="preserve"> SEQ Table \* ARABIC </w:instrText>
      </w:r>
      <w:r>
        <w:fldChar w:fldCharType="separate"/>
      </w:r>
      <w:r w:rsidR="00CA44B7">
        <w:rPr>
          <w:noProof/>
        </w:rPr>
        <w:t>1</w:t>
      </w:r>
      <w:r>
        <w:fldChar w:fldCharType="end"/>
      </w:r>
      <w:r>
        <w:tab/>
      </w:r>
      <w:r w:rsidRPr="006F5EC2">
        <w:t>PICO for genetic testing for variants associated with haematological malignancies in patients with lymphoid neoplasms (mature lymphoid, histiocytic, and dendritic neoplasms), myeloid neoplasms or acute leukaemia</w:t>
      </w:r>
    </w:p>
    <w:tbl>
      <w:tblPr>
        <w:tblW w:w="5000" w:type="pct"/>
        <w:tblBorders>
          <w:top w:val="single" w:sz="8" w:space="0" w:color="auto"/>
          <w:left w:val="single" w:sz="8" w:space="0" w:color="auto"/>
          <w:bottom w:val="single" w:sz="8" w:space="0" w:color="auto"/>
          <w:right w:val="single" w:sz="8" w:space="0" w:color="auto"/>
          <w:insideH w:val="single" w:sz="2" w:space="0" w:color="auto"/>
          <w:insideV w:val="single" w:sz="4" w:space="0" w:color="auto"/>
        </w:tblBorders>
        <w:tblLook w:val="00A0" w:firstRow="1" w:lastRow="0" w:firstColumn="1" w:lastColumn="0" w:noHBand="0" w:noVBand="0"/>
      </w:tblPr>
      <w:tblGrid>
        <w:gridCol w:w="2250"/>
        <w:gridCol w:w="7325"/>
      </w:tblGrid>
      <w:tr w:rsidR="00DE6AA6" w:rsidRPr="0007620F" w14:paraId="2A509B30" w14:textId="77777777" w:rsidTr="000E11A4">
        <w:trPr>
          <w:trHeight w:val="372"/>
          <w:tblHeader/>
        </w:trPr>
        <w:tc>
          <w:tcPr>
            <w:tcW w:w="1175" w:type="pct"/>
            <w:tcBorders>
              <w:top w:val="single" w:sz="2" w:space="0" w:color="auto"/>
              <w:left w:val="single" w:sz="2" w:space="0" w:color="auto"/>
              <w:bottom w:val="single" w:sz="2" w:space="0" w:color="auto"/>
            </w:tcBorders>
            <w:shd w:val="clear" w:color="auto" w:fill="D9D9D9"/>
            <w:vAlign w:val="center"/>
            <w:hideMark/>
          </w:tcPr>
          <w:p w14:paraId="333B8A35" w14:textId="77777777" w:rsidR="006478E7" w:rsidRPr="005D2D85" w:rsidRDefault="006478E7" w:rsidP="00C54349">
            <w:pPr>
              <w:spacing w:before="20" w:after="20" w:line="240" w:lineRule="auto"/>
              <w:rPr>
                <w:rFonts w:asciiTheme="minorHAnsi" w:hAnsiTheme="minorHAnsi" w:cstheme="minorHAnsi"/>
                <w:b/>
              </w:rPr>
            </w:pPr>
            <w:bookmarkStart w:id="0" w:name="Title_Table1" w:colFirst="0" w:colLast="0"/>
            <w:r w:rsidRPr="005D2D85">
              <w:rPr>
                <w:rFonts w:asciiTheme="minorHAnsi" w:hAnsiTheme="minorHAnsi" w:cstheme="minorHAnsi"/>
                <w:b/>
              </w:rPr>
              <w:t>Component</w:t>
            </w:r>
          </w:p>
        </w:tc>
        <w:tc>
          <w:tcPr>
            <w:tcW w:w="3825" w:type="pct"/>
            <w:tcBorders>
              <w:top w:val="single" w:sz="2" w:space="0" w:color="auto"/>
              <w:bottom w:val="single" w:sz="2" w:space="0" w:color="auto"/>
              <w:right w:val="single" w:sz="2" w:space="0" w:color="auto"/>
            </w:tcBorders>
            <w:shd w:val="clear" w:color="auto" w:fill="D9D9D9"/>
            <w:vAlign w:val="center"/>
            <w:hideMark/>
          </w:tcPr>
          <w:p w14:paraId="0E31DF4F" w14:textId="77777777" w:rsidR="006478E7" w:rsidRPr="005D2D85" w:rsidRDefault="006478E7" w:rsidP="00C54349">
            <w:pPr>
              <w:spacing w:before="20" w:after="20" w:line="240" w:lineRule="auto"/>
              <w:rPr>
                <w:rFonts w:asciiTheme="minorHAnsi" w:hAnsiTheme="minorHAnsi" w:cstheme="minorHAnsi"/>
                <w:b/>
              </w:rPr>
            </w:pPr>
            <w:r w:rsidRPr="005D2D85">
              <w:rPr>
                <w:rFonts w:asciiTheme="minorHAnsi" w:hAnsiTheme="minorHAnsi" w:cstheme="minorHAnsi"/>
                <w:b/>
              </w:rPr>
              <w:t>Description</w:t>
            </w:r>
          </w:p>
        </w:tc>
      </w:tr>
      <w:bookmarkEnd w:id="0"/>
      <w:tr w:rsidR="00BC07FA" w:rsidRPr="0007620F" w14:paraId="78E0BB65" w14:textId="77777777" w:rsidTr="000E11A4">
        <w:tc>
          <w:tcPr>
            <w:tcW w:w="1175" w:type="pct"/>
            <w:tcBorders>
              <w:top w:val="single" w:sz="2" w:space="0" w:color="auto"/>
            </w:tcBorders>
            <w:hideMark/>
          </w:tcPr>
          <w:p w14:paraId="715E50D5" w14:textId="74EB4863" w:rsidR="006478E7" w:rsidRPr="00CD5123" w:rsidRDefault="00F660E8" w:rsidP="00E01349">
            <w:pPr>
              <w:spacing w:before="120" w:after="120" w:line="240" w:lineRule="auto"/>
              <w:rPr>
                <w:rFonts w:asciiTheme="minorHAnsi" w:hAnsiTheme="minorHAnsi" w:cstheme="minorHAnsi"/>
              </w:rPr>
            </w:pPr>
            <w:r w:rsidRPr="00CD5123">
              <w:rPr>
                <w:rFonts w:asciiTheme="minorHAnsi" w:hAnsiTheme="minorHAnsi" w:cstheme="minorHAnsi"/>
              </w:rPr>
              <w:t>Population</w:t>
            </w:r>
          </w:p>
        </w:tc>
        <w:tc>
          <w:tcPr>
            <w:tcW w:w="3825" w:type="pct"/>
            <w:tcBorders>
              <w:top w:val="single" w:sz="2" w:space="0" w:color="auto"/>
            </w:tcBorders>
            <w:hideMark/>
          </w:tcPr>
          <w:p w14:paraId="4A4FF7C2" w14:textId="1FCA4AAA" w:rsidR="006478E7" w:rsidRPr="005C14A4" w:rsidRDefault="006C247A" w:rsidP="005C14A4">
            <w:pPr>
              <w:spacing w:before="120" w:after="120" w:line="240" w:lineRule="auto"/>
              <w:rPr>
                <w:rFonts w:cs="Arial"/>
              </w:rPr>
            </w:pPr>
            <w:r w:rsidRPr="005C14A4">
              <w:rPr>
                <w:rFonts w:cs="Arial"/>
              </w:rPr>
              <w:t xml:space="preserve">Patients/persons with </w:t>
            </w:r>
            <w:r w:rsidR="006B09EF">
              <w:rPr>
                <w:rFonts w:cs="Arial"/>
              </w:rPr>
              <w:t>clinical</w:t>
            </w:r>
            <w:r w:rsidR="009E741E">
              <w:rPr>
                <w:rFonts w:cs="Arial"/>
              </w:rPr>
              <w:t>ly suspected</w:t>
            </w:r>
            <w:r w:rsidR="006B09EF">
              <w:rPr>
                <w:rFonts w:cs="Arial"/>
              </w:rPr>
              <w:t xml:space="preserve"> myeloid or lymphoid neoplasm </w:t>
            </w:r>
            <w:r w:rsidR="00A44EE1" w:rsidRPr="00A44EE1">
              <w:rPr>
                <w:rFonts w:cs="Arial"/>
              </w:rPr>
              <w:t>where accurate diagnosis sufficient for treatment planning is not achieved using conventional testing</w:t>
            </w:r>
            <w:r w:rsidR="00A44EE1">
              <w:rPr>
                <w:rFonts w:cs="Arial"/>
              </w:rPr>
              <w:t>.</w:t>
            </w:r>
          </w:p>
        </w:tc>
      </w:tr>
      <w:tr w:rsidR="00BC07FA" w:rsidRPr="0007620F" w14:paraId="2A9CC9A6" w14:textId="77777777" w:rsidTr="000E11A4">
        <w:tc>
          <w:tcPr>
            <w:tcW w:w="1175" w:type="pct"/>
            <w:hideMark/>
          </w:tcPr>
          <w:p w14:paraId="75E49351" w14:textId="65C784AD" w:rsidR="006478E7" w:rsidRPr="00CD5123" w:rsidRDefault="006478E7" w:rsidP="00E01349">
            <w:pPr>
              <w:spacing w:before="120" w:after="120" w:line="240" w:lineRule="auto"/>
              <w:rPr>
                <w:rFonts w:asciiTheme="minorHAnsi" w:hAnsiTheme="minorHAnsi" w:cstheme="minorHAnsi"/>
              </w:rPr>
            </w:pPr>
            <w:r w:rsidRPr="00CD5123">
              <w:rPr>
                <w:rFonts w:asciiTheme="minorHAnsi" w:hAnsiTheme="minorHAnsi" w:cstheme="minorHAnsi"/>
              </w:rPr>
              <w:t>Prior tests</w:t>
            </w:r>
          </w:p>
        </w:tc>
        <w:tc>
          <w:tcPr>
            <w:tcW w:w="3825" w:type="pct"/>
            <w:hideMark/>
          </w:tcPr>
          <w:p w14:paraId="5CF47E43" w14:textId="59EFEBEC" w:rsidR="00BF2DC9" w:rsidRPr="005C14A4" w:rsidRDefault="007D60E5" w:rsidP="005C14A4">
            <w:pPr>
              <w:spacing w:before="120" w:after="120" w:line="240" w:lineRule="auto"/>
              <w:rPr>
                <w:rFonts w:cs="Arial"/>
              </w:rPr>
            </w:pPr>
            <w:r w:rsidRPr="005C14A4">
              <w:rPr>
                <w:rFonts w:cs="Arial"/>
              </w:rPr>
              <w:t>Clinical investigations including tests with primary health care providers (including full blood count and other basic laboratory investigations</w:t>
            </w:r>
            <w:r w:rsidR="00A44EE1">
              <w:rPr>
                <w:rFonts w:cs="Arial"/>
              </w:rPr>
              <w:t xml:space="preserve"> </w:t>
            </w:r>
            <w:r w:rsidR="00A44EE1" w:rsidRPr="00A44EE1">
              <w:rPr>
                <w:rFonts w:cs="Arial"/>
              </w:rPr>
              <w:t>+/- limited single gene testing</w:t>
            </w:r>
            <w:r w:rsidRPr="005C14A4">
              <w:rPr>
                <w:rFonts w:cs="Arial"/>
              </w:rPr>
              <w:t>) and specialist haematologist physicians (i.e.</w:t>
            </w:r>
            <w:r w:rsidR="00F74761" w:rsidRPr="005C14A4">
              <w:rPr>
                <w:rFonts w:cs="Arial"/>
              </w:rPr>
              <w:t>,</w:t>
            </w:r>
            <w:r w:rsidRPr="005C14A4">
              <w:rPr>
                <w:rFonts w:cs="Arial"/>
              </w:rPr>
              <w:t xml:space="preserve"> further laboratory investigations, radiological investigations and/or diagnostic procedures)</w:t>
            </w:r>
          </w:p>
        </w:tc>
      </w:tr>
      <w:tr w:rsidR="00BC07FA" w:rsidRPr="0007620F" w14:paraId="654E13A9" w14:textId="77777777" w:rsidTr="000E11A4">
        <w:tc>
          <w:tcPr>
            <w:tcW w:w="1175" w:type="pct"/>
            <w:hideMark/>
          </w:tcPr>
          <w:p w14:paraId="5BF0C211" w14:textId="77777777" w:rsidR="006478E7" w:rsidRPr="00484486" w:rsidRDefault="006478E7" w:rsidP="00E01349">
            <w:pPr>
              <w:spacing w:before="120" w:after="120" w:line="240" w:lineRule="auto"/>
              <w:rPr>
                <w:rFonts w:asciiTheme="minorHAnsi" w:hAnsiTheme="minorHAnsi" w:cstheme="minorHAnsi"/>
              </w:rPr>
            </w:pPr>
            <w:r w:rsidRPr="00484486">
              <w:rPr>
                <w:rFonts w:asciiTheme="minorHAnsi" w:hAnsiTheme="minorHAnsi" w:cstheme="minorHAnsi"/>
              </w:rPr>
              <w:t>Intervention</w:t>
            </w:r>
          </w:p>
        </w:tc>
        <w:tc>
          <w:tcPr>
            <w:tcW w:w="3825" w:type="pct"/>
            <w:hideMark/>
          </w:tcPr>
          <w:p w14:paraId="3E51DB12" w14:textId="14267B1E" w:rsidR="006478E7" w:rsidRPr="005C14A4" w:rsidRDefault="00265EBE" w:rsidP="005C14A4">
            <w:pPr>
              <w:spacing w:before="120" w:after="120" w:line="240" w:lineRule="auto"/>
              <w:rPr>
                <w:rFonts w:cs="Arial"/>
              </w:rPr>
            </w:pPr>
            <w:r w:rsidRPr="005C14A4">
              <w:rPr>
                <w:rFonts w:cs="Arial"/>
              </w:rPr>
              <w:t>Genetic testing</w:t>
            </w:r>
            <w:r w:rsidR="006C247A" w:rsidRPr="005C14A4">
              <w:rPr>
                <w:rFonts w:cs="Arial"/>
              </w:rPr>
              <w:t xml:space="preserve"> </w:t>
            </w:r>
            <w:r w:rsidRPr="005C14A4">
              <w:rPr>
                <w:rFonts w:cs="Arial"/>
              </w:rPr>
              <w:t>for variants associated with haematological malignancies</w:t>
            </w:r>
            <w:r w:rsidR="00F01884" w:rsidRPr="005C14A4">
              <w:rPr>
                <w:rFonts w:cs="Arial"/>
              </w:rPr>
              <w:t xml:space="preserve"> </w:t>
            </w:r>
            <w:r w:rsidR="00AE0B8E" w:rsidRPr="005C14A4">
              <w:rPr>
                <w:rFonts w:cs="Arial"/>
              </w:rPr>
              <w:t>using next generation sequencing (NGS) gene panel testing</w:t>
            </w:r>
            <w:r w:rsidR="00A44EE1">
              <w:rPr>
                <w:rFonts w:cs="Arial"/>
              </w:rPr>
              <w:t xml:space="preserve"> including at least 25 genes</w:t>
            </w:r>
          </w:p>
        </w:tc>
      </w:tr>
      <w:tr w:rsidR="00BC07FA" w:rsidRPr="0007620F" w14:paraId="1F5647C3" w14:textId="77777777" w:rsidTr="000E11A4">
        <w:tc>
          <w:tcPr>
            <w:tcW w:w="1175" w:type="pct"/>
            <w:hideMark/>
          </w:tcPr>
          <w:p w14:paraId="7F55173A" w14:textId="77777777" w:rsidR="006478E7" w:rsidRPr="00F74761" w:rsidRDefault="006478E7" w:rsidP="00E01349">
            <w:pPr>
              <w:spacing w:before="120" w:after="120" w:line="240" w:lineRule="auto"/>
              <w:rPr>
                <w:rFonts w:cs="Arial"/>
              </w:rPr>
            </w:pPr>
            <w:r w:rsidRPr="00F74761">
              <w:rPr>
                <w:rFonts w:cs="Arial"/>
              </w:rPr>
              <w:t>Comparator</w:t>
            </w:r>
            <w:r w:rsidR="00D83062" w:rsidRPr="00F74761">
              <w:rPr>
                <w:rFonts w:cs="Arial"/>
              </w:rPr>
              <w:t>/s</w:t>
            </w:r>
          </w:p>
        </w:tc>
        <w:tc>
          <w:tcPr>
            <w:tcW w:w="3825" w:type="pct"/>
            <w:hideMark/>
          </w:tcPr>
          <w:p w14:paraId="7E690E4B" w14:textId="7B87DB7E" w:rsidR="006478E7" w:rsidRPr="00484486" w:rsidRDefault="007C7D43" w:rsidP="00A44EE1">
            <w:pPr>
              <w:spacing w:before="120" w:after="120" w:line="240" w:lineRule="auto"/>
              <w:rPr>
                <w:rFonts w:cs="Arial"/>
              </w:rPr>
            </w:pPr>
            <w:r w:rsidRPr="005C14A4">
              <w:rPr>
                <w:rFonts w:cs="Arial"/>
              </w:rPr>
              <w:t>N</w:t>
            </w:r>
            <w:r w:rsidR="003D4486" w:rsidRPr="005C14A4">
              <w:rPr>
                <w:rFonts w:cs="Arial"/>
              </w:rPr>
              <w:t xml:space="preserve">o </w:t>
            </w:r>
            <w:r w:rsidR="00A44EE1">
              <w:rPr>
                <w:rFonts w:cs="Arial"/>
              </w:rPr>
              <w:t xml:space="preserve">NGS </w:t>
            </w:r>
            <w:r w:rsidR="00C00DEB">
              <w:rPr>
                <w:rFonts w:cs="Arial"/>
              </w:rPr>
              <w:t xml:space="preserve">gene </w:t>
            </w:r>
            <w:r w:rsidR="00A44EE1">
              <w:rPr>
                <w:rFonts w:cs="Arial"/>
              </w:rPr>
              <w:t xml:space="preserve">panel </w:t>
            </w:r>
            <w:r w:rsidR="003D4486" w:rsidRPr="005C14A4">
              <w:rPr>
                <w:rFonts w:cs="Arial"/>
              </w:rPr>
              <w:t>testing</w:t>
            </w:r>
          </w:p>
        </w:tc>
      </w:tr>
      <w:tr w:rsidR="00BC07FA" w:rsidRPr="0007620F" w14:paraId="7B9D3F1A" w14:textId="77777777" w:rsidTr="000E11A4">
        <w:trPr>
          <w:trHeight w:val="242"/>
        </w:trPr>
        <w:tc>
          <w:tcPr>
            <w:tcW w:w="1175" w:type="pct"/>
          </w:tcPr>
          <w:p w14:paraId="4C0BC8B3" w14:textId="15CD114C" w:rsidR="00C64764" w:rsidRPr="00F74761" w:rsidRDefault="00C64764" w:rsidP="00E01349">
            <w:pPr>
              <w:spacing w:before="120" w:after="120" w:line="240" w:lineRule="auto"/>
              <w:rPr>
                <w:rFonts w:cs="Arial"/>
              </w:rPr>
            </w:pPr>
            <w:r w:rsidRPr="00F74761">
              <w:rPr>
                <w:rFonts w:cs="Arial"/>
              </w:rPr>
              <w:t>Reference standard</w:t>
            </w:r>
          </w:p>
        </w:tc>
        <w:tc>
          <w:tcPr>
            <w:tcW w:w="3825" w:type="pct"/>
          </w:tcPr>
          <w:p w14:paraId="7B1F5217" w14:textId="5F21D4B7" w:rsidR="0020704C" w:rsidRPr="005C14A4" w:rsidRDefault="0004269B" w:rsidP="001A1A84">
            <w:pPr>
              <w:spacing w:before="120" w:after="120" w:line="240" w:lineRule="auto"/>
              <w:rPr>
                <w:rFonts w:cs="Arial"/>
              </w:rPr>
            </w:pPr>
            <w:r w:rsidRPr="005C14A4">
              <w:rPr>
                <w:rFonts w:cs="Arial"/>
              </w:rPr>
              <w:t>Not required (</w:t>
            </w:r>
            <w:r w:rsidR="00AE0B8E" w:rsidRPr="005C14A4">
              <w:rPr>
                <w:rFonts w:cs="Arial"/>
              </w:rPr>
              <w:t xml:space="preserve">diagnostic </w:t>
            </w:r>
            <w:r w:rsidRPr="005C14A4">
              <w:rPr>
                <w:rFonts w:cs="Arial"/>
              </w:rPr>
              <w:t>testing recommended by the World Health Organization (WHO) guidelines)</w:t>
            </w:r>
          </w:p>
        </w:tc>
      </w:tr>
      <w:tr w:rsidR="00BC07FA" w:rsidRPr="0007620F" w14:paraId="13D8130D" w14:textId="77777777" w:rsidTr="000E11A4">
        <w:tc>
          <w:tcPr>
            <w:tcW w:w="1175" w:type="pct"/>
          </w:tcPr>
          <w:p w14:paraId="5A8AC74C" w14:textId="4317AC7B" w:rsidR="00C64764" w:rsidRPr="00F74761" w:rsidRDefault="00C64764" w:rsidP="00E01349">
            <w:pPr>
              <w:spacing w:before="120" w:after="120" w:line="240" w:lineRule="auto"/>
              <w:rPr>
                <w:rFonts w:cs="Arial"/>
              </w:rPr>
            </w:pPr>
            <w:r w:rsidRPr="00F74761">
              <w:rPr>
                <w:rFonts w:cs="Arial"/>
              </w:rPr>
              <w:t>Clinical utility standard</w:t>
            </w:r>
          </w:p>
        </w:tc>
        <w:tc>
          <w:tcPr>
            <w:tcW w:w="3825" w:type="pct"/>
          </w:tcPr>
          <w:p w14:paraId="190C9C62" w14:textId="322B547B" w:rsidR="000429A0" w:rsidRPr="005C14A4" w:rsidRDefault="0004269B">
            <w:pPr>
              <w:spacing w:before="120" w:after="120" w:line="240" w:lineRule="auto"/>
              <w:rPr>
                <w:rFonts w:cs="Arial"/>
              </w:rPr>
            </w:pPr>
            <w:r w:rsidRPr="005C14A4">
              <w:rPr>
                <w:rFonts w:cs="Arial"/>
              </w:rPr>
              <w:t>Not required (</w:t>
            </w:r>
            <w:r w:rsidR="00AE0B8E" w:rsidRPr="005C14A4">
              <w:rPr>
                <w:rFonts w:cs="Arial"/>
              </w:rPr>
              <w:t xml:space="preserve">diagnostic </w:t>
            </w:r>
            <w:r w:rsidRPr="005C14A4">
              <w:rPr>
                <w:rFonts w:cs="Arial"/>
              </w:rPr>
              <w:t>testing recommended by t</w:t>
            </w:r>
            <w:r w:rsidR="00764006" w:rsidRPr="005C14A4">
              <w:rPr>
                <w:rFonts w:cs="Arial"/>
              </w:rPr>
              <w:t>he WHO guidelines</w:t>
            </w:r>
            <w:r w:rsidRPr="005C14A4">
              <w:rPr>
                <w:rFonts w:cs="Arial"/>
              </w:rPr>
              <w:t>)</w:t>
            </w:r>
          </w:p>
        </w:tc>
      </w:tr>
      <w:tr w:rsidR="00BC07FA" w:rsidRPr="0007620F" w14:paraId="591B1D2D" w14:textId="77777777" w:rsidTr="000E11A4">
        <w:trPr>
          <w:trHeight w:val="453"/>
        </w:trPr>
        <w:tc>
          <w:tcPr>
            <w:tcW w:w="1175" w:type="pct"/>
            <w:hideMark/>
          </w:tcPr>
          <w:p w14:paraId="635F9D15" w14:textId="77777777" w:rsidR="006478E7" w:rsidRPr="007C7D43" w:rsidRDefault="006478E7" w:rsidP="00E01349">
            <w:pPr>
              <w:spacing w:before="120" w:after="120" w:line="240" w:lineRule="auto"/>
              <w:rPr>
                <w:rFonts w:asciiTheme="minorHAnsi" w:hAnsiTheme="minorHAnsi" w:cstheme="minorHAnsi"/>
              </w:rPr>
            </w:pPr>
            <w:r w:rsidRPr="007C7D43">
              <w:rPr>
                <w:rFonts w:asciiTheme="minorHAnsi" w:hAnsiTheme="minorHAnsi" w:cstheme="minorHAnsi"/>
              </w:rPr>
              <w:t>Outcomes</w:t>
            </w:r>
          </w:p>
        </w:tc>
        <w:tc>
          <w:tcPr>
            <w:tcW w:w="3825" w:type="pct"/>
            <w:hideMark/>
          </w:tcPr>
          <w:p w14:paraId="4D077FF3" w14:textId="77777777" w:rsidR="00E073F2" w:rsidRPr="007C7D43" w:rsidRDefault="00E073F2" w:rsidP="0004269B">
            <w:pPr>
              <w:spacing w:after="0"/>
              <w:rPr>
                <w:rFonts w:asciiTheme="minorHAnsi" w:hAnsiTheme="minorHAnsi" w:cstheme="minorHAnsi"/>
              </w:rPr>
            </w:pPr>
            <w:r w:rsidRPr="007C7D43">
              <w:rPr>
                <w:rFonts w:asciiTheme="minorHAnsi" w:hAnsiTheme="minorHAnsi" w:cstheme="minorHAnsi"/>
              </w:rPr>
              <w:t xml:space="preserve">Safety Outcomes: </w:t>
            </w:r>
          </w:p>
          <w:p w14:paraId="33C46997" w14:textId="77777777" w:rsidR="00E073F2" w:rsidRPr="00971E99" w:rsidRDefault="00E073F2" w:rsidP="007C7D43">
            <w:pPr>
              <w:numPr>
                <w:ilvl w:val="0"/>
                <w:numId w:val="7"/>
              </w:numPr>
              <w:spacing w:before="120" w:after="120" w:line="240" w:lineRule="auto"/>
              <w:ind w:left="608"/>
              <w:contextualSpacing/>
            </w:pPr>
            <w:r w:rsidRPr="00991CC0">
              <w:t>T</w:t>
            </w:r>
            <w:r w:rsidRPr="00971E99">
              <w:t xml:space="preserve">est adverse events </w:t>
            </w:r>
          </w:p>
          <w:p w14:paraId="1113974E" w14:textId="77777777" w:rsidR="00E073F2" w:rsidRPr="00971E99" w:rsidRDefault="00E073F2" w:rsidP="007C7D43">
            <w:pPr>
              <w:numPr>
                <w:ilvl w:val="0"/>
                <w:numId w:val="7"/>
              </w:numPr>
              <w:spacing w:before="120" w:after="120" w:line="240" w:lineRule="auto"/>
              <w:ind w:left="608"/>
              <w:contextualSpacing/>
            </w:pPr>
            <w:r w:rsidRPr="00971E99">
              <w:t>Adverse events from treatment</w:t>
            </w:r>
          </w:p>
          <w:p w14:paraId="4272F39F" w14:textId="6267BB0A" w:rsidR="00962E41" w:rsidRPr="007C7D43" w:rsidRDefault="00E073F2" w:rsidP="0004269B">
            <w:pPr>
              <w:numPr>
                <w:ilvl w:val="0"/>
                <w:numId w:val="7"/>
              </w:numPr>
              <w:spacing w:after="0" w:line="240" w:lineRule="auto"/>
              <w:ind w:left="606" w:hanging="357"/>
              <w:contextualSpacing/>
              <w:rPr>
                <w:rFonts w:asciiTheme="minorHAnsi" w:hAnsiTheme="minorHAnsi" w:cstheme="minorHAnsi"/>
              </w:rPr>
            </w:pPr>
            <w:r w:rsidRPr="00971E99">
              <w:t>Adverse events from change in patient managemen</w:t>
            </w:r>
            <w:r w:rsidR="00E747FF" w:rsidRPr="00971E99">
              <w:t>t</w:t>
            </w:r>
          </w:p>
          <w:p w14:paraId="1C2305E1" w14:textId="77777777" w:rsidR="00E073F2" w:rsidRPr="007C7D43" w:rsidRDefault="00E073F2" w:rsidP="0004269B">
            <w:pPr>
              <w:spacing w:before="120" w:after="0" w:line="240" w:lineRule="auto"/>
              <w:rPr>
                <w:rFonts w:asciiTheme="minorHAnsi" w:hAnsiTheme="minorHAnsi" w:cstheme="minorHAnsi"/>
              </w:rPr>
            </w:pPr>
            <w:r w:rsidRPr="007C7D43">
              <w:rPr>
                <w:rFonts w:asciiTheme="minorHAnsi" w:hAnsiTheme="minorHAnsi" w:cstheme="minorHAnsi"/>
              </w:rPr>
              <w:t xml:space="preserve">Clinical Effectiveness Outcomes: </w:t>
            </w:r>
          </w:p>
          <w:p w14:paraId="7766A3B2" w14:textId="1688E607" w:rsidR="00962E41" w:rsidRDefault="00E073F2" w:rsidP="007C7D43">
            <w:pPr>
              <w:numPr>
                <w:ilvl w:val="0"/>
                <w:numId w:val="7"/>
              </w:numPr>
              <w:spacing w:before="120" w:after="120" w:line="240" w:lineRule="auto"/>
              <w:ind w:left="608"/>
              <w:contextualSpacing/>
            </w:pPr>
            <w:r w:rsidRPr="00971E99">
              <w:t>Change in patient health outcomes: mortality, morbidity, quality of life</w:t>
            </w:r>
            <w:r w:rsidR="00DD6183" w:rsidRPr="00971E99">
              <w:t xml:space="preserve"> (direct evidence)</w:t>
            </w:r>
          </w:p>
          <w:p w14:paraId="1CED6B05" w14:textId="757F7522" w:rsidR="003D716E" w:rsidRDefault="004A7BDE" w:rsidP="007C7D43">
            <w:pPr>
              <w:numPr>
                <w:ilvl w:val="0"/>
                <w:numId w:val="7"/>
              </w:numPr>
              <w:spacing w:before="120" w:after="120" w:line="240" w:lineRule="auto"/>
              <w:ind w:left="608"/>
              <w:contextualSpacing/>
            </w:pPr>
            <w:r>
              <w:t>C</w:t>
            </w:r>
            <w:r w:rsidR="003D716E">
              <w:t>umulative diagnostic yield (informative result)</w:t>
            </w:r>
          </w:p>
          <w:p w14:paraId="5E5B944A" w14:textId="77777777" w:rsidR="00C9727F" w:rsidRPr="005C14A4" w:rsidRDefault="003D716E" w:rsidP="0004269B">
            <w:pPr>
              <w:numPr>
                <w:ilvl w:val="0"/>
                <w:numId w:val="7"/>
              </w:numPr>
              <w:spacing w:after="0" w:line="240" w:lineRule="auto"/>
              <w:ind w:left="606" w:hanging="357"/>
              <w:contextualSpacing/>
              <w:rPr>
                <w:rFonts w:asciiTheme="minorHAnsi" w:hAnsiTheme="minorHAnsi" w:cstheme="minorHAnsi"/>
              </w:rPr>
            </w:pPr>
            <w:r>
              <w:t>Cumulative prognostic yield (from those with an informative result)</w:t>
            </w:r>
          </w:p>
          <w:p w14:paraId="14559C93" w14:textId="0A75A585" w:rsidR="00DD6183" w:rsidRPr="007C7D43" w:rsidRDefault="00E073F2" w:rsidP="0004269B">
            <w:pPr>
              <w:numPr>
                <w:ilvl w:val="0"/>
                <w:numId w:val="7"/>
              </w:numPr>
              <w:spacing w:after="0" w:line="240" w:lineRule="auto"/>
              <w:ind w:left="606" w:hanging="357"/>
              <w:contextualSpacing/>
              <w:rPr>
                <w:rFonts w:asciiTheme="minorHAnsi" w:hAnsiTheme="minorHAnsi" w:cstheme="minorHAnsi"/>
              </w:rPr>
            </w:pPr>
            <w:r w:rsidRPr="00971E99">
              <w:t>Change in management/treatment resulting in change in patient outcomes: mortality, morbidity, quality of life</w:t>
            </w:r>
            <w:r w:rsidR="00DD6183" w:rsidRPr="00971E99">
              <w:t xml:space="preserve"> (indirect evidence)</w:t>
            </w:r>
          </w:p>
          <w:p w14:paraId="245DDA04" w14:textId="3AA2D86D" w:rsidR="00E073F2" w:rsidRPr="007C7D43" w:rsidRDefault="00E073F2" w:rsidP="0004269B">
            <w:pPr>
              <w:spacing w:before="120" w:after="0" w:line="240" w:lineRule="auto"/>
              <w:rPr>
                <w:rFonts w:asciiTheme="minorHAnsi" w:hAnsiTheme="minorHAnsi" w:cstheme="minorHAnsi"/>
              </w:rPr>
            </w:pPr>
            <w:r w:rsidRPr="007C7D43">
              <w:rPr>
                <w:rFonts w:asciiTheme="minorHAnsi" w:hAnsiTheme="minorHAnsi" w:cstheme="minorHAnsi"/>
              </w:rPr>
              <w:t>Health system resources:</w:t>
            </w:r>
          </w:p>
          <w:p w14:paraId="3F818958" w14:textId="77777777" w:rsidR="00E073F2" w:rsidRPr="00971E99" w:rsidRDefault="00E073F2" w:rsidP="0004269B">
            <w:pPr>
              <w:numPr>
                <w:ilvl w:val="0"/>
                <w:numId w:val="7"/>
              </w:numPr>
              <w:spacing w:after="120" w:line="240" w:lineRule="auto"/>
              <w:ind w:left="606" w:hanging="357"/>
              <w:contextualSpacing/>
            </w:pPr>
            <w:r w:rsidRPr="00991CC0">
              <w:t>C</w:t>
            </w:r>
            <w:r w:rsidRPr="00971E99">
              <w:t>ost of gene panel test or variant-specific test</w:t>
            </w:r>
          </w:p>
          <w:p w14:paraId="677ED028" w14:textId="77777777" w:rsidR="00E073F2" w:rsidRPr="00971E99" w:rsidRDefault="00E073F2" w:rsidP="0004269B">
            <w:pPr>
              <w:numPr>
                <w:ilvl w:val="0"/>
                <w:numId w:val="7"/>
              </w:numPr>
              <w:spacing w:after="120" w:line="240" w:lineRule="auto"/>
              <w:ind w:left="606" w:hanging="357"/>
              <w:contextualSpacing/>
            </w:pPr>
            <w:r w:rsidRPr="00971E99">
              <w:t>Reduced number of preliminary diagnostic tests</w:t>
            </w:r>
          </w:p>
          <w:p w14:paraId="07046A8C" w14:textId="77777777" w:rsidR="00E073F2" w:rsidRPr="00971E99" w:rsidRDefault="00E073F2" w:rsidP="0004269B">
            <w:pPr>
              <w:numPr>
                <w:ilvl w:val="0"/>
                <w:numId w:val="7"/>
              </w:numPr>
              <w:spacing w:after="120" w:line="240" w:lineRule="auto"/>
              <w:ind w:left="606" w:hanging="357"/>
              <w:contextualSpacing/>
            </w:pPr>
            <w:r w:rsidRPr="00971E99">
              <w:t>Cost of targeted therapies</w:t>
            </w:r>
          </w:p>
          <w:p w14:paraId="4F78326F" w14:textId="4B9DA598" w:rsidR="00E073F2" w:rsidRPr="00971E99" w:rsidRDefault="00E073F2" w:rsidP="0004269B">
            <w:pPr>
              <w:numPr>
                <w:ilvl w:val="0"/>
                <w:numId w:val="7"/>
              </w:numPr>
              <w:spacing w:after="120" w:line="240" w:lineRule="auto"/>
              <w:ind w:left="606" w:hanging="357"/>
              <w:contextualSpacing/>
            </w:pPr>
            <w:r w:rsidRPr="00971E99">
              <w:t>Cost per quality-adjusted life year</w:t>
            </w:r>
            <w:r w:rsidR="006D11AC">
              <w:t xml:space="preserve"> and/or cost-effectiveness [</w:t>
            </w:r>
            <w:r w:rsidR="00EF21B3">
              <w:t xml:space="preserve">The economic evaluation </w:t>
            </w:r>
            <w:r w:rsidR="008730A1">
              <w:t>is to be confirmed</w:t>
            </w:r>
            <w:r w:rsidR="006D11AC">
              <w:t xml:space="preserve"> at the 28 January </w:t>
            </w:r>
            <w:r w:rsidR="00874201">
              <w:t xml:space="preserve">2022 </w:t>
            </w:r>
            <w:r w:rsidR="006D11AC">
              <w:t>MSAC Executive meeting]</w:t>
            </w:r>
          </w:p>
          <w:p w14:paraId="6F9242D7" w14:textId="3D864090" w:rsidR="00E01349" w:rsidRPr="007C7D43" w:rsidRDefault="00E073F2" w:rsidP="0004269B">
            <w:pPr>
              <w:numPr>
                <w:ilvl w:val="0"/>
                <w:numId w:val="7"/>
              </w:numPr>
              <w:spacing w:after="120" w:line="240" w:lineRule="auto"/>
              <w:ind w:left="606" w:hanging="357"/>
              <w:contextualSpacing/>
              <w:rPr>
                <w:rFonts w:asciiTheme="minorHAnsi" w:hAnsiTheme="minorHAnsi" w:cstheme="minorHAnsi"/>
              </w:rPr>
            </w:pPr>
            <w:r w:rsidRPr="00971E99">
              <w:t>Total Australian Government healthcare costs</w:t>
            </w:r>
          </w:p>
        </w:tc>
      </w:tr>
      <w:tr w:rsidR="00BC07FA" w:rsidRPr="0007620F" w14:paraId="4A55FFDB" w14:textId="77777777" w:rsidTr="000E11A4">
        <w:tc>
          <w:tcPr>
            <w:tcW w:w="1175" w:type="pct"/>
          </w:tcPr>
          <w:p w14:paraId="003B36EC" w14:textId="03E9CC1D" w:rsidR="00BB1698" w:rsidRPr="005C14A4" w:rsidRDefault="00BB1698" w:rsidP="00E01349">
            <w:pPr>
              <w:spacing w:before="120" w:after="120" w:line="240" w:lineRule="auto"/>
              <w:rPr>
                <w:rFonts w:cs="Arial"/>
              </w:rPr>
            </w:pPr>
            <w:r w:rsidRPr="00F74761">
              <w:rPr>
                <w:rFonts w:cs="Arial"/>
              </w:rPr>
              <w:t>Assessment questions</w:t>
            </w:r>
          </w:p>
        </w:tc>
        <w:tc>
          <w:tcPr>
            <w:tcW w:w="3825" w:type="pct"/>
          </w:tcPr>
          <w:p w14:paraId="7AB69A9A" w14:textId="48B0EF49" w:rsidR="00BB1698" w:rsidRPr="005C14A4" w:rsidRDefault="00BB1698" w:rsidP="009930AF">
            <w:pPr>
              <w:spacing w:before="120" w:after="120" w:line="240" w:lineRule="auto"/>
              <w:rPr>
                <w:rFonts w:cs="Arial"/>
              </w:rPr>
            </w:pPr>
            <w:r w:rsidRPr="005C14A4">
              <w:rPr>
                <w:rFonts w:cs="Arial"/>
              </w:rPr>
              <w:t xml:space="preserve">What is the safety, effectiveness and cost-effectiveness of </w:t>
            </w:r>
            <w:r w:rsidR="009930AF">
              <w:rPr>
                <w:rFonts w:cs="Arial"/>
              </w:rPr>
              <w:t xml:space="preserve">NGS </w:t>
            </w:r>
            <w:r w:rsidR="00C00DEB">
              <w:rPr>
                <w:rFonts w:cs="Arial"/>
              </w:rPr>
              <w:t xml:space="preserve">gene </w:t>
            </w:r>
            <w:r w:rsidR="009930AF">
              <w:rPr>
                <w:rFonts w:cs="Arial"/>
              </w:rPr>
              <w:t>panel</w:t>
            </w:r>
            <w:r w:rsidR="009930AF" w:rsidRPr="005C14A4">
              <w:rPr>
                <w:rFonts w:cs="Arial"/>
              </w:rPr>
              <w:t xml:space="preserve"> </w:t>
            </w:r>
            <w:r w:rsidR="00FF7B4B" w:rsidRPr="005C14A4">
              <w:rPr>
                <w:rFonts w:cs="Arial"/>
              </w:rPr>
              <w:t>testing for variants associate</w:t>
            </w:r>
            <w:r w:rsidR="00265EBE" w:rsidRPr="005C14A4">
              <w:rPr>
                <w:rFonts w:cs="Arial"/>
              </w:rPr>
              <w:t>d</w:t>
            </w:r>
            <w:r w:rsidR="00FF7B4B" w:rsidRPr="005C14A4">
              <w:rPr>
                <w:rFonts w:cs="Arial"/>
              </w:rPr>
              <w:t xml:space="preserve"> with haematological malignancies</w:t>
            </w:r>
            <w:r w:rsidRPr="005C14A4">
              <w:rPr>
                <w:rFonts w:cs="Arial"/>
              </w:rPr>
              <w:t xml:space="preserve"> versus </w:t>
            </w:r>
            <w:r w:rsidR="00FF7B4B" w:rsidRPr="005C14A4">
              <w:rPr>
                <w:rFonts w:cs="Arial"/>
              </w:rPr>
              <w:t xml:space="preserve">no </w:t>
            </w:r>
            <w:r w:rsidR="00C00DEB">
              <w:rPr>
                <w:rFonts w:cs="Arial"/>
              </w:rPr>
              <w:t xml:space="preserve">NGS </w:t>
            </w:r>
            <w:r w:rsidR="00FF7B4B" w:rsidRPr="005C14A4">
              <w:rPr>
                <w:rFonts w:cs="Arial"/>
              </w:rPr>
              <w:t>gene</w:t>
            </w:r>
            <w:r w:rsidR="009930AF">
              <w:rPr>
                <w:rFonts w:cs="Arial"/>
              </w:rPr>
              <w:t xml:space="preserve"> panel</w:t>
            </w:r>
            <w:r w:rsidR="00FF7B4B" w:rsidRPr="005C14A4">
              <w:rPr>
                <w:rFonts w:cs="Arial"/>
              </w:rPr>
              <w:t xml:space="preserve"> testing</w:t>
            </w:r>
            <w:r w:rsidRPr="005C14A4">
              <w:rPr>
                <w:rFonts w:cs="Arial"/>
              </w:rPr>
              <w:t xml:space="preserve"> in </w:t>
            </w:r>
            <w:r w:rsidR="00FF7B4B" w:rsidRPr="005C14A4">
              <w:rPr>
                <w:rFonts w:cs="Arial"/>
              </w:rPr>
              <w:t xml:space="preserve">people diagnosed with a </w:t>
            </w:r>
            <w:r w:rsidR="009930AF">
              <w:rPr>
                <w:rFonts w:cs="Arial"/>
              </w:rPr>
              <w:t xml:space="preserve">likely </w:t>
            </w:r>
            <w:r w:rsidR="00FF7B4B" w:rsidRPr="005C14A4">
              <w:rPr>
                <w:rFonts w:cs="Arial"/>
              </w:rPr>
              <w:t>haematological malignancy?</w:t>
            </w:r>
          </w:p>
        </w:tc>
      </w:tr>
    </w:tbl>
    <w:p w14:paraId="1192EED3" w14:textId="61BF4B95" w:rsidR="008718F4" w:rsidRDefault="00912660" w:rsidP="0004269B">
      <w:pPr>
        <w:pStyle w:val="Heading2"/>
        <w:spacing w:after="0"/>
      </w:pPr>
      <w:r>
        <w:lastRenderedPageBreak/>
        <w:t>Purpose of application</w:t>
      </w:r>
    </w:p>
    <w:p w14:paraId="62EAF36C" w14:textId="34CD3626" w:rsidR="001F3E73" w:rsidRPr="00DD081F" w:rsidRDefault="001F3E73" w:rsidP="0004269B">
      <w:pPr>
        <w:spacing w:after="240"/>
      </w:pPr>
      <w:r w:rsidRPr="00716935">
        <w:rPr>
          <w:szCs w:val="20"/>
        </w:rPr>
        <w:t xml:space="preserve">An application requesting Medicare Benefits Schedule (MBS) listing of genetic testing for variants associated with haematological malignancies to establish a definitive diagnosis was received from The Royal College of Pathologists of Australasia </w:t>
      </w:r>
      <w:r w:rsidR="00566206">
        <w:rPr>
          <w:szCs w:val="20"/>
        </w:rPr>
        <w:t xml:space="preserve">(RCPA) </w:t>
      </w:r>
      <w:r w:rsidRPr="00716935">
        <w:rPr>
          <w:szCs w:val="20"/>
        </w:rPr>
        <w:t>by the Department of Health.</w:t>
      </w:r>
    </w:p>
    <w:p w14:paraId="11D9930C" w14:textId="618C84F4" w:rsidR="001F3E73" w:rsidRDefault="001F3E73" w:rsidP="0004269B">
      <w:pPr>
        <w:spacing w:after="240"/>
        <w:rPr>
          <w:szCs w:val="20"/>
        </w:rPr>
      </w:pPr>
      <w:r w:rsidRPr="00716935">
        <w:rPr>
          <w:szCs w:val="20"/>
        </w:rPr>
        <w:t>The clinical claim is that gene testing for variants associated with haematological malignancies in patients diagnosed with haematological malignancies (classified as either lymphoid neoplasms or, myeloid neoplasms and acute leukaemia) results in superior health outcomes compared to no gene testing.</w:t>
      </w:r>
    </w:p>
    <w:p w14:paraId="66D56EF6" w14:textId="66686264" w:rsidR="006F7CE2" w:rsidRDefault="006F7CE2" w:rsidP="006F7CE2">
      <w:pPr>
        <w:pStyle w:val="Heading3"/>
      </w:pPr>
      <w:r>
        <w:t>Background</w:t>
      </w:r>
    </w:p>
    <w:p w14:paraId="2E53DB80" w14:textId="0CCB1FDE" w:rsidR="00AF3992" w:rsidRDefault="00AF3992" w:rsidP="00AF3992">
      <w:r>
        <w:t>Patients with haematological malignancies are clinically and genetically heterogeneous.</w:t>
      </w:r>
      <w:r w:rsidRPr="00CE5543">
        <w:t xml:space="preserve"> </w:t>
      </w:r>
      <w:r>
        <w:t xml:space="preserve">The addition of genomic characterisation of lymphoid and myeloid neoplasms using the revised </w:t>
      </w:r>
      <w:r w:rsidR="00BA540E">
        <w:t>World Health Organization (</w:t>
      </w:r>
      <w:r>
        <w:t>WHO</w:t>
      </w:r>
      <w:r w:rsidR="00BA540E">
        <w:t>)</w:t>
      </w:r>
      <w:r>
        <w:t xml:space="preserve"> criteria improves patient management by delivering a specific diagnosis that informs prognosis and, importantly, enables treatment to be tailored based on the identified tumour variants.</w:t>
      </w:r>
    </w:p>
    <w:p w14:paraId="62187984" w14:textId="77777777" w:rsidR="00AF3992" w:rsidRDefault="00AF3992" w:rsidP="00AF3992">
      <w:r>
        <w:t xml:space="preserve">In addition, the </w:t>
      </w:r>
      <w:r w:rsidRPr="009B66B4">
        <w:t>Leukaemia Foundation</w:t>
      </w:r>
      <w:r>
        <w:t xml:space="preserve">’s </w:t>
      </w:r>
      <w:r w:rsidRPr="009B66B4">
        <w:t>National Strategic Action Plan for Blood Cancer</w:t>
      </w:r>
      <w:r>
        <w:t xml:space="preserve">, </w:t>
      </w:r>
      <w:r w:rsidRPr="009B66B4">
        <w:t>commissioned by the Australian Government Department of Health</w:t>
      </w:r>
      <w:r>
        <w:t>,</w:t>
      </w:r>
      <w:r w:rsidRPr="001735E1">
        <w:t xml:space="preserve"> </w:t>
      </w:r>
      <w:r>
        <w:t>states that in order to deliver patients with a haematological malignancy a timely, accurate diagnosis, best practice should embrace the following action points:</w:t>
      </w:r>
    </w:p>
    <w:p w14:paraId="5FFAA9BF" w14:textId="77777777" w:rsidR="00AF3992" w:rsidRDefault="00AF3992" w:rsidP="00AF3992">
      <w:pPr>
        <w:numPr>
          <w:ilvl w:val="0"/>
          <w:numId w:val="34"/>
        </w:numPr>
        <w:ind w:left="714" w:hanging="357"/>
        <w:contextualSpacing/>
      </w:pPr>
      <w:r>
        <w:t>Action 2.2: Develop guidelines for diagnostics and review Australia’s capacity to meet these guidelines; and</w:t>
      </w:r>
    </w:p>
    <w:p w14:paraId="4D937DF4" w14:textId="25CCCA5F" w:rsidR="00AF3992" w:rsidRPr="00AF3992" w:rsidRDefault="00AF3992" w:rsidP="00DD0475">
      <w:pPr>
        <w:numPr>
          <w:ilvl w:val="0"/>
          <w:numId w:val="34"/>
        </w:numPr>
      </w:pPr>
      <w:r>
        <w:t>Action 2.3: Make precision medicine the standard of care</w:t>
      </w:r>
      <w:r w:rsidR="00744D21">
        <w:t xml:space="preserve"> </w:t>
      </w:r>
      <w:r w:rsidR="00EB008C">
        <w:fldChar w:fldCharType="begin"/>
      </w:r>
      <w:r w:rsidR="00EB008C">
        <w:instrText xml:space="preserve"> ADDIN EN.CITE &lt;EndNote&gt;&lt;Cite&gt;&lt;Author&gt;Leukaemia Foundation&lt;/Author&gt;&lt;Year&gt;2020&lt;/Year&gt;&lt;RecNum&gt;62&lt;/RecNum&gt;&lt;DisplayText&gt;(Leukaemia Foundation, 2020)&lt;/DisplayText&gt;&lt;record&gt;&lt;rec-number&gt;62&lt;/rec-number&gt;&lt;foreign-keys&gt;&lt;key app="EN" db-id="rpxx2texi59tzqewr09xxp96wtzx9a9wr0rv" timestamp="1636518317"&gt;62&lt;/key&gt;&lt;/foreign-keys&gt;&lt;ref-type name="Web Page"&gt;12&lt;/ref-type&gt;&lt;contributors&gt;&lt;authors&gt;&lt;author&gt;Leukaemia Foundation,&lt;/author&gt;&lt;/authors&gt;&lt;/contributors&gt;&lt;titles&gt;&lt;title&gt;National Strategic Action Plan for Blood Cancer&lt;/title&gt;&lt;/titles&gt;&lt;volume&gt;2021&lt;/volume&gt;&lt;number&gt;10 November&lt;/number&gt;&lt;dates&gt;&lt;year&gt;2020&lt;/year&gt;&lt;/dates&gt;&lt;urls&gt;&lt;related-urls&gt;&lt;url&gt;https://www.leukaemia.org.au/national-action-plan/&lt;/url&gt;&lt;/related-urls&gt;&lt;/urls&gt;&lt;/record&gt;&lt;/Cite&gt;&lt;/EndNote&gt;</w:instrText>
      </w:r>
      <w:r w:rsidR="00EB008C">
        <w:fldChar w:fldCharType="separate"/>
      </w:r>
      <w:r w:rsidR="00EB008C">
        <w:rPr>
          <w:noProof/>
        </w:rPr>
        <w:t>(Leukaemia Foundation, 2020)</w:t>
      </w:r>
      <w:r w:rsidR="00EB008C">
        <w:fldChar w:fldCharType="end"/>
      </w:r>
      <w:r w:rsidR="00744D21">
        <w:t>.</w:t>
      </w:r>
    </w:p>
    <w:p w14:paraId="3020853C" w14:textId="243B32B9" w:rsidR="00684FE9" w:rsidRDefault="00684FE9" w:rsidP="00DD0475">
      <w:pPr>
        <w:pStyle w:val="Heading4"/>
      </w:pPr>
      <w:r>
        <w:t>MSAC applications</w:t>
      </w:r>
      <w:r w:rsidR="0008756F">
        <w:t xml:space="preserve"> </w:t>
      </w:r>
      <w:hyperlink r:id="rId9" w:history="1">
        <w:r w:rsidR="0008756F" w:rsidRPr="00157D9C">
          <w:rPr>
            <w:rStyle w:val="Hyperlink"/>
            <w:rFonts w:asciiTheme="majorHAnsi" w:hAnsiTheme="majorHAnsi" w:cstheme="majorBidi"/>
          </w:rPr>
          <w:t>152</w:t>
        </w:r>
        <w:r w:rsidR="00594B45" w:rsidRPr="00157D9C">
          <w:rPr>
            <w:rStyle w:val="Hyperlink"/>
            <w:rFonts w:asciiTheme="majorHAnsi" w:hAnsiTheme="majorHAnsi" w:cstheme="majorBidi"/>
          </w:rPr>
          <w:t>6</w:t>
        </w:r>
      </w:hyperlink>
      <w:r w:rsidR="0008756F">
        <w:t>,</w:t>
      </w:r>
      <w:r w:rsidR="00EB008C">
        <w:t xml:space="preserve"> </w:t>
      </w:r>
      <w:hyperlink r:id="rId10" w:history="1">
        <w:r w:rsidR="0008756F" w:rsidRPr="00157D9C">
          <w:rPr>
            <w:rStyle w:val="Hyperlink"/>
            <w:rFonts w:asciiTheme="majorHAnsi" w:hAnsiTheme="majorHAnsi" w:cstheme="majorBidi"/>
          </w:rPr>
          <w:t>152</w:t>
        </w:r>
        <w:r w:rsidR="00594B45" w:rsidRPr="00157D9C">
          <w:rPr>
            <w:rStyle w:val="Hyperlink"/>
            <w:rFonts w:asciiTheme="majorHAnsi" w:hAnsiTheme="majorHAnsi" w:cstheme="majorBidi"/>
          </w:rPr>
          <w:t>7</w:t>
        </w:r>
      </w:hyperlink>
      <w:r w:rsidR="0008756F">
        <w:t xml:space="preserve">, and </w:t>
      </w:r>
      <w:hyperlink r:id="rId11" w:history="1">
        <w:r w:rsidR="0008756F" w:rsidRPr="00157D9C">
          <w:rPr>
            <w:rStyle w:val="Hyperlink"/>
            <w:rFonts w:asciiTheme="majorHAnsi" w:hAnsiTheme="majorHAnsi" w:cstheme="majorBidi"/>
          </w:rPr>
          <w:t>152</w:t>
        </w:r>
        <w:r w:rsidR="00594B45" w:rsidRPr="00157D9C">
          <w:rPr>
            <w:rStyle w:val="Hyperlink"/>
            <w:rFonts w:asciiTheme="majorHAnsi" w:hAnsiTheme="majorHAnsi" w:cstheme="majorBidi"/>
          </w:rPr>
          <w:t>8</w:t>
        </w:r>
      </w:hyperlink>
    </w:p>
    <w:p w14:paraId="68EE66E6" w14:textId="239DBEFB" w:rsidR="00AF3992" w:rsidRDefault="006F7CE2" w:rsidP="006F7CE2">
      <w:r>
        <w:t>The applicant noted that a</w:t>
      </w:r>
      <w:r w:rsidRPr="003A6AC1">
        <w:t xml:space="preserve">t its August 2019 meeting, MSAC supported genetic tumour testing applications </w:t>
      </w:r>
      <w:r w:rsidRPr="00157D9C">
        <w:t>1526</w:t>
      </w:r>
      <w:r w:rsidRPr="003A6AC1">
        <w:t xml:space="preserve">, </w:t>
      </w:r>
      <w:r w:rsidRPr="00157D9C">
        <w:t>1527</w:t>
      </w:r>
      <w:r w:rsidRPr="003A6AC1">
        <w:t xml:space="preserve"> and </w:t>
      </w:r>
      <w:r w:rsidRPr="00157D9C">
        <w:t>1528</w:t>
      </w:r>
      <w:r w:rsidR="00C77604">
        <w:t xml:space="preserve"> </w:t>
      </w:r>
      <w:r w:rsidR="00EB008C">
        <w:fldChar w:fldCharType="begin">
          <w:fldData xml:space="preserve">PEVuZE5vdGU+PENpdGU+PEF1dGhvcj5NZWRpY2FsIFNlcnZpY2VzIEFkdmlzb3J5IENvbW1pdHRl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</w:fldData>
        </w:fldChar>
      </w:r>
      <w:r w:rsidR="00EB008C">
        <w:instrText xml:space="preserve"> ADDIN EN.CITE </w:instrText>
      </w:r>
      <w:r w:rsidR="00EB008C">
        <w:fldChar w:fldCharType="begin">
          <w:fldData xml:space="preserve">PEVuZE5vdGU+PENpdGU+PEF1dGhvcj5NZWRpY2FsIFNlcnZpY2VzIEFkdmlzb3J5IENvbW1pdHRl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</w:fldData>
        </w:fldChar>
      </w:r>
      <w:r w:rsidR="00EB008C">
        <w:instrText xml:space="preserve"> ADDIN EN.CITE.DATA </w:instrText>
      </w:r>
      <w:r w:rsidR="00EB008C">
        <w:fldChar w:fldCharType="end"/>
      </w:r>
      <w:r w:rsidR="00EB008C">
        <w:fldChar w:fldCharType="separate"/>
      </w:r>
      <w:r w:rsidR="00EB008C">
        <w:rPr>
          <w:noProof/>
        </w:rPr>
        <w:t>(Medical Services Advisory Committee (MSAC), 2019a, 2019b, 2019c)</w:t>
      </w:r>
      <w:r w:rsidR="00EB008C">
        <w:fldChar w:fldCharType="end"/>
      </w:r>
      <w:r w:rsidRPr="003A6AC1">
        <w:t xml:space="preserve">. The </w:t>
      </w:r>
      <w:r w:rsidR="009872FB">
        <w:t>Public Summary Documents (</w:t>
      </w:r>
      <w:r w:rsidRPr="003A6AC1">
        <w:t>PSDs</w:t>
      </w:r>
      <w:r w:rsidR="009872FB">
        <w:t>)</w:t>
      </w:r>
      <w:r w:rsidRPr="003A6AC1">
        <w:t xml:space="preserve"> for these applications note that by virtue of their place in the WHO guidelines, the proposed genetic tests have documented clinical utility in these diseases. MSAC confirmed that it accepts the entry of each test into the WHO guidelines as sufficient demonstration of its diagnostic performance, clinical validity (prognostic value), and clinical utility (resulting in changes to subsequent clinical management), therefore the precedent has been established for MSAC accepting such claims based on WHO guidelines.</w:t>
      </w:r>
    </w:p>
    <w:p w14:paraId="458F2FEE" w14:textId="27AF2D38" w:rsidR="0008756F" w:rsidRDefault="0008756F" w:rsidP="00DD0475">
      <w:pPr>
        <w:pStyle w:val="Heading4"/>
      </w:pPr>
      <w:r>
        <w:t xml:space="preserve">MSAC application </w:t>
      </w:r>
      <w:hyperlink r:id="rId12" w:history="1">
        <w:r w:rsidRPr="00157D9C">
          <w:rPr>
            <w:rStyle w:val="Hyperlink"/>
            <w:rFonts w:asciiTheme="majorHAnsi" w:hAnsiTheme="majorHAnsi" w:cstheme="majorBidi"/>
          </w:rPr>
          <w:t>1532</w:t>
        </w:r>
      </w:hyperlink>
    </w:p>
    <w:p w14:paraId="6377CB6A" w14:textId="364AEC58" w:rsidR="00976967" w:rsidRDefault="00976967" w:rsidP="00976967">
      <w:r>
        <w:t xml:space="preserve">At its November 2020 meeting, MSAC supported genetic testing (for both gene-specific and next generation sequencing (NGS), following </w:t>
      </w:r>
      <w:r w:rsidRPr="00DD0475">
        <w:rPr>
          <w:i/>
          <w:iCs/>
        </w:rPr>
        <w:t>JAK2 V617F</w:t>
      </w:r>
      <w:r>
        <w:t xml:space="preserve"> triage) for myeloproliferative neoplasms </w:t>
      </w:r>
      <w:r w:rsidR="00EB008C">
        <w:fldChar w:fldCharType="begin"/>
      </w:r>
      <w:r w:rsidR="00EB008C">
        <w:instrText xml:space="preserve"> ADDIN EN.CITE &lt;EndNote&gt;&lt;Cite&gt;&lt;Author&gt;Medical Services Advisory Committee (MSAC)&lt;/Author&gt;&lt;Year&gt;2020&lt;/Year&gt;&lt;RecNum&gt;58&lt;/RecNum&gt;&lt;DisplayText&gt;(Medical Services Advisory Committee (MSAC), 2020)&lt;/DisplayText&gt;&lt;record&gt;&lt;rec-number&gt;58&lt;/rec-number&gt;&lt;foreign-keys&gt;&lt;key app="EN" db-id="rpxx2texi59tzqewr09xxp96wtzx9a9wr0rv" timestamp="1636512606"&gt;58&lt;/key&gt;&lt;/foreign-keys&gt;&lt;ref-type name="Government Document"&gt;46&lt;/ref-type&gt;&lt;contributors&gt;&lt;authors&gt;&lt;author&gt;Medical Services Advisory Committee (MSAC),&lt;/author&gt;&lt;/authors&gt;&lt;secondary-authors&gt;&lt;author&gt;Department of Health,&lt;/author&gt;&lt;/secondary-authors&gt;&lt;/contributors&gt;&lt;titles&gt;&lt;title&gt;Public Summary Document, Application No. 1532 – Expansion of genetic testing for myeloproliferative neoplasms under MBS item 73325&lt;/title&gt;&lt;/titles&gt;&lt;dates&gt;&lt;year&gt;2020&lt;/year&gt;&lt;/dates&gt;&lt;pub-location&gt;Canberra&lt;/pub-location&gt;&lt;urls&gt;&lt;related-urls&gt;&lt;url&gt;http://www.msac.gov.au/internet/msac/publishing.nsf/Content/203361E9D7C61A2DCA2583B70004823F/$File/1532%20Final%20PSD_Nov2020.pdf&lt;/url&gt;&lt;/related-urls&gt;&lt;/urls&gt;&lt;access-date&gt;10 November 2021&lt;/access-date&gt;&lt;/record&gt;&lt;/Cite&gt;&lt;/EndNote&gt;</w:instrText>
      </w:r>
      <w:r w:rsidR="00EB008C">
        <w:fldChar w:fldCharType="separate"/>
      </w:r>
      <w:r w:rsidR="00EB008C">
        <w:rPr>
          <w:noProof/>
        </w:rPr>
        <w:t xml:space="preserve"> (MSAC, 2020)</w:t>
      </w:r>
      <w:r w:rsidR="00EB008C">
        <w:fldChar w:fldCharType="end"/>
      </w:r>
      <w:r>
        <w:t xml:space="preserve">. MSAC considered that the identification of specific genetic variants underlying </w:t>
      </w:r>
      <w:r w:rsidR="00566206">
        <w:t xml:space="preserve">myeloproliferative neoplasms </w:t>
      </w:r>
      <w:r>
        <w:t xml:space="preserve">has diagnostic and prognostic and/or predictive clinical utility. </w:t>
      </w:r>
      <w:r w:rsidR="00684FE9">
        <w:t>This expansion of testing</w:t>
      </w:r>
      <w:r w:rsidR="007D6F9F">
        <w:t xml:space="preserve"> (MBS item 73325)</w:t>
      </w:r>
      <w:r w:rsidR="00684FE9">
        <w:t xml:space="preserve"> is aligned with current WHO clinical guidelines, and reflects the WHO’s diagnostic criteria for </w:t>
      </w:r>
      <w:r w:rsidR="00EB008C">
        <w:t xml:space="preserve">myeloproliferative neoplasms </w:t>
      </w:r>
      <w:r w:rsidR="00684FE9">
        <w:t>classification.</w:t>
      </w:r>
    </w:p>
    <w:p w14:paraId="7D5F3259" w14:textId="49FB9C7F" w:rsidR="008D5F96" w:rsidRDefault="00684FE9" w:rsidP="00C36C5B">
      <w:r>
        <w:t xml:space="preserve">At the September 2021 MSAC Executive meeting, it was noted that following correspondence from MPN Alliance Australia and the Leukaemia Foundation (referred to as the Respondents), that the proposed expansion of NGS myeloid panel testing to include the secondary </w:t>
      </w:r>
      <w:r w:rsidR="00566206">
        <w:t>myeloproliferative neoplasms</w:t>
      </w:r>
      <w:r>
        <w:t>. The MSAC Executive recommended that the Department advise the Respondents to liaise with the RCPA in relation to amending the scope of this new application.</w:t>
      </w:r>
    </w:p>
    <w:p w14:paraId="18E66948" w14:textId="26C74AC2" w:rsidR="00D73332" w:rsidRPr="00FD4C65" w:rsidRDefault="00D73332" w:rsidP="00017682">
      <w:pPr>
        <w:pStyle w:val="Heading2"/>
      </w:pPr>
      <w:r w:rsidRPr="00FD4C65">
        <w:lastRenderedPageBreak/>
        <w:t xml:space="preserve">PICO </w:t>
      </w:r>
      <w:r w:rsidR="00FD4E33" w:rsidRPr="00FD4C65">
        <w:t>criteria</w:t>
      </w:r>
    </w:p>
    <w:p w14:paraId="4F2E648B" w14:textId="77777777" w:rsidR="008F2628" w:rsidRDefault="008F2628" w:rsidP="008F2628">
      <w:pPr>
        <w:pStyle w:val="Heading3"/>
        <w:spacing w:before="0"/>
      </w:pPr>
      <w:r w:rsidRPr="00713728">
        <w:t>Population</w:t>
      </w:r>
    </w:p>
    <w:p w14:paraId="41D40628" w14:textId="77777777" w:rsidR="008F2628" w:rsidRPr="00825C21" w:rsidRDefault="008F2628" w:rsidP="008F2628">
      <w:pPr>
        <w:pStyle w:val="Heading4"/>
        <w:spacing w:before="120"/>
        <w:rPr>
          <w:rStyle w:val="PageNumber"/>
        </w:rPr>
      </w:pPr>
      <w:r w:rsidRPr="00825C21">
        <w:rPr>
          <w:rStyle w:val="PageNumber"/>
        </w:rPr>
        <w:t>The testing population</w:t>
      </w:r>
    </w:p>
    <w:p w14:paraId="7DFD0851" w14:textId="77777777" w:rsidR="008F2628" w:rsidRDefault="008F2628" w:rsidP="008F2628">
      <w:r w:rsidRPr="00F74761">
        <w:t>The proposed testing population are patients diagnosed with a haematological malignancy post clinical investigations where genomic sub-categorisation is required. This typically occurs when diagnosis of a haematological malignancy is incomplete, and as such specific disease-causing variants cannot be identified and patients cannot receive targeted treatment.</w:t>
      </w:r>
      <w:r>
        <w:t xml:space="preserve"> However, as the diagnosis at a molecular level can overturn or refine a phenotypic diagnosis, the test is not limited to those with an incomplete diagnosis.</w:t>
      </w:r>
    </w:p>
    <w:p w14:paraId="6F34F8D2" w14:textId="77777777" w:rsidR="008F2628" w:rsidRPr="00DE3A96" w:rsidRDefault="008F2628" w:rsidP="008F2628">
      <w:r w:rsidRPr="00BC2A83">
        <w:t xml:space="preserve">The 2016 revision of the </w:t>
      </w:r>
      <w:r>
        <w:t xml:space="preserve">WHO </w:t>
      </w:r>
      <w:r w:rsidRPr="00BC2A83">
        <w:t>classification of tumours of haematopoietic and lymphoid tissues describes the updated criteria, incorporating morphology, immunophenotyping</w:t>
      </w:r>
      <w:r>
        <w:t xml:space="preserve">, </w:t>
      </w:r>
      <w:r w:rsidRPr="00BC2A83">
        <w:t>genomics, and clinical features, recommended to be used to characterise the diagnostic, prognostic, and therapeutic implications of haematological malignancies including:</w:t>
      </w:r>
    </w:p>
    <w:p w14:paraId="5E3A719F" w14:textId="77777777" w:rsidR="008F2628" w:rsidRPr="005D2D85" w:rsidRDefault="008F2628" w:rsidP="008F2628">
      <w:pPr>
        <w:contextualSpacing/>
      </w:pPr>
      <w:r w:rsidRPr="005D2D85">
        <w:t>Lymphoid neoplasms (see</w:t>
      </w:r>
      <w:r>
        <w:t xml:space="preserve"> </w:t>
      </w:r>
      <w:r>
        <w:fldChar w:fldCharType="begin"/>
      </w:r>
      <w:r>
        <w:instrText xml:space="preserve"> REF _Ref85200276 \h </w:instrText>
      </w:r>
      <w:r>
        <w:fldChar w:fldCharType="separate"/>
      </w:r>
      <w:r>
        <w:t xml:space="preserve">Table </w:t>
      </w:r>
      <w:r>
        <w:rPr>
          <w:noProof/>
        </w:rPr>
        <w:t>9</w:t>
      </w:r>
      <w:r>
        <w:fldChar w:fldCharType="end"/>
      </w:r>
      <w:r w:rsidRPr="005D2D85">
        <w:t>, Appendix A)</w:t>
      </w:r>
    </w:p>
    <w:p w14:paraId="0325B8CE" w14:textId="77777777" w:rsidR="008F2628" w:rsidRPr="00805196" w:rsidRDefault="008F2628" w:rsidP="008F2628">
      <w:pPr>
        <w:numPr>
          <w:ilvl w:val="0"/>
          <w:numId w:val="7"/>
        </w:numPr>
        <w:ind w:left="606" w:hanging="357"/>
        <w:contextualSpacing/>
      </w:pPr>
      <w:r w:rsidRPr="0095380F">
        <w:t>m</w:t>
      </w:r>
      <w:r w:rsidRPr="00805196">
        <w:t>ature B-cell lymphoid neoplasms;</w:t>
      </w:r>
    </w:p>
    <w:p w14:paraId="592F7AB8" w14:textId="77777777" w:rsidR="008F2628" w:rsidRPr="00206B3B" w:rsidRDefault="008F2628" w:rsidP="008F2628">
      <w:pPr>
        <w:numPr>
          <w:ilvl w:val="0"/>
          <w:numId w:val="7"/>
        </w:numPr>
        <w:ind w:left="606" w:hanging="357"/>
        <w:contextualSpacing/>
      </w:pPr>
      <w:r w:rsidRPr="00805196">
        <w:t>mature T-cell and natural killer cell neoplasms;</w:t>
      </w:r>
    </w:p>
    <w:p w14:paraId="0D83D46B" w14:textId="77777777" w:rsidR="008F2628" w:rsidRPr="00206B3B" w:rsidRDefault="008F2628" w:rsidP="008F2628">
      <w:pPr>
        <w:numPr>
          <w:ilvl w:val="0"/>
          <w:numId w:val="7"/>
        </w:numPr>
        <w:ind w:left="606" w:hanging="357"/>
        <w:contextualSpacing/>
      </w:pPr>
      <w:r w:rsidRPr="00206B3B">
        <w:t>Hodgkin lymphoma;</w:t>
      </w:r>
    </w:p>
    <w:p w14:paraId="1578C2BF" w14:textId="77777777" w:rsidR="008F2628" w:rsidRPr="00206B3B" w:rsidRDefault="008F2628" w:rsidP="008F2628">
      <w:pPr>
        <w:numPr>
          <w:ilvl w:val="0"/>
          <w:numId w:val="7"/>
        </w:numPr>
        <w:ind w:left="606" w:hanging="357"/>
        <w:contextualSpacing/>
      </w:pPr>
      <w:r w:rsidRPr="00206B3B">
        <w:t xml:space="preserve">post-transplant lymphoproliferative disorders; </w:t>
      </w:r>
    </w:p>
    <w:p w14:paraId="54D3E3DD" w14:textId="77777777" w:rsidR="008F2628" w:rsidRPr="0095380F" w:rsidRDefault="008F2628" w:rsidP="008F2628">
      <w:pPr>
        <w:numPr>
          <w:ilvl w:val="0"/>
          <w:numId w:val="7"/>
        </w:numPr>
        <w:ind w:left="606" w:hanging="357"/>
      </w:pPr>
      <w:r w:rsidRPr="00206B3B">
        <w:t xml:space="preserve">histiocytic and dendritic cell neoplasms </w:t>
      </w:r>
      <w:r>
        <w:fldChar w:fldCharType="begin">
          <w:fldData xml:space="preserve">PEVuZE5vdGU+PENpdGU+PEF1dGhvcj5Td2VyZGxvdzwvQXV0aG9yPjxZZWFyPjIwMTY8L1llYXI+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</w:fldData>
        </w:fldChar>
      </w:r>
      <w:r>
        <w:instrText xml:space="preserve"> ADDIN EN.CITE </w:instrText>
      </w:r>
      <w:r>
        <w:fldChar w:fldCharType="begin">
          <w:fldData xml:space="preserve">PEVuZE5vdGU+PENpdGU+PEF1dGhvcj5Td2VyZGxvdzwvQXV0aG9yPjxZZWFyPjIwMTY8L1llYXI+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</w:fldData>
        </w:fldChar>
      </w:r>
      <w:r>
        <w:instrText xml:space="preserve"> ADDIN EN.CITE.DATA </w:instrText>
      </w:r>
      <w:r>
        <w:fldChar w:fldCharType="end"/>
      </w:r>
      <w:r>
        <w:fldChar w:fldCharType="separate"/>
      </w:r>
      <w:r>
        <w:rPr>
          <w:noProof/>
        </w:rPr>
        <w:t>(Swerdlow et al., 2016)</w:t>
      </w:r>
      <w:r>
        <w:fldChar w:fldCharType="end"/>
      </w:r>
      <w:r w:rsidRPr="0095380F">
        <w:t>; and</w:t>
      </w:r>
    </w:p>
    <w:p w14:paraId="5FD98441" w14:textId="77777777" w:rsidR="008F2628" w:rsidRPr="00BC2A83" w:rsidRDefault="008F2628" w:rsidP="008F2628">
      <w:pPr>
        <w:contextualSpacing/>
      </w:pPr>
      <w:r w:rsidRPr="00BC2A83">
        <w:t>Myeloid neoplasms and acute leukaemia</w:t>
      </w:r>
      <w:r w:rsidRPr="0095380F">
        <w:t xml:space="preserve"> </w:t>
      </w:r>
      <w:r w:rsidRPr="00BC2A83">
        <w:rPr>
          <w:rFonts w:asciiTheme="minorHAnsi" w:hAnsiTheme="minorHAnsi" w:cstheme="minorHAnsi"/>
        </w:rPr>
        <w:t xml:space="preserve">(see </w:t>
      </w:r>
      <w:r>
        <w:rPr>
          <w:rFonts w:asciiTheme="minorHAnsi" w:hAnsiTheme="minorHAnsi" w:cstheme="minorHAnsi"/>
        </w:rPr>
        <w:fldChar w:fldCharType="begin"/>
      </w:r>
      <w:r>
        <w:rPr>
          <w:rFonts w:asciiTheme="minorHAnsi" w:hAnsiTheme="minorHAnsi" w:cstheme="minorHAnsi"/>
        </w:rPr>
        <w:instrText xml:space="preserve"> REF _Ref85200599 \h </w:instrText>
      </w:r>
      <w:r>
        <w:rPr>
          <w:rFonts w:asciiTheme="minorHAnsi" w:hAnsiTheme="minorHAnsi" w:cstheme="minorHAnsi"/>
        </w:rPr>
      </w:r>
      <w:r>
        <w:rPr>
          <w:rFonts w:asciiTheme="minorHAnsi" w:hAnsiTheme="minorHAnsi" w:cstheme="minorHAnsi"/>
        </w:rPr>
        <w:fldChar w:fldCharType="separate"/>
      </w:r>
      <w:r>
        <w:t xml:space="preserve">Table </w:t>
      </w:r>
      <w:r>
        <w:rPr>
          <w:noProof/>
        </w:rPr>
        <w:t>10</w:t>
      </w:r>
      <w:r>
        <w:rPr>
          <w:rFonts w:asciiTheme="minorHAnsi" w:hAnsiTheme="minorHAnsi" w:cstheme="minorHAnsi"/>
        </w:rPr>
        <w:fldChar w:fldCharType="end"/>
      </w:r>
      <w:r>
        <w:rPr>
          <w:rFonts w:asciiTheme="minorHAnsi" w:hAnsiTheme="minorHAnsi" w:cstheme="minorHAnsi"/>
        </w:rPr>
        <w:fldChar w:fldCharType="begin"/>
      </w:r>
      <w:r>
        <w:rPr>
          <w:rFonts w:asciiTheme="minorHAnsi" w:hAnsiTheme="minorHAnsi" w:cstheme="minorHAnsi"/>
        </w:rPr>
        <w:instrText xml:space="preserve"> REF _Ref85200599 \h </w:instrText>
      </w:r>
      <w:r>
        <w:rPr>
          <w:rFonts w:asciiTheme="minorHAnsi" w:hAnsiTheme="minorHAnsi" w:cstheme="minorHAnsi"/>
        </w:rPr>
      </w:r>
      <w:r>
        <w:rPr>
          <w:rFonts w:asciiTheme="minorHAnsi" w:hAnsiTheme="minorHAnsi" w:cstheme="minorHAnsi"/>
        </w:rPr>
        <w:fldChar w:fldCharType="end"/>
      </w:r>
      <w:r>
        <w:rPr>
          <w:rFonts w:asciiTheme="minorHAnsi" w:hAnsiTheme="minorHAnsi" w:cstheme="minorHAnsi"/>
        </w:rPr>
        <w:t xml:space="preserve">, </w:t>
      </w:r>
      <w:r w:rsidRPr="00BC2A83">
        <w:rPr>
          <w:rFonts w:asciiTheme="minorHAnsi" w:hAnsiTheme="minorHAnsi" w:cstheme="minorHAnsi"/>
        </w:rPr>
        <w:t>Appendix A)</w:t>
      </w:r>
    </w:p>
    <w:p w14:paraId="36B38BD4" w14:textId="77777777" w:rsidR="008F2628" w:rsidRPr="00017682" w:rsidRDefault="008F2628" w:rsidP="008F2628">
      <w:pPr>
        <w:numPr>
          <w:ilvl w:val="0"/>
          <w:numId w:val="7"/>
        </w:numPr>
        <w:ind w:left="606" w:hanging="357"/>
        <w:contextualSpacing/>
      </w:pPr>
      <w:r w:rsidRPr="00991CC0">
        <w:t>m</w:t>
      </w:r>
      <w:r w:rsidRPr="00017682">
        <w:t>yeloproliferative neoplasms;</w:t>
      </w:r>
    </w:p>
    <w:p w14:paraId="2108122B" w14:textId="77777777" w:rsidR="008F2628" w:rsidRPr="00017682" w:rsidRDefault="008F2628" w:rsidP="008F2628">
      <w:pPr>
        <w:numPr>
          <w:ilvl w:val="0"/>
          <w:numId w:val="7"/>
        </w:numPr>
        <w:ind w:left="606" w:hanging="357"/>
        <w:contextualSpacing/>
      </w:pPr>
      <w:r w:rsidRPr="00017682">
        <w:t xml:space="preserve">myeloid/lymphoid neoplasms with eosinophilia and rearrangement of </w:t>
      </w:r>
      <w:r w:rsidRPr="00DD0475">
        <w:rPr>
          <w:i/>
          <w:iCs/>
        </w:rPr>
        <w:t>PDGFRA, PDGFRB</w:t>
      </w:r>
      <w:r w:rsidRPr="00017682">
        <w:t xml:space="preserve">, or </w:t>
      </w:r>
      <w:r w:rsidRPr="00DD0475">
        <w:rPr>
          <w:i/>
          <w:iCs/>
        </w:rPr>
        <w:t>FGFR1</w:t>
      </w:r>
      <w:r w:rsidRPr="00017682">
        <w:t xml:space="preserve">, or with </w:t>
      </w:r>
      <w:r w:rsidRPr="00DD0475">
        <w:rPr>
          <w:i/>
          <w:iCs/>
        </w:rPr>
        <w:t>PCM1-JAK2</w:t>
      </w:r>
      <w:r w:rsidRPr="00017682">
        <w:t>;</w:t>
      </w:r>
    </w:p>
    <w:p w14:paraId="4DADC068" w14:textId="77777777" w:rsidR="008F2628" w:rsidRPr="00017682" w:rsidRDefault="008F2628" w:rsidP="008F2628">
      <w:pPr>
        <w:numPr>
          <w:ilvl w:val="0"/>
          <w:numId w:val="7"/>
        </w:numPr>
        <w:ind w:left="606" w:hanging="357"/>
        <w:contextualSpacing/>
      </w:pPr>
      <w:r w:rsidRPr="00017682">
        <w:t>myelodysplastic/myeloproliferative neoplasms;</w:t>
      </w:r>
    </w:p>
    <w:p w14:paraId="1DBB25E2" w14:textId="77777777" w:rsidR="008F2628" w:rsidRPr="00017682" w:rsidRDefault="008F2628" w:rsidP="008F2628">
      <w:pPr>
        <w:numPr>
          <w:ilvl w:val="0"/>
          <w:numId w:val="7"/>
        </w:numPr>
        <w:ind w:left="606" w:hanging="357"/>
        <w:contextualSpacing/>
      </w:pPr>
      <w:r w:rsidRPr="00017682">
        <w:t>myelodysplastic syndromes;</w:t>
      </w:r>
    </w:p>
    <w:p w14:paraId="2FA9093F" w14:textId="77777777" w:rsidR="008F2628" w:rsidRPr="00017682" w:rsidRDefault="008F2628" w:rsidP="008F2628">
      <w:pPr>
        <w:numPr>
          <w:ilvl w:val="0"/>
          <w:numId w:val="7"/>
        </w:numPr>
        <w:ind w:left="606" w:hanging="357"/>
        <w:contextualSpacing/>
      </w:pPr>
      <w:r w:rsidRPr="00017682">
        <w:t>acute myeloid leukaemia and related neoplasms;</w:t>
      </w:r>
    </w:p>
    <w:p w14:paraId="02D48DEE" w14:textId="77777777" w:rsidR="008F2628" w:rsidRPr="00017682" w:rsidRDefault="008F2628" w:rsidP="008F2628">
      <w:pPr>
        <w:numPr>
          <w:ilvl w:val="0"/>
          <w:numId w:val="7"/>
        </w:numPr>
        <w:ind w:left="606" w:hanging="357"/>
        <w:contextualSpacing/>
      </w:pPr>
      <w:proofErr w:type="spellStart"/>
      <w:r w:rsidRPr="00017682">
        <w:t>blastic</w:t>
      </w:r>
      <w:proofErr w:type="spellEnd"/>
      <w:r w:rsidRPr="00017682">
        <w:t xml:space="preserve"> plasmacytoid dendritic cell neoplasm;</w:t>
      </w:r>
    </w:p>
    <w:p w14:paraId="2F55A759" w14:textId="77777777" w:rsidR="008F2628" w:rsidRPr="00017682" w:rsidRDefault="008F2628" w:rsidP="008F2628">
      <w:pPr>
        <w:numPr>
          <w:ilvl w:val="0"/>
          <w:numId w:val="7"/>
        </w:numPr>
        <w:ind w:left="606" w:hanging="357"/>
        <w:contextualSpacing/>
      </w:pPr>
      <w:r w:rsidRPr="00017682">
        <w:t>acute leukaemias of ambiguous lineage;</w:t>
      </w:r>
    </w:p>
    <w:p w14:paraId="0401CA8B" w14:textId="77777777" w:rsidR="008F2628" w:rsidRPr="00017682" w:rsidRDefault="008F2628" w:rsidP="008F2628">
      <w:pPr>
        <w:numPr>
          <w:ilvl w:val="0"/>
          <w:numId w:val="7"/>
        </w:numPr>
        <w:ind w:left="606" w:hanging="357"/>
        <w:contextualSpacing/>
      </w:pPr>
      <w:r w:rsidRPr="00017682">
        <w:t>B-lymphoblastic leukaemia/lymphoma;</w:t>
      </w:r>
    </w:p>
    <w:p w14:paraId="53C3EC5E" w14:textId="77777777" w:rsidR="008F2628" w:rsidRPr="007F7C5C" w:rsidRDefault="008F2628" w:rsidP="008F2628">
      <w:pPr>
        <w:numPr>
          <w:ilvl w:val="0"/>
          <w:numId w:val="7"/>
        </w:numPr>
        <w:ind w:left="606" w:hanging="357"/>
        <w:contextualSpacing/>
      </w:pPr>
      <w:r w:rsidRPr="00017682">
        <w:t>T-lymphoblastic leukaemia/lymphoma</w:t>
      </w:r>
      <w:r>
        <w:t xml:space="preserve"> </w:t>
      </w:r>
      <w:r>
        <w:fldChar w:fldCharType="begin">
          <w:fldData xml:space="preserve">PEVuZE5vdGU+PENpdGU+PEF1dGhvcj5BcmJlcjwvQXV0aG9yPjxZZWFyPjIwMTY8L1llYXI+PFJl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</w:fldData>
        </w:fldChar>
      </w:r>
      <w:r>
        <w:instrText xml:space="preserve"> ADDIN EN.CITE </w:instrText>
      </w:r>
      <w:r>
        <w:fldChar w:fldCharType="begin">
          <w:fldData xml:space="preserve">PEVuZE5vdGU+PENpdGU+PEF1dGhvcj5BcmJlcjwvQXV0aG9yPjxZZWFyPjIwMTY8L1llYXI+PFJl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</w:fldData>
        </w:fldChar>
      </w:r>
      <w:r>
        <w:instrText xml:space="preserve"> ADDIN EN.CITE.DATA </w:instrText>
      </w:r>
      <w:r>
        <w:fldChar w:fldCharType="end"/>
      </w:r>
      <w:r>
        <w:fldChar w:fldCharType="separate"/>
      </w:r>
      <w:r>
        <w:rPr>
          <w:noProof/>
        </w:rPr>
        <w:t>(Arber et al., 2016)</w:t>
      </w:r>
      <w:r>
        <w:fldChar w:fldCharType="end"/>
      </w:r>
      <w:r>
        <w:t>.</w:t>
      </w:r>
    </w:p>
    <w:p w14:paraId="1E4FC2FE" w14:textId="77777777" w:rsidR="008F2628" w:rsidRPr="00B86D98" w:rsidRDefault="008F2628" w:rsidP="008F2628">
      <w:pPr>
        <w:spacing w:before="240" w:after="120"/>
        <w:rPr>
          <w:i/>
          <w:iCs/>
          <w:color w:val="000000" w:themeColor="text1"/>
        </w:rPr>
      </w:pPr>
      <w:r w:rsidRPr="00B86D98">
        <w:rPr>
          <w:i/>
          <w:iCs/>
          <w:color w:val="000000" w:themeColor="text1"/>
        </w:rPr>
        <w:t>PASC noted that the population of interest was</w:t>
      </w:r>
      <w:r>
        <w:rPr>
          <w:i/>
          <w:iCs/>
          <w:color w:val="000000" w:themeColor="text1"/>
        </w:rPr>
        <w:t xml:space="preserve"> initially described as</w:t>
      </w:r>
      <w:r w:rsidRPr="00B86D98">
        <w:rPr>
          <w:i/>
          <w:iCs/>
          <w:color w:val="000000" w:themeColor="text1"/>
        </w:rPr>
        <w:t xml:space="preserve"> patients/persons with a morphological diagnosis of haematological malignancy who require genomic sub-typing. PASC considered that the population should be revised to include patients with a suspicion of a haematological malignancy. This is in line with the applicant’s pre-PASC response, which suggested changing ‘morphological diagnosis’ to a clinical diagnosis or suspected diagnosis. The applicant noted that morphological diagnosis would occur in some, but not all patients.</w:t>
      </w:r>
    </w:p>
    <w:p w14:paraId="74F852E0" w14:textId="77777777" w:rsidR="008F2628" w:rsidRPr="00B86D98" w:rsidRDefault="008F2628" w:rsidP="008F2628">
      <w:pPr>
        <w:spacing w:after="120"/>
        <w:rPr>
          <w:i/>
          <w:iCs/>
          <w:color w:val="000000" w:themeColor="text1"/>
        </w:rPr>
      </w:pPr>
      <w:r w:rsidRPr="00B86D98">
        <w:rPr>
          <w:i/>
          <w:iCs/>
          <w:color w:val="000000" w:themeColor="text1"/>
        </w:rPr>
        <w:t>PASC noted the pre-PASC response which the applicant advised that the proposed population would encompass unclassified MPN or where the patient has already progressed to secondary (post PV/ET) myelofibrosis or perhaps even acute myeloid leukaemia.</w:t>
      </w:r>
    </w:p>
    <w:p w14:paraId="75905BF3" w14:textId="77777777" w:rsidR="008F2628" w:rsidRPr="00BC2A83" w:rsidRDefault="008F2628" w:rsidP="008F2628">
      <w:pPr>
        <w:pStyle w:val="Heading4"/>
        <w:rPr>
          <w:rStyle w:val="PageNumber"/>
        </w:rPr>
      </w:pPr>
      <w:r w:rsidRPr="002338EE">
        <w:rPr>
          <w:rStyle w:val="PageNumber"/>
        </w:rPr>
        <w:t>Overview of haematological malignancies</w:t>
      </w:r>
    </w:p>
    <w:p w14:paraId="3E246DCB" w14:textId="77777777" w:rsidR="008F2628" w:rsidRDefault="008F2628" w:rsidP="008F2628">
      <w:r w:rsidRPr="00C86744">
        <w:t>The majority of human h</w:t>
      </w:r>
      <w:r>
        <w:t>a</w:t>
      </w:r>
      <w:r w:rsidRPr="00C86744">
        <w:t xml:space="preserve">ematologic </w:t>
      </w:r>
      <w:r>
        <w:t>malignancies</w:t>
      </w:r>
      <w:r w:rsidRPr="00C86744">
        <w:t xml:space="preserve"> are caused by the clonal expansion of a single cell that has acquired a somatic </w:t>
      </w:r>
      <w:r>
        <w:t>variant</w:t>
      </w:r>
      <w:r w:rsidRPr="00C86744">
        <w:t xml:space="preserve"> in one allele of </w:t>
      </w:r>
      <w:r>
        <w:t>a</w:t>
      </w:r>
      <w:r w:rsidRPr="00C86744">
        <w:t xml:space="preserve"> gene</w:t>
      </w:r>
      <w:r>
        <w:t xml:space="preserve"> responsible for</w:t>
      </w:r>
      <w:r w:rsidRPr="00C86744">
        <w:t xml:space="preserve"> cellular maturation and division. This </w:t>
      </w:r>
      <w:r>
        <w:t>variant</w:t>
      </w:r>
      <w:r w:rsidRPr="00C86744">
        <w:t xml:space="preserve">, </w:t>
      </w:r>
      <w:r>
        <w:t>often</w:t>
      </w:r>
      <w:r w:rsidRPr="00C86744">
        <w:t xml:space="preserve"> </w:t>
      </w:r>
      <w:r>
        <w:t>referred to as</w:t>
      </w:r>
      <w:r w:rsidRPr="00C86744">
        <w:t xml:space="preserve"> an oncogene, stimulates inappropriate cellular proliferation, leading to the development of </w:t>
      </w:r>
      <w:r>
        <w:t xml:space="preserve">a </w:t>
      </w:r>
      <w:r w:rsidRPr="00C86744">
        <w:t>h</w:t>
      </w:r>
      <w:r>
        <w:t>a</w:t>
      </w:r>
      <w:r w:rsidRPr="00C86744">
        <w:t xml:space="preserve">ematologic </w:t>
      </w:r>
      <w:r>
        <w:t xml:space="preserve">malignancy </w:t>
      </w:r>
      <w:r>
        <w:fldChar w:fldCharType="begin"/>
      </w:r>
      <w:r>
        <w:instrText xml:space="preserve"> ADDIN EN.CITE &lt;EndNote&gt;&lt;Cite&gt;&lt;Author&gt;Schrijver&lt;/Author&gt;&lt;Year&gt;2020&lt;/Year&gt;&lt;RecNum&gt;32&lt;/RecNum&gt;&lt;DisplayText&gt;(Schrijver &amp;amp; Zehnder, 2020)&lt;/DisplayText&gt;&lt;record&gt;&lt;rec-number&gt;32&lt;/rec-number&gt;&lt;foreign-keys&gt;&lt;key app="EN" db-id="rpxx2texi59tzqewr09xxp96wtzx9a9wr0rv" timestamp="1633761165"&gt;32&lt;/key&gt;&lt;/foreign-keys&gt;&lt;ref-type name="Web Page"&gt;12&lt;/ref-type&gt;&lt;contributors&gt;&lt;authors&gt;&lt;author&gt;Schrijver, I.&lt;/author&gt;&lt;author&gt;Zehnder, J. L.&lt;/author&gt;&lt;/authors&gt;&lt;/contributors&gt;&lt;titles&gt;&lt;title&gt;Genetic abnormalities in hematologic and lymphoid malignancies&lt;/title&gt;&lt;/titles&gt;&lt;number&gt;11 November 2020&lt;/number&gt;&lt;dates&gt;&lt;year&gt;2020&lt;/year&gt;&lt;/dates&gt;&lt;publisher&gt;Walters Kluwer&lt;/publisher&gt;&lt;urls&gt;&lt;related-urls&gt;&lt;url&gt;https://www.uptodate.com/contents/genetic-abnormalities-in-hematologic-and-lymphoid-malignancies&lt;/url&gt;&lt;/related-urls&gt;&lt;/urls&gt;&lt;/record&gt;&lt;/Cite&gt;&lt;/EndNote&gt;</w:instrText>
      </w:r>
      <w:r>
        <w:fldChar w:fldCharType="separate"/>
      </w:r>
      <w:r>
        <w:rPr>
          <w:noProof/>
        </w:rPr>
        <w:t>(Schrijver &amp; Zehnder, 2020)</w:t>
      </w:r>
      <w:r>
        <w:fldChar w:fldCharType="end"/>
      </w:r>
      <w:r>
        <w:t xml:space="preserve">. However, it should be noted that </w:t>
      </w:r>
      <w:r>
        <w:lastRenderedPageBreak/>
        <w:t xml:space="preserve">it has been estimated that 8-15% of all </w:t>
      </w:r>
      <w:r w:rsidRPr="006328BB">
        <w:t>haematological malignancies</w:t>
      </w:r>
      <w:r>
        <w:t xml:space="preserve"> are </w:t>
      </w:r>
      <w:r w:rsidRPr="006328BB">
        <w:t>familial</w:t>
      </w:r>
      <w:r>
        <w:t>, with the revised WHO classification criteria recognising a number of germline variants that result in an inherited</w:t>
      </w:r>
      <w:r w:rsidRPr="006328BB">
        <w:t xml:space="preserve"> predisposition to </w:t>
      </w:r>
      <w:r w:rsidRPr="00C86744">
        <w:t>h</w:t>
      </w:r>
      <w:r>
        <w:t>a</w:t>
      </w:r>
      <w:r w:rsidRPr="00C86744">
        <w:t>ematologic</w:t>
      </w:r>
      <w:r w:rsidRPr="006328BB">
        <w:t xml:space="preserve"> cancer</w:t>
      </w:r>
      <w:r>
        <w:t xml:space="preserve"> </w:t>
      </w:r>
      <w:r>
        <w:fldChar w:fldCharType="begin"/>
      </w:r>
      <w:r>
        <w:instrText xml:space="preserve"> ADDIN EN.CITE &lt;EndNote&gt;&lt;Cite&gt;&lt;Author&gt;Brown&lt;/Author&gt;&lt;Year&gt;2020&lt;/Year&gt;&lt;RecNum&gt;30&lt;/RecNum&gt;&lt;DisplayText&gt;(Brown &amp;amp; Hiwase, 2020)&lt;/DisplayText&gt;&lt;record&gt;&lt;rec-number&gt;30&lt;/rec-number&gt;&lt;foreign-keys&gt;&lt;key app="EN" db-id="rpxx2texi59tzqewr09xxp96wtzx9a9wr0rv" timestamp="1633760397"&gt;30&lt;/key&gt;&lt;/foreign-keys&gt;&lt;ref-type name="Journal Article"&gt;17&lt;/ref-type&gt;&lt;contributors&gt;&lt;authors&gt;&lt;author&gt;Brown, A. L.&lt;/author&gt;&lt;author&gt;Hiwase, D. K.&lt;/author&gt;&lt;/authors&gt;&lt;/contributors&gt;&lt;auth-address&gt;Department of Genetics and Molecular Pathology, SA Pathology, Adelaide, South Australia, Australia; Centre for Cancer Biology, SA Pathology &amp;amp; University of South Australia, Adelaide, South Australia, Australia; School of Medicine, University of Adelaide, Adelaide, South Australia, Australia. Electronic address: Anna.brown@sa.gov.au.&amp;#xD;School of Medicine, University of Adelaide, Adelaide, South Australia, Australia; Department of Haematology, Royal Adelaide Hospital, Central Adelaide Local Health Network, Adelaide, Australia; Cancer Theme, South Australian Health and Medical Research Institute, Adelaide, Australia.&lt;/auth-address&gt;&lt;titles&gt;&lt;title&gt;What&amp;apos;s germane in the germline? Finding clinically relevant germline variants in myeloid neoplasms from tumor only screening&lt;/title&gt;&lt;secondary-title&gt;Leuk Res&lt;/secondary-title&gt;&lt;/titles&gt;&lt;periodical&gt;&lt;full-title&gt;Leuk Res&lt;/full-title&gt;&lt;/periodical&gt;&lt;pages&gt;106431&lt;/pages&gt;&lt;volume&gt;96&lt;/volume&gt;&lt;edition&gt;2020/08/11&lt;/edition&gt;&lt;keywords&gt;&lt;keyword&gt;Cohort Studies&lt;/keyword&gt;&lt;keyword&gt;Genetic Predisposition to Disease&lt;/keyword&gt;&lt;keyword&gt;Germ Cells&lt;/keyword&gt;&lt;keyword&gt;Humans&lt;/keyword&gt;&lt;keyword&gt;*Leukemia&lt;/keyword&gt;&lt;keyword&gt;*Neoplasms&lt;/keyword&gt;&lt;/keywords&gt;&lt;dates&gt;&lt;year&gt;2020&lt;/year&gt;&lt;pub-dates&gt;&lt;date&gt;Sep&lt;/date&gt;&lt;/pub-dates&gt;&lt;/dates&gt;&lt;isbn&gt;1873-5835 (Electronic)&amp;#xD;0145-2126 (Linking)&lt;/isbn&gt;&lt;accession-num&gt;32771235&lt;/accession-num&gt;&lt;urls&gt;&lt;related-urls&gt;&lt;url&gt;https://www.ncbi.nlm.nih.gov/pubmed/32771235&lt;/url&gt;&lt;/related-urls&gt;&lt;/urls&gt;&lt;electronic-resource-num&gt;10.1016/j.leukres.2020.106431&lt;/electronic-resource-num&gt;&lt;/record&gt;&lt;/Cite&gt;&lt;/EndNote&gt;</w:instrText>
      </w:r>
      <w:r>
        <w:fldChar w:fldCharType="separate"/>
      </w:r>
      <w:r>
        <w:rPr>
          <w:noProof/>
        </w:rPr>
        <w:t>(Brown &amp; Hiwase, 2020)</w:t>
      </w:r>
      <w:r>
        <w:fldChar w:fldCharType="end"/>
      </w:r>
      <w:r>
        <w:t>.</w:t>
      </w:r>
    </w:p>
    <w:p w14:paraId="1694C99C" w14:textId="77777777" w:rsidR="008F2628" w:rsidRDefault="008F2628" w:rsidP="008F2628">
      <w:r>
        <w:t>H</w:t>
      </w:r>
      <w:r w:rsidRPr="006A5405">
        <w:t xml:space="preserve">ematologic </w:t>
      </w:r>
      <w:r>
        <w:t>malignancies</w:t>
      </w:r>
      <w:r w:rsidRPr="006A5405">
        <w:t xml:space="preserve"> </w:t>
      </w:r>
      <w:r>
        <w:t>are a h</w:t>
      </w:r>
      <w:r w:rsidRPr="003D28B5">
        <w:t>eterogeneous</w:t>
      </w:r>
      <w:r>
        <w:t>,</w:t>
      </w:r>
      <w:r w:rsidRPr="003D28B5">
        <w:t xml:space="preserve"> </w:t>
      </w:r>
      <w:r w:rsidRPr="00145AEF">
        <w:t xml:space="preserve">genetically diverse </w:t>
      </w:r>
      <w:r w:rsidRPr="003D28B5">
        <w:t>group of</w:t>
      </w:r>
      <w:r w:rsidRPr="006A5405">
        <w:t xml:space="preserve"> </w:t>
      </w:r>
      <w:r>
        <w:t>disorders</w:t>
      </w:r>
      <w:r w:rsidRPr="006A5405">
        <w:t xml:space="preserve"> </w:t>
      </w:r>
      <w:r>
        <w:t xml:space="preserve">that </w:t>
      </w:r>
      <w:r w:rsidRPr="006A5405">
        <w:t>originat</w:t>
      </w:r>
      <w:r>
        <w:t>e</w:t>
      </w:r>
      <w:r w:rsidRPr="006A5405">
        <w:t xml:space="preserve"> from cells of the</w:t>
      </w:r>
      <w:r>
        <w:t xml:space="preserve"> </w:t>
      </w:r>
      <w:r w:rsidRPr="006A5405">
        <w:t>bone marrow and lymphatic system</w:t>
      </w:r>
      <w:r>
        <w:t xml:space="preserve">, and are categorised </w:t>
      </w:r>
      <w:r w:rsidRPr="00315390">
        <w:t xml:space="preserve">based on lineage </w:t>
      </w:r>
      <w:r>
        <w:t xml:space="preserve">as either </w:t>
      </w:r>
      <w:r w:rsidRPr="006A5405">
        <w:t>myeloid</w:t>
      </w:r>
      <w:r>
        <w:t xml:space="preserve"> or </w:t>
      </w:r>
      <w:r w:rsidRPr="006A5405">
        <w:t xml:space="preserve">lymphoid </w:t>
      </w:r>
      <w:r>
        <w:t xml:space="preserve">neoplasms </w:t>
      </w:r>
      <w:r>
        <w:fldChar w:fldCharType="begin"/>
      </w:r>
      <w:r>
        <w:instrText xml:space="preserve"> ADDIN EN.CITE &lt;EndNote&gt;&lt;Cite&gt;&lt;Author&gt;Batista&lt;/Author&gt;&lt;Year&gt;2017&lt;/Year&gt;&lt;RecNum&gt;31&lt;/RecNum&gt;&lt;DisplayText&gt;(Batista, Birmann, &amp;amp; Epstein, 2017)&lt;/DisplayText&gt;&lt;record&gt;&lt;rec-number&gt;31&lt;/rec-number&gt;&lt;foreign-keys&gt;&lt;key app="EN" db-id="rpxx2texi59tzqewr09xxp96wtzx9a9wr0rv" timestamp="1633760665"&gt;31&lt;/key&gt;&lt;/foreign-keys&gt;&lt;ref-type name="Book Section"&gt;5&lt;/ref-type&gt;&lt;contributors&gt;&lt;authors&gt;&lt;author&gt;Batista, J.L.&lt;/author&gt;&lt;author&gt;Birmann, B.M.&lt;/author&gt;&lt;author&gt;Epstein, M.M.&lt;/author&gt;&lt;/authors&gt;&lt;secondary-authors&gt;&lt;author&gt;Loda, M. &lt;/author&gt;&lt;author&gt;Mucci, L.A.&lt;/author&gt;&lt;author&gt;Mittelstadt, M.L. &lt;/author&gt;&lt;author&gt;Van Hemelrijck, M. &lt;/author&gt;&lt;author&gt;Cotter, M.B.&lt;/author&gt;&lt;/secondary-authors&gt;&lt;/contributors&gt;&lt;titles&gt;&lt;title&gt;Pathology and Epidemiology of Cancer&lt;/title&gt;&lt;/titles&gt;&lt;pages&gt;543-69&lt;/pages&gt;&lt;section&gt;Epidemiology of Hematologic Malignancies&lt;/section&gt;&lt;dates&gt;&lt;year&gt;2017&lt;/year&gt;&lt;/dates&gt;&lt;pub-location&gt;Cham&lt;/pub-location&gt;&lt;publisher&gt;Springer International Publishing&lt;/publisher&gt;&lt;urls&gt;&lt;/urls&gt;&lt;/record&gt;&lt;/Cite&gt;&lt;/EndNote&gt;</w:instrText>
      </w:r>
      <w:r>
        <w:fldChar w:fldCharType="separate"/>
      </w:r>
      <w:r>
        <w:rPr>
          <w:noProof/>
        </w:rPr>
        <w:t>(Batista, Birmann, &amp; Epstein, 2017)</w:t>
      </w:r>
      <w:r>
        <w:fldChar w:fldCharType="end"/>
      </w:r>
      <w:r>
        <w:t xml:space="preserve">. </w:t>
      </w:r>
      <w:r w:rsidRPr="00263A06">
        <w:t>Myeloid neoplasms</w:t>
      </w:r>
      <w:r>
        <w:t xml:space="preserve"> </w:t>
      </w:r>
      <w:r w:rsidRPr="0023051F">
        <w:t>are a group of related disorders characteri</w:t>
      </w:r>
      <w:r>
        <w:t>s</w:t>
      </w:r>
      <w:r w:rsidRPr="0023051F">
        <w:t>ed</w:t>
      </w:r>
      <w:r>
        <w:t xml:space="preserve"> </w:t>
      </w:r>
      <w:r w:rsidRPr="0023051F">
        <w:t>by defective haematopoiesis originating from a h</w:t>
      </w:r>
      <w:r>
        <w:t>a</w:t>
      </w:r>
      <w:r w:rsidRPr="0023051F">
        <w:t>ematopoietic</w:t>
      </w:r>
      <w:r>
        <w:t xml:space="preserve"> </w:t>
      </w:r>
      <w:r w:rsidRPr="0023051F">
        <w:t>stem/progenitor cell and showing myeloid differentiation</w:t>
      </w:r>
      <w:r>
        <w:t xml:space="preserve">. </w:t>
      </w:r>
      <w:r w:rsidRPr="000A0492">
        <w:t>Myeloid neoplasms</w:t>
      </w:r>
      <w:r>
        <w:t xml:space="preserve"> are d</w:t>
      </w:r>
      <w:r w:rsidRPr="000A0492">
        <w:t xml:space="preserve">erived from bone marrow progenitor cells that </w:t>
      </w:r>
      <w:r>
        <w:t xml:space="preserve">would </w:t>
      </w:r>
      <w:r w:rsidRPr="000A0492">
        <w:t xml:space="preserve">normally develop into erythrocytes, granulocytes (neutrophils, basophils, and eosinophils), monocytes, or </w:t>
      </w:r>
      <w:r w:rsidRPr="0095380F">
        <w:t xml:space="preserve">megakaryocytes (see </w:t>
      </w:r>
      <w:r w:rsidRPr="00C479C0">
        <w:fldChar w:fldCharType="begin"/>
      </w:r>
      <w:r w:rsidRPr="00C479C0">
        <w:instrText xml:space="preserve"> REF _Ref85200329 \h </w:instrText>
      </w:r>
      <w:r>
        <w:instrText xml:space="preserve"> \* MERGEFORMAT </w:instrText>
      </w:r>
      <w:r w:rsidRPr="00C479C0">
        <w:fldChar w:fldCharType="separate"/>
      </w:r>
      <w:r w:rsidRPr="00206B3B">
        <w:t xml:space="preserve">Figure </w:t>
      </w:r>
      <w:r w:rsidRPr="00206B3B">
        <w:rPr>
          <w:noProof/>
        </w:rPr>
        <w:t>7</w:t>
      </w:r>
      <w:r w:rsidRPr="00C479C0">
        <w:fldChar w:fldCharType="end"/>
      </w:r>
      <w:r w:rsidRPr="0095380F">
        <w:t>, Appendix B)</w:t>
      </w:r>
      <w:r>
        <w:t xml:space="preserve"> </w:t>
      </w:r>
      <w:r>
        <w:fldChar w:fldCharType="begin">
          <w:fldData xml:space="preserve">PEVuZE5vdGU+PENpdGU+PEF1dGhvcj5Eb2NraW5nPC9BdXRob3I+PFllYXI+MjAxOTwvWWVhcj48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</w:fldData>
        </w:fldChar>
      </w:r>
      <w:r>
        <w:instrText xml:space="preserve"> ADDIN EN.CITE </w:instrText>
      </w:r>
      <w:r>
        <w:fldChar w:fldCharType="begin">
          <w:fldData xml:space="preserve">PEVuZE5vdGU+PENpdGU+PEF1dGhvcj5Eb2NraW5nPC9BdXRob3I+PFllYXI+MjAxOTwvWWVhcj48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</w:fldData>
        </w:fldChar>
      </w:r>
      <w:r>
        <w:instrText xml:space="preserve"> ADDIN EN.CITE.DATA </w:instrText>
      </w:r>
      <w:r>
        <w:fldChar w:fldCharType="end"/>
      </w:r>
      <w:r>
        <w:fldChar w:fldCharType="separate"/>
      </w:r>
      <w:r>
        <w:rPr>
          <w:noProof/>
        </w:rPr>
        <w:t>(Docking &amp; Karsan, 2019; Freedman, Friedberg, &amp; Aster, 2020)</w:t>
      </w:r>
      <w:r>
        <w:fldChar w:fldCharType="end"/>
      </w:r>
      <w:r>
        <w:t xml:space="preserve">. The </w:t>
      </w:r>
      <w:r w:rsidRPr="000A0492">
        <w:t>exception</w:t>
      </w:r>
      <w:r>
        <w:t>s</w:t>
      </w:r>
      <w:r w:rsidRPr="000A0492">
        <w:t xml:space="preserve"> </w:t>
      </w:r>
      <w:r>
        <w:t>to this are</w:t>
      </w:r>
      <w:r w:rsidRPr="000A0492">
        <w:t xml:space="preserve"> chronic myeloid leuk</w:t>
      </w:r>
      <w:r>
        <w:t>a</w:t>
      </w:r>
      <w:r w:rsidRPr="000A0492">
        <w:t xml:space="preserve">emia, </w:t>
      </w:r>
      <w:r>
        <w:t>where</w:t>
      </w:r>
      <w:r w:rsidRPr="000A0492">
        <w:t xml:space="preserve"> the cell of origin is a pluripotent h</w:t>
      </w:r>
      <w:r>
        <w:t>a</w:t>
      </w:r>
      <w:r w:rsidRPr="000A0492">
        <w:t xml:space="preserve">ematopoietic stem cell </w:t>
      </w:r>
      <w:r>
        <w:t xml:space="preserve">that is </w:t>
      </w:r>
      <w:r w:rsidRPr="000A0492">
        <w:t>capable of giving rise to lymphoid cells as well</w:t>
      </w:r>
      <w:r>
        <w:t xml:space="preserve"> </w:t>
      </w:r>
      <w:r>
        <w:fldChar w:fldCharType="begin"/>
      </w:r>
      <w:r>
        <w:instrText xml:space="preserve"> ADDIN EN.CITE &lt;EndNote&gt;&lt;Cite&gt;&lt;Author&gt;Freedman&lt;/Author&gt;&lt;Year&gt;2020&lt;/Year&gt;&lt;RecNum&gt;34&lt;/RecNum&gt;&lt;DisplayText&gt;(Freedman et al., 2020)&lt;/DisplayText&gt;&lt;record&gt;&lt;rec-number&gt;34&lt;/rec-number&gt;&lt;foreign-keys&gt;&lt;key app="EN" db-id="rpxx2texi59tzqewr09xxp96wtzx9a9wr0rv" timestamp="1633761671"&gt;34&lt;/key&gt;&lt;/foreign-keys&gt;&lt;ref-type name="Web Page"&gt;12&lt;/ref-type&gt;&lt;contributors&gt;&lt;authors&gt;&lt;author&gt;Freedman, A.S.&lt;/author&gt;&lt;author&gt;Friedberg, J.W.&lt;/author&gt;&lt;author&gt;Aster, J.C.&lt;/author&gt;&lt;/authors&gt;&lt;/contributors&gt;&lt;titles&gt;&lt;title&gt;Classification of the hematopoietic neoplasms,&lt;/title&gt;&lt;/titles&gt;&lt;number&gt;10 November 2020&lt;/number&gt;&lt;dates&gt;&lt;year&gt;2020&lt;/year&gt;&lt;/dates&gt;&lt;publisher&gt;Wolters Kluwer&lt;/publisher&gt;&lt;urls&gt;&lt;related-urls&gt;&lt;url&gt;https://www.uptodate.com/contents/classification-of-the-hematopoietic-neoplasms&lt;/url&gt;&lt;/related-urls&gt;&lt;/urls&gt;&lt;/record&gt;&lt;/Cite&gt;&lt;/EndNote&gt;</w:instrText>
      </w:r>
      <w:r>
        <w:fldChar w:fldCharType="separate"/>
      </w:r>
      <w:r>
        <w:rPr>
          <w:noProof/>
        </w:rPr>
        <w:t>(Freedman et al., 2020)</w:t>
      </w:r>
      <w:r>
        <w:fldChar w:fldCharType="end"/>
      </w:r>
      <w:r>
        <w:t xml:space="preserve">, and myeloid/lymphoid proliferations (e.g., those associated with rearrangements of </w:t>
      </w:r>
      <w:r w:rsidRPr="00DD0475">
        <w:rPr>
          <w:i/>
          <w:iCs/>
        </w:rPr>
        <w:t>FGFR1</w:t>
      </w:r>
      <w:r>
        <w:t>).</w:t>
      </w:r>
    </w:p>
    <w:p w14:paraId="65071660" w14:textId="77777777" w:rsidR="008F2628" w:rsidRPr="00B11D0A" w:rsidRDefault="008F2628" w:rsidP="008F2628">
      <w:r w:rsidRPr="00ED0259">
        <w:t xml:space="preserve">Myeloid neoplasms can be broadly classified into four </w:t>
      </w:r>
      <w:r w:rsidRPr="00B11D0A">
        <w:t>groups (see</w:t>
      </w:r>
      <w:r>
        <w:t xml:space="preserve"> </w:t>
      </w:r>
      <w:r>
        <w:fldChar w:fldCharType="begin"/>
      </w:r>
      <w:r>
        <w:instrText xml:space="preserve"> REF _Ref85200599 \h </w:instrText>
      </w:r>
      <w:r>
        <w:fldChar w:fldCharType="separate"/>
      </w:r>
      <w:r>
        <w:t xml:space="preserve">Table </w:t>
      </w:r>
      <w:r>
        <w:rPr>
          <w:noProof/>
        </w:rPr>
        <w:t>10</w:t>
      </w:r>
      <w:r>
        <w:fldChar w:fldCharType="end"/>
      </w:r>
      <w:r>
        <w:t xml:space="preserve">, </w:t>
      </w:r>
      <w:r>
        <w:fldChar w:fldCharType="begin"/>
      </w:r>
      <w:r>
        <w:instrText xml:space="preserve"> REF _Ref87423786 \h </w:instrText>
      </w:r>
      <w:r>
        <w:fldChar w:fldCharType="separate"/>
      </w:r>
      <w:r>
        <w:t>Appendix A</w:t>
      </w:r>
      <w:r>
        <w:fldChar w:fldCharType="end"/>
      </w:r>
      <w:r w:rsidRPr="00ED0259">
        <w:t>):</w:t>
      </w:r>
    </w:p>
    <w:p w14:paraId="5BF23D43" w14:textId="77777777" w:rsidR="008F2628" w:rsidRPr="00C23463" w:rsidRDefault="008F2628" w:rsidP="008F2628">
      <w:pPr>
        <w:pStyle w:val="ListParagraph"/>
        <w:numPr>
          <w:ilvl w:val="0"/>
          <w:numId w:val="78"/>
        </w:numPr>
      </w:pPr>
      <w:r>
        <w:t>A</w:t>
      </w:r>
      <w:r w:rsidRPr="00017682">
        <w:t xml:space="preserve">cute myeloid leukaemia </w:t>
      </w:r>
      <w:r w:rsidRPr="00C23463">
        <w:t xml:space="preserve">and related neoplasms. </w:t>
      </w:r>
      <w:r>
        <w:t>A</w:t>
      </w:r>
      <w:r w:rsidRPr="00017682">
        <w:t xml:space="preserve">cute myeloid leukaemia </w:t>
      </w:r>
      <w:r w:rsidRPr="00C23463">
        <w:t>is characterised by an accumulation of leuk</w:t>
      </w:r>
      <w:r w:rsidRPr="00017682">
        <w:t>a</w:t>
      </w:r>
      <w:r w:rsidRPr="00991CC0">
        <w:t>emic blasts</w:t>
      </w:r>
      <w:r w:rsidRPr="00971E99">
        <w:t xml:space="preserve"> (≥20%) or immature forms in the bone marrow and peripheral blood, with a reduction in the production of normal red blood cells, platelets, and mature granulocytes. The increased production of malignant cells, along with a reduction in mature elements, results in symptoms including anaemia, bleeding, and an increased risk of infection. </w:t>
      </w:r>
      <w:r>
        <w:t>A</w:t>
      </w:r>
      <w:r w:rsidRPr="00017682">
        <w:t xml:space="preserve">cute myeloid leukaemia </w:t>
      </w:r>
      <w:r w:rsidRPr="00971E99">
        <w:t xml:space="preserve">is the most common acute leukaemia in adults (80% of cases), whereas </w:t>
      </w:r>
      <w:r>
        <w:t>a</w:t>
      </w:r>
      <w:r w:rsidRPr="00017682">
        <w:t xml:space="preserve">cute myeloid leukaemia </w:t>
      </w:r>
      <w:r w:rsidRPr="00971E99">
        <w:t>accounts for less than 10</w:t>
      </w:r>
      <w:r>
        <w:t>%</w:t>
      </w:r>
      <w:r w:rsidRPr="00971E99">
        <w:t xml:space="preserve"> of acute leukaemias in children</w:t>
      </w:r>
      <w:r>
        <w:t xml:space="preserve"> </w:t>
      </w:r>
      <w:r>
        <w:fldChar w:fldCharType="begin"/>
      </w:r>
      <w:r>
        <w:instrText xml:space="preserve"> ADDIN EN.CITE &lt;EndNote&gt;&lt;Cite&gt;&lt;Author&gt;Schiffer&lt;/Author&gt;&lt;Year&gt;2019&lt;/Year&gt;&lt;RecNum&gt;35&lt;/RecNum&gt;&lt;DisplayText&gt;(Schiffer &amp;amp; Gurbuxani, 2019)&lt;/DisplayText&gt;&lt;record&gt;&lt;rec-number&gt;35&lt;/rec-number&gt;&lt;foreign-keys&gt;&lt;key app="EN" db-id="rpxx2texi59tzqewr09xxp96wtzx9a9wr0rv" timestamp="1633762257"&gt;35&lt;/key&gt;&lt;/foreign-keys&gt;&lt;ref-type name="Web Page"&gt;12&lt;/ref-type&gt;&lt;contributors&gt;&lt;authors&gt;&lt;author&gt;Schiffer, C.A.&lt;/author&gt;&lt;author&gt;Gurbuxani, S.&lt;/author&gt;&lt;/authors&gt;&lt;/contributors&gt;&lt;titles&gt;&lt;title&gt;Clinical manifestations, pathologic features, and diagnosis of acute myeloid leukemia&lt;/title&gt;&lt;/titles&gt;&lt;number&gt;10 November 2020&lt;/number&gt;&lt;dates&gt;&lt;year&gt;2019&lt;/year&gt;&lt;/dates&gt;&lt;publisher&gt;Wolters Kluwer&lt;/publisher&gt;&lt;urls&gt;&lt;related-urls&gt;&lt;url&gt;https://www.uptodate.com/contents/clinical-manifestations-pathologic-features-and-diagnosis-of-acute-myeloid-leukemia?search=Clinical%20manifestations,%20pathologic%20features,%20and%20diagnosis%20of%20acute%20myeloid%20leukemia&amp;amp;source=search_result&amp;amp;selectedTitle=1~150&amp;amp;usage_type=default&amp;amp;display_rank=1.&lt;/url&gt;&lt;/related-urls&gt;&lt;/urls&gt;&lt;/record&gt;&lt;/Cite&gt;&lt;/EndNote&gt;</w:instrText>
      </w:r>
      <w:r>
        <w:fldChar w:fldCharType="separate"/>
      </w:r>
      <w:r>
        <w:rPr>
          <w:noProof/>
        </w:rPr>
        <w:t>(Schiffer &amp; Gurbuxani, 2019)</w:t>
      </w:r>
      <w:r>
        <w:fldChar w:fldCharType="end"/>
      </w:r>
      <w:r>
        <w:t>;</w:t>
      </w:r>
    </w:p>
    <w:p w14:paraId="77250BC1" w14:textId="77777777" w:rsidR="008F2628" w:rsidRPr="00C23463" w:rsidRDefault="008F2628" w:rsidP="008F2628">
      <w:pPr>
        <w:pStyle w:val="ListParagraph"/>
        <w:numPr>
          <w:ilvl w:val="0"/>
          <w:numId w:val="78"/>
        </w:numPr>
      </w:pPr>
      <w:r>
        <w:t>M</w:t>
      </w:r>
      <w:r w:rsidRPr="00017682">
        <w:t>yeloproliferative neoplasms</w:t>
      </w:r>
      <w:r>
        <w:t>,</w:t>
      </w:r>
      <w:r w:rsidRPr="00017682">
        <w:t xml:space="preserve"> including </w:t>
      </w:r>
      <w:r w:rsidRPr="000A0492">
        <w:t>chronic myeloid leuk</w:t>
      </w:r>
      <w:r>
        <w:t>a</w:t>
      </w:r>
      <w:r w:rsidRPr="000A0492">
        <w:t>emia</w:t>
      </w:r>
      <w:r w:rsidRPr="00017682">
        <w:t xml:space="preserve">, are often associated with </w:t>
      </w:r>
      <w:r>
        <w:t>variants</w:t>
      </w:r>
      <w:r w:rsidRPr="00017682">
        <w:t xml:space="preserve"> that cause abnormal increases in activity of pro-growth si</w:t>
      </w:r>
      <w:r w:rsidRPr="00991CC0">
        <w:t xml:space="preserve">gnalling pathways, leading to the growth factor-independent proliferation of bone marrow progenitors. Unlike </w:t>
      </w:r>
      <w:r>
        <w:t>a</w:t>
      </w:r>
      <w:r w:rsidRPr="00017682">
        <w:t>cute myeloid leukaemia</w:t>
      </w:r>
      <w:r w:rsidRPr="00991CC0">
        <w:t>, the percentage of blasts in the bone marrow may be normal or slightly increased, but is always &lt;20</w:t>
      </w:r>
      <w:r>
        <w:t xml:space="preserve">% </w:t>
      </w:r>
      <w:r>
        <w:fldChar w:fldCharType="begin"/>
      </w:r>
      <w:r>
        <w:instrText xml:space="preserve"> ADDIN EN.CITE &lt;EndNote&gt;&lt;Cite&gt;&lt;Author&gt;Freedman&lt;/Author&gt;&lt;Year&gt;2020&lt;/Year&gt;&lt;RecNum&gt;34&lt;/RecNum&gt;&lt;DisplayText&gt;(Freedman et al., 2020)&lt;/DisplayText&gt;&lt;record&gt;&lt;rec-number&gt;34&lt;/rec-number&gt;&lt;foreign-keys&gt;&lt;key app="EN" db-id="rpxx2texi59tzqewr09xxp96wtzx9a9wr0rv" timestamp="1633761671"&gt;34&lt;/key&gt;&lt;/foreign-keys&gt;&lt;ref-type name="Web Page"&gt;12&lt;/ref-type&gt;&lt;contributors&gt;&lt;authors&gt;&lt;author&gt;Freedman, A.S.&lt;/author&gt;&lt;author&gt;Friedberg, J.W.&lt;/author&gt;&lt;author&gt;Aster, J.C.&lt;/author&gt;&lt;/authors&gt;&lt;/contributors&gt;&lt;titles&gt;&lt;title&gt;Classification of the hematopoietic neoplasms,&lt;/title&gt;&lt;/titles&gt;&lt;number&gt;10 November 2020&lt;/number&gt;&lt;dates&gt;&lt;year&gt;2020&lt;/year&gt;&lt;/dates&gt;&lt;publisher&gt;Wolters Kluwer&lt;/publisher&gt;&lt;urls&gt;&lt;related-urls&gt;&lt;url&gt;https://www.uptodate.com/contents/classification-of-the-hematopoietic-neoplasms&lt;/url&gt;&lt;/related-urls&gt;&lt;/urls&gt;&lt;/record&gt;&lt;/Cite&gt;&lt;/EndNote&gt;</w:instrText>
      </w:r>
      <w:r>
        <w:fldChar w:fldCharType="separate"/>
      </w:r>
      <w:r>
        <w:rPr>
          <w:noProof/>
        </w:rPr>
        <w:t>(Freedman et al., 2020)</w:t>
      </w:r>
      <w:r>
        <w:fldChar w:fldCharType="end"/>
      </w:r>
      <w:r w:rsidRPr="00971E99">
        <w:t>;</w:t>
      </w:r>
    </w:p>
    <w:p w14:paraId="6340D1D7" w14:textId="77777777" w:rsidR="008F2628" w:rsidRPr="00C23463" w:rsidRDefault="008F2628" w:rsidP="008F2628">
      <w:pPr>
        <w:pStyle w:val="ListParagraph"/>
        <w:numPr>
          <w:ilvl w:val="0"/>
          <w:numId w:val="78"/>
        </w:numPr>
      </w:pPr>
      <w:r>
        <w:t>M</w:t>
      </w:r>
      <w:r w:rsidRPr="00017682">
        <w:t>yelodysplastic syndromes exhibit dysplasia, ineffective blood cell production leading to cytopenia, and a risk of transformation to acute leukaemia. Bo</w:t>
      </w:r>
      <w:r w:rsidRPr="00991CC0">
        <w:t xml:space="preserve">ne marrow cellularity can be increased, but may be normal or even low, and as with </w:t>
      </w:r>
      <w:r>
        <w:t>myeloproliferative neoplasms</w:t>
      </w:r>
      <w:r w:rsidRPr="00991CC0">
        <w:t>, the percentage of blasts in the bone marrow may be normal or increased, but &lt;20</w:t>
      </w:r>
      <w:r>
        <w:t xml:space="preserve">% </w:t>
      </w:r>
      <w:r>
        <w:fldChar w:fldCharType="begin"/>
      </w:r>
      <w:r>
        <w:instrText xml:space="preserve"> ADDIN EN.CITE &lt;EndNote&gt;&lt;Cite&gt;&lt;Author&gt;Freedman&lt;/Author&gt;&lt;Year&gt;2020&lt;/Year&gt;&lt;RecNum&gt;34&lt;/RecNum&gt;&lt;DisplayText&gt;(Freedman et al., 2020)&lt;/DisplayText&gt;&lt;record&gt;&lt;rec-number&gt;34&lt;/rec-number&gt;&lt;foreign-keys&gt;&lt;key app="EN" db-id="rpxx2texi59tzqewr09xxp96wtzx9a9wr0rv" timestamp="1633761671"&gt;34&lt;/key&gt;&lt;/foreign-keys&gt;&lt;ref-type name="Web Page"&gt;12&lt;/ref-type&gt;&lt;contributors&gt;&lt;authors&gt;&lt;author&gt;Freedman, A.S.&lt;/author&gt;&lt;author&gt;Friedberg, J.W.&lt;/author&gt;&lt;author&gt;Aster, J.C.&lt;/author&gt;&lt;/authors&gt;&lt;/contributors&gt;&lt;titles&gt;&lt;title&gt;Classification of the hematopoietic neoplasms,&lt;/title&gt;&lt;/titles&gt;&lt;number&gt;10 November 2020&lt;/number&gt;&lt;dates&gt;&lt;year&gt;2020&lt;/year&gt;&lt;/dates&gt;&lt;publisher&gt;Wolters Kluwer&lt;/publisher&gt;&lt;urls&gt;&lt;related-urls&gt;&lt;url&gt;https://www.uptodate.com/contents/classification-of-the-hematopoietic-neoplasms&lt;/url&gt;&lt;/related-urls&gt;&lt;/urls&gt;&lt;/record&gt;&lt;/Cite&gt;&lt;/EndNote&gt;</w:instrText>
      </w:r>
      <w:r>
        <w:fldChar w:fldCharType="separate"/>
      </w:r>
      <w:r>
        <w:rPr>
          <w:noProof/>
        </w:rPr>
        <w:t>(Freedman et al., 2020)</w:t>
      </w:r>
      <w:r>
        <w:fldChar w:fldCharType="end"/>
      </w:r>
      <w:r>
        <w:t>;</w:t>
      </w:r>
      <w:r w:rsidRPr="00C23463">
        <w:t xml:space="preserve"> and</w:t>
      </w:r>
    </w:p>
    <w:p w14:paraId="48BF0025" w14:textId="77777777" w:rsidR="008F2628" w:rsidRPr="00C23463" w:rsidRDefault="008F2628" w:rsidP="008F2628">
      <w:pPr>
        <w:pStyle w:val="ListParagraph"/>
        <w:numPr>
          <w:ilvl w:val="0"/>
          <w:numId w:val="78"/>
        </w:numPr>
      </w:pPr>
      <w:r>
        <w:t>M</w:t>
      </w:r>
      <w:r w:rsidRPr="00017682">
        <w:t>yelodysplastic/myeloproliferative neoplasms</w:t>
      </w:r>
      <w:r w:rsidDel="00A63081">
        <w:t xml:space="preserve"> </w:t>
      </w:r>
      <w:r w:rsidRPr="00971E99">
        <w:t>include disorders where both dysplastic and proliferative features co-exist</w:t>
      </w:r>
      <w:r>
        <w:t xml:space="preserve"> </w:t>
      </w:r>
      <w:r>
        <w:fldChar w:fldCharType="begin"/>
      </w:r>
      <w:r>
        <w:instrText xml:space="preserve"> ADDIN EN.CITE &lt;EndNote&gt;&lt;Cite&gt;&lt;Author&gt;Freedman&lt;/Author&gt;&lt;Year&gt;2020&lt;/Year&gt;&lt;RecNum&gt;34&lt;/RecNum&gt;&lt;DisplayText&gt;(Freedman et al., 2020)&lt;/DisplayText&gt;&lt;record&gt;&lt;rec-number&gt;34&lt;/rec-number&gt;&lt;foreign-keys&gt;&lt;key app="EN" db-id="rpxx2texi59tzqewr09xxp96wtzx9a9wr0rv" timestamp="1633761671"&gt;34&lt;/key&gt;&lt;/foreign-keys&gt;&lt;ref-type name="Web Page"&gt;12&lt;/ref-type&gt;&lt;contributors&gt;&lt;authors&gt;&lt;author&gt;Freedman, A.S.&lt;/author&gt;&lt;author&gt;Friedberg, J.W.&lt;/author&gt;&lt;author&gt;Aster, J.C.&lt;/author&gt;&lt;/authors&gt;&lt;/contributors&gt;&lt;titles&gt;&lt;title&gt;Classification of the hematopoietic neoplasms,&lt;/title&gt;&lt;/titles&gt;&lt;number&gt;10 November 2020&lt;/number&gt;&lt;dates&gt;&lt;year&gt;2020&lt;/year&gt;&lt;/dates&gt;&lt;publisher&gt;Wolters Kluwer&lt;/publisher&gt;&lt;urls&gt;&lt;related-urls&gt;&lt;url&gt;https://www.uptodate.com/contents/classification-of-the-hematopoietic-neoplasms&lt;/url&gt;&lt;/related-urls&gt;&lt;/urls&gt;&lt;/record&gt;&lt;/Cite&gt;&lt;/EndNote&gt;</w:instrText>
      </w:r>
      <w:r>
        <w:fldChar w:fldCharType="separate"/>
      </w:r>
      <w:r>
        <w:rPr>
          <w:noProof/>
        </w:rPr>
        <w:t>(Freedman et al., 2020)</w:t>
      </w:r>
      <w:r>
        <w:fldChar w:fldCharType="end"/>
      </w:r>
      <w:r>
        <w:t>.</w:t>
      </w:r>
    </w:p>
    <w:p w14:paraId="62755984" w14:textId="77777777" w:rsidR="008F2628" w:rsidRPr="000A0492" w:rsidRDefault="008F2628" w:rsidP="008F2628">
      <w:pPr>
        <w:rPr>
          <w:szCs w:val="20"/>
        </w:rPr>
      </w:pPr>
      <w:r w:rsidRPr="000A0492">
        <w:rPr>
          <w:szCs w:val="20"/>
        </w:rPr>
        <w:t xml:space="preserve">Some myeloid neoplasms show features that overlap between those of a </w:t>
      </w:r>
      <w:r>
        <w:t>m</w:t>
      </w:r>
      <w:r w:rsidRPr="00017682">
        <w:t>yeloproliferative neoplasm</w:t>
      </w:r>
      <w:r>
        <w:t xml:space="preserve"> </w:t>
      </w:r>
      <w:r w:rsidRPr="000A0492">
        <w:rPr>
          <w:szCs w:val="20"/>
        </w:rPr>
        <w:t xml:space="preserve">and a </w:t>
      </w:r>
      <w:r w:rsidRPr="00017682">
        <w:t>myelodysplastic syndrome</w:t>
      </w:r>
      <w:r w:rsidRPr="000A0492">
        <w:rPr>
          <w:szCs w:val="20"/>
        </w:rPr>
        <w:t xml:space="preserve">, and all </w:t>
      </w:r>
      <w:r>
        <w:t>m</w:t>
      </w:r>
      <w:r w:rsidRPr="00017682">
        <w:t>yeloproliferative neoplasm</w:t>
      </w:r>
      <w:r>
        <w:t xml:space="preserve">s </w:t>
      </w:r>
      <w:r w:rsidRPr="000A0492">
        <w:rPr>
          <w:szCs w:val="20"/>
        </w:rPr>
        <w:t xml:space="preserve">and </w:t>
      </w:r>
      <w:r w:rsidRPr="00017682">
        <w:t xml:space="preserve">myelodysplastic syndromes </w:t>
      </w:r>
      <w:r w:rsidRPr="000A0492">
        <w:rPr>
          <w:szCs w:val="20"/>
        </w:rPr>
        <w:t xml:space="preserve">have the potential to transform into </w:t>
      </w:r>
      <w:r>
        <w:t>a</w:t>
      </w:r>
      <w:r w:rsidRPr="00017682">
        <w:t>cute myeloid leukaemia</w:t>
      </w:r>
      <w:r w:rsidRPr="000A0492">
        <w:rPr>
          <w:szCs w:val="20"/>
        </w:rPr>
        <w:t>.</w:t>
      </w:r>
      <w:r>
        <w:rPr>
          <w:szCs w:val="20"/>
        </w:rPr>
        <w:t xml:space="preserve"> </w:t>
      </w:r>
      <w:r>
        <w:t>A</w:t>
      </w:r>
      <w:r w:rsidRPr="00017682">
        <w:t>cute myeloid leukaemia</w:t>
      </w:r>
      <w:r>
        <w:rPr>
          <w:szCs w:val="20"/>
        </w:rPr>
        <w:t xml:space="preserve">s are very </w:t>
      </w:r>
      <w:r w:rsidRPr="000A0492">
        <w:rPr>
          <w:szCs w:val="20"/>
        </w:rPr>
        <w:t>aggressive</w:t>
      </w:r>
      <w:r>
        <w:rPr>
          <w:szCs w:val="20"/>
        </w:rPr>
        <w:t xml:space="preserve">, requiring immediate treatment, whereas </w:t>
      </w:r>
      <w:r>
        <w:t>m</w:t>
      </w:r>
      <w:r w:rsidRPr="00017682">
        <w:t>yeloproliferative neoplasm</w:t>
      </w:r>
      <w:r>
        <w:t xml:space="preserve">s </w:t>
      </w:r>
      <w:r w:rsidRPr="000A0492">
        <w:rPr>
          <w:szCs w:val="20"/>
        </w:rPr>
        <w:t xml:space="preserve">and </w:t>
      </w:r>
      <w:r w:rsidRPr="00017682">
        <w:t xml:space="preserve">myelodysplastic syndromes </w:t>
      </w:r>
      <w:r>
        <w:rPr>
          <w:szCs w:val="20"/>
        </w:rPr>
        <w:t xml:space="preserve">are often </w:t>
      </w:r>
      <w:r w:rsidRPr="000A0492">
        <w:rPr>
          <w:szCs w:val="20"/>
        </w:rPr>
        <w:t>indolent</w:t>
      </w:r>
      <w:r>
        <w:rPr>
          <w:szCs w:val="20"/>
        </w:rPr>
        <w:t xml:space="preserve">, and usually do not require immediate or aggressive treatment </w:t>
      </w:r>
      <w:r>
        <w:rPr>
          <w:szCs w:val="20"/>
        </w:rPr>
        <w:fldChar w:fldCharType="begin"/>
      </w:r>
      <w:r>
        <w:rPr>
          <w:szCs w:val="20"/>
        </w:rPr>
        <w:instrText xml:space="preserve"> ADDIN EN.CITE &lt;EndNote&gt;&lt;Cite&gt;&lt;Author&gt;Freedman&lt;/Author&gt;&lt;Year&gt;2020&lt;/Year&gt;&lt;RecNum&gt;34&lt;/RecNum&gt;&lt;DisplayText&gt;(Freedman et al., 2020)&lt;/DisplayText&gt;&lt;record&gt;&lt;rec-number&gt;34&lt;/rec-number&gt;&lt;foreign-keys&gt;&lt;key app="EN" db-id="rpxx2texi59tzqewr09xxp96wtzx9a9wr0rv" timestamp="1633761671"&gt;34&lt;/key&gt;&lt;/foreign-keys&gt;&lt;ref-type name="Web Page"&gt;12&lt;/ref-type&gt;&lt;contributors&gt;&lt;authors&gt;&lt;author&gt;Freedman, A.S.&lt;/author&gt;&lt;author&gt;Friedberg, J.W.&lt;/author&gt;&lt;author&gt;Aster, J.C.&lt;/author&gt;&lt;/authors&gt;&lt;/contributors&gt;&lt;titles&gt;&lt;title&gt;Classification of the hematopoietic neoplasms,&lt;/title&gt;&lt;/titles&gt;&lt;number&gt;10 November 2020&lt;/number&gt;&lt;dates&gt;&lt;year&gt;2020&lt;/year&gt;&lt;/dates&gt;&lt;publisher&gt;Wolters Kluwer&lt;/publisher&gt;&lt;urls&gt;&lt;related-urls&gt;&lt;url&gt;https://www.uptodate.com/contents/classification-of-the-hematopoietic-neoplasms&lt;/url&gt;&lt;/related-urls&gt;&lt;/urls&gt;&lt;/record&gt;&lt;/Cite&gt;&lt;/EndNote&gt;</w:instrText>
      </w:r>
      <w:r>
        <w:rPr>
          <w:szCs w:val="20"/>
        </w:rPr>
        <w:fldChar w:fldCharType="separate"/>
      </w:r>
      <w:r>
        <w:rPr>
          <w:noProof/>
          <w:szCs w:val="20"/>
        </w:rPr>
        <w:t>(Freedman et al., 2020)</w:t>
      </w:r>
      <w:r>
        <w:rPr>
          <w:szCs w:val="20"/>
        </w:rPr>
        <w:fldChar w:fldCharType="end"/>
      </w:r>
      <w:r>
        <w:rPr>
          <w:szCs w:val="20"/>
        </w:rPr>
        <w:t>.</w:t>
      </w:r>
    </w:p>
    <w:p w14:paraId="4AF80122" w14:textId="77777777" w:rsidR="008F2628" w:rsidRDefault="008F2628" w:rsidP="008F2628">
      <w:pPr>
        <w:rPr>
          <w:szCs w:val="20"/>
        </w:rPr>
      </w:pPr>
      <w:r w:rsidRPr="00263A06">
        <w:t>Lymphoid neoplasms</w:t>
      </w:r>
      <w:r>
        <w:rPr>
          <w:szCs w:val="20"/>
        </w:rPr>
        <w:t xml:space="preserve"> </w:t>
      </w:r>
      <w:r w:rsidRPr="00E86435">
        <w:rPr>
          <w:szCs w:val="20"/>
        </w:rPr>
        <w:t>arise from the malignant transformation of normal lymphoid cells at various stages of differentiation</w:t>
      </w:r>
      <w:r>
        <w:rPr>
          <w:szCs w:val="20"/>
        </w:rPr>
        <w:t>. Lymphoid neoplasms</w:t>
      </w:r>
      <w:r w:rsidRPr="000A0492">
        <w:rPr>
          <w:szCs w:val="20"/>
        </w:rPr>
        <w:t xml:space="preserve"> </w:t>
      </w:r>
      <w:r>
        <w:rPr>
          <w:szCs w:val="20"/>
        </w:rPr>
        <w:t>may d</w:t>
      </w:r>
      <w:r w:rsidRPr="000A0492">
        <w:rPr>
          <w:szCs w:val="20"/>
        </w:rPr>
        <w:t>erive from B cell progenitors (bone marrow derived), T cell progenitors (thymus-derived), mature T lymphocytes (cytotoxic T cells, helper T cells, or T regulatory cells) or mature B lymphocytes (B cells or plasma cells)</w:t>
      </w:r>
      <w:r>
        <w:t xml:space="preserve"> </w:t>
      </w:r>
      <w:r>
        <w:fldChar w:fldCharType="begin"/>
      </w:r>
      <w:r>
        <w:instrText xml:space="preserve"> ADDIN EN.CITE &lt;EndNote&gt;&lt;Cite&gt;&lt;Author&gt;Freedman&lt;/Author&gt;&lt;Year&gt;2020&lt;/Year&gt;&lt;RecNum&gt;34&lt;/RecNum&gt;&lt;DisplayText&gt;(Freedman et al., 2020)&lt;/DisplayText&gt;&lt;record&gt;&lt;rec-number&gt;34&lt;/rec-number&gt;&lt;foreign-keys&gt;&lt;key app="EN" db-id="rpxx2texi59tzqewr09xxp96wtzx9a9wr0rv" timestamp="1633761671"&gt;34&lt;/key&gt;&lt;/foreign-keys&gt;&lt;ref-type name="Web Page"&gt;12&lt;/ref-type&gt;&lt;contributors&gt;&lt;authors&gt;&lt;author&gt;Freedman, A.S.&lt;/author&gt;&lt;author&gt;Friedberg, J.W.&lt;/author&gt;&lt;author&gt;Aster, J.C.&lt;/author&gt;&lt;/authors&gt;&lt;/contributors&gt;&lt;titles&gt;&lt;title&gt;Classification of the hematopoietic neoplasms,&lt;/title&gt;&lt;/titles&gt;&lt;number&gt;10 November 2020&lt;/number&gt;&lt;dates&gt;&lt;year&gt;2020&lt;/year&gt;&lt;/dates&gt;&lt;publisher&gt;Wolters Kluwer&lt;/publisher&gt;&lt;urls&gt;&lt;related-urls&gt;&lt;url&gt;https://www.uptodate.com/contents/classification-of-the-hematopoietic-neoplasms&lt;/url&gt;&lt;/related-urls&gt;&lt;/urls&gt;&lt;/record&gt;&lt;/Cite&gt;&lt;/EndNote&gt;</w:instrText>
      </w:r>
      <w:r>
        <w:fldChar w:fldCharType="separate"/>
      </w:r>
      <w:r>
        <w:rPr>
          <w:noProof/>
        </w:rPr>
        <w:t>(Freedman et al., 2020)</w:t>
      </w:r>
      <w:r>
        <w:fldChar w:fldCharType="end"/>
      </w:r>
      <w:r>
        <w:t xml:space="preserve">. As such, </w:t>
      </w:r>
      <w:r>
        <w:rPr>
          <w:szCs w:val="20"/>
        </w:rPr>
        <w:t xml:space="preserve">lymphoid neoplasms can be divided into three broad </w:t>
      </w:r>
      <w:r w:rsidRPr="0095380F">
        <w:rPr>
          <w:szCs w:val="20"/>
        </w:rPr>
        <w:t>categories (see</w:t>
      </w:r>
      <w:r>
        <w:rPr>
          <w:szCs w:val="20"/>
        </w:rPr>
        <w:t xml:space="preserve"> </w:t>
      </w:r>
      <w:r>
        <w:rPr>
          <w:szCs w:val="20"/>
        </w:rPr>
        <w:fldChar w:fldCharType="begin"/>
      </w:r>
      <w:r>
        <w:rPr>
          <w:szCs w:val="20"/>
        </w:rPr>
        <w:instrText xml:space="preserve"> REF _Ref85200276 \h </w:instrText>
      </w:r>
      <w:r>
        <w:rPr>
          <w:szCs w:val="20"/>
        </w:rPr>
      </w:r>
      <w:r>
        <w:rPr>
          <w:szCs w:val="20"/>
        </w:rPr>
        <w:fldChar w:fldCharType="separate"/>
      </w:r>
      <w:r>
        <w:t xml:space="preserve">Table </w:t>
      </w:r>
      <w:r>
        <w:rPr>
          <w:noProof/>
        </w:rPr>
        <w:t>9</w:t>
      </w:r>
      <w:r>
        <w:rPr>
          <w:szCs w:val="20"/>
        </w:rPr>
        <w:fldChar w:fldCharType="end"/>
      </w:r>
      <w:r>
        <w:rPr>
          <w:szCs w:val="20"/>
        </w:rPr>
        <w:t xml:space="preserve">, </w:t>
      </w:r>
      <w:r>
        <w:rPr>
          <w:szCs w:val="20"/>
        </w:rPr>
        <w:fldChar w:fldCharType="begin"/>
      </w:r>
      <w:r>
        <w:rPr>
          <w:szCs w:val="20"/>
        </w:rPr>
        <w:instrText xml:space="preserve"> REF _Ref87423786 \h </w:instrText>
      </w:r>
      <w:r>
        <w:rPr>
          <w:szCs w:val="20"/>
        </w:rPr>
      </w:r>
      <w:r>
        <w:rPr>
          <w:szCs w:val="20"/>
        </w:rPr>
        <w:fldChar w:fldCharType="separate"/>
      </w:r>
      <w:r>
        <w:t>Appendix A</w:t>
      </w:r>
      <w:r>
        <w:rPr>
          <w:szCs w:val="20"/>
        </w:rPr>
        <w:fldChar w:fldCharType="end"/>
      </w:r>
      <w:r w:rsidRPr="0095380F">
        <w:rPr>
          <w:szCs w:val="20"/>
        </w:rPr>
        <w:t>):</w:t>
      </w:r>
    </w:p>
    <w:p w14:paraId="27504993" w14:textId="77777777" w:rsidR="008F2628" w:rsidRPr="00C23463" w:rsidRDefault="008F2628" w:rsidP="008F2628">
      <w:pPr>
        <w:pStyle w:val="ListParagraph"/>
        <w:numPr>
          <w:ilvl w:val="0"/>
          <w:numId w:val="77"/>
        </w:numPr>
      </w:pPr>
      <w:r>
        <w:lastRenderedPageBreak/>
        <w:t>Hodgkin lymphoma</w:t>
      </w:r>
      <w:r w:rsidRPr="00C23463">
        <w:t xml:space="preserve"> </w:t>
      </w:r>
      <w:r w:rsidRPr="00017682">
        <w:t>accounts for approximately 10</w:t>
      </w:r>
      <w:r>
        <w:t>%</w:t>
      </w:r>
      <w:r w:rsidRPr="00991CC0">
        <w:t xml:space="preserve"> of all lymphomas</w:t>
      </w:r>
      <w:r>
        <w:t xml:space="preserve"> </w:t>
      </w:r>
      <w:r>
        <w:fldChar w:fldCharType="begin"/>
      </w:r>
      <w:r>
        <w:instrText xml:space="preserve"> ADDIN EN.CITE &lt;EndNote&gt;&lt;Cite&gt;&lt;Author&gt;Shankland&lt;/Author&gt;&lt;Year&gt;2012&lt;/Year&gt;&lt;RecNum&gt;36&lt;/RecNum&gt;&lt;DisplayText&gt;(Shankland, Armitage, &amp;amp; Hancock, 2012)&lt;/DisplayText&gt;&lt;record&gt;&lt;rec-number&gt;36&lt;/rec-number&gt;&lt;foreign-keys&gt;&lt;key app="EN" db-id="rpxx2texi59tzqewr09xxp96wtzx9a9wr0rv" timestamp="1633762337"&gt;36&lt;/key&gt;&lt;/foreign-keys&gt;&lt;ref-type name="Journal Article"&gt;17&lt;/ref-type&gt;&lt;contributors&gt;&lt;authors&gt;&lt;author&gt;Shankland, K. R.&lt;/author&gt;&lt;author&gt;Armitage, J. O.&lt;/author&gt;&lt;author&gt;Hancock, B. W.&lt;/author&gt;&lt;/authors&gt;&lt;/contributors&gt;&lt;auth-address&gt;Academic Unit of Clinical Oncology, Weston Park Hospital, Sheffield, UK. kate.shankland@sth.nhs.uk&lt;/auth-address&gt;&lt;titles&gt;&lt;title&gt;Non-Hodgkin lymphoma&lt;/title&gt;&lt;secondary-title&gt;Lancet&lt;/secondary-title&gt;&lt;/titles&gt;&lt;periodical&gt;&lt;full-title&gt;Lancet&lt;/full-title&gt;&lt;/periodical&gt;&lt;pages&gt;848-57&lt;/pages&gt;&lt;volume&gt;380&lt;/volume&gt;&lt;number&gt;9844&lt;/number&gt;&lt;edition&gt;2012/07/28&lt;/edition&gt;&lt;keywords&gt;&lt;keyword&gt;Antineoplastic Agents/therapeutic use&lt;/keyword&gt;&lt;keyword&gt;Humans&lt;/keyword&gt;&lt;keyword&gt;Lymphoma, Non-Hodgkin/classification/*diagnosis/drug therapy/epidemiology&lt;/keyword&gt;&lt;keyword&gt;Neoplasm Staging&lt;/keyword&gt;&lt;keyword&gt;Prognosis&lt;/keyword&gt;&lt;/keywords&gt;&lt;dates&gt;&lt;year&gt;2012&lt;/year&gt;&lt;pub-dates&gt;&lt;date&gt;Sep 1&lt;/date&gt;&lt;/pub-dates&gt;&lt;/dates&gt;&lt;isbn&gt;1474-547X (Electronic)&amp;#xD;0140-6736 (Linking)&lt;/isbn&gt;&lt;accession-num&gt;22835603&lt;/accession-num&gt;&lt;urls&gt;&lt;related-urls&gt;&lt;url&gt;https://www.ncbi.nlm.nih.gov/pubmed/22835603&lt;/url&gt;&lt;/related-urls&gt;&lt;/urls&gt;&lt;electronic-resource-num&gt;10.1016/S0140-6736(12)60605-9&lt;/electronic-resource-num&gt;&lt;/record&gt;&lt;/Cite&gt;&lt;/EndNote&gt;</w:instrText>
      </w:r>
      <w:r>
        <w:fldChar w:fldCharType="separate"/>
      </w:r>
      <w:r>
        <w:rPr>
          <w:noProof/>
        </w:rPr>
        <w:t>(Shankland, Armitage, &amp; Hancock, 2012)</w:t>
      </w:r>
      <w:r>
        <w:fldChar w:fldCharType="end"/>
      </w:r>
      <w:r>
        <w:t>.</w:t>
      </w:r>
      <w:r w:rsidRPr="00C23463">
        <w:t xml:space="preserve"> </w:t>
      </w:r>
      <w:r w:rsidRPr="00206B3B">
        <w:t xml:space="preserve">Hodgkin lymphoma </w:t>
      </w:r>
      <w:r w:rsidRPr="00C23463">
        <w:t>is a neoplasm deri</w:t>
      </w:r>
      <w:r w:rsidRPr="00017682">
        <w:t>ved from B cells that spreads via the lymphatic system or the blood, and may affect a single lymph node, or a group of lymph nodes. Other commonly affected sites include the spleen, liver, lungs, and bone marrow. With the exception of the nodular lymphocyt</w:t>
      </w:r>
      <w:r w:rsidRPr="00991CC0">
        <w:t xml:space="preserve">e-predominant </w:t>
      </w:r>
      <w:r>
        <w:t>H</w:t>
      </w:r>
      <w:r w:rsidRPr="00206B3B">
        <w:t xml:space="preserve">odgkin lymphoma </w:t>
      </w:r>
      <w:r w:rsidRPr="00991CC0">
        <w:t xml:space="preserve">subtype (5-10% of all </w:t>
      </w:r>
      <w:r>
        <w:t>H</w:t>
      </w:r>
      <w:r w:rsidRPr="00206B3B">
        <w:t>odgkin lymphoma</w:t>
      </w:r>
      <w:r>
        <w:t>s</w:t>
      </w:r>
      <w:r w:rsidRPr="00991CC0">
        <w:t xml:space="preserve">), </w:t>
      </w:r>
      <w:r>
        <w:t>H</w:t>
      </w:r>
      <w:r w:rsidRPr="00206B3B">
        <w:t xml:space="preserve">odgkin lymphoma </w:t>
      </w:r>
      <w:r w:rsidRPr="00971E99">
        <w:t>is characterised by the presence of large malignant multinucleated Reed-Sternberg cells, which have lost their B-cell phenotype and demonstrate an unusual expression of many markers of other haematopoietic cell lineages</w:t>
      </w:r>
      <w:r>
        <w:t xml:space="preserve"> </w:t>
      </w:r>
      <w:r>
        <w:fldChar w:fldCharType="begin">
          <w:fldData xml:space="preserve">PEVuZE5vdGU+PENpdGU+PEF1dGhvcj5NYXRoYXM8L0F1dGhvcj48WWVhcj4yMDE2PC9ZZWFyPjxS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</w:fldData>
        </w:fldChar>
      </w:r>
      <w:r>
        <w:instrText xml:space="preserve"> ADDIN EN.CITE </w:instrText>
      </w:r>
      <w:r>
        <w:fldChar w:fldCharType="begin">
          <w:fldData xml:space="preserve">PEVuZE5vdGU+PENpdGU+PEF1dGhvcj5NYXRoYXM8L0F1dGhvcj48WWVhcj4yMDE2PC9ZZWFyPjxS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</w:fldData>
        </w:fldChar>
      </w:r>
      <w:r>
        <w:instrText xml:space="preserve"> ADDIN EN.CITE.DATA </w:instrText>
      </w:r>
      <w:r>
        <w:fldChar w:fldCharType="end"/>
      </w:r>
      <w:r>
        <w:fldChar w:fldCharType="separate"/>
      </w:r>
      <w:r>
        <w:rPr>
          <w:noProof/>
        </w:rPr>
        <w:t>(Ansell, 2015; Mathas, Hartmann, &amp; Kuppers, 2016; Wang, Balakrishna, Pittaluga, &amp; Jaffe, 2019)</w:t>
      </w:r>
      <w:r>
        <w:fldChar w:fldCharType="end"/>
      </w:r>
      <w:r>
        <w:t>.</w:t>
      </w:r>
    </w:p>
    <w:p w14:paraId="4E23462C" w14:textId="77777777" w:rsidR="008F2628" w:rsidRPr="00C23463" w:rsidRDefault="008F2628" w:rsidP="008F2628">
      <w:pPr>
        <w:pStyle w:val="ListParagraph"/>
        <w:numPr>
          <w:ilvl w:val="0"/>
          <w:numId w:val="77"/>
        </w:numPr>
      </w:pPr>
      <w:r>
        <w:t>M</w:t>
      </w:r>
      <w:r w:rsidRPr="00017682">
        <w:t xml:space="preserve">ature B-cell neoplasms </w:t>
      </w:r>
      <w:r w:rsidRPr="00991CC0">
        <w:t>or non-Hodgkin lymphomas and multip</w:t>
      </w:r>
      <w:r w:rsidRPr="00971E99">
        <w:t>le myeloma, encompassing at least 60 subtypes and represent</w:t>
      </w:r>
      <w:r>
        <w:t>ing</w:t>
      </w:r>
      <w:r w:rsidRPr="00971E99">
        <w:t xml:space="preserve"> one of the most common cancers. Most cases of </w:t>
      </w:r>
      <w:r w:rsidRPr="00991CC0">
        <w:t xml:space="preserve">non-Hodgkin lymphomas </w:t>
      </w:r>
      <w:r w:rsidRPr="00971E99">
        <w:t>(85-90%) are B-cell lymphomas, with the remaining arising from T-cells or natural killer cells. Patients usually present with enlarged lymph nodes and either an</w:t>
      </w:r>
      <w:r w:rsidRPr="00C479C0">
        <w:t xml:space="preserve"> </w:t>
      </w:r>
      <w:r w:rsidRPr="00C23463">
        <w:t>excision or guided core biopsy</w:t>
      </w:r>
      <w:r w:rsidRPr="00C479C0">
        <w:t xml:space="preserve"> </w:t>
      </w:r>
      <w:r w:rsidRPr="00C23463">
        <w:t>is required to confirm the diagnosis, noting that a fine needle biopsy is usually insufficient for diagnosis</w:t>
      </w:r>
      <w:r>
        <w:t xml:space="preserve"> </w:t>
      </w:r>
      <w:r>
        <w:fldChar w:fldCharType="begin">
          <w:fldData xml:space="preserve">PEVuZE5vdGU+PENpdGU+PEF1dGhvcj5TaGFua2xhbmQ8L0F1dGhvcj48WWVhcj4yMDEyPC9ZZWFy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</w:fldData>
        </w:fldChar>
      </w:r>
      <w:r>
        <w:instrText xml:space="preserve"> ADDIN EN.CITE </w:instrText>
      </w:r>
      <w:r>
        <w:fldChar w:fldCharType="begin">
          <w:fldData xml:space="preserve">PEVuZE5vdGU+PENpdGU+PEF1dGhvcj5TaGFua2xhbmQ8L0F1dGhvcj48WWVhcj4yMDEyPC9ZZWFy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</w:fldData>
        </w:fldChar>
      </w:r>
      <w:r>
        <w:instrText xml:space="preserve"> ADDIN EN.CITE.DATA </w:instrText>
      </w:r>
      <w:r>
        <w:fldChar w:fldCharType="end"/>
      </w:r>
      <w:r>
        <w:fldChar w:fldCharType="separate"/>
      </w:r>
      <w:r>
        <w:rPr>
          <w:noProof/>
        </w:rPr>
        <w:t>(Bowzyk Al-Naeeb, Ajithkumar, Behan, &amp; Hodson, 2018; Shankland et al., 2012)</w:t>
      </w:r>
      <w:r>
        <w:fldChar w:fldCharType="end"/>
      </w:r>
      <w:r w:rsidRPr="00C479C0">
        <w:t>; and</w:t>
      </w:r>
    </w:p>
    <w:p w14:paraId="3A47E18C" w14:textId="77777777" w:rsidR="008F2628" w:rsidRDefault="008F2628" w:rsidP="008F2628">
      <w:pPr>
        <w:pStyle w:val="ListParagraph"/>
        <w:numPr>
          <w:ilvl w:val="0"/>
          <w:numId w:val="77"/>
        </w:numPr>
      </w:pPr>
      <w:r>
        <w:t>P</w:t>
      </w:r>
      <w:r w:rsidRPr="00017682">
        <w:t xml:space="preserve">recursor lymphoid neoplasms are characterised by the proliferation of immature (blast) cells of B-cell or T-cell lineage. Acute lymphoblastic leukemias and lymphoblastic lymphomas </w:t>
      </w:r>
      <w:r w:rsidRPr="00991CC0">
        <w:t>can occur at any age; however, they are the most common type of childhood malignancy. L</w:t>
      </w:r>
      <w:r>
        <w:t>ymphoblastic lymphoma</w:t>
      </w:r>
      <w:r w:rsidRPr="00991CC0">
        <w:t>s are defined as cases</w:t>
      </w:r>
      <w:r w:rsidRPr="00971E99">
        <w:t xml:space="preserve"> with tissue involvement with minimal or no involvement of the blood and bone marrow (less than 25% replacement of the marrow cellularity by lymphoid blasts). Most cases of </w:t>
      </w:r>
      <w:r w:rsidRPr="00017682">
        <w:t xml:space="preserve">lymphoblastic lymphomas </w:t>
      </w:r>
      <w:r w:rsidRPr="00971E99">
        <w:t>are of T-cell origin, with B-lymphoblastic lymphoma accounting for only 10</w:t>
      </w:r>
      <w:r>
        <w:t>%</w:t>
      </w:r>
      <w:r w:rsidRPr="00971E99">
        <w:t xml:space="preserve"> of </w:t>
      </w:r>
      <w:r w:rsidRPr="00017682">
        <w:t xml:space="preserve">lymphoblastic lymphoma </w:t>
      </w:r>
      <w:r w:rsidRPr="00971E99">
        <w:t xml:space="preserve">cases, with disease mainly involving lymph nodes or extra-nodal sites such as the central nervous system, bone, skin, and testis. </w:t>
      </w:r>
      <w:r w:rsidRPr="00017682">
        <w:t xml:space="preserve">Acute lymphoblastic leukemias </w:t>
      </w:r>
      <w:r w:rsidRPr="00971E99">
        <w:t>are cases with greater than 25</w:t>
      </w:r>
      <w:r>
        <w:t>%</w:t>
      </w:r>
      <w:r w:rsidRPr="00971E99">
        <w:t xml:space="preserve"> marrow involvement. </w:t>
      </w:r>
      <w:r w:rsidRPr="00017682">
        <w:t>Acute lymphoblastic leukemia</w:t>
      </w:r>
      <w:r>
        <w:t xml:space="preserve"> </w:t>
      </w:r>
      <w:r w:rsidRPr="00971E99">
        <w:t>is a highly aggressive neoplasm that requires intensive chemotherapy</w:t>
      </w:r>
      <w:r>
        <w:t xml:space="preserve"> </w:t>
      </w:r>
      <w:r>
        <w:fldChar w:fldCharType="begin"/>
      </w:r>
      <w:r>
        <w:instrText xml:space="preserve"> ADDIN EN.CITE &lt;EndNote&gt;&lt;Cite&gt;&lt;Author&gt;Nasr&lt;/Author&gt;&lt;Year&gt;2019&lt;/Year&gt;&lt;RecNum&gt;52&lt;/RecNum&gt;&lt;DisplayText&gt;(Choi, 2018; Nasr, Perry, &amp;amp; Skrabek, 2019)&lt;/DisplayText&gt;&lt;record&gt;&lt;rec-number&gt;52&lt;/rec-number&gt;&lt;foreign-keys&gt;&lt;key app="EN" db-id="rpxx2texi59tzqewr09xxp96wtzx9a9wr0rv" timestamp="1633766489"&gt;52&lt;/key&gt;&lt;/foreign-keys&gt;&lt;ref-type name="Book"&gt;6&lt;/ref-type&gt;&lt;contributors&gt;&lt;authors&gt;&lt;author&gt;Nasr, M.R.,&lt;/author&gt;&lt;author&gt;Perry, A.M.&amp;apos;&lt;/author&gt;&lt;author&gt;Skrabek, P.,&lt;/author&gt;&lt;/authors&gt;&lt;/contributors&gt;&lt;titles&gt;&lt;title&gt;Precursor Lymphoid Neoplasms.  Lymph Node Pathology for Clinicians&lt;/title&gt;&lt;/titles&gt;&lt;section&gt;73-78&lt;/section&gt;&lt;dates&gt;&lt;year&gt;2019&lt;/year&gt;&lt;/dates&gt;&lt;pub-location&gt;Cham&lt;/pub-location&gt;&lt;publisher&gt;Springer International Publishing&lt;/publisher&gt;&lt;urls&gt;&lt;/urls&gt;&lt;/record&gt;&lt;/Cite&gt;&lt;Cite&gt;&lt;Author&gt;Choi&lt;/Author&gt;&lt;Year&gt;2018&lt;/Year&gt;&lt;RecNum&gt;53&lt;/RecNum&gt;&lt;record&gt;&lt;rec-number&gt;53&lt;/rec-number&gt;&lt;foreign-keys&gt;&lt;key app="EN" db-id="rpxx2texi59tzqewr09xxp96wtzx9a9wr0rv" timestamp="1633766649"&gt;53&lt;/key&gt;&lt;/foreign-keys&gt;&lt;ref-type name="Book Section"&gt;5&lt;/ref-type&gt;&lt;contributors&gt;&lt;authors&gt;&lt;author&gt;Choi, J.K.,&lt;/author&gt;&lt;/authors&gt;&lt;secondary-authors&gt;&lt;author&gt;Hsi E.D.,&lt;/author&gt;&lt;/secondary-authors&gt;&lt;/contributors&gt;&lt;titles&gt;&lt;title&gt;Precursor Lymphoid Neoplasms&lt;/title&gt;&lt;secondary-title&gt;Hematopathology (Third Edition)&lt;/secondary-title&gt;&lt;/titles&gt;&lt;pages&gt;467-80&lt;/pages&gt;&lt;dates&gt;&lt;year&gt;2018&lt;/year&gt;&lt;/dates&gt;&lt;pub-location&gt;Philadelphia&lt;/pub-location&gt;&lt;publisher&gt;Elsiever&lt;/publisher&gt;&lt;urls&gt;&lt;/urls&gt;&lt;/record&gt;&lt;/Cite&gt;&lt;/EndNote&gt;</w:instrText>
      </w:r>
      <w:r>
        <w:fldChar w:fldCharType="separate"/>
      </w:r>
      <w:r>
        <w:rPr>
          <w:noProof/>
        </w:rPr>
        <w:t>(Choi, 2018; Nasr, Perry, &amp; Skrabek, 2019)</w:t>
      </w:r>
      <w:r>
        <w:fldChar w:fldCharType="end"/>
      </w:r>
      <w:r>
        <w:t>.</w:t>
      </w:r>
    </w:p>
    <w:p w14:paraId="72A49059" w14:textId="77777777" w:rsidR="008F2628" w:rsidRDefault="008F2628" w:rsidP="008F2628">
      <w:pPr>
        <w:rPr>
          <w:szCs w:val="20"/>
        </w:rPr>
      </w:pPr>
      <w:r w:rsidRPr="00C479C0">
        <w:rPr>
          <w:szCs w:val="20"/>
        </w:rPr>
        <w:t>Historically, lymphoid neoplasms that present with bone marrow and blood involvement have been</w:t>
      </w:r>
      <w:r>
        <w:rPr>
          <w:szCs w:val="20"/>
        </w:rPr>
        <w:t xml:space="preserve"> </w:t>
      </w:r>
      <w:r w:rsidRPr="00C479C0">
        <w:rPr>
          <w:szCs w:val="20"/>
        </w:rPr>
        <w:t>categorised as leukaemia, whilst those presenting as a mass</w:t>
      </w:r>
      <w:r>
        <w:rPr>
          <w:szCs w:val="20"/>
        </w:rPr>
        <w:t xml:space="preserve"> have been</w:t>
      </w:r>
      <w:r w:rsidRPr="00C479C0">
        <w:rPr>
          <w:szCs w:val="20"/>
        </w:rPr>
        <w:t xml:space="preserve"> classified as a lymphoma. It is now</w:t>
      </w:r>
      <w:r>
        <w:rPr>
          <w:szCs w:val="20"/>
        </w:rPr>
        <w:t xml:space="preserve"> </w:t>
      </w:r>
      <w:r w:rsidRPr="00C479C0">
        <w:rPr>
          <w:szCs w:val="20"/>
        </w:rPr>
        <w:t>recognised that this classification is not clear</w:t>
      </w:r>
      <w:r>
        <w:rPr>
          <w:szCs w:val="20"/>
        </w:rPr>
        <w:t>-</w:t>
      </w:r>
      <w:r w:rsidRPr="00C479C0">
        <w:rPr>
          <w:szCs w:val="20"/>
        </w:rPr>
        <w:t>cut, with the diagnosis of the various lymphoid neoplasms</w:t>
      </w:r>
      <w:r>
        <w:rPr>
          <w:szCs w:val="20"/>
        </w:rPr>
        <w:t xml:space="preserve"> </w:t>
      </w:r>
      <w:r w:rsidRPr="00C479C0">
        <w:rPr>
          <w:szCs w:val="20"/>
        </w:rPr>
        <w:t>not dependent on the anatomic location of tumour cells, but instead on the cell of origin of the tumour,</w:t>
      </w:r>
      <w:r>
        <w:rPr>
          <w:szCs w:val="20"/>
        </w:rPr>
        <w:t xml:space="preserve"> </w:t>
      </w:r>
      <w:r w:rsidRPr="00C479C0">
        <w:rPr>
          <w:szCs w:val="20"/>
        </w:rPr>
        <w:t>based on morphology, immunophenotyping and genetic testing</w:t>
      </w:r>
      <w:r>
        <w:rPr>
          <w:szCs w:val="20"/>
        </w:rPr>
        <w:t xml:space="preserve"> </w:t>
      </w:r>
      <w:r>
        <w:rPr>
          <w:szCs w:val="20"/>
        </w:rPr>
        <w:fldChar w:fldCharType="begin"/>
      </w:r>
      <w:r>
        <w:rPr>
          <w:szCs w:val="20"/>
        </w:rPr>
        <w:instrText xml:space="preserve"> ADDIN EN.CITE &lt;EndNote&gt;&lt;Cite&gt;&lt;Author&gt;Freedman&lt;/Author&gt;&lt;Year&gt;2020&lt;/Year&gt;&lt;RecNum&gt;34&lt;/RecNum&gt;&lt;DisplayText&gt;(Freedman et al., 2020)&lt;/DisplayText&gt;&lt;record&gt;&lt;rec-number&gt;34&lt;/rec-number&gt;&lt;foreign-keys&gt;&lt;key app="EN" db-id="rpxx2texi59tzqewr09xxp96wtzx9a9wr0rv" timestamp="1633761671"&gt;34&lt;/key&gt;&lt;/foreign-keys&gt;&lt;ref-type name="Web Page"&gt;12&lt;/ref-type&gt;&lt;contributors&gt;&lt;authors&gt;&lt;author&gt;Freedman, A.S.&lt;/author&gt;&lt;author&gt;Friedberg, J.W.&lt;/author&gt;&lt;author&gt;Aster, J.C.&lt;/author&gt;&lt;/authors&gt;&lt;/contributors&gt;&lt;titles&gt;&lt;title&gt;Classification of the hematopoietic neoplasms,&lt;/title&gt;&lt;/titles&gt;&lt;number&gt;10 November 2020&lt;/number&gt;&lt;dates&gt;&lt;year&gt;2020&lt;/year&gt;&lt;/dates&gt;&lt;publisher&gt;Wolters Kluwer&lt;/publisher&gt;&lt;urls&gt;&lt;related-urls&gt;&lt;url&gt;https://www.uptodate.com/contents/classification-of-the-hematopoietic-neoplasms&lt;/url&gt;&lt;/related-urls&gt;&lt;/urls&gt;&lt;/record&gt;&lt;/Cite&gt;&lt;/EndNote&gt;</w:instrText>
      </w:r>
      <w:r>
        <w:rPr>
          <w:szCs w:val="20"/>
        </w:rPr>
        <w:fldChar w:fldCharType="separate"/>
      </w:r>
      <w:r>
        <w:rPr>
          <w:noProof/>
          <w:szCs w:val="20"/>
        </w:rPr>
        <w:t>(Freedman et al., 2020)</w:t>
      </w:r>
      <w:r>
        <w:rPr>
          <w:szCs w:val="20"/>
        </w:rPr>
        <w:fldChar w:fldCharType="end"/>
      </w:r>
      <w:r w:rsidRPr="00C479C0">
        <w:rPr>
          <w:szCs w:val="20"/>
        </w:rPr>
        <w:t>. In addition, lymphoid neoplasms can</w:t>
      </w:r>
      <w:r>
        <w:rPr>
          <w:szCs w:val="20"/>
        </w:rPr>
        <w:t xml:space="preserve"> </w:t>
      </w:r>
      <w:r w:rsidRPr="00C479C0">
        <w:rPr>
          <w:szCs w:val="20"/>
        </w:rPr>
        <w:t>be difficult to distinguish from non-malignant reactive lymphocytosis in the absence of a clonal marker.</w:t>
      </w:r>
    </w:p>
    <w:p w14:paraId="2E429407" w14:textId="77777777" w:rsidR="008F2628" w:rsidRDefault="008F2628" w:rsidP="008F2628">
      <w:pPr>
        <w:rPr>
          <w:szCs w:val="20"/>
        </w:rPr>
      </w:pPr>
      <w:r w:rsidRPr="00B23ADB">
        <w:rPr>
          <w:szCs w:val="20"/>
        </w:rPr>
        <w:t xml:space="preserve">The current accepted world standard for diagnosing and subcategorising haematological malignancy recognises 15 different broad subgroups encompassing over 150 individual </w:t>
      </w:r>
      <w:r>
        <w:rPr>
          <w:szCs w:val="20"/>
        </w:rPr>
        <w:t xml:space="preserve">entities </w:t>
      </w:r>
      <w:r>
        <w:rPr>
          <w:szCs w:val="20"/>
        </w:rPr>
        <w:fldChar w:fldCharType="begin">
          <w:fldData xml:space="preserve">PEVuZE5vdGU+PENpdGU+PEF1dGhvcj5BcmJlcjwvQXV0aG9yPjxZZWFyPjIwMTY8L1llYXI+PFJl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</w:fldData>
        </w:fldChar>
      </w:r>
      <w:r>
        <w:rPr>
          <w:szCs w:val="20"/>
        </w:rPr>
        <w:instrText xml:space="preserve"> ADDIN EN.CITE </w:instrText>
      </w:r>
      <w:r>
        <w:rPr>
          <w:szCs w:val="20"/>
        </w:rPr>
        <w:fldChar w:fldCharType="begin">
          <w:fldData xml:space="preserve">PEVuZE5vdGU+PENpdGU+PEF1dGhvcj5BcmJlcjwvQXV0aG9yPjxZZWFyPjIwMTY8L1llYXI+PFJl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</w:fldData>
        </w:fldChar>
      </w:r>
      <w:r>
        <w:rPr>
          <w:szCs w:val="20"/>
        </w:rPr>
        <w:instrText xml:space="preserve"> ADDIN EN.CITE.DATA </w:instrText>
      </w:r>
      <w:r>
        <w:rPr>
          <w:szCs w:val="20"/>
        </w:rPr>
      </w:r>
      <w:r>
        <w:rPr>
          <w:szCs w:val="20"/>
        </w:rPr>
        <w:fldChar w:fldCharType="end"/>
      </w:r>
      <w:r>
        <w:rPr>
          <w:szCs w:val="20"/>
        </w:rPr>
      </w:r>
      <w:r>
        <w:rPr>
          <w:szCs w:val="20"/>
        </w:rPr>
        <w:fldChar w:fldCharType="separate"/>
      </w:r>
      <w:r>
        <w:rPr>
          <w:noProof/>
          <w:szCs w:val="20"/>
        </w:rPr>
        <w:t>(Arber et al., 2016; Swerdlow et al., 2016)</w:t>
      </w:r>
      <w:r>
        <w:rPr>
          <w:szCs w:val="20"/>
        </w:rPr>
        <w:fldChar w:fldCharType="end"/>
      </w:r>
      <w:r>
        <w:rPr>
          <w:szCs w:val="20"/>
        </w:rPr>
        <w:t xml:space="preserve">. </w:t>
      </w:r>
      <w:r w:rsidRPr="00DE6AA6">
        <w:rPr>
          <w:szCs w:val="20"/>
        </w:rPr>
        <w:t>The clinical behaviour/natural history of haematological malignanc</w:t>
      </w:r>
      <w:r w:rsidRPr="00DF165F">
        <w:rPr>
          <w:szCs w:val="20"/>
        </w:rPr>
        <w:t>ies ranges from entities that behave relatively</w:t>
      </w:r>
      <w:r>
        <w:rPr>
          <w:szCs w:val="20"/>
        </w:rPr>
        <w:t xml:space="preserve"> indolently (for example some forms of chronic lymphocytic leukaemia) which do not require intervention unless the patient is symptomatic, to other entities (for example Burkitt lymphoma or </w:t>
      </w:r>
      <w:r>
        <w:t>a</w:t>
      </w:r>
      <w:r w:rsidRPr="00017682">
        <w:t>cute myeloid leukaemia</w:t>
      </w:r>
      <w:r>
        <w:rPr>
          <w:szCs w:val="20"/>
        </w:rPr>
        <w:t>) which are highly aggressive and uniformly result in death unless treated urgently.</w:t>
      </w:r>
    </w:p>
    <w:p w14:paraId="4B35A762" w14:textId="77777777" w:rsidR="008F2628" w:rsidRPr="00883802" w:rsidRDefault="008F2628" w:rsidP="008F2628">
      <w:pPr>
        <w:pStyle w:val="Heading4"/>
        <w:rPr>
          <w:rStyle w:val="PageNumber"/>
        </w:rPr>
      </w:pPr>
      <w:r w:rsidRPr="00017682">
        <w:rPr>
          <w:rStyle w:val="PageNumber"/>
        </w:rPr>
        <w:t xml:space="preserve">Population </w:t>
      </w:r>
      <w:r w:rsidRPr="00991CC0">
        <w:rPr>
          <w:rStyle w:val="PageNumber"/>
        </w:rPr>
        <w:t>characteristics</w:t>
      </w:r>
    </w:p>
    <w:p w14:paraId="64634872" w14:textId="77777777" w:rsidR="008F2628" w:rsidRDefault="008F2628" w:rsidP="008F2628">
      <w:pPr>
        <w:spacing w:after="240"/>
      </w:pPr>
      <w:r w:rsidRPr="00593EDC">
        <w:rPr>
          <w:szCs w:val="20"/>
        </w:rPr>
        <w:t xml:space="preserve">As a group haematologic malignancy is a relatively common group of disorders, constituting approximately </w:t>
      </w:r>
      <w:r>
        <w:rPr>
          <w:szCs w:val="20"/>
        </w:rPr>
        <w:t>9%</w:t>
      </w:r>
      <w:r w:rsidRPr="00593EDC">
        <w:rPr>
          <w:szCs w:val="20"/>
        </w:rPr>
        <w:t xml:space="preserve"> of all cancer cases diagnosed annually, as well as being a common cause of death in patients suffering from </w:t>
      </w:r>
      <w:r w:rsidRPr="00DF165F">
        <w:rPr>
          <w:szCs w:val="20"/>
        </w:rPr>
        <w:t>cancer</w:t>
      </w:r>
      <w:r>
        <w:rPr>
          <w:szCs w:val="20"/>
        </w:rPr>
        <w:t xml:space="preserve"> </w:t>
      </w:r>
      <w:r>
        <w:rPr>
          <w:szCs w:val="20"/>
        </w:rPr>
        <w:fldChar w:fldCharType="begin"/>
      </w:r>
      <w:r>
        <w:rPr>
          <w:szCs w:val="20"/>
        </w:rPr>
        <w:instrText xml:space="preserve"> ADDIN EN.CITE &lt;EndNote&gt;&lt;Cite&gt;&lt;Author&gt;Prakash&lt;/Author&gt;&lt;Year&gt;2016&lt;/Year&gt;&lt;RecNum&gt;54&lt;/RecNum&gt;&lt;DisplayText&gt;(Prakash et al., 2016)&lt;/DisplayText&gt;&lt;record&gt;&lt;rec-number&gt;54&lt;/rec-number&gt;&lt;foreign-keys&gt;&lt;key app="EN" db-id="rpxx2texi59tzqewr09xxp96wtzx9a9wr0rv" timestamp="1633766709"&gt;54&lt;/key&gt;&lt;/foreign-keys&gt;&lt;ref-type name="Journal Article"&gt;17&lt;/ref-type&gt;&lt;contributors&gt;&lt;authors&gt;&lt;author&gt;Prakash, G.&lt;/author&gt;&lt;author&gt;Kaur, A.&lt;/author&gt;&lt;author&gt;Malhotra, P.&lt;/author&gt;&lt;author&gt;Khadwal, A.&lt;/author&gt;&lt;author&gt;Sharma, P.&lt;/author&gt;&lt;author&gt;Suri, V.&lt;/author&gt;&lt;author&gt;Varma, N.&lt;/author&gt;&lt;author&gt;Varma, S.&lt;/author&gt;&lt;/authors&gt;&lt;/contributors&gt;&lt;auth-address&gt;Clinical Hematology and BMT Division, Department of Internal Medicine, PGIMER, Chandigarh, India.&amp;#xD;Medical Geneticist, Sarai Building, Government Medical College, Chandigarh, 160030 India.&amp;#xD;Department of Hematology, PGIMER, Chandigarh, India.&lt;/auth-address&gt;&lt;titles&gt;&lt;title&gt;Current Role of Genetics in Hematologic Malignancies&lt;/title&gt;&lt;secondary-title&gt;Indian J Hematol Blood Transfus&lt;/secondary-title&gt;&lt;/titles&gt;&lt;periodical&gt;&lt;full-title&gt;Indian J Hematol Blood Transfus&lt;/full-title&gt;&lt;/periodical&gt;&lt;pages&gt;18-31&lt;/pages&gt;&lt;volume&gt;32&lt;/volume&gt;&lt;number&gt;1&lt;/number&gt;&lt;edition&gt;2016/02/09&lt;/edition&gt;&lt;keywords&gt;&lt;keyword&gt;Genetics&lt;/keyword&gt;&lt;keyword&gt;Hematology&lt;/keyword&gt;&lt;keyword&gt;Molecular tests&lt;/keyword&gt;&lt;keyword&gt;Oncology&lt;/keyword&gt;&lt;/keywords&gt;&lt;dates&gt;&lt;year&gt;2016&lt;/year&gt;&lt;pub-dates&gt;&lt;date&gt;Mar&lt;/date&gt;&lt;/pub-dates&gt;&lt;/dates&gt;&lt;isbn&gt;0971-4502 (Print)&amp;#xD;0971-4502 (Linking)&lt;/isbn&gt;&lt;accession-num&gt;26855503&lt;/accession-num&gt;&lt;urls&gt;&lt;related-urls&gt;&lt;url&gt;https://www.ncbi.nlm.nih.gov/pubmed/26855503&lt;/url&gt;&lt;/related-urls&gt;&lt;/urls&gt;&lt;custom2&gt;PMC4733682&lt;/custom2&gt;&lt;electronic-resource-num&gt;10.1007/s12288-015-0584-4&lt;/electronic-resource-num&gt;&lt;/record&gt;&lt;/Cite&gt;&lt;/EndNote&gt;</w:instrText>
      </w:r>
      <w:r>
        <w:rPr>
          <w:szCs w:val="20"/>
        </w:rPr>
        <w:fldChar w:fldCharType="separate"/>
      </w:r>
      <w:r>
        <w:rPr>
          <w:noProof/>
          <w:szCs w:val="20"/>
        </w:rPr>
        <w:t>(Prakash et al., 2016)</w:t>
      </w:r>
      <w:r>
        <w:rPr>
          <w:szCs w:val="20"/>
        </w:rPr>
        <w:fldChar w:fldCharType="end"/>
      </w:r>
      <w:r w:rsidRPr="00DF165F">
        <w:rPr>
          <w:szCs w:val="20"/>
        </w:rPr>
        <w:t>.</w:t>
      </w:r>
      <w:r w:rsidRPr="00DE6AA6">
        <w:rPr>
          <w:szCs w:val="20"/>
        </w:rPr>
        <w:t xml:space="preserve"> </w:t>
      </w:r>
      <w:r w:rsidRPr="00DF165F">
        <w:rPr>
          <w:szCs w:val="20"/>
        </w:rPr>
        <w:t>In Australia</w:t>
      </w:r>
      <w:r w:rsidRPr="00593EDC">
        <w:rPr>
          <w:szCs w:val="20"/>
        </w:rPr>
        <w:t>, rates of the most common haematological cancers are consistently higher in males than females, as are rates of mortality (</w:t>
      </w:r>
      <w:r>
        <w:rPr>
          <w:szCs w:val="20"/>
        </w:rPr>
        <w:fldChar w:fldCharType="begin"/>
      </w:r>
      <w:r>
        <w:rPr>
          <w:szCs w:val="20"/>
        </w:rPr>
        <w:instrText xml:space="preserve"> REF _Ref85116567 \h </w:instrText>
      </w:r>
      <w:r>
        <w:rPr>
          <w:szCs w:val="20"/>
        </w:rPr>
      </w:r>
      <w:r>
        <w:rPr>
          <w:szCs w:val="20"/>
        </w:rPr>
        <w:fldChar w:fldCharType="separate"/>
      </w:r>
      <w:r>
        <w:t xml:space="preserve">Table </w:t>
      </w:r>
      <w:r>
        <w:rPr>
          <w:noProof/>
        </w:rPr>
        <w:t>2</w:t>
      </w:r>
      <w:r>
        <w:rPr>
          <w:szCs w:val="20"/>
        </w:rPr>
        <w:fldChar w:fldCharType="end"/>
      </w:r>
      <w:r>
        <w:rPr>
          <w:szCs w:val="20"/>
        </w:rPr>
        <w:t xml:space="preserve"> and </w:t>
      </w:r>
      <w:r>
        <w:rPr>
          <w:szCs w:val="20"/>
        </w:rPr>
        <w:fldChar w:fldCharType="begin"/>
      </w:r>
      <w:r>
        <w:rPr>
          <w:szCs w:val="20"/>
        </w:rPr>
        <w:instrText xml:space="preserve"> REF _Ref85116560 \h </w:instrText>
      </w:r>
      <w:r>
        <w:rPr>
          <w:szCs w:val="20"/>
        </w:rPr>
      </w:r>
      <w:r>
        <w:rPr>
          <w:szCs w:val="20"/>
        </w:rPr>
        <w:fldChar w:fldCharType="separate"/>
      </w:r>
      <w:r>
        <w:t xml:space="preserve">Table </w:t>
      </w:r>
      <w:r>
        <w:rPr>
          <w:noProof/>
        </w:rPr>
        <w:t>3</w:t>
      </w:r>
      <w:r>
        <w:rPr>
          <w:szCs w:val="20"/>
        </w:rPr>
        <w:fldChar w:fldCharType="end"/>
      </w:r>
      <w:r w:rsidRPr="00593EDC">
        <w:rPr>
          <w:szCs w:val="20"/>
        </w:rPr>
        <w:t>)</w:t>
      </w:r>
      <w:r>
        <w:rPr>
          <w:szCs w:val="20"/>
        </w:rPr>
        <w:t xml:space="preserve"> </w:t>
      </w:r>
      <w:r>
        <w:rPr>
          <w:szCs w:val="20"/>
        </w:rPr>
        <w:fldChar w:fldCharType="begin"/>
      </w:r>
      <w:r>
        <w:rPr>
          <w:szCs w:val="20"/>
        </w:rPr>
        <w:instrText xml:space="preserve"> ADDIN EN.CITE &lt;EndNote&gt;&lt;Cite&gt;&lt;Author&gt;Australian Institute of Health and Welfare (AIHW)&lt;/Author&gt;&lt;Year&gt;2019&lt;/Year&gt;&lt;RecNum&gt;55&lt;/RecNum&gt;&lt;DisplayText&gt;(Australian Institute of Health and Welfare (AIHW), 2019)&lt;/DisplayText&gt;&lt;record&gt;&lt;rec-number&gt;55&lt;/rec-number&gt;&lt;foreign-keys&gt;&lt;key app="EN" db-id="rpxx2texi59tzqewr09xxp96wtzx9a9wr0rv" timestamp="1633766914"&gt;55&lt;/key&gt;&lt;/foreign-keys&gt;&lt;ref-type name="Web Page"&gt;12&lt;/ref-type&gt;&lt;contributors&gt;&lt;authors&gt;&lt;author&gt;Australian Institute of Health and Welfare (AIHW),&lt;/author&gt;&lt;/authors&gt;&lt;/contributors&gt;&lt;titles&gt;&lt;title&gt;Cancer in Australia 2019&lt;/title&gt;&lt;/titles&gt;&lt;number&gt;18 November 2020&lt;/number&gt;&lt;dates&gt;&lt;year&gt;2019&lt;/year&gt;&lt;/dates&gt;&lt;pub-location&gt;Canberra&lt;/pub-location&gt;&lt;urls&gt;&lt;related-urls&gt;&lt;url&gt;https://www.aihw.gov.au/reports/cancer/cancer-in-australia-2019/contents/table-of-contents.&lt;/url&gt;&lt;/related-urls&gt;&lt;/urls&gt;&lt;/record&gt;&lt;/Cite&gt;&lt;/EndNote&gt;</w:instrText>
      </w:r>
      <w:r>
        <w:rPr>
          <w:szCs w:val="20"/>
        </w:rPr>
        <w:fldChar w:fldCharType="separate"/>
      </w:r>
      <w:r>
        <w:rPr>
          <w:noProof/>
          <w:szCs w:val="20"/>
        </w:rPr>
        <w:t xml:space="preserve">(Australian </w:t>
      </w:r>
      <w:r>
        <w:rPr>
          <w:noProof/>
          <w:szCs w:val="20"/>
        </w:rPr>
        <w:lastRenderedPageBreak/>
        <w:t>Institute of Health and Welfare (AIHW), 2019)</w:t>
      </w:r>
      <w:r>
        <w:rPr>
          <w:szCs w:val="20"/>
        </w:rPr>
        <w:fldChar w:fldCharType="end"/>
      </w:r>
      <w:r w:rsidRPr="00DF165F">
        <w:rPr>
          <w:szCs w:val="20"/>
        </w:rPr>
        <w:t>. It</w:t>
      </w:r>
      <w:r w:rsidRPr="00593EDC">
        <w:rPr>
          <w:szCs w:val="20"/>
        </w:rPr>
        <w:t xml:space="preserve"> should be noted</w:t>
      </w:r>
      <w:r>
        <w:rPr>
          <w:szCs w:val="20"/>
        </w:rPr>
        <w:t>,</w:t>
      </w:r>
      <w:r w:rsidRPr="00593EDC">
        <w:rPr>
          <w:szCs w:val="20"/>
        </w:rPr>
        <w:t xml:space="preserve"> however, that age at diagnosis varies considerably depending on individual subtype of haematological malignancy. In 2019, lymphoma was the most common diagnosed cancer in young adults aged 15–24 years, representing 19.5</w:t>
      </w:r>
      <w:r>
        <w:rPr>
          <w:szCs w:val="20"/>
        </w:rPr>
        <w:t>%</w:t>
      </w:r>
      <w:r w:rsidRPr="00593EDC">
        <w:rPr>
          <w:szCs w:val="20"/>
        </w:rPr>
        <w:t xml:space="preserve"> of all cancers (n=1,002) in this age group. The most common cancer in children aged 0-14 years was leukaemia, representing 34</w:t>
      </w:r>
      <w:r>
        <w:rPr>
          <w:szCs w:val="20"/>
        </w:rPr>
        <w:t>%</w:t>
      </w:r>
      <w:r w:rsidRPr="00593EDC">
        <w:rPr>
          <w:szCs w:val="20"/>
        </w:rPr>
        <w:t xml:space="preserve"> of all cancers in this age group (n=804). In this age group, lymphoma was the third most common cancer (9.3%) after brain cancer</w:t>
      </w:r>
      <w:r>
        <w:rPr>
          <w:szCs w:val="20"/>
        </w:rPr>
        <w:t xml:space="preserve"> </w:t>
      </w:r>
      <w:r>
        <w:rPr>
          <w:szCs w:val="20"/>
        </w:rPr>
        <w:fldChar w:fldCharType="begin"/>
      </w:r>
      <w:r>
        <w:rPr>
          <w:szCs w:val="20"/>
        </w:rPr>
        <w:instrText xml:space="preserve"> ADDIN EN.CITE &lt;EndNote&gt;&lt;Cite&gt;&lt;Author&gt;Australian Institute of Health and Welfare (AIHW)&lt;/Author&gt;&lt;Year&gt;2019&lt;/Year&gt;&lt;RecNum&gt;55&lt;/RecNum&gt;&lt;DisplayText&gt;(Australian Institute of Health and Welfare (AIHW), 2019)&lt;/DisplayText&gt;&lt;record&gt;&lt;rec-number&gt;55&lt;/rec-number&gt;&lt;foreign-keys&gt;&lt;key app="EN" db-id="rpxx2texi59tzqewr09xxp96wtzx9a9wr0rv" timestamp="1633766914"&gt;55&lt;/key&gt;&lt;/foreign-keys&gt;&lt;ref-type name="Web Page"&gt;12&lt;/ref-type&gt;&lt;contributors&gt;&lt;authors&gt;&lt;author&gt;Australian Institute of Health and Welfare (AIHW),&lt;/author&gt;&lt;/authors&gt;&lt;/contributors&gt;&lt;titles&gt;&lt;title&gt;Cancer in Australia 2019&lt;/title&gt;&lt;/titles&gt;&lt;number&gt;18 November 2020&lt;/number&gt;&lt;dates&gt;&lt;year&gt;2019&lt;/year&gt;&lt;/dates&gt;&lt;pub-location&gt;Canberra&lt;/pub-location&gt;&lt;urls&gt;&lt;related-urls&gt;&lt;url&gt;https://www.aihw.gov.au/reports/cancer/cancer-in-australia-2019/contents/table-of-contents.&lt;/url&gt;&lt;/related-urls&gt;&lt;/urls&gt;&lt;/record&gt;&lt;/Cite&gt;&lt;/EndNote&gt;</w:instrText>
      </w:r>
      <w:r>
        <w:rPr>
          <w:szCs w:val="20"/>
        </w:rPr>
        <w:fldChar w:fldCharType="separate"/>
      </w:r>
      <w:r>
        <w:rPr>
          <w:noProof/>
          <w:szCs w:val="20"/>
        </w:rPr>
        <w:t>(AIHW, 2019)</w:t>
      </w:r>
      <w:r>
        <w:rPr>
          <w:szCs w:val="20"/>
        </w:rPr>
        <w:fldChar w:fldCharType="end"/>
      </w:r>
      <w:r w:rsidRPr="00DF165F">
        <w:rPr>
          <w:szCs w:val="20"/>
        </w:rPr>
        <w:t>.</w:t>
      </w:r>
    </w:p>
    <w:p w14:paraId="4FDF2231" w14:textId="77777777" w:rsidR="008F2628" w:rsidRDefault="008F2628" w:rsidP="008F2628">
      <w:pPr>
        <w:pStyle w:val="Caption"/>
      </w:pPr>
      <w:bookmarkStart w:id="1" w:name="_Ref85116567"/>
      <w:r>
        <w:t xml:space="preserve">Table </w:t>
      </w:r>
      <w:r>
        <w:fldChar w:fldCharType="begin"/>
      </w:r>
      <w:r>
        <w:instrText xml:space="preserve"> SEQ Table \* ARABIC </w:instrText>
      </w:r>
      <w:r>
        <w:fldChar w:fldCharType="separate"/>
      </w:r>
      <w:r>
        <w:rPr>
          <w:noProof/>
        </w:rPr>
        <w:t>2</w:t>
      </w:r>
      <w:r>
        <w:fldChar w:fldCharType="end"/>
      </w:r>
      <w:bookmarkEnd w:id="1"/>
      <w:r>
        <w:tab/>
      </w:r>
      <w:r w:rsidRPr="008D2DED">
        <w:t xml:space="preserve">Incidence of haematological cancers in Australia, by sex, </w:t>
      </w:r>
      <w:r w:rsidRPr="00E852F5">
        <w:t>2019</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878"/>
        <w:gridCol w:w="1694"/>
        <w:gridCol w:w="873"/>
        <w:gridCol w:w="1634"/>
        <w:gridCol w:w="760"/>
        <w:gridCol w:w="1701"/>
      </w:tblGrid>
      <w:tr w:rsidR="008F2628" w:rsidRPr="00433A42" w14:paraId="40B331F5" w14:textId="77777777" w:rsidTr="008F2628">
        <w:trPr>
          <w:tblHeader/>
        </w:trPr>
        <w:tc>
          <w:tcPr>
            <w:tcW w:w="1669" w:type="dxa"/>
            <w:tcBorders>
              <w:top w:val="single" w:sz="4" w:space="0" w:color="auto"/>
              <w:left w:val="single" w:sz="4" w:space="0" w:color="auto"/>
              <w:bottom w:val="nil"/>
              <w:right w:val="single" w:sz="4" w:space="0" w:color="auto"/>
            </w:tcBorders>
          </w:tcPr>
          <w:p w14:paraId="3E2F9767" w14:textId="77777777" w:rsidR="008F2628" w:rsidRPr="00B10224" w:rsidRDefault="008F2628" w:rsidP="008F2628">
            <w:pPr>
              <w:spacing w:after="0"/>
              <w:rPr>
                <w:rFonts w:ascii="Arial Narrow" w:eastAsia="Times New Roman" w:hAnsi="Arial Narrow" w:cstheme="minorHAnsi"/>
                <w:b/>
                <w:bCs/>
                <w:sz w:val="20"/>
                <w:szCs w:val="20"/>
                <w:lang w:eastAsia="en-AU"/>
              </w:rPr>
            </w:pPr>
            <w:r w:rsidRPr="00514AF7">
              <w:rPr>
                <w:rFonts w:ascii="Arial Narrow" w:eastAsia="Times New Roman" w:hAnsi="Arial Narrow" w:cstheme="minorHAnsi"/>
                <w:b/>
                <w:bCs/>
                <w:sz w:val="20"/>
                <w:szCs w:val="20"/>
                <w:lang w:eastAsia="en-AU"/>
              </w:rPr>
              <w:t>Cancer type (ICD-10 code)</w:t>
            </w:r>
          </w:p>
        </w:tc>
        <w:tc>
          <w:tcPr>
            <w:tcW w:w="878" w:type="dxa"/>
            <w:tcBorders>
              <w:top w:val="single" w:sz="4" w:space="0" w:color="auto"/>
              <w:left w:val="single" w:sz="4" w:space="0" w:color="auto"/>
              <w:bottom w:val="single" w:sz="4" w:space="0" w:color="auto"/>
              <w:right w:val="nil"/>
            </w:tcBorders>
          </w:tcPr>
          <w:p w14:paraId="42D02FF2" w14:textId="77777777" w:rsidR="008F2628" w:rsidRPr="00B10224" w:rsidRDefault="008F2628" w:rsidP="008F2628">
            <w:pPr>
              <w:spacing w:after="0"/>
              <w:rPr>
                <w:rFonts w:ascii="Arial Narrow" w:eastAsia="Times New Roman" w:hAnsi="Arial Narrow" w:cstheme="minorHAnsi"/>
                <w:b/>
                <w:bCs/>
                <w:sz w:val="20"/>
                <w:szCs w:val="20"/>
                <w:lang w:eastAsia="en-AU"/>
              </w:rPr>
            </w:pPr>
            <w:r w:rsidRPr="00B10224">
              <w:rPr>
                <w:rFonts w:ascii="Arial Narrow" w:eastAsia="Times New Roman" w:hAnsi="Arial Narrow" w:cstheme="minorHAnsi"/>
                <w:b/>
                <w:bCs/>
                <w:sz w:val="20"/>
                <w:szCs w:val="20"/>
                <w:lang w:eastAsia="en-AU"/>
              </w:rPr>
              <w:t>Males</w:t>
            </w:r>
          </w:p>
        </w:tc>
        <w:tc>
          <w:tcPr>
            <w:tcW w:w="1694" w:type="dxa"/>
            <w:tcBorders>
              <w:top w:val="single" w:sz="4" w:space="0" w:color="auto"/>
              <w:left w:val="nil"/>
              <w:bottom w:val="single" w:sz="4" w:space="0" w:color="auto"/>
              <w:right w:val="single" w:sz="4" w:space="0" w:color="auto"/>
            </w:tcBorders>
          </w:tcPr>
          <w:p w14:paraId="47CC3579" w14:textId="77777777" w:rsidR="008F2628" w:rsidRPr="00B10224" w:rsidRDefault="008F2628" w:rsidP="008F2628">
            <w:pPr>
              <w:spacing w:after="0"/>
              <w:rPr>
                <w:rFonts w:ascii="Arial Narrow" w:eastAsia="Times New Roman" w:hAnsi="Arial Narrow" w:cstheme="minorHAnsi"/>
                <w:b/>
                <w:bCs/>
                <w:sz w:val="20"/>
                <w:szCs w:val="20"/>
                <w:lang w:eastAsia="en-AU"/>
              </w:rPr>
            </w:pPr>
          </w:p>
        </w:tc>
        <w:tc>
          <w:tcPr>
            <w:tcW w:w="873" w:type="dxa"/>
            <w:tcBorders>
              <w:top w:val="single" w:sz="4" w:space="0" w:color="auto"/>
              <w:left w:val="single" w:sz="4" w:space="0" w:color="auto"/>
              <w:bottom w:val="single" w:sz="4" w:space="0" w:color="auto"/>
              <w:right w:val="nil"/>
            </w:tcBorders>
          </w:tcPr>
          <w:p w14:paraId="002C45A4" w14:textId="77777777" w:rsidR="008F2628" w:rsidRPr="00B10224" w:rsidRDefault="008F2628" w:rsidP="008F2628">
            <w:pPr>
              <w:spacing w:after="0"/>
              <w:rPr>
                <w:rFonts w:ascii="Arial Narrow" w:eastAsia="Times New Roman" w:hAnsi="Arial Narrow" w:cstheme="minorHAnsi"/>
                <w:b/>
                <w:bCs/>
                <w:sz w:val="20"/>
                <w:szCs w:val="20"/>
                <w:lang w:eastAsia="en-AU"/>
              </w:rPr>
            </w:pPr>
            <w:r w:rsidRPr="00B10224">
              <w:rPr>
                <w:rFonts w:ascii="Arial Narrow" w:eastAsia="Times New Roman" w:hAnsi="Arial Narrow" w:cstheme="minorHAnsi"/>
                <w:b/>
                <w:bCs/>
                <w:sz w:val="20"/>
                <w:szCs w:val="20"/>
                <w:lang w:eastAsia="en-AU"/>
              </w:rPr>
              <w:t>Females</w:t>
            </w:r>
          </w:p>
        </w:tc>
        <w:tc>
          <w:tcPr>
            <w:tcW w:w="1634" w:type="dxa"/>
            <w:tcBorders>
              <w:top w:val="single" w:sz="4" w:space="0" w:color="auto"/>
              <w:left w:val="nil"/>
              <w:bottom w:val="single" w:sz="4" w:space="0" w:color="auto"/>
              <w:right w:val="single" w:sz="4" w:space="0" w:color="auto"/>
            </w:tcBorders>
          </w:tcPr>
          <w:p w14:paraId="3D786085" w14:textId="77777777" w:rsidR="008F2628" w:rsidRPr="00B10224" w:rsidRDefault="008F2628" w:rsidP="008F2628">
            <w:pPr>
              <w:spacing w:after="0"/>
              <w:rPr>
                <w:rFonts w:ascii="Arial Narrow" w:eastAsia="Times New Roman" w:hAnsi="Arial Narrow" w:cstheme="minorHAnsi"/>
                <w:b/>
                <w:bCs/>
                <w:sz w:val="20"/>
                <w:szCs w:val="20"/>
                <w:lang w:eastAsia="en-AU"/>
              </w:rPr>
            </w:pPr>
          </w:p>
        </w:tc>
        <w:tc>
          <w:tcPr>
            <w:tcW w:w="760" w:type="dxa"/>
            <w:tcBorders>
              <w:top w:val="single" w:sz="4" w:space="0" w:color="auto"/>
              <w:left w:val="single" w:sz="4" w:space="0" w:color="auto"/>
              <w:bottom w:val="single" w:sz="4" w:space="0" w:color="auto"/>
              <w:right w:val="nil"/>
            </w:tcBorders>
          </w:tcPr>
          <w:p w14:paraId="4E1BB425" w14:textId="77777777" w:rsidR="008F2628" w:rsidRPr="00B10224" w:rsidRDefault="008F2628" w:rsidP="008F2628">
            <w:pPr>
              <w:spacing w:after="0"/>
              <w:rPr>
                <w:rFonts w:ascii="Arial Narrow" w:eastAsia="Times New Roman" w:hAnsi="Arial Narrow" w:cstheme="minorHAnsi"/>
                <w:b/>
                <w:bCs/>
                <w:sz w:val="20"/>
                <w:szCs w:val="20"/>
                <w:lang w:eastAsia="en-AU"/>
              </w:rPr>
            </w:pPr>
            <w:r w:rsidRPr="00B10224">
              <w:rPr>
                <w:rFonts w:ascii="Arial Narrow" w:eastAsia="Times New Roman" w:hAnsi="Arial Narrow" w:cstheme="minorHAnsi"/>
                <w:b/>
                <w:bCs/>
                <w:sz w:val="20"/>
                <w:szCs w:val="20"/>
                <w:lang w:eastAsia="en-AU"/>
              </w:rPr>
              <w:t>Total</w:t>
            </w:r>
          </w:p>
        </w:tc>
        <w:tc>
          <w:tcPr>
            <w:tcW w:w="1701" w:type="dxa"/>
            <w:tcBorders>
              <w:top w:val="single" w:sz="4" w:space="0" w:color="auto"/>
              <w:left w:val="nil"/>
              <w:bottom w:val="single" w:sz="4" w:space="0" w:color="auto"/>
              <w:right w:val="single" w:sz="4" w:space="0" w:color="auto"/>
            </w:tcBorders>
          </w:tcPr>
          <w:p w14:paraId="17DAD1E6" w14:textId="77777777" w:rsidR="008F2628" w:rsidRPr="00B10224" w:rsidRDefault="008F2628" w:rsidP="008F2628">
            <w:pPr>
              <w:spacing w:after="0"/>
              <w:rPr>
                <w:rFonts w:ascii="Arial Narrow" w:eastAsia="Times New Roman" w:hAnsi="Arial Narrow" w:cstheme="minorHAnsi"/>
                <w:b/>
                <w:bCs/>
                <w:sz w:val="20"/>
                <w:szCs w:val="20"/>
                <w:lang w:eastAsia="en-AU"/>
              </w:rPr>
            </w:pPr>
          </w:p>
        </w:tc>
      </w:tr>
      <w:tr w:rsidR="008F2628" w:rsidRPr="00433A42" w14:paraId="088BF1BF" w14:textId="77777777" w:rsidTr="008F2628">
        <w:trPr>
          <w:tblHeader/>
        </w:trPr>
        <w:tc>
          <w:tcPr>
            <w:tcW w:w="1669" w:type="dxa"/>
            <w:tcBorders>
              <w:top w:val="nil"/>
              <w:left w:val="single" w:sz="4" w:space="0" w:color="auto"/>
              <w:bottom w:val="single" w:sz="4" w:space="0" w:color="auto"/>
              <w:right w:val="single" w:sz="4" w:space="0" w:color="auto"/>
            </w:tcBorders>
          </w:tcPr>
          <w:p w14:paraId="35904FD5" w14:textId="77777777" w:rsidR="008F2628" w:rsidRPr="00B10224" w:rsidRDefault="008F2628" w:rsidP="008F2628">
            <w:pPr>
              <w:spacing w:after="0"/>
              <w:rPr>
                <w:rFonts w:ascii="Arial Narrow" w:eastAsia="Times New Roman" w:hAnsi="Arial Narrow" w:cstheme="minorHAnsi"/>
                <w:b/>
                <w:bCs/>
                <w:sz w:val="20"/>
                <w:szCs w:val="20"/>
                <w:lang w:eastAsia="en-AU"/>
              </w:rPr>
            </w:pPr>
          </w:p>
        </w:tc>
        <w:tc>
          <w:tcPr>
            <w:tcW w:w="878" w:type="dxa"/>
            <w:tcBorders>
              <w:top w:val="single" w:sz="4" w:space="0" w:color="auto"/>
              <w:left w:val="single" w:sz="4" w:space="0" w:color="auto"/>
            </w:tcBorders>
          </w:tcPr>
          <w:p w14:paraId="7C537152" w14:textId="77777777" w:rsidR="008F2628" w:rsidRPr="00883802" w:rsidRDefault="008F2628" w:rsidP="008F2628">
            <w:pPr>
              <w:pStyle w:val="TableHeading"/>
            </w:pPr>
            <w:r w:rsidRPr="00883802">
              <w:t>Cases</w:t>
            </w:r>
          </w:p>
        </w:tc>
        <w:tc>
          <w:tcPr>
            <w:tcW w:w="1694" w:type="dxa"/>
            <w:tcBorders>
              <w:top w:val="single" w:sz="4" w:space="0" w:color="auto"/>
            </w:tcBorders>
          </w:tcPr>
          <w:p w14:paraId="282F59EA" w14:textId="77777777" w:rsidR="008F2628" w:rsidRPr="00883802" w:rsidRDefault="008F2628" w:rsidP="008F2628">
            <w:pPr>
              <w:pStyle w:val="TableHeading"/>
            </w:pPr>
            <w:r w:rsidRPr="00883802">
              <w:t>ASR</w:t>
            </w:r>
            <w:r>
              <w:t xml:space="preserve"> (per 100,000)</w:t>
            </w:r>
          </w:p>
        </w:tc>
        <w:tc>
          <w:tcPr>
            <w:tcW w:w="873" w:type="dxa"/>
            <w:tcBorders>
              <w:top w:val="single" w:sz="4" w:space="0" w:color="auto"/>
            </w:tcBorders>
          </w:tcPr>
          <w:p w14:paraId="3B993B0D" w14:textId="77777777" w:rsidR="008F2628" w:rsidRPr="00883802" w:rsidRDefault="008F2628" w:rsidP="008F2628">
            <w:pPr>
              <w:pStyle w:val="TableHeading"/>
            </w:pPr>
            <w:r w:rsidRPr="00883802">
              <w:t>Cases</w:t>
            </w:r>
          </w:p>
        </w:tc>
        <w:tc>
          <w:tcPr>
            <w:tcW w:w="1634" w:type="dxa"/>
            <w:tcBorders>
              <w:top w:val="single" w:sz="4" w:space="0" w:color="auto"/>
            </w:tcBorders>
          </w:tcPr>
          <w:p w14:paraId="007B41C9" w14:textId="77777777" w:rsidR="008F2628" w:rsidRPr="00883802" w:rsidRDefault="008F2628" w:rsidP="008F2628">
            <w:pPr>
              <w:pStyle w:val="TableHeading"/>
            </w:pPr>
            <w:r w:rsidRPr="00883802">
              <w:t>ASR</w:t>
            </w:r>
            <w:r>
              <w:t xml:space="preserve"> (per 100,000)</w:t>
            </w:r>
          </w:p>
        </w:tc>
        <w:tc>
          <w:tcPr>
            <w:tcW w:w="760" w:type="dxa"/>
            <w:tcBorders>
              <w:top w:val="single" w:sz="4" w:space="0" w:color="auto"/>
            </w:tcBorders>
          </w:tcPr>
          <w:p w14:paraId="13976A41" w14:textId="77777777" w:rsidR="008F2628" w:rsidRPr="00883802" w:rsidRDefault="008F2628" w:rsidP="008F2628">
            <w:pPr>
              <w:pStyle w:val="TableHeading"/>
            </w:pPr>
            <w:r w:rsidRPr="00883802">
              <w:t>Cases</w:t>
            </w:r>
          </w:p>
        </w:tc>
        <w:tc>
          <w:tcPr>
            <w:tcW w:w="1701" w:type="dxa"/>
            <w:tcBorders>
              <w:top w:val="single" w:sz="4" w:space="0" w:color="auto"/>
            </w:tcBorders>
          </w:tcPr>
          <w:p w14:paraId="32D3F5DD" w14:textId="77777777" w:rsidR="008F2628" w:rsidRPr="00883802" w:rsidRDefault="008F2628" w:rsidP="008F2628">
            <w:pPr>
              <w:pStyle w:val="TableHeading"/>
            </w:pPr>
            <w:r w:rsidRPr="00883802">
              <w:t>ASR</w:t>
            </w:r>
            <w:r>
              <w:t xml:space="preserve"> (per 100,000)</w:t>
            </w:r>
          </w:p>
        </w:tc>
      </w:tr>
      <w:tr w:rsidR="008F2628" w:rsidRPr="00433A42" w14:paraId="77E14231" w14:textId="77777777" w:rsidTr="008F2628">
        <w:tc>
          <w:tcPr>
            <w:tcW w:w="1669" w:type="dxa"/>
            <w:tcBorders>
              <w:top w:val="single" w:sz="4" w:space="0" w:color="auto"/>
            </w:tcBorders>
            <w:vAlign w:val="center"/>
          </w:tcPr>
          <w:p w14:paraId="7BC5EF08" w14:textId="77777777" w:rsidR="008F2628" w:rsidRPr="00883802" w:rsidRDefault="008F2628" w:rsidP="008F2628">
            <w:pPr>
              <w:pStyle w:val="TableText0"/>
              <w:rPr>
                <w:lang w:eastAsia="en-AU"/>
              </w:rPr>
            </w:pPr>
            <w:r w:rsidRPr="00883802">
              <w:rPr>
                <w:lang w:eastAsia="en-AU"/>
              </w:rPr>
              <w:t>Lymphoma (C81–C86)</w:t>
            </w:r>
          </w:p>
        </w:tc>
        <w:tc>
          <w:tcPr>
            <w:tcW w:w="878" w:type="dxa"/>
          </w:tcPr>
          <w:p w14:paraId="737008C4" w14:textId="77777777" w:rsidR="008F2628" w:rsidRPr="00883802" w:rsidRDefault="008F2628" w:rsidP="008F2628">
            <w:pPr>
              <w:pStyle w:val="TableText0"/>
              <w:rPr>
                <w:lang w:eastAsia="en-AU"/>
              </w:rPr>
            </w:pPr>
            <w:r w:rsidRPr="00883802">
              <w:rPr>
                <w:lang w:eastAsia="en-AU"/>
              </w:rPr>
              <w:t>3,647</w:t>
            </w:r>
          </w:p>
        </w:tc>
        <w:tc>
          <w:tcPr>
            <w:tcW w:w="1694" w:type="dxa"/>
          </w:tcPr>
          <w:p w14:paraId="2C0D3D5E" w14:textId="77777777" w:rsidR="008F2628" w:rsidRPr="00883802" w:rsidRDefault="008F2628" w:rsidP="008F2628">
            <w:pPr>
              <w:pStyle w:val="TableText0"/>
              <w:rPr>
                <w:lang w:eastAsia="en-AU"/>
              </w:rPr>
            </w:pPr>
            <w:r w:rsidRPr="00883802">
              <w:rPr>
                <w:lang w:eastAsia="en-AU"/>
              </w:rPr>
              <w:t>25.9</w:t>
            </w:r>
          </w:p>
        </w:tc>
        <w:tc>
          <w:tcPr>
            <w:tcW w:w="873" w:type="dxa"/>
          </w:tcPr>
          <w:p w14:paraId="12F803DC" w14:textId="77777777" w:rsidR="008F2628" w:rsidRPr="00883802" w:rsidRDefault="008F2628" w:rsidP="008F2628">
            <w:pPr>
              <w:pStyle w:val="TableText0"/>
              <w:rPr>
                <w:lang w:eastAsia="en-AU"/>
              </w:rPr>
            </w:pPr>
            <w:r w:rsidRPr="00883802">
              <w:rPr>
                <w:lang w:eastAsia="en-AU"/>
              </w:rPr>
              <w:t>2,776</w:t>
            </w:r>
          </w:p>
        </w:tc>
        <w:tc>
          <w:tcPr>
            <w:tcW w:w="1634" w:type="dxa"/>
          </w:tcPr>
          <w:p w14:paraId="4FB8D80D" w14:textId="77777777" w:rsidR="008F2628" w:rsidRPr="00883802" w:rsidRDefault="008F2628" w:rsidP="008F2628">
            <w:pPr>
              <w:pStyle w:val="TableText0"/>
              <w:rPr>
                <w:lang w:eastAsia="en-AU"/>
              </w:rPr>
            </w:pPr>
            <w:r w:rsidRPr="00883802">
              <w:rPr>
                <w:lang w:eastAsia="en-AU"/>
              </w:rPr>
              <w:t>18.1</w:t>
            </w:r>
          </w:p>
        </w:tc>
        <w:tc>
          <w:tcPr>
            <w:tcW w:w="760" w:type="dxa"/>
          </w:tcPr>
          <w:p w14:paraId="01454F5B" w14:textId="77777777" w:rsidR="008F2628" w:rsidRPr="00883802" w:rsidRDefault="008F2628" w:rsidP="008F2628">
            <w:pPr>
              <w:pStyle w:val="TableText0"/>
              <w:rPr>
                <w:lang w:eastAsia="en-AU"/>
              </w:rPr>
            </w:pPr>
            <w:r w:rsidRPr="00883802">
              <w:rPr>
                <w:lang w:eastAsia="en-AU"/>
              </w:rPr>
              <w:t>6,423</w:t>
            </w:r>
          </w:p>
        </w:tc>
        <w:tc>
          <w:tcPr>
            <w:tcW w:w="1701" w:type="dxa"/>
          </w:tcPr>
          <w:p w14:paraId="5B02075C" w14:textId="77777777" w:rsidR="008F2628" w:rsidRPr="00883802" w:rsidRDefault="008F2628" w:rsidP="008F2628">
            <w:pPr>
              <w:pStyle w:val="TableText0"/>
              <w:rPr>
                <w:lang w:eastAsia="en-AU"/>
              </w:rPr>
            </w:pPr>
            <w:r w:rsidRPr="00883802">
              <w:rPr>
                <w:lang w:eastAsia="en-AU"/>
              </w:rPr>
              <w:t>21.8</w:t>
            </w:r>
          </w:p>
        </w:tc>
      </w:tr>
      <w:tr w:rsidR="008F2628" w:rsidRPr="00433A42" w14:paraId="2BF6442D" w14:textId="77777777" w:rsidTr="008F2628">
        <w:tc>
          <w:tcPr>
            <w:tcW w:w="1669" w:type="dxa"/>
            <w:vAlign w:val="center"/>
          </w:tcPr>
          <w:p w14:paraId="17B53B14" w14:textId="77777777" w:rsidR="008F2628" w:rsidRPr="00883802" w:rsidRDefault="008F2628" w:rsidP="008F2628">
            <w:pPr>
              <w:pStyle w:val="TableText0"/>
              <w:rPr>
                <w:lang w:eastAsia="en-AU"/>
              </w:rPr>
            </w:pPr>
            <w:r w:rsidRPr="00883802">
              <w:rPr>
                <w:lang w:eastAsia="en-AU"/>
              </w:rPr>
              <w:t>Leukaemia (C91–C95)</w:t>
            </w:r>
          </w:p>
        </w:tc>
        <w:tc>
          <w:tcPr>
            <w:tcW w:w="878" w:type="dxa"/>
          </w:tcPr>
          <w:p w14:paraId="1EA829B0" w14:textId="77777777" w:rsidR="008F2628" w:rsidRPr="00883802" w:rsidRDefault="008F2628" w:rsidP="008F2628">
            <w:pPr>
              <w:pStyle w:val="TableText0"/>
              <w:rPr>
                <w:lang w:eastAsia="en-AU"/>
              </w:rPr>
            </w:pPr>
            <w:r w:rsidRPr="00883802">
              <w:rPr>
                <w:lang w:eastAsia="en-AU"/>
              </w:rPr>
              <w:t>2,609</w:t>
            </w:r>
          </w:p>
        </w:tc>
        <w:tc>
          <w:tcPr>
            <w:tcW w:w="1694" w:type="dxa"/>
          </w:tcPr>
          <w:p w14:paraId="3453F9FD" w14:textId="77777777" w:rsidR="008F2628" w:rsidRPr="00883802" w:rsidRDefault="008F2628" w:rsidP="008F2628">
            <w:pPr>
              <w:pStyle w:val="TableText0"/>
              <w:rPr>
                <w:lang w:eastAsia="en-AU"/>
              </w:rPr>
            </w:pPr>
            <w:r w:rsidRPr="00883802">
              <w:rPr>
                <w:lang w:eastAsia="en-AU"/>
              </w:rPr>
              <w:t>18.5</w:t>
            </w:r>
          </w:p>
        </w:tc>
        <w:tc>
          <w:tcPr>
            <w:tcW w:w="873" w:type="dxa"/>
          </w:tcPr>
          <w:p w14:paraId="14AA2977" w14:textId="77777777" w:rsidR="008F2628" w:rsidRPr="00883802" w:rsidRDefault="008F2628" w:rsidP="008F2628">
            <w:pPr>
              <w:pStyle w:val="TableText0"/>
              <w:rPr>
                <w:lang w:eastAsia="en-AU"/>
              </w:rPr>
            </w:pPr>
            <w:r w:rsidRPr="00883802">
              <w:rPr>
                <w:lang w:eastAsia="en-AU"/>
              </w:rPr>
              <w:t>1,642</w:t>
            </w:r>
          </w:p>
        </w:tc>
        <w:tc>
          <w:tcPr>
            <w:tcW w:w="1634" w:type="dxa"/>
          </w:tcPr>
          <w:p w14:paraId="5F0589CE" w14:textId="77777777" w:rsidR="008F2628" w:rsidRPr="00883802" w:rsidRDefault="008F2628" w:rsidP="008F2628">
            <w:pPr>
              <w:pStyle w:val="TableText0"/>
              <w:rPr>
                <w:lang w:eastAsia="en-AU"/>
              </w:rPr>
            </w:pPr>
            <w:r w:rsidRPr="00883802">
              <w:rPr>
                <w:lang w:eastAsia="en-AU"/>
              </w:rPr>
              <w:t>10.7</w:t>
            </w:r>
          </w:p>
        </w:tc>
        <w:tc>
          <w:tcPr>
            <w:tcW w:w="760" w:type="dxa"/>
          </w:tcPr>
          <w:p w14:paraId="728479ED" w14:textId="77777777" w:rsidR="008F2628" w:rsidRPr="00883802" w:rsidRDefault="008F2628" w:rsidP="008F2628">
            <w:pPr>
              <w:pStyle w:val="TableText0"/>
              <w:rPr>
                <w:lang w:eastAsia="en-AU"/>
              </w:rPr>
            </w:pPr>
            <w:r w:rsidRPr="00883802">
              <w:rPr>
                <w:lang w:eastAsia="en-AU"/>
              </w:rPr>
              <w:t>4,251</w:t>
            </w:r>
          </w:p>
        </w:tc>
        <w:tc>
          <w:tcPr>
            <w:tcW w:w="1701" w:type="dxa"/>
          </w:tcPr>
          <w:p w14:paraId="5F466DFC" w14:textId="77777777" w:rsidR="008F2628" w:rsidRPr="00883802" w:rsidRDefault="008F2628" w:rsidP="008F2628">
            <w:pPr>
              <w:pStyle w:val="TableText0"/>
              <w:rPr>
                <w:lang w:eastAsia="en-AU"/>
              </w:rPr>
            </w:pPr>
            <w:r w:rsidRPr="00883802">
              <w:rPr>
                <w:lang w:eastAsia="en-AU"/>
              </w:rPr>
              <w:t>14.4</w:t>
            </w:r>
          </w:p>
        </w:tc>
      </w:tr>
      <w:tr w:rsidR="008F2628" w:rsidRPr="00433A42" w14:paraId="39F6AB7D" w14:textId="77777777" w:rsidTr="008F2628">
        <w:tc>
          <w:tcPr>
            <w:tcW w:w="1669" w:type="dxa"/>
            <w:vAlign w:val="center"/>
          </w:tcPr>
          <w:p w14:paraId="21A22DD8" w14:textId="77777777" w:rsidR="008F2628" w:rsidRPr="00883802" w:rsidRDefault="008F2628" w:rsidP="008F2628">
            <w:pPr>
              <w:pStyle w:val="TableText0"/>
              <w:rPr>
                <w:lang w:eastAsia="en-AU"/>
              </w:rPr>
            </w:pPr>
            <w:r w:rsidRPr="00883802">
              <w:rPr>
                <w:lang w:eastAsia="en-AU"/>
              </w:rPr>
              <w:t>Multiple myeloma (C90.0)</w:t>
            </w:r>
          </w:p>
        </w:tc>
        <w:tc>
          <w:tcPr>
            <w:tcW w:w="878" w:type="dxa"/>
          </w:tcPr>
          <w:p w14:paraId="65C5737C" w14:textId="77777777" w:rsidR="008F2628" w:rsidRPr="00883802" w:rsidRDefault="008F2628" w:rsidP="008F2628">
            <w:pPr>
              <w:pStyle w:val="TableText0"/>
              <w:rPr>
                <w:lang w:eastAsia="en-AU"/>
              </w:rPr>
            </w:pPr>
            <w:r w:rsidRPr="00883802">
              <w:rPr>
                <w:lang w:eastAsia="en-AU"/>
              </w:rPr>
              <w:t>1,139</w:t>
            </w:r>
          </w:p>
        </w:tc>
        <w:tc>
          <w:tcPr>
            <w:tcW w:w="1694" w:type="dxa"/>
          </w:tcPr>
          <w:p w14:paraId="62EC48D7" w14:textId="77777777" w:rsidR="008F2628" w:rsidRPr="00883802" w:rsidRDefault="008F2628" w:rsidP="008F2628">
            <w:pPr>
              <w:pStyle w:val="TableText0"/>
              <w:rPr>
                <w:lang w:eastAsia="en-AU"/>
              </w:rPr>
            </w:pPr>
            <w:r w:rsidRPr="00883802">
              <w:rPr>
                <w:lang w:eastAsia="en-AU"/>
              </w:rPr>
              <w:t>7.9</w:t>
            </w:r>
          </w:p>
        </w:tc>
        <w:tc>
          <w:tcPr>
            <w:tcW w:w="873" w:type="dxa"/>
          </w:tcPr>
          <w:p w14:paraId="1DB3566B" w14:textId="77777777" w:rsidR="008F2628" w:rsidRPr="00883802" w:rsidRDefault="008F2628" w:rsidP="008F2628">
            <w:pPr>
              <w:pStyle w:val="TableText0"/>
              <w:rPr>
                <w:lang w:eastAsia="en-AU"/>
              </w:rPr>
            </w:pPr>
            <w:r w:rsidRPr="00883802">
              <w:rPr>
                <w:lang w:eastAsia="en-AU"/>
              </w:rPr>
              <w:t>868</w:t>
            </w:r>
            <w:r w:rsidRPr="00883802">
              <w:rPr>
                <w:lang w:eastAsia="en-AU"/>
              </w:rPr>
              <w:tab/>
            </w:r>
          </w:p>
        </w:tc>
        <w:tc>
          <w:tcPr>
            <w:tcW w:w="1634" w:type="dxa"/>
          </w:tcPr>
          <w:p w14:paraId="04071972" w14:textId="77777777" w:rsidR="008F2628" w:rsidRPr="00883802" w:rsidRDefault="008F2628" w:rsidP="008F2628">
            <w:pPr>
              <w:pStyle w:val="TableText0"/>
              <w:rPr>
                <w:lang w:eastAsia="en-AU"/>
              </w:rPr>
            </w:pPr>
            <w:r w:rsidRPr="00883802">
              <w:rPr>
                <w:lang w:eastAsia="en-AU"/>
              </w:rPr>
              <w:t>5.3</w:t>
            </w:r>
          </w:p>
        </w:tc>
        <w:tc>
          <w:tcPr>
            <w:tcW w:w="760" w:type="dxa"/>
          </w:tcPr>
          <w:p w14:paraId="1F67E456" w14:textId="77777777" w:rsidR="008F2628" w:rsidRPr="00883802" w:rsidRDefault="008F2628" w:rsidP="008F2628">
            <w:pPr>
              <w:pStyle w:val="TableText0"/>
              <w:rPr>
                <w:lang w:eastAsia="en-AU"/>
              </w:rPr>
            </w:pPr>
            <w:r w:rsidRPr="00883802">
              <w:rPr>
                <w:lang w:eastAsia="en-AU"/>
              </w:rPr>
              <w:t>2,007</w:t>
            </w:r>
          </w:p>
        </w:tc>
        <w:tc>
          <w:tcPr>
            <w:tcW w:w="1701" w:type="dxa"/>
          </w:tcPr>
          <w:p w14:paraId="6FAF7A60" w14:textId="77777777" w:rsidR="008F2628" w:rsidRPr="00883802" w:rsidRDefault="008F2628" w:rsidP="008F2628">
            <w:pPr>
              <w:pStyle w:val="TableText0"/>
              <w:rPr>
                <w:lang w:eastAsia="en-AU"/>
              </w:rPr>
            </w:pPr>
            <w:r w:rsidRPr="00883802">
              <w:rPr>
                <w:lang w:eastAsia="en-AU"/>
              </w:rPr>
              <w:t>6.5</w:t>
            </w:r>
          </w:p>
        </w:tc>
      </w:tr>
      <w:tr w:rsidR="008F2628" w:rsidRPr="00433A42" w14:paraId="75D2B6B1" w14:textId="77777777" w:rsidTr="008F2628">
        <w:tc>
          <w:tcPr>
            <w:tcW w:w="1669" w:type="dxa"/>
            <w:vAlign w:val="center"/>
          </w:tcPr>
          <w:p w14:paraId="471DA291" w14:textId="77777777" w:rsidR="008F2628" w:rsidRPr="00883802" w:rsidRDefault="008F2628" w:rsidP="008F2628">
            <w:pPr>
              <w:pStyle w:val="TableText0"/>
              <w:rPr>
                <w:lang w:eastAsia="en-AU"/>
              </w:rPr>
            </w:pPr>
            <w:r w:rsidRPr="00883802">
              <w:rPr>
                <w:lang w:eastAsia="en-AU"/>
              </w:rPr>
              <w:t>Myelodysplastic syndromes (D46)</w:t>
            </w:r>
          </w:p>
        </w:tc>
        <w:tc>
          <w:tcPr>
            <w:tcW w:w="878" w:type="dxa"/>
          </w:tcPr>
          <w:p w14:paraId="56F26B71" w14:textId="77777777" w:rsidR="008F2628" w:rsidRPr="00883802" w:rsidRDefault="008F2628" w:rsidP="008F2628">
            <w:pPr>
              <w:pStyle w:val="TableText0"/>
              <w:rPr>
                <w:lang w:eastAsia="en-AU"/>
              </w:rPr>
            </w:pPr>
            <w:r w:rsidRPr="00883802">
              <w:rPr>
                <w:lang w:eastAsia="en-AU"/>
              </w:rPr>
              <w:t>986</w:t>
            </w:r>
          </w:p>
        </w:tc>
        <w:tc>
          <w:tcPr>
            <w:tcW w:w="1694" w:type="dxa"/>
          </w:tcPr>
          <w:p w14:paraId="2D10B4EE" w14:textId="77777777" w:rsidR="008F2628" w:rsidRPr="00883802" w:rsidRDefault="008F2628" w:rsidP="008F2628">
            <w:pPr>
              <w:pStyle w:val="TableText0"/>
              <w:rPr>
                <w:lang w:eastAsia="en-AU"/>
              </w:rPr>
            </w:pPr>
            <w:r w:rsidRPr="00883802">
              <w:rPr>
                <w:lang w:eastAsia="en-AU"/>
              </w:rPr>
              <w:t>6.9</w:t>
            </w:r>
          </w:p>
        </w:tc>
        <w:tc>
          <w:tcPr>
            <w:tcW w:w="873" w:type="dxa"/>
          </w:tcPr>
          <w:p w14:paraId="74F9D0FF" w14:textId="77777777" w:rsidR="008F2628" w:rsidRPr="00883802" w:rsidRDefault="008F2628" w:rsidP="008F2628">
            <w:pPr>
              <w:pStyle w:val="TableText0"/>
              <w:rPr>
                <w:lang w:eastAsia="en-AU"/>
              </w:rPr>
            </w:pPr>
            <w:r w:rsidRPr="00883802">
              <w:rPr>
                <w:lang w:eastAsia="en-AU"/>
              </w:rPr>
              <w:t>631</w:t>
            </w:r>
          </w:p>
        </w:tc>
        <w:tc>
          <w:tcPr>
            <w:tcW w:w="1634" w:type="dxa"/>
          </w:tcPr>
          <w:p w14:paraId="2ED3ABDE" w14:textId="77777777" w:rsidR="008F2628" w:rsidRPr="00883802" w:rsidRDefault="008F2628" w:rsidP="008F2628">
            <w:pPr>
              <w:pStyle w:val="TableText0"/>
              <w:rPr>
                <w:lang w:eastAsia="en-AU"/>
              </w:rPr>
            </w:pPr>
            <w:r w:rsidRPr="00883802">
              <w:rPr>
                <w:lang w:eastAsia="en-AU"/>
              </w:rPr>
              <w:t>3.6</w:t>
            </w:r>
          </w:p>
        </w:tc>
        <w:tc>
          <w:tcPr>
            <w:tcW w:w="760" w:type="dxa"/>
          </w:tcPr>
          <w:p w14:paraId="0975266A" w14:textId="77777777" w:rsidR="008F2628" w:rsidRPr="00883802" w:rsidRDefault="008F2628" w:rsidP="008F2628">
            <w:pPr>
              <w:pStyle w:val="TableText0"/>
              <w:rPr>
                <w:lang w:eastAsia="en-AU"/>
              </w:rPr>
            </w:pPr>
            <w:r w:rsidRPr="00883802">
              <w:rPr>
                <w:lang w:eastAsia="en-AU"/>
              </w:rPr>
              <w:t>1,618</w:t>
            </w:r>
          </w:p>
        </w:tc>
        <w:tc>
          <w:tcPr>
            <w:tcW w:w="1701" w:type="dxa"/>
          </w:tcPr>
          <w:p w14:paraId="6E4F5DE9" w14:textId="77777777" w:rsidR="008F2628" w:rsidRPr="00883802" w:rsidRDefault="008F2628" w:rsidP="008F2628">
            <w:pPr>
              <w:pStyle w:val="TableText0"/>
              <w:rPr>
                <w:lang w:eastAsia="en-AU"/>
              </w:rPr>
            </w:pPr>
            <w:r w:rsidRPr="00883802">
              <w:rPr>
                <w:lang w:eastAsia="en-AU"/>
              </w:rPr>
              <w:t>5.1</w:t>
            </w:r>
          </w:p>
        </w:tc>
      </w:tr>
    </w:tbl>
    <w:p w14:paraId="2FB798AA" w14:textId="77777777" w:rsidR="008F2628" w:rsidRPr="005C14A4" w:rsidRDefault="008F2628" w:rsidP="008F2628">
      <w:pPr>
        <w:pStyle w:val="Tablenotes"/>
      </w:pPr>
      <w:r w:rsidRPr="005C14A4">
        <w:t xml:space="preserve">Source: </w:t>
      </w:r>
      <w:r>
        <w:fldChar w:fldCharType="begin"/>
      </w:r>
      <w:r>
        <w:instrText xml:space="preserve"> ADDIN EN.CITE &lt;EndNote&gt;&lt;Cite AuthorYear="1"&gt;&lt;Author&gt;Australian Institute of Health and Welfare (AIHW)&lt;/Author&gt;&lt;Year&gt;2019&lt;/Year&gt;&lt;RecNum&gt;55&lt;/RecNum&gt;&lt;DisplayText&gt;Australian Institute of Health and Welfare (AIHW) (2019)&lt;/DisplayText&gt;&lt;record&gt;&lt;rec-number&gt;55&lt;/rec-number&gt;&lt;foreign-keys&gt;&lt;key app="EN" db-id="rpxx2texi59tzqewr09xxp96wtzx9a9wr0rv" timestamp="1633766914"&gt;55&lt;/key&gt;&lt;/foreign-keys&gt;&lt;ref-type name="Web Page"&gt;12&lt;/ref-type&gt;&lt;contributors&gt;&lt;authors&gt;&lt;author&gt;Australian Institute of Health and Welfare (AIHW),&lt;/author&gt;&lt;/authors&gt;&lt;/contributors&gt;&lt;titles&gt;&lt;title&gt;Cancer in Australia 2019&lt;/title&gt;&lt;/titles&gt;&lt;number&gt;18 November 2020&lt;/number&gt;&lt;dates&gt;&lt;year&gt;2019&lt;/year&gt;&lt;/dates&gt;&lt;pub-location&gt;Canberra&lt;/pub-location&gt;&lt;urls&gt;&lt;related-urls&gt;&lt;url&gt;https://www.aihw.gov.au/reports/cancer/cancer-in-australia-2019/contents/table-of-contents.&lt;/url&gt;&lt;/related-urls&gt;&lt;/urls&gt;&lt;/record&gt;&lt;/Cite&gt;&lt;/EndNote&gt;</w:instrText>
      </w:r>
      <w:r>
        <w:fldChar w:fldCharType="separate"/>
      </w:r>
      <w:r>
        <w:rPr>
          <w:noProof/>
        </w:rPr>
        <w:t>Australian Institute of Health and Welfare (AIHW) (2019)</w:t>
      </w:r>
      <w:r>
        <w:fldChar w:fldCharType="end"/>
      </w:r>
    </w:p>
    <w:p w14:paraId="31688F0B" w14:textId="77777777" w:rsidR="008F2628" w:rsidRPr="00DD0475" w:rsidRDefault="008F2628" w:rsidP="008F2628">
      <w:pPr>
        <w:pStyle w:val="Tablenotes"/>
      </w:pPr>
      <w:r w:rsidRPr="00DD0475">
        <w:t>ASR=age-standardised rate</w:t>
      </w:r>
    </w:p>
    <w:p w14:paraId="1344784F" w14:textId="77777777" w:rsidR="008F2628" w:rsidRDefault="008F2628" w:rsidP="008F2628">
      <w:pPr>
        <w:pStyle w:val="Caption"/>
      </w:pPr>
      <w:bookmarkStart w:id="2" w:name="_Ref85116560"/>
      <w:r>
        <w:t xml:space="preserve">Table </w:t>
      </w:r>
      <w:r>
        <w:fldChar w:fldCharType="begin"/>
      </w:r>
      <w:r>
        <w:instrText xml:space="preserve"> SEQ Table \* ARABIC </w:instrText>
      </w:r>
      <w:r>
        <w:fldChar w:fldCharType="separate"/>
      </w:r>
      <w:r>
        <w:rPr>
          <w:noProof/>
        </w:rPr>
        <w:t>3</w:t>
      </w:r>
      <w:r>
        <w:fldChar w:fldCharType="end"/>
      </w:r>
      <w:bookmarkEnd w:id="2"/>
      <w:r>
        <w:tab/>
      </w:r>
      <w:r w:rsidRPr="00375C6A">
        <w:t>Rates of mortality associated with haematologic cancer in Australia, by sex, 2019</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763"/>
        <w:gridCol w:w="1644"/>
        <w:gridCol w:w="1079"/>
        <w:gridCol w:w="1751"/>
        <w:gridCol w:w="763"/>
        <w:gridCol w:w="1652"/>
      </w:tblGrid>
      <w:tr w:rsidR="008F2628" w:rsidRPr="00433A42" w14:paraId="15DF1FDE" w14:textId="77777777" w:rsidTr="008F2628">
        <w:trPr>
          <w:tblHeader/>
        </w:trPr>
        <w:tc>
          <w:tcPr>
            <w:tcW w:w="1557" w:type="dxa"/>
            <w:tcBorders>
              <w:top w:val="single" w:sz="4" w:space="0" w:color="auto"/>
              <w:left w:val="single" w:sz="4" w:space="0" w:color="auto"/>
              <w:bottom w:val="nil"/>
              <w:right w:val="single" w:sz="4" w:space="0" w:color="auto"/>
            </w:tcBorders>
          </w:tcPr>
          <w:p w14:paraId="44C823F9" w14:textId="77777777" w:rsidR="008F2628" w:rsidRPr="00B10224" w:rsidRDefault="008F2628" w:rsidP="008F2628">
            <w:pPr>
              <w:spacing w:after="0"/>
              <w:rPr>
                <w:rFonts w:ascii="Arial Narrow" w:eastAsia="Times New Roman" w:hAnsi="Arial Narrow" w:cs="Tahoma"/>
                <w:sz w:val="20"/>
                <w:szCs w:val="20"/>
                <w:lang w:eastAsia="en-AU"/>
              </w:rPr>
            </w:pPr>
            <w:r w:rsidRPr="00B020F1">
              <w:rPr>
                <w:rFonts w:ascii="Arial Narrow" w:eastAsia="Times New Roman" w:hAnsi="Arial Narrow" w:cs="Tahoma"/>
                <w:b/>
                <w:bCs/>
                <w:sz w:val="20"/>
                <w:szCs w:val="20"/>
                <w:lang w:eastAsia="en-AU"/>
              </w:rPr>
              <w:t>Cancer type (ICD-10 code)</w:t>
            </w:r>
          </w:p>
        </w:tc>
        <w:tc>
          <w:tcPr>
            <w:tcW w:w="763" w:type="dxa"/>
            <w:tcBorders>
              <w:top w:val="single" w:sz="4" w:space="0" w:color="auto"/>
              <w:left w:val="single" w:sz="4" w:space="0" w:color="auto"/>
              <w:bottom w:val="single" w:sz="4" w:space="0" w:color="auto"/>
              <w:right w:val="nil"/>
            </w:tcBorders>
          </w:tcPr>
          <w:p w14:paraId="4D18E6EA" w14:textId="77777777" w:rsidR="008F2628" w:rsidRPr="00B10224" w:rsidRDefault="008F2628" w:rsidP="008F2628">
            <w:pPr>
              <w:spacing w:after="0"/>
              <w:rPr>
                <w:rFonts w:ascii="Arial Narrow" w:eastAsia="Times New Roman" w:hAnsi="Arial Narrow" w:cs="Tahoma"/>
                <w:b/>
                <w:bCs/>
                <w:sz w:val="20"/>
                <w:szCs w:val="20"/>
                <w:lang w:eastAsia="en-AU"/>
              </w:rPr>
            </w:pPr>
            <w:r w:rsidRPr="00B10224">
              <w:rPr>
                <w:rFonts w:ascii="Arial Narrow" w:eastAsia="Times New Roman" w:hAnsi="Arial Narrow" w:cs="Tahoma"/>
                <w:b/>
                <w:bCs/>
                <w:sz w:val="20"/>
                <w:szCs w:val="20"/>
                <w:lang w:eastAsia="en-AU"/>
              </w:rPr>
              <w:t>Males</w:t>
            </w:r>
          </w:p>
        </w:tc>
        <w:tc>
          <w:tcPr>
            <w:tcW w:w="1644" w:type="dxa"/>
            <w:tcBorders>
              <w:top w:val="single" w:sz="4" w:space="0" w:color="auto"/>
              <w:left w:val="nil"/>
              <w:bottom w:val="single" w:sz="4" w:space="0" w:color="auto"/>
              <w:right w:val="single" w:sz="4" w:space="0" w:color="auto"/>
            </w:tcBorders>
          </w:tcPr>
          <w:p w14:paraId="4F5F8895" w14:textId="77777777" w:rsidR="008F2628" w:rsidRPr="00B10224" w:rsidRDefault="008F2628" w:rsidP="008F2628">
            <w:pPr>
              <w:spacing w:after="0"/>
              <w:rPr>
                <w:rFonts w:ascii="Arial Narrow" w:eastAsia="Times New Roman" w:hAnsi="Arial Narrow" w:cs="Tahoma"/>
                <w:b/>
                <w:bCs/>
                <w:sz w:val="20"/>
                <w:szCs w:val="20"/>
                <w:lang w:eastAsia="en-AU"/>
              </w:rPr>
            </w:pPr>
          </w:p>
        </w:tc>
        <w:tc>
          <w:tcPr>
            <w:tcW w:w="1079" w:type="dxa"/>
            <w:tcBorders>
              <w:top w:val="single" w:sz="4" w:space="0" w:color="auto"/>
              <w:left w:val="single" w:sz="4" w:space="0" w:color="auto"/>
              <w:bottom w:val="single" w:sz="4" w:space="0" w:color="auto"/>
              <w:right w:val="nil"/>
            </w:tcBorders>
          </w:tcPr>
          <w:p w14:paraId="1F079359" w14:textId="77777777" w:rsidR="008F2628" w:rsidRPr="00B10224" w:rsidRDefault="008F2628" w:rsidP="008F2628">
            <w:pPr>
              <w:spacing w:after="0"/>
              <w:rPr>
                <w:rFonts w:ascii="Arial Narrow" w:eastAsia="Times New Roman" w:hAnsi="Arial Narrow" w:cs="Tahoma"/>
                <w:b/>
                <w:bCs/>
                <w:sz w:val="20"/>
                <w:szCs w:val="20"/>
                <w:lang w:eastAsia="en-AU"/>
              </w:rPr>
            </w:pPr>
            <w:r w:rsidRPr="00B10224">
              <w:rPr>
                <w:rFonts w:ascii="Arial Narrow" w:eastAsia="Times New Roman" w:hAnsi="Arial Narrow" w:cs="Tahoma"/>
                <w:b/>
                <w:bCs/>
                <w:sz w:val="20"/>
                <w:szCs w:val="20"/>
                <w:lang w:eastAsia="en-AU"/>
              </w:rPr>
              <w:t>Females</w:t>
            </w:r>
          </w:p>
        </w:tc>
        <w:tc>
          <w:tcPr>
            <w:tcW w:w="1751" w:type="dxa"/>
            <w:tcBorders>
              <w:top w:val="single" w:sz="4" w:space="0" w:color="auto"/>
              <w:left w:val="nil"/>
              <w:bottom w:val="single" w:sz="4" w:space="0" w:color="auto"/>
              <w:right w:val="single" w:sz="4" w:space="0" w:color="auto"/>
            </w:tcBorders>
          </w:tcPr>
          <w:p w14:paraId="00AC814C" w14:textId="77777777" w:rsidR="008F2628" w:rsidRPr="00B10224" w:rsidRDefault="008F2628" w:rsidP="008F2628">
            <w:pPr>
              <w:spacing w:after="0"/>
              <w:rPr>
                <w:rFonts w:ascii="Arial Narrow" w:eastAsia="Times New Roman" w:hAnsi="Arial Narrow" w:cs="Tahoma"/>
                <w:b/>
                <w:bCs/>
                <w:sz w:val="20"/>
                <w:szCs w:val="20"/>
                <w:lang w:eastAsia="en-AU"/>
              </w:rPr>
            </w:pPr>
          </w:p>
        </w:tc>
        <w:tc>
          <w:tcPr>
            <w:tcW w:w="763" w:type="dxa"/>
            <w:tcBorders>
              <w:top w:val="single" w:sz="4" w:space="0" w:color="auto"/>
              <w:left w:val="single" w:sz="4" w:space="0" w:color="auto"/>
              <w:bottom w:val="single" w:sz="4" w:space="0" w:color="auto"/>
              <w:right w:val="nil"/>
            </w:tcBorders>
          </w:tcPr>
          <w:p w14:paraId="74E8EA6B" w14:textId="77777777" w:rsidR="008F2628" w:rsidRPr="00B10224" w:rsidRDefault="008F2628" w:rsidP="008F2628">
            <w:pPr>
              <w:spacing w:after="0"/>
              <w:rPr>
                <w:rFonts w:ascii="Arial Narrow" w:eastAsia="Times New Roman" w:hAnsi="Arial Narrow" w:cs="Tahoma"/>
                <w:b/>
                <w:bCs/>
                <w:sz w:val="20"/>
                <w:szCs w:val="20"/>
                <w:lang w:eastAsia="en-AU"/>
              </w:rPr>
            </w:pPr>
            <w:r w:rsidRPr="00B10224">
              <w:rPr>
                <w:rFonts w:ascii="Arial Narrow" w:eastAsia="Times New Roman" w:hAnsi="Arial Narrow" w:cs="Tahoma"/>
                <w:b/>
                <w:bCs/>
                <w:sz w:val="20"/>
                <w:szCs w:val="20"/>
                <w:lang w:eastAsia="en-AU"/>
              </w:rPr>
              <w:t>Total</w:t>
            </w:r>
          </w:p>
        </w:tc>
        <w:tc>
          <w:tcPr>
            <w:tcW w:w="1652" w:type="dxa"/>
            <w:tcBorders>
              <w:top w:val="single" w:sz="4" w:space="0" w:color="auto"/>
              <w:left w:val="nil"/>
              <w:bottom w:val="single" w:sz="4" w:space="0" w:color="auto"/>
              <w:right w:val="single" w:sz="4" w:space="0" w:color="auto"/>
            </w:tcBorders>
          </w:tcPr>
          <w:p w14:paraId="2675F25A" w14:textId="77777777" w:rsidR="008F2628" w:rsidRPr="00B10224" w:rsidRDefault="008F2628" w:rsidP="008F2628">
            <w:pPr>
              <w:spacing w:after="0"/>
              <w:rPr>
                <w:rFonts w:ascii="Arial Narrow" w:eastAsia="Times New Roman" w:hAnsi="Arial Narrow" w:cs="Tahoma"/>
                <w:b/>
                <w:bCs/>
                <w:sz w:val="20"/>
                <w:szCs w:val="20"/>
                <w:lang w:eastAsia="en-AU"/>
              </w:rPr>
            </w:pPr>
          </w:p>
        </w:tc>
      </w:tr>
      <w:tr w:rsidR="008F2628" w:rsidRPr="00433A42" w14:paraId="164F92BC" w14:textId="77777777" w:rsidTr="008F2628">
        <w:trPr>
          <w:tblHeader/>
        </w:trPr>
        <w:tc>
          <w:tcPr>
            <w:tcW w:w="1557" w:type="dxa"/>
            <w:tcBorders>
              <w:top w:val="nil"/>
              <w:left w:val="single" w:sz="4" w:space="0" w:color="auto"/>
              <w:bottom w:val="single" w:sz="4" w:space="0" w:color="auto"/>
              <w:right w:val="single" w:sz="4" w:space="0" w:color="auto"/>
            </w:tcBorders>
          </w:tcPr>
          <w:p w14:paraId="2BD651D4" w14:textId="77777777" w:rsidR="008F2628" w:rsidRPr="00B10224" w:rsidRDefault="008F2628" w:rsidP="008F2628">
            <w:pPr>
              <w:spacing w:after="0"/>
              <w:rPr>
                <w:rFonts w:ascii="Arial Narrow" w:eastAsia="Times New Roman" w:hAnsi="Arial Narrow" w:cs="Tahoma"/>
                <w:b/>
                <w:bCs/>
                <w:sz w:val="20"/>
                <w:szCs w:val="20"/>
                <w:lang w:eastAsia="en-AU"/>
              </w:rPr>
            </w:pPr>
          </w:p>
        </w:tc>
        <w:tc>
          <w:tcPr>
            <w:tcW w:w="763" w:type="dxa"/>
            <w:tcBorders>
              <w:top w:val="single" w:sz="4" w:space="0" w:color="auto"/>
              <w:left w:val="single" w:sz="4" w:space="0" w:color="auto"/>
            </w:tcBorders>
          </w:tcPr>
          <w:p w14:paraId="580E051C" w14:textId="77777777" w:rsidR="008F2628" w:rsidRPr="00B10224" w:rsidRDefault="008F2628" w:rsidP="008F2628">
            <w:pPr>
              <w:pStyle w:val="TableHeading"/>
            </w:pPr>
            <w:r w:rsidRPr="00B10224">
              <w:t>Deaths</w:t>
            </w:r>
          </w:p>
        </w:tc>
        <w:tc>
          <w:tcPr>
            <w:tcW w:w="1644" w:type="dxa"/>
            <w:tcBorders>
              <w:top w:val="single" w:sz="4" w:space="0" w:color="auto"/>
            </w:tcBorders>
          </w:tcPr>
          <w:p w14:paraId="2CE6EDDF" w14:textId="77777777" w:rsidR="008F2628" w:rsidRPr="00B10224" w:rsidRDefault="008F2628" w:rsidP="008F2628">
            <w:pPr>
              <w:pStyle w:val="TableHeading"/>
            </w:pPr>
            <w:r w:rsidRPr="00883802">
              <w:t>ASR</w:t>
            </w:r>
            <w:r>
              <w:t xml:space="preserve"> (per 100,000)</w:t>
            </w:r>
          </w:p>
        </w:tc>
        <w:tc>
          <w:tcPr>
            <w:tcW w:w="1079" w:type="dxa"/>
            <w:tcBorders>
              <w:top w:val="single" w:sz="4" w:space="0" w:color="auto"/>
            </w:tcBorders>
          </w:tcPr>
          <w:p w14:paraId="324050AA" w14:textId="77777777" w:rsidR="008F2628" w:rsidRPr="00B10224" w:rsidRDefault="008F2628" w:rsidP="008F2628">
            <w:pPr>
              <w:pStyle w:val="TableHeading"/>
            </w:pPr>
            <w:r w:rsidRPr="00B10224">
              <w:t>Deaths</w:t>
            </w:r>
          </w:p>
        </w:tc>
        <w:tc>
          <w:tcPr>
            <w:tcW w:w="1751" w:type="dxa"/>
            <w:tcBorders>
              <w:top w:val="single" w:sz="4" w:space="0" w:color="auto"/>
            </w:tcBorders>
          </w:tcPr>
          <w:p w14:paraId="68635CA0" w14:textId="77777777" w:rsidR="008F2628" w:rsidRPr="00B10224" w:rsidRDefault="008F2628" w:rsidP="008F2628">
            <w:pPr>
              <w:pStyle w:val="TableHeading"/>
            </w:pPr>
            <w:r w:rsidRPr="00883802">
              <w:t>ASR</w:t>
            </w:r>
            <w:r>
              <w:t xml:space="preserve"> (per 100,000)</w:t>
            </w:r>
          </w:p>
        </w:tc>
        <w:tc>
          <w:tcPr>
            <w:tcW w:w="763" w:type="dxa"/>
            <w:tcBorders>
              <w:top w:val="single" w:sz="4" w:space="0" w:color="auto"/>
            </w:tcBorders>
          </w:tcPr>
          <w:p w14:paraId="46E56248" w14:textId="77777777" w:rsidR="008F2628" w:rsidRPr="00B10224" w:rsidRDefault="008F2628" w:rsidP="008F2628">
            <w:pPr>
              <w:pStyle w:val="TableHeading"/>
            </w:pPr>
            <w:r w:rsidRPr="00B10224">
              <w:t>Deaths</w:t>
            </w:r>
          </w:p>
        </w:tc>
        <w:tc>
          <w:tcPr>
            <w:tcW w:w="1652" w:type="dxa"/>
            <w:tcBorders>
              <w:top w:val="single" w:sz="4" w:space="0" w:color="auto"/>
            </w:tcBorders>
          </w:tcPr>
          <w:p w14:paraId="68F83D2B" w14:textId="77777777" w:rsidR="008F2628" w:rsidRPr="00B10224" w:rsidRDefault="008F2628" w:rsidP="008F2628">
            <w:pPr>
              <w:pStyle w:val="TableHeading"/>
            </w:pPr>
            <w:r w:rsidRPr="00883802">
              <w:t>ASR</w:t>
            </w:r>
            <w:r>
              <w:t xml:space="preserve"> (per 100,000)</w:t>
            </w:r>
          </w:p>
        </w:tc>
      </w:tr>
      <w:tr w:rsidR="008F2628" w:rsidRPr="00433A42" w14:paraId="39E738F5" w14:textId="77777777" w:rsidTr="008F2628">
        <w:tc>
          <w:tcPr>
            <w:tcW w:w="1557" w:type="dxa"/>
            <w:tcBorders>
              <w:top w:val="single" w:sz="4" w:space="0" w:color="auto"/>
            </w:tcBorders>
            <w:vAlign w:val="center"/>
          </w:tcPr>
          <w:p w14:paraId="05BCF04C"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Lymphoma (C81–C86)</w:t>
            </w:r>
          </w:p>
        </w:tc>
        <w:tc>
          <w:tcPr>
            <w:tcW w:w="763" w:type="dxa"/>
          </w:tcPr>
          <w:p w14:paraId="3C5B375A"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956</w:t>
            </w:r>
          </w:p>
        </w:tc>
        <w:tc>
          <w:tcPr>
            <w:tcW w:w="1644" w:type="dxa"/>
          </w:tcPr>
          <w:p w14:paraId="126743D3"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6.7</w:t>
            </w:r>
          </w:p>
        </w:tc>
        <w:tc>
          <w:tcPr>
            <w:tcW w:w="1079" w:type="dxa"/>
          </w:tcPr>
          <w:p w14:paraId="1EA1BE1C"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676</w:t>
            </w:r>
          </w:p>
        </w:tc>
        <w:tc>
          <w:tcPr>
            <w:tcW w:w="1751" w:type="dxa"/>
          </w:tcPr>
          <w:p w14:paraId="3E070473"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3.9</w:t>
            </w:r>
          </w:p>
        </w:tc>
        <w:tc>
          <w:tcPr>
            <w:tcW w:w="763" w:type="dxa"/>
          </w:tcPr>
          <w:p w14:paraId="2E42862C"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1,632</w:t>
            </w:r>
          </w:p>
        </w:tc>
        <w:tc>
          <w:tcPr>
            <w:tcW w:w="1652" w:type="dxa"/>
          </w:tcPr>
          <w:p w14:paraId="49220A05"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5.2</w:t>
            </w:r>
          </w:p>
        </w:tc>
      </w:tr>
      <w:tr w:rsidR="008F2628" w:rsidRPr="00433A42" w14:paraId="638AFB43" w14:textId="77777777" w:rsidTr="008F2628">
        <w:tc>
          <w:tcPr>
            <w:tcW w:w="1557" w:type="dxa"/>
            <w:vAlign w:val="center"/>
          </w:tcPr>
          <w:p w14:paraId="7680F25B"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Leukaemia (C91–C95)</w:t>
            </w:r>
          </w:p>
        </w:tc>
        <w:tc>
          <w:tcPr>
            <w:tcW w:w="763" w:type="dxa"/>
          </w:tcPr>
          <w:p w14:paraId="4BDE87B7"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1,189</w:t>
            </w:r>
          </w:p>
        </w:tc>
        <w:tc>
          <w:tcPr>
            <w:tcW w:w="1644" w:type="dxa"/>
          </w:tcPr>
          <w:p w14:paraId="33095EA8"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8.3</w:t>
            </w:r>
          </w:p>
        </w:tc>
        <w:tc>
          <w:tcPr>
            <w:tcW w:w="1079" w:type="dxa"/>
          </w:tcPr>
          <w:p w14:paraId="09813172"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850</w:t>
            </w:r>
          </w:p>
        </w:tc>
        <w:tc>
          <w:tcPr>
            <w:tcW w:w="1751" w:type="dxa"/>
          </w:tcPr>
          <w:p w14:paraId="3C5290CC"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5.0</w:t>
            </w:r>
          </w:p>
        </w:tc>
        <w:tc>
          <w:tcPr>
            <w:tcW w:w="763" w:type="dxa"/>
          </w:tcPr>
          <w:p w14:paraId="4689A64B"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2,039</w:t>
            </w:r>
          </w:p>
        </w:tc>
        <w:tc>
          <w:tcPr>
            <w:tcW w:w="1652" w:type="dxa"/>
          </w:tcPr>
          <w:p w14:paraId="29BD7053"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6.5</w:t>
            </w:r>
          </w:p>
        </w:tc>
      </w:tr>
      <w:tr w:rsidR="008F2628" w:rsidRPr="00433A42" w14:paraId="14D98FBC" w14:textId="77777777" w:rsidTr="008F2628">
        <w:tc>
          <w:tcPr>
            <w:tcW w:w="1557" w:type="dxa"/>
            <w:vAlign w:val="center"/>
          </w:tcPr>
          <w:p w14:paraId="65D634BF"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Multiple myeloma (C90.0)</w:t>
            </w:r>
          </w:p>
        </w:tc>
        <w:tc>
          <w:tcPr>
            <w:tcW w:w="763" w:type="dxa"/>
          </w:tcPr>
          <w:p w14:paraId="65B26371"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615</w:t>
            </w:r>
          </w:p>
        </w:tc>
        <w:tc>
          <w:tcPr>
            <w:tcW w:w="1644" w:type="dxa"/>
          </w:tcPr>
          <w:p w14:paraId="079DE103"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4.3</w:t>
            </w:r>
          </w:p>
        </w:tc>
        <w:tc>
          <w:tcPr>
            <w:tcW w:w="1079" w:type="dxa"/>
          </w:tcPr>
          <w:p w14:paraId="4ECDE656"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446</w:t>
            </w:r>
          </w:p>
        </w:tc>
        <w:tc>
          <w:tcPr>
            <w:tcW w:w="1751" w:type="dxa"/>
          </w:tcPr>
          <w:p w14:paraId="4C0A5E90"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2.6</w:t>
            </w:r>
          </w:p>
        </w:tc>
        <w:tc>
          <w:tcPr>
            <w:tcW w:w="763" w:type="dxa"/>
          </w:tcPr>
          <w:p w14:paraId="44DA94AD"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1,062</w:t>
            </w:r>
          </w:p>
        </w:tc>
        <w:tc>
          <w:tcPr>
            <w:tcW w:w="1652" w:type="dxa"/>
          </w:tcPr>
          <w:p w14:paraId="10868CF0"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3.3</w:t>
            </w:r>
          </w:p>
        </w:tc>
      </w:tr>
      <w:tr w:rsidR="008F2628" w:rsidRPr="00433A42" w14:paraId="104708B1" w14:textId="77777777" w:rsidTr="008F2628">
        <w:tc>
          <w:tcPr>
            <w:tcW w:w="1557" w:type="dxa"/>
            <w:vAlign w:val="center"/>
          </w:tcPr>
          <w:p w14:paraId="796BC9C7" w14:textId="77777777" w:rsidR="008F2628" w:rsidRPr="00883802"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Myelodysplastic syndromes (D46)</w:t>
            </w:r>
          </w:p>
        </w:tc>
        <w:tc>
          <w:tcPr>
            <w:tcW w:w="763" w:type="dxa"/>
          </w:tcPr>
          <w:p w14:paraId="3728D71F" w14:textId="77777777" w:rsidR="008F2628" w:rsidRPr="00883802" w:rsidRDefault="008F2628" w:rsidP="008F2628">
            <w:pPr>
              <w:spacing w:after="0"/>
              <w:rPr>
                <w:rFonts w:ascii="Arial Narrow" w:eastAsia="Times New Roman" w:hAnsi="Arial Narrow" w:cs="Tahoma"/>
                <w:sz w:val="20"/>
                <w:szCs w:val="20"/>
                <w:lang w:eastAsia="en-AU"/>
              </w:rPr>
            </w:pPr>
            <w:r w:rsidRPr="00883802">
              <w:rPr>
                <w:rFonts w:ascii="Arial Narrow" w:eastAsia="Times New Roman" w:hAnsi="Arial Narrow" w:cs="Tahoma"/>
                <w:sz w:val="20"/>
                <w:szCs w:val="20"/>
                <w:lang w:eastAsia="en-AU"/>
              </w:rPr>
              <w:t>324</w:t>
            </w:r>
          </w:p>
        </w:tc>
        <w:tc>
          <w:tcPr>
            <w:tcW w:w="1644" w:type="dxa"/>
          </w:tcPr>
          <w:p w14:paraId="34D1959B" w14:textId="77777777" w:rsidR="008F2628" w:rsidRPr="00883802" w:rsidRDefault="008F2628" w:rsidP="008F2628">
            <w:pPr>
              <w:spacing w:after="0"/>
              <w:rPr>
                <w:rFonts w:ascii="Arial Narrow" w:eastAsia="Times New Roman" w:hAnsi="Arial Narrow" w:cs="Tahoma"/>
                <w:sz w:val="20"/>
                <w:szCs w:val="20"/>
                <w:lang w:eastAsia="en-AU"/>
              </w:rPr>
            </w:pPr>
            <w:r w:rsidRPr="00883802">
              <w:rPr>
                <w:rFonts w:ascii="Arial Narrow" w:eastAsia="Times New Roman" w:hAnsi="Arial Narrow" w:cs="Tahoma"/>
                <w:sz w:val="20"/>
                <w:szCs w:val="20"/>
                <w:lang w:eastAsia="en-AU"/>
              </w:rPr>
              <w:t>2.3</w:t>
            </w:r>
          </w:p>
        </w:tc>
        <w:tc>
          <w:tcPr>
            <w:tcW w:w="1079" w:type="dxa"/>
          </w:tcPr>
          <w:p w14:paraId="676530E0" w14:textId="77777777" w:rsidR="008F2628" w:rsidRPr="00883802" w:rsidRDefault="008F2628" w:rsidP="008F2628">
            <w:pPr>
              <w:spacing w:after="0"/>
              <w:rPr>
                <w:rFonts w:ascii="Arial Narrow" w:eastAsia="Times New Roman" w:hAnsi="Arial Narrow" w:cs="Tahoma"/>
                <w:sz w:val="20"/>
                <w:szCs w:val="20"/>
                <w:lang w:eastAsia="en-AU"/>
              </w:rPr>
            </w:pPr>
            <w:r>
              <w:rPr>
                <w:rFonts w:ascii="Arial Narrow" w:eastAsia="Times New Roman" w:hAnsi="Arial Narrow" w:cs="Tahoma"/>
                <w:sz w:val="20"/>
                <w:szCs w:val="20"/>
                <w:lang w:eastAsia="en-AU"/>
              </w:rPr>
              <w:t>201</w:t>
            </w:r>
          </w:p>
        </w:tc>
        <w:tc>
          <w:tcPr>
            <w:tcW w:w="1751" w:type="dxa"/>
          </w:tcPr>
          <w:p w14:paraId="3010EBD9" w14:textId="77777777" w:rsidR="008F2628" w:rsidRPr="00883802" w:rsidRDefault="008F2628" w:rsidP="008F2628">
            <w:pPr>
              <w:spacing w:after="0"/>
              <w:rPr>
                <w:rFonts w:ascii="Arial Narrow" w:eastAsia="Times New Roman" w:hAnsi="Arial Narrow" w:cs="Tahoma"/>
                <w:sz w:val="20"/>
                <w:szCs w:val="20"/>
                <w:lang w:eastAsia="en-AU"/>
              </w:rPr>
            </w:pPr>
            <w:r>
              <w:rPr>
                <w:rFonts w:ascii="Arial Narrow" w:eastAsia="Times New Roman" w:hAnsi="Arial Narrow" w:cs="Tahoma"/>
                <w:sz w:val="20"/>
                <w:szCs w:val="20"/>
                <w:lang w:eastAsia="en-AU"/>
              </w:rPr>
              <w:t>1.1</w:t>
            </w:r>
          </w:p>
        </w:tc>
        <w:tc>
          <w:tcPr>
            <w:tcW w:w="763" w:type="dxa"/>
          </w:tcPr>
          <w:p w14:paraId="1434C1F2" w14:textId="77777777" w:rsidR="008F2628" w:rsidRPr="00883802" w:rsidRDefault="008F2628" w:rsidP="008F2628">
            <w:pPr>
              <w:spacing w:after="0"/>
              <w:rPr>
                <w:rFonts w:ascii="Arial Narrow" w:eastAsia="Times New Roman" w:hAnsi="Arial Narrow" w:cs="Tahoma"/>
                <w:sz w:val="20"/>
                <w:szCs w:val="20"/>
                <w:lang w:eastAsia="en-AU"/>
              </w:rPr>
            </w:pPr>
            <w:r>
              <w:rPr>
                <w:rFonts w:ascii="Arial Narrow" w:eastAsia="Times New Roman" w:hAnsi="Arial Narrow" w:cs="Tahoma"/>
                <w:sz w:val="20"/>
                <w:szCs w:val="20"/>
                <w:lang w:eastAsia="en-AU"/>
              </w:rPr>
              <w:t>526</w:t>
            </w:r>
          </w:p>
        </w:tc>
        <w:tc>
          <w:tcPr>
            <w:tcW w:w="1652" w:type="dxa"/>
          </w:tcPr>
          <w:p w14:paraId="470119C9" w14:textId="77777777" w:rsidR="008F2628" w:rsidRPr="00883802" w:rsidRDefault="008F2628" w:rsidP="008F2628">
            <w:pPr>
              <w:spacing w:after="0"/>
              <w:rPr>
                <w:rFonts w:ascii="Arial Narrow" w:eastAsia="Times New Roman" w:hAnsi="Arial Narrow" w:cs="Tahoma"/>
                <w:sz w:val="20"/>
                <w:szCs w:val="20"/>
                <w:lang w:eastAsia="en-AU"/>
              </w:rPr>
            </w:pPr>
            <w:r>
              <w:rPr>
                <w:rFonts w:ascii="Arial Narrow" w:eastAsia="Times New Roman" w:hAnsi="Arial Narrow" w:cs="Tahoma"/>
                <w:sz w:val="20"/>
                <w:szCs w:val="20"/>
                <w:lang w:eastAsia="en-AU"/>
              </w:rPr>
              <w:t>1.6</w:t>
            </w:r>
          </w:p>
        </w:tc>
      </w:tr>
    </w:tbl>
    <w:p w14:paraId="10252B85" w14:textId="77777777" w:rsidR="008F2628" w:rsidRDefault="008F2628" w:rsidP="008F2628">
      <w:pPr>
        <w:pStyle w:val="Tablenotes"/>
      </w:pPr>
      <w:r>
        <w:t xml:space="preserve">Source: </w:t>
      </w:r>
      <w:r>
        <w:fldChar w:fldCharType="begin"/>
      </w:r>
      <w:r>
        <w:instrText xml:space="preserve"> ADDIN EN.CITE &lt;EndNote&gt;&lt;Cite AuthorYear="1"&gt;&lt;Author&gt;Australian Institute of Health and Welfare (AIHW)&lt;/Author&gt;&lt;Year&gt;2019&lt;/Year&gt;&lt;RecNum&gt;55&lt;/RecNum&gt;&lt;DisplayText&gt;Australian Institute of Health and Welfare (AIHW) (2019)&lt;/DisplayText&gt;&lt;record&gt;&lt;rec-number&gt;55&lt;/rec-number&gt;&lt;foreign-keys&gt;&lt;key app="EN" db-id="rpxx2texi59tzqewr09xxp96wtzx9a9wr0rv" timestamp="1633766914"&gt;55&lt;/key&gt;&lt;/foreign-keys&gt;&lt;ref-type name="Web Page"&gt;12&lt;/ref-type&gt;&lt;contributors&gt;&lt;authors&gt;&lt;author&gt;Australian Institute of Health and Welfare (AIHW),&lt;/author&gt;&lt;/authors&gt;&lt;/contributors&gt;&lt;titles&gt;&lt;title&gt;Cancer in Australia 2019&lt;/title&gt;&lt;/titles&gt;&lt;number&gt;18 November 2020&lt;/number&gt;&lt;dates&gt;&lt;year&gt;2019&lt;/year&gt;&lt;/dates&gt;&lt;pub-location&gt;Canberra&lt;/pub-location&gt;&lt;urls&gt;&lt;related-urls&gt;&lt;url&gt;https://www.aihw.gov.au/reports/cancer/cancer-in-australia-2019/contents/table-of-contents.&lt;/url&gt;&lt;/related-urls&gt;&lt;/urls&gt;&lt;/record&gt;&lt;/Cite&gt;&lt;/EndNote&gt;</w:instrText>
      </w:r>
      <w:r>
        <w:fldChar w:fldCharType="separate"/>
      </w:r>
      <w:r>
        <w:rPr>
          <w:noProof/>
        </w:rPr>
        <w:t>Australian Institute of Health and Welfare (AIHW) (2019)</w:t>
      </w:r>
      <w:r>
        <w:fldChar w:fldCharType="end"/>
      </w:r>
    </w:p>
    <w:p w14:paraId="7D035026" w14:textId="219FB1A6" w:rsidR="008F2628" w:rsidRDefault="008F2628" w:rsidP="008F2628">
      <w:pPr>
        <w:pStyle w:val="Tablenotes"/>
        <w:rPr>
          <w:rFonts w:cstheme="minorHAnsi"/>
          <w:szCs w:val="18"/>
        </w:rPr>
      </w:pPr>
      <w:r w:rsidRPr="00B10224">
        <w:rPr>
          <w:rFonts w:cstheme="minorHAnsi"/>
          <w:szCs w:val="18"/>
        </w:rPr>
        <w:t>ASR=age</w:t>
      </w:r>
      <w:r>
        <w:rPr>
          <w:rFonts w:cstheme="minorHAnsi"/>
          <w:szCs w:val="18"/>
        </w:rPr>
        <w:t>-</w:t>
      </w:r>
      <w:r w:rsidRPr="00B10224">
        <w:rPr>
          <w:rFonts w:cstheme="minorHAnsi"/>
          <w:szCs w:val="18"/>
        </w:rPr>
        <w:t>standardised rate</w:t>
      </w:r>
    </w:p>
    <w:p w14:paraId="6AEDD992" w14:textId="77777777" w:rsidR="00E24DA3" w:rsidRDefault="00E24DA3" w:rsidP="00E24DA3">
      <w:pPr>
        <w:keepNext/>
        <w:keepLines/>
        <w:rPr>
          <w:szCs w:val="20"/>
        </w:rPr>
      </w:pPr>
      <w:r>
        <w:rPr>
          <w:szCs w:val="20"/>
        </w:rPr>
        <w:t xml:space="preserve">Most haematological malignancies, such as </w:t>
      </w:r>
      <w:r>
        <w:t>a</w:t>
      </w:r>
      <w:r w:rsidRPr="00017682">
        <w:t>cute myeloid leukaemia</w:t>
      </w:r>
      <w:r>
        <w:rPr>
          <w:szCs w:val="20"/>
        </w:rPr>
        <w:t xml:space="preserve">, lymphoma and multiple myeloma occur in adults, with the incidence tending to increase with age. If all </w:t>
      </w:r>
      <w:r w:rsidRPr="00572031">
        <w:rPr>
          <w:szCs w:val="20"/>
        </w:rPr>
        <w:t>haematological malignancies</w:t>
      </w:r>
      <w:r>
        <w:rPr>
          <w:szCs w:val="20"/>
        </w:rPr>
        <w:t xml:space="preserve"> are considered as a group, the incidence in Australia can be observed to steadily increase with age, reaching a predicted peak of 1,420 cases or 444 cases per 100,000 population in persons aged 85-89 years </w:t>
      </w:r>
      <w:r w:rsidRPr="00DF165F">
        <w:rPr>
          <w:szCs w:val="20"/>
        </w:rPr>
        <w:t>in 2021</w:t>
      </w:r>
      <w:r>
        <w:rPr>
          <w:szCs w:val="20"/>
        </w:rPr>
        <w:t xml:space="preserve"> (</w:t>
      </w:r>
      <w:r>
        <w:rPr>
          <w:szCs w:val="20"/>
        </w:rPr>
        <w:fldChar w:fldCharType="begin"/>
      </w:r>
      <w:r>
        <w:rPr>
          <w:szCs w:val="20"/>
        </w:rPr>
        <w:instrText xml:space="preserve"> REF _Ref85118133 \h </w:instrText>
      </w:r>
      <w:r>
        <w:rPr>
          <w:szCs w:val="20"/>
        </w:rPr>
      </w:r>
      <w:r>
        <w:rPr>
          <w:szCs w:val="20"/>
        </w:rPr>
        <w:fldChar w:fldCharType="separate"/>
      </w:r>
      <w:r>
        <w:t xml:space="preserve">Figure </w:t>
      </w:r>
      <w:r>
        <w:rPr>
          <w:noProof/>
        </w:rPr>
        <w:t>1</w:t>
      </w:r>
      <w:r>
        <w:rPr>
          <w:szCs w:val="20"/>
        </w:rPr>
        <w:fldChar w:fldCharType="end"/>
      </w:r>
      <w:r w:rsidRPr="00DF165F">
        <w:rPr>
          <w:szCs w:val="20"/>
        </w:rPr>
        <w:t>)</w:t>
      </w:r>
      <w:r w:rsidRPr="00DE6AA6">
        <w:rPr>
          <w:szCs w:val="20"/>
        </w:rPr>
        <w:t>.</w:t>
      </w:r>
    </w:p>
    <w:p w14:paraId="066EFD08" w14:textId="77777777" w:rsidR="00E24DA3" w:rsidRPr="00B10224" w:rsidRDefault="00E24DA3" w:rsidP="008F2628">
      <w:pPr>
        <w:pStyle w:val="Tablenotes"/>
        <w:rPr>
          <w:rFonts w:cstheme="minorHAnsi"/>
          <w:szCs w:val="18"/>
        </w:rPr>
      </w:pPr>
    </w:p>
    <w:p w14:paraId="011016ED" w14:textId="77777777" w:rsidR="008F2628" w:rsidRDefault="008F2628" w:rsidP="008F2628">
      <w:pPr>
        <w:keepNext/>
      </w:pPr>
      <w:r w:rsidRPr="00B10224">
        <w:rPr>
          <w:noProof/>
          <w:sz w:val="20"/>
          <w:szCs w:val="20"/>
          <w:lang w:eastAsia="en-AU"/>
        </w:rPr>
        <w:lastRenderedPageBreak/>
        <w:drawing>
          <wp:inline distT="0" distB="0" distL="0" distR="0" wp14:anchorId="797C6E00" wp14:editId="3594E99E">
            <wp:extent cx="5753100" cy="2552700"/>
            <wp:effectExtent l="0" t="0" r="0" b="0"/>
            <wp:docPr id="46" name="Chart 46" descr="Figure 1 Estimated age-specific rates of all haematological malignancies in Australia, 2021&#10;">
              <a:extLst xmlns:a="http://schemas.openxmlformats.org/drawingml/2006/main">
                <a:ext uri="{FF2B5EF4-FFF2-40B4-BE49-F238E27FC236}">
                  <a16:creationId xmlns:a16="http://schemas.microsoft.com/office/drawing/2014/main" id="{9783BCBC-EB06-4893-AFFA-4C6F635962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14C3101" w14:textId="77777777" w:rsidR="008F2628" w:rsidRDefault="008F2628" w:rsidP="008F2628">
      <w:pPr>
        <w:pStyle w:val="Caption"/>
        <w:contextualSpacing/>
      </w:pPr>
      <w:bookmarkStart w:id="3" w:name="_Ref85118133"/>
      <w:bookmarkStart w:id="4" w:name="_Ref85118128"/>
      <w:r>
        <w:t xml:space="preserve">Figure </w:t>
      </w:r>
      <w:r>
        <w:fldChar w:fldCharType="begin"/>
      </w:r>
      <w:r>
        <w:instrText xml:space="preserve"> SEQ Figure \* ARABIC </w:instrText>
      </w:r>
      <w:r>
        <w:fldChar w:fldCharType="separate"/>
      </w:r>
      <w:r>
        <w:rPr>
          <w:noProof/>
        </w:rPr>
        <w:t>1</w:t>
      </w:r>
      <w:r>
        <w:fldChar w:fldCharType="end"/>
      </w:r>
      <w:bookmarkEnd w:id="3"/>
      <w:r w:rsidRPr="00622148">
        <w:tab/>
        <w:t>Estimated age-specific rates of all haematological malignancies in Australia, 2021</w:t>
      </w:r>
      <w:bookmarkEnd w:id="4"/>
    </w:p>
    <w:p w14:paraId="4300D8F6" w14:textId="77777777" w:rsidR="008F2628" w:rsidRPr="00DD0475" w:rsidRDefault="008F2628" w:rsidP="008F2628">
      <w:pPr>
        <w:pStyle w:val="Tablenotes"/>
      </w:pPr>
      <w:r w:rsidRPr="005C14A4">
        <w:t>Source:</w:t>
      </w:r>
      <w:r w:rsidRPr="00DD0475">
        <w:t xml:space="preserve"> </w:t>
      </w:r>
      <w:r>
        <w:fldChar w:fldCharType="begin"/>
      </w:r>
      <w:r>
        <w:instrText xml:space="preserve"> ADDIN EN.CITE &lt;EndNote&gt;&lt;Cite AuthorYear="1"&gt;&lt;Author&gt;Australian Institute of Health and Welfare (AIHW)&lt;/Author&gt;&lt;Year&gt;2021&lt;/Year&gt;&lt;RecNum&gt;56&lt;/RecNum&gt;&lt;DisplayText&gt;Australian Institute of Health and Welfare (AIHW) (2021)&lt;/DisplayText&gt;&lt;record&gt;&lt;rec-number&gt;56&lt;/rec-number&gt;&lt;foreign-keys&gt;&lt;key app="EN" db-id="rpxx2texi59tzqewr09xxp96wtzx9a9wr0rv" timestamp="1633766994"&gt;56&lt;/key&gt;&lt;/foreign-keys&gt;&lt;ref-type name="Web Page"&gt;12&lt;/ref-type&gt;&lt;contributors&gt;&lt;authors&gt;&lt;author&gt;Australian Institute of Health and Welfare (AIHW),&lt;/author&gt;&lt;/authors&gt;&lt;/contributors&gt;&lt;titles&gt;&lt;title&gt;Cancer data in Australia&lt;/title&gt;&lt;/titles&gt;&lt;volume&gt;2021&lt;/volume&gt;&lt;number&gt;10 November&lt;/number&gt;&lt;dates&gt;&lt;year&gt;2021&lt;/year&gt;&lt;pub-dates&gt;&lt;date&gt;08 June 2021&lt;/date&gt;&lt;/pub-dates&gt;&lt;/dates&gt;&lt;urls&gt;&lt;related-urls&gt;&lt;url&gt;https://www.aihw.gov.au/reports/cancer/cancer-data-in-australia/contents/cancer-summary-data-visualisation&lt;/url&gt;&lt;/related-urls&gt;&lt;/urls&gt;&lt;/record&gt;&lt;/Cite&gt;&lt;/EndNote&gt;</w:instrText>
      </w:r>
      <w:r>
        <w:fldChar w:fldCharType="separate"/>
      </w:r>
      <w:r>
        <w:rPr>
          <w:noProof/>
        </w:rPr>
        <w:t>Australian Institute of Health and Welfare (AIHW) (2021)</w:t>
      </w:r>
      <w:r>
        <w:fldChar w:fldCharType="end"/>
      </w:r>
    </w:p>
    <w:p w14:paraId="129027CB" w14:textId="77777777" w:rsidR="008F2628" w:rsidRDefault="008F2628" w:rsidP="008F2628">
      <w:pPr>
        <w:spacing w:before="240" w:after="240"/>
        <w:rPr>
          <w:szCs w:val="20"/>
        </w:rPr>
      </w:pPr>
      <w:r>
        <w:rPr>
          <w:szCs w:val="20"/>
        </w:rPr>
        <w:t>While the rate of mortality from combined haematological malignancies mirrors the incidence curve, the corresponding mortality rate remains relatively low and then steadily increases once patients reach 60-64 years of age (</w:t>
      </w:r>
      <w:r>
        <w:rPr>
          <w:szCs w:val="20"/>
        </w:rPr>
        <w:fldChar w:fldCharType="begin"/>
      </w:r>
      <w:r>
        <w:rPr>
          <w:szCs w:val="20"/>
        </w:rPr>
        <w:instrText xml:space="preserve"> REF _Ref85118133 \h </w:instrText>
      </w:r>
      <w:r>
        <w:rPr>
          <w:szCs w:val="20"/>
        </w:rPr>
      </w:r>
      <w:r>
        <w:rPr>
          <w:szCs w:val="20"/>
        </w:rPr>
        <w:fldChar w:fldCharType="separate"/>
      </w:r>
      <w:r>
        <w:t xml:space="preserve">Figure </w:t>
      </w:r>
      <w:r>
        <w:rPr>
          <w:noProof/>
        </w:rPr>
        <w:t>1</w:t>
      </w:r>
      <w:r>
        <w:rPr>
          <w:szCs w:val="20"/>
        </w:rPr>
        <w:fldChar w:fldCharType="end"/>
      </w:r>
      <w:r>
        <w:rPr>
          <w:szCs w:val="20"/>
        </w:rPr>
        <w:t xml:space="preserve">). The mortality rate almost doubles from 170 deaths, or 11.1 deaths per 100,000 persons, in those aged 55-59 years, to 307 deaths, or 21.1 deaths per 100,000 persons in those aged 60-64 years </w:t>
      </w:r>
      <w:r>
        <w:rPr>
          <w:szCs w:val="20"/>
        </w:rPr>
        <w:fldChar w:fldCharType="begin"/>
      </w:r>
      <w:r>
        <w:rPr>
          <w:szCs w:val="20"/>
        </w:rPr>
        <w:instrText xml:space="preserve"> ADDIN EN.CITE &lt;EndNote&gt;&lt;Cite&gt;&lt;Author&gt;Australian Institute of Health and Welfare (AIHW)&lt;/Author&gt;&lt;Year&gt;2021&lt;/Year&gt;&lt;RecNum&gt;56&lt;/RecNum&gt;&lt;DisplayText&gt;(Australian Institute of Health and Welfare (AIHW), 2021)&lt;/DisplayText&gt;&lt;record&gt;&lt;rec-number&gt;56&lt;/rec-number&gt;&lt;foreign-keys&gt;&lt;key app="EN" db-id="rpxx2texi59tzqewr09xxp96wtzx9a9wr0rv" timestamp="1633766994"&gt;56&lt;/key&gt;&lt;/foreign-keys&gt;&lt;ref-type name="Web Page"&gt;12&lt;/ref-type&gt;&lt;contributors&gt;&lt;authors&gt;&lt;author&gt;Australian Institute of Health and Welfare (AIHW),&lt;/author&gt;&lt;/authors&gt;&lt;/contributors&gt;&lt;titles&gt;&lt;title&gt;Cancer data in Australia&lt;/title&gt;&lt;/titles&gt;&lt;volume&gt;2021&lt;/volume&gt;&lt;number&gt;10 November&lt;/number&gt;&lt;dates&gt;&lt;year&gt;2021&lt;/year&gt;&lt;pub-dates&gt;&lt;date&gt;08 June 2021&lt;/date&gt;&lt;/pub-dates&gt;&lt;/dates&gt;&lt;urls&gt;&lt;related-urls&gt;&lt;url&gt;https://www.aihw.gov.au/reports/cancer/cancer-data-in-australia/contents/cancer-summary-data-visualisation&lt;/url&gt;&lt;/related-urls&gt;&lt;/urls&gt;&lt;/record&gt;&lt;/Cite&gt;&lt;/EndNote&gt;</w:instrText>
      </w:r>
      <w:r>
        <w:rPr>
          <w:szCs w:val="20"/>
        </w:rPr>
        <w:fldChar w:fldCharType="separate"/>
      </w:r>
      <w:r>
        <w:rPr>
          <w:noProof/>
          <w:szCs w:val="20"/>
        </w:rPr>
        <w:t>(AIHW, 2021)</w:t>
      </w:r>
      <w:r>
        <w:rPr>
          <w:szCs w:val="20"/>
        </w:rPr>
        <w:fldChar w:fldCharType="end"/>
      </w:r>
      <w:r>
        <w:rPr>
          <w:szCs w:val="20"/>
        </w:rPr>
        <w:t xml:space="preserve">. When considered as a group, in 2012-2016 an average 66.7% (95% confidence interval (CI) 66.3-67.1%) of all patients with a haematological malignancy survived 5-years after diagnosis </w:t>
      </w:r>
      <w:r>
        <w:rPr>
          <w:szCs w:val="20"/>
        </w:rPr>
        <w:fldChar w:fldCharType="begin"/>
      </w:r>
      <w:r>
        <w:rPr>
          <w:szCs w:val="20"/>
        </w:rPr>
        <w:instrText xml:space="preserve"> ADDIN EN.CITE &lt;EndNote&gt;&lt;Cite&gt;&lt;Author&gt;Australian Institute of Health and Welfare (AIHW)&lt;/Author&gt;&lt;Year&gt;2019&lt;/Year&gt;&lt;RecNum&gt;55&lt;/RecNum&gt;&lt;DisplayText&gt;(Australian Institute of Health and Welfare (AIHW), 2019)&lt;/DisplayText&gt;&lt;record&gt;&lt;rec-number&gt;55&lt;/rec-number&gt;&lt;foreign-keys&gt;&lt;key app="EN" db-id="rpxx2texi59tzqewr09xxp96wtzx9a9wr0rv" timestamp="1633766914"&gt;55&lt;/key&gt;&lt;/foreign-keys&gt;&lt;ref-type name="Web Page"&gt;12&lt;/ref-type&gt;&lt;contributors&gt;&lt;authors&gt;&lt;author&gt;Australian Institute of Health and Welfare (AIHW),&lt;/author&gt;&lt;/authors&gt;&lt;/contributors&gt;&lt;titles&gt;&lt;title&gt;Cancer in Australia 2019&lt;/title&gt;&lt;/titles&gt;&lt;number&gt;18 November 2020&lt;/number&gt;&lt;dates&gt;&lt;year&gt;2019&lt;/year&gt;&lt;/dates&gt;&lt;pub-location&gt;Canberra&lt;/pub-location&gt;&lt;urls&gt;&lt;related-urls&gt;&lt;url&gt;https://www.aihw.gov.au/reports/cancer/cancer-in-australia-2019/contents/table-of-contents.&lt;/url&gt;&lt;/related-urls&gt;&lt;/urls&gt;&lt;/record&gt;&lt;/Cite&gt;&lt;/EndNote&gt;</w:instrText>
      </w:r>
      <w:r>
        <w:rPr>
          <w:szCs w:val="20"/>
        </w:rPr>
        <w:fldChar w:fldCharType="separate"/>
      </w:r>
      <w:r>
        <w:rPr>
          <w:noProof/>
          <w:szCs w:val="20"/>
        </w:rPr>
        <w:t>(AIHW, 2019)</w:t>
      </w:r>
      <w:r>
        <w:rPr>
          <w:szCs w:val="20"/>
        </w:rPr>
        <w:fldChar w:fldCharType="end"/>
      </w:r>
      <w:r>
        <w:rPr>
          <w:szCs w:val="20"/>
        </w:rPr>
        <w:t>.</w:t>
      </w:r>
    </w:p>
    <w:p w14:paraId="3F5342BB" w14:textId="77777777" w:rsidR="008F2628" w:rsidRPr="00571074" w:rsidRDefault="008F2628" w:rsidP="008F2628">
      <w:pPr>
        <w:spacing w:after="240"/>
        <w:rPr>
          <w:szCs w:val="20"/>
        </w:rPr>
      </w:pPr>
      <w:r>
        <w:rPr>
          <w:szCs w:val="20"/>
        </w:rPr>
        <w:t xml:space="preserve">Although the incidence of some </w:t>
      </w:r>
      <w:r w:rsidRPr="00427055">
        <w:rPr>
          <w:szCs w:val="20"/>
        </w:rPr>
        <w:t xml:space="preserve">haematological </w:t>
      </w:r>
      <w:r>
        <w:rPr>
          <w:szCs w:val="20"/>
        </w:rPr>
        <w:t xml:space="preserve">cancers such as </w:t>
      </w:r>
      <w:r>
        <w:t>H</w:t>
      </w:r>
      <w:r w:rsidRPr="00206B3B">
        <w:t xml:space="preserve">odgkin lymphoma </w:t>
      </w:r>
      <w:r>
        <w:rPr>
          <w:szCs w:val="20"/>
        </w:rPr>
        <w:t>is highly variable across age groups (</w:t>
      </w:r>
      <w:r>
        <w:rPr>
          <w:szCs w:val="20"/>
        </w:rPr>
        <w:fldChar w:fldCharType="begin"/>
      </w:r>
      <w:r>
        <w:rPr>
          <w:szCs w:val="20"/>
        </w:rPr>
        <w:instrText xml:space="preserve"> REF _Ref85118171 \h </w:instrText>
      </w:r>
      <w:r>
        <w:rPr>
          <w:szCs w:val="20"/>
        </w:rPr>
      </w:r>
      <w:r>
        <w:rPr>
          <w:szCs w:val="20"/>
        </w:rPr>
        <w:fldChar w:fldCharType="separate"/>
      </w:r>
      <w:r>
        <w:t xml:space="preserve">Figure </w:t>
      </w:r>
      <w:r>
        <w:rPr>
          <w:noProof/>
        </w:rPr>
        <w:t>2</w:t>
      </w:r>
      <w:r>
        <w:rPr>
          <w:szCs w:val="20"/>
        </w:rPr>
        <w:fldChar w:fldCharType="end"/>
      </w:r>
      <w:r>
        <w:rPr>
          <w:szCs w:val="20"/>
        </w:rPr>
        <w:t xml:space="preserve">), rates remain relatively low, reaching an estimated peak of 43 cases, or 7.9 cases per 100,000 persons in 2020 for those aged 80-84 </w:t>
      </w:r>
      <w:r>
        <w:rPr>
          <w:szCs w:val="20"/>
        </w:rPr>
        <w:fldChar w:fldCharType="begin"/>
      </w:r>
      <w:r>
        <w:rPr>
          <w:szCs w:val="20"/>
        </w:rPr>
        <w:instrText xml:space="preserve"> ADDIN EN.CITE &lt;EndNote&gt;&lt;Cite&gt;&lt;Author&gt;Australian Institute of Health and Welfare (AIHW)&lt;/Author&gt;&lt;Year&gt;2021&lt;/Year&gt;&lt;RecNum&gt;56&lt;/RecNum&gt;&lt;DisplayText&gt;(Australian Institute of Health and Welfare (AIHW), 2021)&lt;/DisplayText&gt;&lt;record&gt;&lt;rec-number&gt;56&lt;/rec-number&gt;&lt;foreign-keys&gt;&lt;key app="EN" db-id="rpxx2texi59tzqewr09xxp96wtzx9a9wr0rv" timestamp="1633766994"&gt;56&lt;/key&gt;&lt;/foreign-keys&gt;&lt;ref-type name="Web Page"&gt;12&lt;/ref-type&gt;&lt;contributors&gt;&lt;authors&gt;&lt;author&gt;Australian Institute of Health and Welfare (AIHW),&lt;/author&gt;&lt;/authors&gt;&lt;/contributors&gt;&lt;titles&gt;&lt;title&gt;Cancer data in Australia&lt;/title&gt;&lt;/titles&gt;&lt;volume&gt;2021&lt;/volume&gt;&lt;number&gt;10 November&lt;/number&gt;&lt;dates&gt;&lt;year&gt;2021&lt;/year&gt;&lt;pub-dates&gt;&lt;date&gt;08 June 2021&lt;/date&gt;&lt;/pub-dates&gt;&lt;/dates&gt;&lt;urls&gt;&lt;related-urls&gt;&lt;url&gt;https://www.aihw.gov.au/reports/cancer/cancer-data-in-australia/contents/cancer-summary-data-visualisation&lt;/url&gt;&lt;/related-urls&gt;&lt;/urls&gt;&lt;/record&gt;&lt;/Cite&gt;&lt;/EndNote&gt;</w:instrText>
      </w:r>
      <w:r>
        <w:rPr>
          <w:szCs w:val="20"/>
        </w:rPr>
        <w:fldChar w:fldCharType="separate"/>
      </w:r>
      <w:r>
        <w:rPr>
          <w:noProof/>
          <w:szCs w:val="20"/>
        </w:rPr>
        <w:t>(AIHW, 2021)</w:t>
      </w:r>
      <w:r>
        <w:rPr>
          <w:szCs w:val="20"/>
        </w:rPr>
        <w:fldChar w:fldCharType="end"/>
      </w:r>
      <w:r>
        <w:rPr>
          <w:szCs w:val="20"/>
        </w:rPr>
        <w:t xml:space="preserve">. The variability in incidence is not mirrored in the rate of mortality, which again is low, steadily increasing with age. On average, 87.4% of patients diagnosed with </w:t>
      </w:r>
      <w:r>
        <w:t>H</w:t>
      </w:r>
      <w:r w:rsidRPr="00206B3B">
        <w:t xml:space="preserve">odgkin lymphoma </w:t>
      </w:r>
      <w:r>
        <w:rPr>
          <w:szCs w:val="20"/>
        </w:rPr>
        <w:t xml:space="preserve">in 2012-2016 survived </w:t>
      </w:r>
      <w:r w:rsidRPr="001973D9">
        <w:rPr>
          <w:szCs w:val="20"/>
        </w:rPr>
        <w:t>5</w:t>
      </w:r>
      <w:r>
        <w:rPr>
          <w:szCs w:val="20"/>
        </w:rPr>
        <w:t xml:space="preserve"> </w:t>
      </w:r>
      <w:r w:rsidRPr="001973D9">
        <w:rPr>
          <w:szCs w:val="20"/>
        </w:rPr>
        <w:t>year</w:t>
      </w:r>
      <w:r>
        <w:rPr>
          <w:szCs w:val="20"/>
        </w:rPr>
        <w:t xml:space="preserve">s after diagnosis (95% CI 86.1-88.7%) </w:t>
      </w:r>
      <w:r>
        <w:rPr>
          <w:szCs w:val="20"/>
        </w:rPr>
        <w:fldChar w:fldCharType="begin"/>
      </w:r>
      <w:r>
        <w:rPr>
          <w:szCs w:val="20"/>
        </w:rPr>
        <w:instrText xml:space="preserve"> ADDIN EN.CITE &lt;EndNote&gt;&lt;Cite&gt;&lt;Author&gt;Australian Institute of Health and Welfare (AIHW)&lt;/Author&gt;&lt;Year&gt;2019&lt;/Year&gt;&lt;RecNum&gt;55&lt;/RecNum&gt;&lt;DisplayText&gt;(Australian Institute of Health and Welfare (AIHW), 2019)&lt;/DisplayText&gt;&lt;record&gt;&lt;rec-number&gt;55&lt;/rec-number&gt;&lt;foreign-keys&gt;&lt;key app="EN" db-id="rpxx2texi59tzqewr09xxp96wtzx9a9wr0rv" timestamp="1633766914"&gt;55&lt;/key&gt;&lt;/foreign-keys&gt;&lt;ref-type name="Web Page"&gt;12&lt;/ref-type&gt;&lt;contributors&gt;&lt;authors&gt;&lt;author&gt;Australian Institute of Health and Welfare (AIHW),&lt;/author&gt;&lt;/authors&gt;&lt;/contributors&gt;&lt;titles&gt;&lt;title&gt;Cancer in Australia 2019&lt;/title&gt;&lt;/titles&gt;&lt;number&gt;18 November 2020&lt;/number&gt;&lt;dates&gt;&lt;year&gt;2019&lt;/year&gt;&lt;/dates&gt;&lt;pub-location&gt;Canberra&lt;/pub-location&gt;&lt;urls&gt;&lt;related-urls&gt;&lt;url&gt;https://www.aihw.gov.au/reports/cancer/cancer-in-australia-2019/contents/table-of-contents.&lt;/url&gt;&lt;/related-urls&gt;&lt;/urls&gt;&lt;/record&gt;&lt;/Cite&gt;&lt;/EndNote&gt;</w:instrText>
      </w:r>
      <w:r>
        <w:rPr>
          <w:szCs w:val="20"/>
        </w:rPr>
        <w:fldChar w:fldCharType="separate"/>
      </w:r>
      <w:r>
        <w:rPr>
          <w:noProof/>
          <w:szCs w:val="20"/>
        </w:rPr>
        <w:t>(AIHW, 2019)</w:t>
      </w:r>
      <w:r>
        <w:rPr>
          <w:szCs w:val="20"/>
        </w:rPr>
        <w:fldChar w:fldCharType="end"/>
      </w:r>
      <w:r>
        <w:rPr>
          <w:szCs w:val="20"/>
        </w:rPr>
        <w:t>.</w:t>
      </w:r>
    </w:p>
    <w:p w14:paraId="7833CB4F" w14:textId="77777777" w:rsidR="008F2628" w:rsidRPr="00DD0475" w:rsidRDefault="008F2628" w:rsidP="008F2628">
      <w:pPr>
        <w:keepNext/>
        <w:spacing w:after="0"/>
        <w:rPr>
          <w:rFonts w:ascii="Arial Narrow" w:hAnsi="Arial Narrow" w:cstheme="minorHAnsi"/>
          <w:sz w:val="18"/>
          <w:szCs w:val="18"/>
        </w:rPr>
      </w:pPr>
      <w:r w:rsidRPr="00B10224">
        <w:rPr>
          <w:noProof/>
          <w:sz w:val="20"/>
          <w:szCs w:val="20"/>
          <w:lang w:eastAsia="en-AU"/>
        </w:rPr>
        <w:drawing>
          <wp:inline distT="0" distB="0" distL="0" distR="0" wp14:anchorId="2CD3105E" wp14:editId="3827A1F1">
            <wp:extent cx="5731510" cy="2554014"/>
            <wp:effectExtent l="0" t="0" r="2540" b="17780"/>
            <wp:docPr id="47" name="Chart 47" descr="Figure 2 Estimated age-specific rates of Hodgkin lymphoma in Australia, 2021&#10;">
              <a:extLst xmlns:a="http://schemas.openxmlformats.org/drawingml/2006/main">
                <a:ext uri="{FF2B5EF4-FFF2-40B4-BE49-F238E27FC236}">
                  <a16:creationId xmlns:a16="http://schemas.microsoft.com/office/drawing/2014/main" id="{2E279B89-E3B1-4D80-A0CD-EE4C7146B7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60B8B8F" w14:textId="77777777" w:rsidR="008F2628" w:rsidRDefault="008F2628" w:rsidP="008F2628">
      <w:pPr>
        <w:pStyle w:val="Caption"/>
        <w:ind w:left="0" w:firstLine="0"/>
        <w:contextualSpacing/>
      </w:pPr>
      <w:bookmarkStart w:id="5" w:name="_Ref85118171"/>
      <w:bookmarkStart w:id="6" w:name="_Ref87369002"/>
      <w:r>
        <w:t xml:space="preserve">Figure </w:t>
      </w:r>
      <w:r>
        <w:fldChar w:fldCharType="begin"/>
      </w:r>
      <w:r>
        <w:instrText xml:space="preserve"> SEQ Figure \* ARABIC </w:instrText>
      </w:r>
      <w:r>
        <w:fldChar w:fldCharType="separate"/>
      </w:r>
      <w:r>
        <w:rPr>
          <w:noProof/>
        </w:rPr>
        <w:t>2</w:t>
      </w:r>
      <w:r>
        <w:fldChar w:fldCharType="end"/>
      </w:r>
      <w:bookmarkEnd w:id="5"/>
      <w:bookmarkEnd w:id="6"/>
      <w:r>
        <w:tab/>
      </w:r>
      <w:r w:rsidRPr="00735914">
        <w:t>Estimated age-specific rates of Hodgkin lymphoma in Australia, 2021</w:t>
      </w:r>
    </w:p>
    <w:p w14:paraId="33F5E283" w14:textId="77777777" w:rsidR="008F2628" w:rsidRPr="00DD0475" w:rsidRDefault="008F2628" w:rsidP="008F2628">
      <w:pPr>
        <w:pStyle w:val="Tablenotes"/>
      </w:pPr>
      <w:r w:rsidRPr="005C14A4">
        <w:t xml:space="preserve">Source: </w:t>
      </w:r>
      <w:r>
        <w:fldChar w:fldCharType="begin"/>
      </w:r>
      <w:r>
        <w:instrText xml:space="preserve"> ADDIN EN.CITE &lt;EndNote&gt;&lt;Cite AuthorYear="1"&gt;&lt;Author&gt;Australian Institute of Health and Welfare (AIHW)&lt;/Author&gt;&lt;Year&gt;2021&lt;/Year&gt;&lt;RecNum&gt;56&lt;/RecNum&gt;&lt;DisplayText&gt;Australian Institute of Health and Welfare (AIHW) (2021)&lt;/DisplayText&gt;&lt;record&gt;&lt;rec-number&gt;56&lt;/rec-number&gt;&lt;foreign-keys&gt;&lt;key app="EN" db-id="rpxx2texi59tzqewr09xxp96wtzx9a9wr0rv" timestamp="1633766994"&gt;56&lt;/key&gt;&lt;/foreign-keys&gt;&lt;ref-type name="Web Page"&gt;12&lt;/ref-type&gt;&lt;contributors&gt;&lt;authors&gt;&lt;author&gt;Australian Institute of Health and Welfare (AIHW),&lt;/author&gt;&lt;/authors&gt;&lt;/contributors&gt;&lt;titles&gt;&lt;title&gt;Cancer data in Australia&lt;/title&gt;&lt;/titles&gt;&lt;volume&gt;2021&lt;/volume&gt;&lt;number&gt;10 November&lt;/number&gt;&lt;dates&gt;&lt;year&gt;2021&lt;/year&gt;&lt;pub-dates&gt;&lt;date&gt;08 June 2021&lt;/date&gt;&lt;/pub-dates&gt;&lt;/dates&gt;&lt;urls&gt;&lt;related-urls&gt;&lt;url&gt;https://www.aihw.gov.au/reports/cancer/cancer-data-in-australia/contents/cancer-summary-data-visualisation&lt;/url&gt;&lt;/related-urls&gt;&lt;/urls&gt;&lt;/record&gt;&lt;/Cite&gt;&lt;/EndNote&gt;</w:instrText>
      </w:r>
      <w:r>
        <w:fldChar w:fldCharType="separate"/>
      </w:r>
      <w:r>
        <w:rPr>
          <w:noProof/>
        </w:rPr>
        <w:t>Australian Institute of Health and Welfare (AIHW) (2021)</w:t>
      </w:r>
      <w:r>
        <w:fldChar w:fldCharType="end"/>
      </w:r>
    </w:p>
    <w:p w14:paraId="7AFF9547" w14:textId="77777777" w:rsidR="008F2628" w:rsidRDefault="008F2628" w:rsidP="008F2628">
      <w:pPr>
        <w:spacing w:before="240" w:after="240"/>
        <w:rPr>
          <w:szCs w:val="20"/>
        </w:rPr>
      </w:pPr>
      <w:r>
        <w:rPr>
          <w:szCs w:val="20"/>
        </w:rPr>
        <w:lastRenderedPageBreak/>
        <w:t>The highest incidence of other cancers, such as a</w:t>
      </w:r>
      <w:r w:rsidRPr="00017682">
        <w:t>cute lymphoblastic leukemias</w:t>
      </w:r>
      <w:r>
        <w:rPr>
          <w:szCs w:val="20"/>
        </w:rPr>
        <w:t xml:space="preserve">, occurs in very young patients, albeit at relatively low rates (a predicted 105 cases or 6.3 cases per 100,000 persons aged 0-4 years in 2021) as depicted in </w:t>
      </w:r>
      <w:r>
        <w:rPr>
          <w:szCs w:val="20"/>
        </w:rPr>
        <w:fldChar w:fldCharType="begin"/>
      </w:r>
      <w:r>
        <w:rPr>
          <w:szCs w:val="20"/>
        </w:rPr>
        <w:instrText xml:space="preserve"> REF _Ref85118195 \h </w:instrText>
      </w:r>
      <w:r>
        <w:rPr>
          <w:szCs w:val="20"/>
        </w:rPr>
      </w:r>
      <w:r>
        <w:rPr>
          <w:szCs w:val="20"/>
        </w:rPr>
        <w:fldChar w:fldCharType="separate"/>
      </w:r>
      <w:r>
        <w:t xml:space="preserve">Figure </w:t>
      </w:r>
      <w:r>
        <w:rPr>
          <w:noProof/>
        </w:rPr>
        <w:t>3</w:t>
      </w:r>
      <w:r>
        <w:rPr>
          <w:szCs w:val="20"/>
        </w:rPr>
        <w:fldChar w:fldCharType="end"/>
      </w:r>
      <w:r>
        <w:rPr>
          <w:szCs w:val="20"/>
        </w:rPr>
        <w:t xml:space="preserve"> </w:t>
      </w:r>
      <w:r>
        <w:rPr>
          <w:szCs w:val="20"/>
        </w:rPr>
        <w:fldChar w:fldCharType="begin"/>
      </w:r>
      <w:r>
        <w:rPr>
          <w:szCs w:val="20"/>
        </w:rPr>
        <w:instrText xml:space="preserve"> ADDIN EN.CITE &lt;EndNote&gt;&lt;Cite&gt;&lt;Author&gt;Australian Institute of Health and Welfare (AIHW)&lt;/Author&gt;&lt;Year&gt;2021&lt;/Year&gt;&lt;RecNum&gt;56&lt;/RecNum&gt;&lt;DisplayText&gt;(Australian Institute of Health and Welfare (AIHW), 2021)&lt;/DisplayText&gt;&lt;record&gt;&lt;rec-number&gt;56&lt;/rec-number&gt;&lt;foreign-keys&gt;&lt;key app="EN" db-id="rpxx2texi59tzqewr09xxp96wtzx9a9wr0rv" timestamp="1633766994"&gt;56&lt;/key&gt;&lt;/foreign-keys&gt;&lt;ref-type name="Web Page"&gt;12&lt;/ref-type&gt;&lt;contributors&gt;&lt;authors&gt;&lt;author&gt;Australian Institute of Health and Welfare (AIHW),&lt;/author&gt;&lt;/authors&gt;&lt;/contributors&gt;&lt;titles&gt;&lt;title&gt;Cancer data in Australia&lt;/title&gt;&lt;/titles&gt;&lt;volume&gt;2021&lt;/volume&gt;&lt;number&gt;10 November&lt;/number&gt;&lt;dates&gt;&lt;year&gt;2021&lt;/year&gt;&lt;pub-dates&gt;&lt;date&gt;08 June 2021&lt;/date&gt;&lt;/pub-dates&gt;&lt;/dates&gt;&lt;urls&gt;&lt;related-urls&gt;&lt;url&gt;https://www.aihw.gov.au/reports/cancer/cancer-data-in-australia/contents/cancer-summary-data-visualisation&lt;/url&gt;&lt;/related-urls&gt;&lt;/urls&gt;&lt;/record&gt;&lt;/Cite&gt;&lt;/EndNote&gt;</w:instrText>
      </w:r>
      <w:r>
        <w:rPr>
          <w:szCs w:val="20"/>
        </w:rPr>
        <w:fldChar w:fldCharType="separate"/>
      </w:r>
      <w:r>
        <w:rPr>
          <w:noProof/>
          <w:szCs w:val="20"/>
        </w:rPr>
        <w:t>(AIHW, 2021)</w:t>
      </w:r>
      <w:r>
        <w:rPr>
          <w:szCs w:val="20"/>
        </w:rPr>
        <w:fldChar w:fldCharType="end"/>
      </w:r>
      <w:r>
        <w:rPr>
          <w:szCs w:val="20"/>
        </w:rPr>
        <w:t xml:space="preserve">. Mortality associated with </w:t>
      </w:r>
      <w:r>
        <w:t>a</w:t>
      </w:r>
      <w:r w:rsidRPr="00017682">
        <w:t xml:space="preserve">cute lymphoblastic leukemias </w:t>
      </w:r>
      <w:r>
        <w:rPr>
          <w:szCs w:val="20"/>
        </w:rPr>
        <w:t>is also low, with a 5-year survival rate of 74.1%</w:t>
      </w:r>
      <w:r w:rsidRPr="00BC07FA">
        <w:rPr>
          <w:szCs w:val="20"/>
        </w:rPr>
        <w:t xml:space="preserve"> </w:t>
      </w:r>
      <w:r>
        <w:rPr>
          <w:szCs w:val="20"/>
        </w:rPr>
        <w:fldChar w:fldCharType="begin"/>
      </w:r>
      <w:r>
        <w:rPr>
          <w:szCs w:val="20"/>
        </w:rPr>
        <w:instrText xml:space="preserve"> ADDIN EN.CITE &lt;EndNote&gt;&lt;Cite&gt;&lt;Author&gt;Australian Institute of Health and Welfare (AIHW)&lt;/Author&gt;&lt;Year&gt;2019&lt;/Year&gt;&lt;RecNum&gt;55&lt;/RecNum&gt;&lt;DisplayText&gt;(Australian Institute of Health and Welfare (AIHW), 2019)&lt;/DisplayText&gt;&lt;record&gt;&lt;rec-number&gt;55&lt;/rec-number&gt;&lt;foreign-keys&gt;&lt;key app="EN" db-id="rpxx2texi59tzqewr09xxp96wtzx9a9wr0rv" timestamp="1633766914"&gt;55&lt;/key&gt;&lt;/foreign-keys&gt;&lt;ref-type name="Web Page"&gt;12&lt;/ref-type&gt;&lt;contributors&gt;&lt;authors&gt;&lt;author&gt;Australian Institute of Health and Welfare (AIHW),&lt;/author&gt;&lt;/authors&gt;&lt;/contributors&gt;&lt;titles&gt;&lt;title&gt;Cancer in Australia 2019&lt;/title&gt;&lt;/titles&gt;&lt;number&gt;18 November 2020&lt;/number&gt;&lt;dates&gt;&lt;year&gt;2019&lt;/year&gt;&lt;/dates&gt;&lt;pub-location&gt;Canberra&lt;/pub-location&gt;&lt;urls&gt;&lt;related-urls&gt;&lt;url&gt;https://www.aihw.gov.au/reports/cancer/cancer-in-australia-2019/contents/table-of-contents.&lt;/url&gt;&lt;/related-urls&gt;&lt;/urls&gt;&lt;/record&gt;&lt;/Cite&gt;&lt;/EndNote&gt;</w:instrText>
      </w:r>
      <w:r>
        <w:rPr>
          <w:szCs w:val="20"/>
        </w:rPr>
        <w:fldChar w:fldCharType="separate"/>
      </w:r>
      <w:r>
        <w:rPr>
          <w:noProof/>
          <w:szCs w:val="20"/>
        </w:rPr>
        <w:t>(AIHW, 2019)</w:t>
      </w:r>
      <w:r>
        <w:rPr>
          <w:szCs w:val="20"/>
        </w:rPr>
        <w:fldChar w:fldCharType="end"/>
      </w:r>
      <w:r>
        <w:rPr>
          <w:szCs w:val="20"/>
        </w:rPr>
        <w:t>.</w:t>
      </w:r>
    </w:p>
    <w:p w14:paraId="3A0EAEE4" w14:textId="77777777" w:rsidR="008F2628" w:rsidRPr="005C14A4" w:rsidRDefault="008F2628" w:rsidP="008F2628">
      <w:r w:rsidRPr="00B10224">
        <w:rPr>
          <w:noProof/>
          <w:sz w:val="20"/>
          <w:szCs w:val="20"/>
          <w:lang w:eastAsia="en-AU"/>
        </w:rPr>
        <w:drawing>
          <wp:inline distT="0" distB="0" distL="0" distR="0" wp14:anchorId="637C7271" wp14:editId="383F355D">
            <wp:extent cx="5731510" cy="2593975"/>
            <wp:effectExtent l="0" t="0" r="2540" b="15875"/>
            <wp:docPr id="48" name="Chart 48" descr="Figure 3 Estimated age-specific rates of acute lymphoblastic leukaemia in Australia, 2021&#10;">
              <a:extLst xmlns:a="http://schemas.openxmlformats.org/drawingml/2006/main">
                <a:ext uri="{FF2B5EF4-FFF2-40B4-BE49-F238E27FC236}">
                  <a16:creationId xmlns:a16="http://schemas.microsoft.com/office/drawing/2014/main" id="{C6E67F68-C2B7-466D-8914-0605F7A893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0584275" w14:textId="77777777" w:rsidR="008F2628" w:rsidRDefault="008F2628" w:rsidP="008F2628">
      <w:pPr>
        <w:pStyle w:val="Caption"/>
      </w:pPr>
      <w:bookmarkStart w:id="7" w:name="_Ref85118195"/>
      <w:r>
        <w:t xml:space="preserve">Figure </w:t>
      </w:r>
      <w:r>
        <w:fldChar w:fldCharType="begin"/>
      </w:r>
      <w:r>
        <w:instrText xml:space="preserve"> SEQ Figure \* ARABIC </w:instrText>
      </w:r>
      <w:r>
        <w:fldChar w:fldCharType="separate"/>
      </w:r>
      <w:r>
        <w:rPr>
          <w:noProof/>
        </w:rPr>
        <w:t>3</w:t>
      </w:r>
      <w:r>
        <w:fldChar w:fldCharType="end"/>
      </w:r>
      <w:bookmarkEnd w:id="7"/>
      <w:r>
        <w:tab/>
      </w:r>
      <w:r w:rsidRPr="009404CF">
        <w:t>Estimated age-specific rates of acute lymphoblastic leukaemia in Australia, 2021</w:t>
      </w:r>
    </w:p>
    <w:p w14:paraId="34FA7658" w14:textId="77777777" w:rsidR="008F2628" w:rsidRPr="005C14A4" w:rsidRDefault="008F2628" w:rsidP="008F2628">
      <w:pPr>
        <w:pStyle w:val="Tablenotes"/>
      </w:pPr>
      <w:r w:rsidRPr="005C14A4">
        <w:t xml:space="preserve">Source: </w:t>
      </w:r>
      <w:r>
        <w:fldChar w:fldCharType="begin"/>
      </w:r>
      <w:r>
        <w:instrText xml:space="preserve"> ADDIN EN.CITE &lt;EndNote&gt;&lt;Cite AuthorYear="1"&gt;&lt;Author&gt;Australian Institute of Health and Welfare (AIHW)&lt;/Author&gt;&lt;Year&gt;2021&lt;/Year&gt;&lt;RecNum&gt;56&lt;/RecNum&gt;&lt;DisplayText&gt;Australian Institute of Health and Welfare (AIHW) (2021)&lt;/DisplayText&gt;&lt;record&gt;&lt;rec-number&gt;56&lt;/rec-number&gt;&lt;foreign-keys&gt;&lt;key app="EN" db-id="rpxx2texi59tzqewr09xxp96wtzx9a9wr0rv" timestamp="1633766994"&gt;56&lt;/key&gt;&lt;/foreign-keys&gt;&lt;ref-type name="Web Page"&gt;12&lt;/ref-type&gt;&lt;contributors&gt;&lt;authors&gt;&lt;author&gt;Australian Institute of Health and Welfare (AIHW),&lt;/author&gt;&lt;/authors&gt;&lt;/contributors&gt;&lt;titles&gt;&lt;title&gt;Cancer data in Australia&lt;/title&gt;&lt;/titles&gt;&lt;volume&gt;2021&lt;/volume&gt;&lt;number&gt;10 November&lt;/number&gt;&lt;dates&gt;&lt;year&gt;2021&lt;/year&gt;&lt;pub-dates&gt;&lt;date&gt;08 June 2021&lt;/date&gt;&lt;/pub-dates&gt;&lt;/dates&gt;&lt;urls&gt;&lt;related-urls&gt;&lt;url&gt;https://www.aihw.gov.au/reports/cancer/cancer-data-in-australia/contents/cancer-summary-data-visualisation&lt;/url&gt;&lt;/related-urls&gt;&lt;/urls&gt;&lt;/record&gt;&lt;/Cite&gt;&lt;/EndNote&gt;</w:instrText>
      </w:r>
      <w:r>
        <w:fldChar w:fldCharType="separate"/>
      </w:r>
      <w:r>
        <w:rPr>
          <w:noProof/>
        </w:rPr>
        <w:t>Australian Institute of Health and Welfare (AIHW) (2021)</w:t>
      </w:r>
      <w:r>
        <w:fldChar w:fldCharType="end"/>
      </w:r>
    </w:p>
    <w:p w14:paraId="079AE0C5" w14:textId="77777777" w:rsidR="008F2628" w:rsidRDefault="008F2628" w:rsidP="008F2628">
      <w:pPr>
        <w:rPr>
          <w:noProof/>
        </w:rPr>
      </w:pPr>
      <w:r>
        <w:t xml:space="preserve">Of all the haematological cancers, lymphoma is associated with the highest incidence, estimated to peak at 467 cases, or 146.1 cases per 100,000 in 2021 </w:t>
      </w:r>
      <w:r>
        <w:fldChar w:fldCharType="begin"/>
      </w:r>
      <w:r>
        <w:instrText xml:space="preserve"> ADDIN EN.CITE &lt;EndNote&gt;&lt;Cite&gt;&lt;Author&gt;Australian Institute of Health and Welfare (AIHW)&lt;/Author&gt;&lt;Year&gt;2021&lt;/Year&gt;&lt;RecNum&gt;56&lt;/RecNum&gt;&lt;DisplayText&gt;(Australian Institute of Health and Welfare (AIHW), 2021)&lt;/DisplayText&gt;&lt;record&gt;&lt;rec-number&gt;56&lt;/rec-number&gt;&lt;foreign-keys&gt;&lt;key app="EN" db-id="rpxx2texi59tzqewr09xxp96wtzx9a9wr0rv" timestamp="1633766994"&gt;56&lt;/key&gt;&lt;/foreign-keys&gt;&lt;ref-type name="Web Page"&gt;12&lt;/ref-type&gt;&lt;contributors&gt;&lt;authors&gt;&lt;author&gt;Australian Institute of Health and Welfare (AIHW),&lt;/author&gt;&lt;/authors&gt;&lt;/contributors&gt;&lt;titles&gt;&lt;title&gt;Cancer data in Australia&lt;/title&gt;&lt;/titles&gt;&lt;volume&gt;2021&lt;/volume&gt;&lt;number&gt;10 November&lt;/number&gt;&lt;dates&gt;&lt;year&gt;2021&lt;/year&gt;&lt;pub-dates&gt;&lt;date&gt;08 June 2021&lt;/date&gt;&lt;/pub-dates&gt;&lt;/dates&gt;&lt;urls&gt;&lt;related-urls&gt;&lt;url&gt;https://www.aihw.gov.au/reports/cancer/cancer-data-in-australia/contents/cancer-summary-data-visualisation&lt;/url&gt;&lt;/related-urls&gt;&lt;/urls&gt;&lt;/record&gt;&lt;/Cite&gt;&lt;/EndNote&gt;</w:instrText>
      </w:r>
      <w:r>
        <w:fldChar w:fldCharType="separate"/>
      </w:r>
      <w:r>
        <w:rPr>
          <w:noProof/>
        </w:rPr>
        <w:t>(AIHW, 2021)</w:t>
      </w:r>
      <w:r>
        <w:fldChar w:fldCharType="end"/>
      </w:r>
      <w:r>
        <w:t>. Lymphoma is associated with relatively good outcomes, with a reported 5-year survival rate after diagnosis of 76.7%. This is contrasted by a</w:t>
      </w:r>
      <w:r w:rsidRPr="00017682">
        <w:t>cute myeloid leukaemia</w:t>
      </w:r>
      <w:r>
        <w:t xml:space="preserve">, which has one of the highest rates of mortality and the poorest 5-year survival rate (27.7%, 95% CI 26.4-29.1% in 2012-2016) of all haematological </w:t>
      </w:r>
      <w:r w:rsidRPr="00F236E6">
        <w:t xml:space="preserve">malignancies </w:t>
      </w:r>
      <w:r>
        <w:fldChar w:fldCharType="begin"/>
      </w:r>
      <w:r>
        <w:instrText xml:space="preserve"> ADDIN EN.CITE &lt;EndNote&gt;&lt;Cite&gt;&lt;Author&gt;Australian Institute of Health and Welfare (AIHW)&lt;/Author&gt;&lt;Year&gt;2019&lt;/Year&gt;&lt;RecNum&gt;55&lt;/RecNum&gt;&lt;DisplayText&gt;(Australian Institute of Health and Welfare (AIHW), 2019)&lt;/DisplayText&gt;&lt;record&gt;&lt;rec-number&gt;55&lt;/rec-number&gt;&lt;foreign-keys&gt;&lt;key app="EN" db-id="rpxx2texi59tzqewr09xxp96wtzx9a9wr0rv" timestamp="1633766914"&gt;55&lt;/key&gt;&lt;/foreign-keys&gt;&lt;ref-type name="Web Page"&gt;12&lt;/ref-type&gt;&lt;contributors&gt;&lt;authors&gt;&lt;author&gt;Australian Institute of Health and Welfare (AIHW),&lt;/author&gt;&lt;/authors&gt;&lt;/contributors&gt;&lt;titles&gt;&lt;title&gt;Cancer in Australia 2019&lt;/title&gt;&lt;/titles&gt;&lt;number&gt;18 November 2020&lt;/number&gt;&lt;dates&gt;&lt;year&gt;2019&lt;/year&gt;&lt;/dates&gt;&lt;pub-location&gt;Canberra&lt;/pub-location&gt;&lt;urls&gt;&lt;related-urls&gt;&lt;url&gt;https://www.aihw.gov.au/reports/cancer/cancer-in-australia-2019/contents/table-of-contents.&lt;/url&gt;&lt;/related-urls&gt;&lt;/urls&gt;&lt;/record&gt;&lt;/Cite&gt;&lt;/EndNote&gt;</w:instrText>
      </w:r>
      <w:r>
        <w:fldChar w:fldCharType="separate"/>
      </w:r>
      <w:r>
        <w:rPr>
          <w:noProof/>
        </w:rPr>
        <w:t>(AIHW, 2019)</w:t>
      </w:r>
      <w:r>
        <w:fldChar w:fldCharType="end"/>
      </w:r>
      <w:r w:rsidRPr="00F236E6">
        <w:t>.</w:t>
      </w:r>
    </w:p>
    <w:p w14:paraId="5BAD8E07" w14:textId="77777777" w:rsidR="008F2628" w:rsidRDefault="008F2628" w:rsidP="008F2628">
      <w:pPr>
        <w:rPr>
          <w:szCs w:val="20"/>
        </w:rPr>
      </w:pPr>
      <w:r>
        <w:rPr>
          <w:szCs w:val="20"/>
        </w:rPr>
        <w:t xml:space="preserve">The AIHW estimates that </w:t>
      </w:r>
      <w:r w:rsidRPr="00CA48BD">
        <w:rPr>
          <w:szCs w:val="20"/>
        </w:rPr>
        <w:t>the number of haematological malignancies in 2021 will increase by approximately 3.1</w:t>
      </w:r>
      <w:r>
        <w:rPr>
          <w:szCs w:val="20"/>
        </w:rPr>
        <w:t>%</w:t>
      </w:r>
      <w:r w:rsidRPr="00CA48BD">
        <w:rPr>
          <w:szCs w:val="20"/>
        </w:rPr>
        <w:t xml:space="preserve"> from 2020 numbers</w:t>
      </w:r>
      <w:r>
        <w:rPr>
          <w:szCs w:val="20"/>
        </w:rPr>
        <w:t>, from 17,321</w:t>
      </w:r>
      <w:r w:rsidRPr="00CA48BD">
        <w:rPr>
          <w:szCs w:val="20"/>
        </w:rPr>
        <w:t xml:space="preserve"> to 17,858 patients. </w:t>
      </w:r>
      <w:r w:rsidRPr="00DB464A">
        <w:rPr>
          <w:szCs w:val="20"/>
        </w:rPr>
        <w:t xml:space="preserve">It would be expected that this rate would remain constant over the next three years. Expected numbers of patients with individual haematological cancers are summarised </w:t>
      </w:r>
      <w:r w:rsidRPr="00F236E6">
        <w:rPr>
          <w:szCs w:val="20"/>
        </w:rPr>
        <w:t xml:space="preserve">in </w:t>
      </w:r>
      <w:r w:rsidRPr="007339D3">
        <w:rPr>
          <w:szCs w:val="20"/>
        </w:rPr>
        <w:fldChar w:fldCharType="begin"/>
      </w:r>
      <w:r w:rsidRPr="00BC07FA">
        <w:rPr>
          <w:szCs w:val="20"/>
        </w:rPr>
        <w:instrText xml:space="preserve"> REF _Ref85117254 \h </w:instrText>
      </w:r>
      <w:r>
        <w:rPr>
          <w:szCs w:val="20"/>
        </w:rPr>
        <w:instrText xml:space="preserve"> \* MERGEFORMAT </w:instrText>
      </w:r>
      <w:r w:rsidRPr="007339D3">
        <w:rPr>
          <w:szCs w:val="20"/>
        </w:rPr>
      </w:r>
      <w:r w:rsidRPr="007339D3">
        <w:rPr>
          <w:szCs w:val="20"/>
        </w:rPr>
        <w:fldChar w:fldCharType="separate"/>
      </w:r>
      <w:r w:rsidRPr="007339D3">
        <w:t xml:space="preserve">Table </w:t>
      </w:r>
      <w:r w:rsidRPr="001D2053">
        <w:rPr>
          <w:noProof/>
        </w:rPr>
        <w:t>4</w:t>
      </w:r>
      <w:r w:rsidRPr="007339D3">
        <w:rPr>
          <w:szCs w:val="20"/>
        </w:rPr>
        <w:fldChar w:fldCharType="end"/>
      </w:r>
      <w:r w:rsidRPr="00F236E6">
        <w:rPr>
          <w:szCs w:val="20"/>
        </w:rPr>
        <w:t xml:space="preserve"> </w:t>
      </w:r>
      <w:r>
        <w:rPr>
          <w:szCs w:val="20"/>
        </w:rPr>
        <w:fldChar w:fldCharType="begin"/>
      </w:r>
      <w:r>
        <w:rPr>
          <w:szCs w:val="20"/>
        </w:rPr>
        <w:instrText xml:space="preserve"> ADDIN EN.CITE &lt;EndNote&gt;&lt;Cite&gt;&lt;Author&gt;Australian Institute of Health and Welfare (AIHW)&lt;/Author&gt;&lt;Year&gt;2019&lt;/Year&gt;&lt;RecNum&gt;55&lt;/RecNum&gt;&lt;DisplayText&gt;(Australian Institute of Health and Welfare (AIHW), 2019)&lt;/DisplayText&gt;&lt;record&gt;&lt;rec-number&gt;55&lt;/rec-number&gt;&lt;foreign-keys&gt;&lt;key app="EN" db-id="rpxx2texi59tzqewr09xxp96wtzx9a9wr0rv" timestamp="1633766914"&gt;55&lt;/key&gt;&lt;/foreign-keys&gt;&lt;ref-type name="Web Page"&gt;12&lt;/ref-type&gt;&lt;contributors&gt;&lt;authors&gt;&lt;author&gt;Australian Institute of Health and Welfare (AIHW),&lt;/author&gt;&lt;/authors&gt;&lt;/contributors&gt;&lt;titles&gt;&lt;title&gt;Cancer in Australia 2019&lt;/title&gt;&lt;/titles&gt;&lt;number&gt;18 November 2020&lt;/number&gt;&lt;dates&gt;&lt;year&gt;2019&lt;/year&gt;&lt;/dates&gt;&lt;pub-location&gt;Canberra&lt;/pub-location&gt;&lt;urls&gt;&lt;related-urls&gt;&lt;url&gt;https://www.aihw.gov.au/reports/cancer/cancer-in-australia-2019/contents/table-of-contents.&lt;/url&gt;&lt;/related-urls&gt;&lt;/urls&gt;&lt;/record&gt;&lt;/Cite&gt;&lt;/EndNote&gt;</w:instrText>
      </w:r>
      <w:r>
        <w:rPr>
          <w:szCs w:val="20"/>
        </w:rPr>
        <w:fldChar w:fldCharType="separate"/>
      </w:r>
      <w:r>
        <w:rPr>
          <w:noProof/>
          <w:szCs w:val="20"/>
        </w:rPr>
        <w:t xml:space="preserve"> (AIHW, 2019)</w:t>
      </w:r>
      <w:r>
        <w:rPr>
          <w:szCs w:val="20"/>
        </w:rPr>
        <w:fldChar w:fldCharType="end"/>
      </w:r>
      <w:r w:rsidRPr="00F236E6">
        <w:rPr>
          <w:szCs w:val="20"/>
        </w:rPr>
        <w:t>.</w:t>
      </w:r>
      <w:r w:rsidRPr="00BC07FA">
        <w:rPr>
          <w:szCs w:val="20"/>
        </w:rPr>
        <w:t xml:space="preserve"> Approximately</w:t>
      </w:r>
      <w:r w:rsidRPr="00DB464A">
        <w:rPr>
          <w:szCs w:val="20"/>
        </w:rPr>
        <w:t xml:space="preserve"> 50</w:t>
      </w:r>
      <w:r>
        <w:rPr>
          <w:szCs w:val="20"/>
        </w:rPr>
        <w:t>%</w:t>
      </w:r>
      <w:r w:rsidRPr="00DB464A">
        <w:rPr>
          <w:szCs w:val="20"/>
        </w:rPr>
        <w:t xml:space="preserve"> of these patients may be required to undergo genomic sub-characterisation.</w:t>
      </w:r>
    </w:p>
    <w:p w14:paraId="2C2E7FAE" w14:textId="77777777" w:rsidR="008F2628" w:rsidRDefault="008F2628" w:rsidP="008F2628">
      <w:pPr>
        <w:pStyle w:val="Caption"/>
      </w:pPr>
      <w:bookmarkStart w:id="8" w:name="_Ref85117254"/>
      <w:r>
        <w:t xml:space="preserve">Table </w:t>
      </w:r>
      <w:r>
        <w:fldChar w:fldCharType="begin"/>
      </w:r>
      <w:r>
        <w:instrText xml:space="preserve"> SEQ Table \* ARABIC </w:instrText>
      </w:r>
      <w:r>
        <w:fldChar w:fldCharType="separate"/>
      </w:r>
      <w:r>
        <w:rPr>
          <w:noProof/>
        </w:rPr>
        <w:t>4</w:t>
      </w:r>
      <w:r>
        <w:fldChar w:fldCharType="end"/>
      </w:r>
      <w:bookmarkEnd w:id="8"/>
      <w:r>
        <w:tab/>
      </w:r>
      <w:r w:rsidRPr="00ED3F49">
        <w:t>Expected number of patients with a haematological malignancy in Australia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1914"/>
        <w:gridCol w:w="1914"/>
        <w:gridCol w:w="1626"/>
        <w:gridCol w:w="1843"/>
      </w:tblGrid>
      <w:tr w:rsidR="008F2628" w:rsidRPr="00433A42" w14:paraId="1FE7D4C4" w14:textId="77777777" w:rsidTr="008F2628">
        <w:trPr>
          <w:tblHeader/>
        </w:trPr>
        <w:tc>
          <w:tcPr>
            <w:tcW w:w="1912" w:type="dxa"/>
          </w:tcPr>
          <w:p w14:paraId="0EE50796" w14:textId="77777777" w:rsidR="008F2628" w:rsidRPr="00B10224" w:rsidRDefault="008F2628" w:rsidP="008F2628">
            <w:pPr>
              <w:spacing w:after="0"/>
              <w:rPr>
                <w:rFonts w:ascii="Arial Narrow" w:eastAsia="Times New Roman" w:hAnsi="Arial Narrow" w:cs="Tahoma"/>
                <w:b/>
                <w:bCs/>
                <w:sz w:val="20"/>
                <w:szCs w:val="20"/>
                <w:lang w:eastAsia="en-AU"/>
              </w:rPr>
            </w:pPr>
            <w:r w:rsidRPr="00B10224">
              <w:rPr>
                <w:rFonts w:ascii="Arial Narrow" w:eastAsia="Times New Roman" w:hAnsi="Arial Narrow" w:cs="Tahoma"/>
                <w:b/>
                <w:bCs/>
                <w:sz w:val="20"/>
                <w:szCs w:val="20"/>
                <w:lang w:eastAsia="en-AU"/>
              </w:rPr>
              <w:t>Malignancy (average increase*)</w:t>
            </w:r>
          </w:p>
        </w:tc>
        <w:tc>
          <w:tcPr>
            <w:tcW w:w="1914" w:type="dxa"/>
            <w:vAlign w:val="center"/>
          </w:tcPr>
          <w:p w14:paraId="0360C303" w14:textId="77777777" w:rsidR="008F2628" w:rsidRPr="00B10224" w:rsidRDefault="008F2628" w:rsidP="008F2628">
            <w:pPr>
              <w:spacing w:after="0"/>
              <w:rPr>
                <w:rFonts w:ascii="Arial Narrow" w:eastAsia="Times New Roman" w:hAnsi="Arial Narrow" w:cs="Tahoma"/>
                <w:b/>
                <w:bCs/>
                <w:sz w:val="20"/>
                <w:szCs w:val="20"/>
                <w:lang w:eastAsia="en-AU"/>
              </w:rPr>
            </w:pPr>
            <w:r w:rsidRPr="00B10224">
              <w:rPr>
                <w:rFonts w:ascii="Arial Narrow" w:eastAsia="Times New Roman" w:hAnsi="Arial Narrow" w:cs="Tahoma"/>
                <w:b/>
                <w:bCs/>
                <w:sz w:val="20"/>
                <w:szCs w:val="20"/>
                <w:lang w:eastAsia="en-AU"/>
              </w:rPr>
              <w:t>2020</w:t>
            </w:r>
          </w:p>
        </w:tc>
        <w:tc>
          <w:tcPr>
            <w:tcW w:w="1914" w:type="dxa"/>
            <w:vAlign w:val="center"/>
          </w:tcPr>
          <w:p w14:paraId="32260270" w14:textId="77777777" w:rsidR="008F2628" w:rsidRPr="00B10224" w:rsidRDefault="008F2628" w:rsidP="008F2628">
            <w:pPr>
              <w:spacing w:after="0"/>
              <w:rPr>
                <w:rFonts w:ascii="Arial Narrow" w:eastAsia="Times New Roman" w:hAnsi="Arial Narrow" w:cs="Tahoma"/>
                <w:b/>
                <w:bCs/>
                <w:sz w:val="20"/>
                <w:szCs w:val="20"/>
                <w:lang w:eastAsia="en-AU"/>
              </w:rPr>
            </w:pPr>
            <w:r w:rsidRPr="00B10224">
              <w:rPr>
                <w:rFonts w:ascii="Arial Narrow" w:eastAsia="Times New Roman" w:hAnsi="Arial Narrow" w:cs="Tahoma"/>
                <w:b/>
                <w:bCs/>
                <w:sz w:val="20"/>
                <w:szCs w:val="20"/>
                <w:lang w:eastAsia="en-AU"/>
              </w:rPr>
              <w:t>Expected 2021</w:t>
            </w:r>
          </w:p>
        </w:tc>
        <w:tc>
          <w:tcPr>
            <w:tcW w:w="1626" w:type="dxa"/>
            <w:vAlign w:val="center"/>
          </w:tcPr>
          <w:p w14:paraId="77384CF0" w14:textId="77777777" w:rsidR="008F2628" w:rsidRPr="00B10224" w:rsidRDefault="008F2628" w:rsidP="008F2628">
            <w:pPr>
              <w:spacing w:after="0"/>
              <w:rPr>
                <w:rFonts w:ascii="Arial Narrow" w:eastAsia="Times New Roman" w:hAnsi="Arial Narrow" w:cs="Tahoma"/>
                <w:b/>
                <w:bCs/>
                <w:sz w:val="20"/>
                <w:szCs w:val="20"/>
                <w:lang w:eastAsia="en-AU"/>
              </w:rPr>
            </w:pPr>
            <w:r w:rsidRPr="00B10224">
              <w:rPr>
                <w:rFonts w:ascii="Arial Narrow" w:eastAsia="Times New Roman" w:hAnsi="Arial Narrow" w:cs="Tahoma"/>
                <w:b/>
                <w:bCs/>
                <w:sz w:val="20"/>
                <w:szCs w:val="20"/>
                <w:lang w:eastAsia="en-AU"/>
              </w:rPr>
              <w:t>Expected 2022</w:t>
            </w:r>
          </w:p>
        </w:tc>
        <w:tc>
          <w:tcPr>
            <w:tcW w:w="1843" w:type="dxa"/>
            <w:vAlign w:val="center"/>
          </w:tcPr>
          <w:p w14:paraId="45EC939D" w14:textId="77777777" w:rsidR="008F2628" w:rsidRPr="00B10224" w:rsidRDefault="008F2628" w:rsidP="008F2628">
            <w:pPr>
              <w:spacing w:after="0"/>
              <w:rPr>
                <w:rFonts w:ascii="Arial Narrow" w:eastAsia="Times New Roman" w:hAnsi="Arial Narrow" w:cs="Tahoma"/>
                <w:b/>
                <w:bCs/>
                <w:sz w:val="20"/>
                <w:szCs w:val="20"/>
                <w:lang w:eastAsia="en-AU"/>
              </w:rPr>
            </w:pPr>
            <w:r w:rsidRPr="00B10224">
              <w:rPr>
                <w:rFonts w:ascii="Arial Narrow" w:eastAsia="Times New Roman" w:hAnsi="Arial Narrow" w:cs="Tahoma"/>
                <w:b/>
                <w:bCs/>
                <w:sz w:val="20"/>
                <w:szCs w:val="20"/>
                <w:lang w:eastAsia="en-AU"/>
              </w:rPr>
              <w:t>Expected 2023</w:t>
            </w:r>
          </w:p>
        </w:tc>
      </w:tr>
      <w:tr w:rsidR="008F2628" w:rsidRPr="00433A42" w14:paraId="252F878F" w14:textId="77777777" w:rsidTr="008F2628">
        <w:tc>
          <w:tcPr>
            <w:tcW w:w="1912" w:type="dxa"/>
            <w:vAlign w:val="center"/>
          </w:tcPr>
          <w:p w14:paraId="1BDA17CE" w14:textId="77777777" w:rsidR="008F2628" w:rsidRPr="006F0F17" w:rsidRDefault="008F2628" w:rsidP="008F2628">
            <w:pPr>
              <w:spacing w:after="0"/>
              <w:rPr>
                <w:rFonts w:ascii="Arial Narrow" w:eastAsia="Times New Roman" w:hAnsi="Arial Narrow" w:cs="Tahoma"/>
                <w:sz w:val="20"/>
                <w:szCs w:val="20"/>
                <w:lang w:eastAsia="en-AU"/>
              </w:rPr>
            </w:pPr>
            <w:r w:rsidRPr="006F0F17">
              <w:rPr>
                <w:rFonts w:ascii="Arial Narrow" w:eastAsia="Times New Roman" w:hAnsi="Arial Narrow" w:cs="Tahoma"/>
                <w:sz w:val="20"/>
                <w:szCs w:val="20"/>
                <w:lang w:eastAsia="en-AU"/>
              </w:rPr>
              <w:t>All haematological cancers (3.1%)</w:t>
            </w:r>
          </w:p>
        </w:tc>
        <w:tc>
          <w:tcPr>
            <w:tcW w:w="1914" w:type="dxa"/>
            <w:vAlign w:val="center"/>
          </w:tcPr>
          <w:p w14:paraId="18D000F2" w14:textId="77777777" w:rsidR="008F2628" w:rsidRPr="006F0F17" w:rsidRDefault="008F2628" w:rsidP="008F2628">
            <w:pPr>
              <w:spacing w:after="0"/>
              <w:rPr>
                <w:rFonts w:ascii="Arial Narrow" w:eastAsia="Times New Roman" w:hAnsi="Arial Narrow" w:cs="Tahoma"/>
                <w:sz w:val="20"/>
                <w:szCs w:val="20"/>
                <w:lang w:eastAsia="en-AU"/>
              </w:rPr>
            </w:pPr>
            <w:r w:rsidRPr="006F0F17">
              <w:rPr>
                <w:rFonts w:ascii="Arial Narrow" w:eastAsia="Times New Roman" w:hAnsi="Arial Narrow" w:cs="Tahoma"/>
                <w:sz w:val="20"/>
                <w:szCs w:val="20"/>
                <w:lang w:eastAsia="en-AU"/>
              </w:rPr>
              <w:t>17,321</w:t>
            </w:r>
          </w:p>
        </w:tc>
        <w:tc>
          <w:tcPr>
            <w:tcW w:w="1914" w:type="dxa"/>
            <w:vAlign w:val="center"/>
          </w:tcPr>
          <w:p w14:paraId="7EC105D9" w14:textId="77777777" w:rsidR="008F2628" w:rsidRPr="006F0F17" w:rsidRDefault="008F2628" w:rsidP="008F2628">
            <w:pPr>
              <w:spacing w:after="0"/>
              <w:rPr>
                <w:rFonts w:ascii="Arial Narrow" w:eastAsia="Times New Roman" w:hAnsi="Arial Narrow" w:cs="Tahoma"/>
                <w:sz w:val="20"/>
                <w:szCs w:val="20"/>
                <w:lang w:eastAsia="en-AU"/>
              </w:rPr>
            </w:pPr>
            <w:r w:rsidRPr="006F0F17">
              <w:rPr>
                <w:rFonts w:ascii="Arial Narrow" w:eastAsia="Times New Roman" w:hAnsi="Arial Narrow" w:cs="Tahoma"/>
                <w:sz w:val="20"/>
                <w:szCs w:val="20"/>
                <w:lang w:eastAsia="en-AU"/>
              </w:rPr>
              <w:t>17,858</w:t>
            </w:r>
          </w:p>
        </w:tc>
        <w:tc>
          <w:tcPr>
            <w:tcW w:w="1626" w:type="dxa"/>
            <w:vAlign w:val="center"/>
          </w:tcPr>
          <w:p w14:paraId="4E0A500A" w14:textId="77777777" w:rsidR="008F2628" w:rsidRPr="006F0F17" w:rsidRDefault="008F2628" w:rsidP="008F2628">
            <w:pPr>
              <w:spacing w:after="0"/>
              <w:rPr>
                <w:rFonts w:ascii="Arial Narrow" w:eastAsia="Times New Roman" w:hAnsi="Arial Narrow" w:cs="Tahoma"/>
                <w:sz w:val="20"/>
                <w:szCs w:val="20"/>
                <w:lang w:eastAsia="en-AU"/>
              </w:rPr>
            </w:pPr>
            <w:r w:rsidRPr="006F0F17">
              <w:rPr>
                <w:rFonts w:ascii="Arial Narrow" w:eastAsia="Times New Roman" w:hAnsi="Arial Narrow" w:cs="Tahoma"/>
                <w:sz w:val="20"/>
                <w:szCs w:val="20"/>
                <w:lang w:eastAsia="en-AU"/>
              </w:rPr>
              <w:t>18,412</w:t>
            </w:r>
          </w:p>
        </w:tc>
        <w:tc>
          <w:tcPr>
            <w:tcW w:w="1843" w:type="dxa"/>
            <w:vAlign w:val="center"/>
          </w:tcPr>
          <w:p w14:paraId="7CAD735C" w14:textId="77777777" w:rsidR="008F2628" w:rsidRPr="006F0F17" w:rsidRDefault="008F2628" w:rsidP="008F2628">
            <w:pPr>
              <w:spacing w:after="0"/>
              <w:rPr>
                <w:rFonts w:ascii="Arial Narrow" w:eastAsia="Times New Roman" w:hAnsi="Arial Narrow" w:cs="Tahoma"/>
                <w:sz w:val="20"/>
                <w:szCs w:val="20"/>
                <w:lang w:eastAsia="en-AU"/>
              </w:rPr>
            </w:pPr>
            <w:r w:rsidRPr="006F0F17">
              <w:rPr>
                <w:rFonts w:ascii="Arial Narrow" w:eastAsia="Times New Roman" w:hAnsi="Arial Narrow" w:cs="Tahoma"/>
                <w:sz w:val="20"/>
                <w:szCs w:val="20"/>
                <w:lang w:eastAsia="en-AU"/>
              </w:rPr>
              <w:t>18,983</w:t>
            </w:r>
          </w:p>
        </w:tc>
      </w:tr>
      <w:tr w:rsidR="008F2628" w:rsidRPr="00433A42" w14:paraId="7A17DAFE" w14:textId="77777777" w:rsidTr="008F2628">
        <w:tc>
          <w:tcPr>
            <w:tcW w:w="1912" w:type="dxa"/>
            <w:vAlign w:val="center"/>
          </w:tcPr>
          <w:p w14:paraId="2B704B99"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Acute lymphoblastic leukaemia (3%)</w:t>
            </w:r>
          </w:p>
        </w:tc>
        <w:tc>
          <w:tcPr>
            <w:tcW w:w="1914" w:type="dxa"/>
            <w:vAlign w:val="center"/>
          </w:tcPr>
          <w:p w14:paraId="0E10ED79"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445</w:t>
            </w:r>
          </w:p>
        </w:tc>
        <w:tc>
          <w:tcPr>
            <w:tcW w:w="1914" w:type="dxa"/>
            <w:vAlign w:val="center"/>
          </w:tcPr>
          <w:p w14:paraId="3A72F9F9"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458</w:t>
            </w:r>
          </w:p>
        </w:tc>
        <w:tc>
          <w:tcPr>
            <w:tcW w:w="1626" w:type="dxa"/>
            <w:vAlign w:val="center"/>
          </w:tcPr>
          <w:p w14:paraId="67EC9614"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472</w:t>
            </w:r>
          </w:p>
        </w:tc>
        <w:tc>
          <w:tcPr>
            <w:tcW w:w="1843" w:type="dxa"/>
            <w:vAlign w:val="center"/>
          </w:tcPr>
          <w:p w14:paraId="7A46682F"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486</w:t>
            </w:r>
          </w:p>
        </w:tc>
      </w:tr>
      <w:tr w:rsidR="008F2628" w:rsidRPr="00433A42" w14:paraId="1D4C5227" w14:textId="77777777" w:rsidTr="008F2628">
        <w:tc>
          <w:tcPr>
            <w:tcW w:w="1912" w:type="dxa"/>
            <w:vAlign w:val="center"/>
          </w:tcPr>
          <w:p w14:paraId="00392F4C"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Acute myeloid leukaemia (1.97%)</w:t>
            </w:r>
          </w:p>
        </w:tc>
        <w:tc>
          <w:tcPr>
            <w:tcW w:w="1914" w:type="dxa"/>
            <w:vAlign w:val="center"/>
          </w:tcPr>
          <w:p w14:paraId="2CD8352D"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1,122</w:t>
            </w:r>
          </w:p>
        </w:tc>
        <w:tc>
          <w:tcPr>
            <w:tcW w:w="1914" w:type="dxa"/>
            <w:vAlign w:val="center"/>
          </w:tcPr>
          <w:p w14:paraId="7D7CCC86"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1,144</w:t>
            </w:r>
          </w:p>
        </w:tc>
        <w:tc>
          <w:tcPr>
            <w:tcW w:w="1626" w:type="dxa"/>
            <w:vAlign w:val="center"/>
          </w:tcPr>
          <w:p w14:paraId="37BF1C5A"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1,166</w:t>
            </w:r>
          </w:p>
        </w:tc>
        <w:tc>
          <w:tcPr>
            <w:tcW w:w="1843" w:type="dxa"/>
            <w:vAlign w:val="center"/>
          </w:tcPr>
          <w:p w14:paraId="39AF8349"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1,189</w:t>
            </w:r>
          </w:p>
        </w:tc>
      </w:tr>
      <w:tr w:rsidR="008F2628" w:rsidRPr="00433A42" w14:paraId="62BAEAF3" w14:textId="77777777" w:rsidTr="008F2628">
        <w:tc>
          <w:tcPr>
            <w:tcW w:w="1912" w:type="dxa"/>
            <w:vAlign w:val="center"/>
          </w:tcPr>
          <w:p w14:paraId="13F8525A"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Chronic lymphocytic leukaemia (3.33%)</w:t>
            </w:r>
          </w:p>
        </w:tc>
        <w:tc>
          <w:tcPr>
            <w:tcW w:w="1914" w:type="dxa"/>
            <w:vAlign w:val="center"/>
          </w:tcPr>
          <w:p w14:paraId="387BF24E"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1,875</w:t>
            </w:r>
          </w:p>
        </w:tc>
        <w:tc>
          <w:tcPr>
            <w:tcW w:w="1914" w:type="dxa"/>
            <w:vAlign w:val="center"/>
          </w:tcPr>
          <w:p w14:paraId="060B693D"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1,937</w:t>
            </w:r>
          </w:p>
        </w:tc>
        <w:tc>
          <w:tcPr>
            <w:tcW w:w="1626" w:type="dxa"/>
            <w:vAlign w:val="center"/>
          </w:tcPr>
          <w:p w14:paraId="7ED106E6"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2,001</w:t>
            </w:r>
          </w:p>
        </w:tc>
        <w:tc>
          <w:tcPr>
            <w:tcW w:w="1843" w:type="dxa"/>
            <w:vAlign w:val="center"/>
          </w:tcPr>
          <w:p w14:paraId="3402992C"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2,068</w:t>
            </w:r>
          </w:p>
        </w:tc>
      </w:tr>
      <w:tr w:rsidR="008F2628" w:rsidRPr="00433A42" w14:paraId="1B19E965" w14:textId="77777777" w:rsidTr="008F2628">
        <w:tc>
          <w:tcPr>
            <w:tcW w:w="1912" w:type="dxa"/>
            <w:vAlign w:val="center"/>
          </w:tcPr>
          <w:p w14:paraId="37D44E6F"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Chronic myeloid leukaemia (1.47%)</w:t>
            </w:r>
          </w:p>
        </w:tc>
        <w:tc>
          <w:tcPr>
            <w:tcW w:w="1914" w:type="dxa"/>
            <w:vAlign w:val="center"/>
          </w:tcPr>
          <w:p w14:paraId="66D1D037"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378</w:t>
            </w:r>
          </w:p>
        </w:tc>
        <w:tc>
          <w:tcPr>
            <w:tcW w:w="1914" w:type="dxa"/>
            <w:vAlign w:val="center"/>
          </w:tcPr>
          <w:p w14:paraId="1A2DAA4B"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384</w:t>
            </w:r>
          </w:p>
        </w:tc>
        <w:tc>
          <w:tcPr>
            <w:tcW w:w="1626" w:type="dxa"/>
            <w:vAlign w:val="center"/>
          </w:tcPr>
          <w:p w14:paraId="64EAD0B1"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390</w:t>
            </w:r>
          </w:p>
        </w:tc>
        <w:tc>
          <w:tcPr>
            <w:tcW w:w="1843" w:type="dxa"/>
            <w:vAlign w:val="center"/>
          </w:tcPr>
          <w:p w14:paraId="1F550127"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396</w:t>
            </w:r>
          </w:p>
        </w:tc>
      </w:tr>
      <w:tr w:rsidR="008F2628" w:rsidRPr="00433A42" w14:paraId="06E951E8" w14:textId="77777777" w:rsidTr="008F2628">
        <w:tc>
          <w:tcPr>
            <w:tcW w:w="1912" w:type="dxa"/>
            <w:vAlign w:val="center"/>
          </w:tcPr>
          <w:p w14:paraId="4C1B9252"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Hodgkin lymphoma (3.07%)</w:t>
            </w:r>
          </w:p>
        </w:tc>
        <w:tc>
          <w:tcPr>
            <w:tcW w:w="1914" w:type="dxa"/>
            <w:vAlign w:val="center"/>
          </w:tcPr>
          <w:p w14:paraId="58C92A54"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784</w:t>
            </w:r>
          </w:p>
        </w:tc>
        <w:tc>
          <w:tcPr>
            <w:tcW w:w="1914" w:type="dxa"/>
            <w:vAlign w:val="center"/>
          </w:tcPr>
          <w:p w14:paraId="3869D0DA"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808</w:t>
            </w:r>
          </w:p>
        </w:tc>
        <w:tc>
          <w:tcPr>
            <w:tcW w:w="1626" w:type="dxa"/>
            <w:vAlign w:val="center"/>
          </w:tcPr>
          <w:p w14:paraId="4E7E0A18"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833</w:t>
            </w:r>
          </w:p>
        </w:tc>
        <w:tc>
          <w:tcPr>
            <w:tcW w:w="1843" w:type="dxa"/>
            <w:vAlign w:val="center"/>
          </w:tcPr>
          <w:p w14:paraId="54561ED2"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859</w:t>
            </w:r>
          </w:p>
        </w:tc>
      </w:tr>
      <w:tr w:rsidR="008F2628" w:rsidRPr="00433A42" w14:paraId="2F3B889A" w14:textId="77777777" w:rsidTr="008F2628">
        <w:tc>
          <w:tcPr>
            <w:tcW w:w="1912" w:type="dxa"/>
            <w:vAlign w:val="center"/>
          </w:tcPr>
          <w:p w14:paraId="3FF7EF2C"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lastRenderedPageBreak/>
              <w:t>Multiple myeloma (4.43%)</w:t>
            </w:r>
          </w:p>
        </w:tc>
        <w:tc>
          <w:tcPr>
            <w:tcW w:w="1914" w:type="dxa"/>
            <w:vAlign w:val="center"/>
          </w:tcPr>
          <w:p w14:paraId="259F462D"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2,339</w:t>
            </w:r>
          </w:p>
        </w:tc>
        <w:tc>
          <w:tcPr>
            <w:tcW w:w="1914" w:type="dxa"/>
            <w:vAlign w:val="center"/>
          </w:tcPr>
          <w:p w14:paraId="6A53E1FE"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2,443</w:t>
            </w:r>
          </w:p>
        </w:tc>
        <w:tc>
          <w:tcPr>
            <w:tcW w:w="1626" w:type="dxa"/>
            <w:vAlign w:val="center"/>
          </w:tcPr>
          <w:p w14:paraId="2F11CF93"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2,551</w:t>
            </w:r>
          </w:p>
        </w:tc>
        <w:tc>
          <w:tcPr>
            <w:tcW w:w="1843" w:type="dxa"/>
            <w:vAlign w:val="center"/>
          </w:tcPr>
          <w:p w14:paraId="59550F5F"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2,664</w:t>
            </w:r>
          </w:p>
        </w:tc>
      </w:tr>
      <w:tr w:rsidR="008F2628" w:rsidRPr="00433A42" w14:paraId="6D2F107D" w14:textId="77777777" w:rsidTr="008F2628">
        <w:tc>
          <w:tcPr>
            <w:tcW w:w="1912" w:type="dxa"/>
            <w:vAlign w:val="center"/>
          </w:tcPr>
          <w:p w14:paraId="19F454AA"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Myelodysplastic syndromes (1%)</w:t>
            </w:r>
          </w:p>
        </w:tc>
        <w:tc>
          <w:tcPr>
            <w:tcW w:w="1914" w:type="dxa"/>
            <w:vAlign w:val="center"/>
          </w:tcPr>
          <w:p w14:paraId="4D60B3A1"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1,496</w:t>
            </w:r>
          </w:p>
        </w:tc>
        <w:tc>
          <w:tcPr>
            <w:tcW w:w="1914" w:type="dxa"/>
            <w:vAlign w:val="center"/>
          </w:tcPr>
          <w:p w14:paraId="11D81855"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1,511</w:t>
            </w:r>
          </w:p>
        </w:tc>
        <w:tc>
          <w:tcPr>
            <w:tcW w:w="1626" w:type="dxa"/>
            <w:vAlign w:val="center"/>
          </w:tcPr>
          <w:p w14:paraId="2A2A3D7C"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1,526</w:t>
            </w:r>
          </w:p>
        </w:tc>
        <w:tc>
          <w:tcPr>
            <w:tcW w:w="1843" w:type="dxa"/>
            <w:vAlign w:val="center"/>
          </w:tcPr>
          <w:p w14:paraId="31859843"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1,541</w:t>
            </w:r>
          </w:p>
        </w:tc>
      </w:tr>
      <w:tr w:rsidR="008F2628" w:rsidRPr="00433A42" w14:paraId="74D4BF61" w14:textId="77777777" w:rsidTr="008F2628">
        <w:tc>
          <w:tcPr>
            <w:tcW w:w="1912" w:type="dxa"/>
            <w:vAlign w:val="center"/>
          </w:tcPr>
          <w:p w14:paraId="4198768F"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Non-Hodgkin lymphoma (3.29%)</w:t>
            </w:r>
          </w:p>
        </w:tc>
        <w:tc>
          <w:tcPr>
            <w:tcW w:w="1914" w:type="dxa"/>
            <w:vAlign w:val="center"/>
          </w:tcPr>
          <w:p w14:paraId="11091C33"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6,148</w:t>
            </w:r>
          </w:p>
        </w:tc>
        <w:tc>
          <w:tcPr>
            <w:tcW w:w="1914" w:type="dxa"/>
            <w:vAlign w:val="center"/>
          </w:tcPr>
          <w:p w14:paraId="258B989C"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6,350</w:t>
            </w:r>
          </w:p>
        </w:tc>
        <w:tc>
          <w:tcPr>
            <w:tcW w:w="1626" w:type="dxa"/>
            <w:vAlign w:val="center"/>
          </w:tcPr>
          <w:p w14:paraId="776A6878"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6,559</w:t>
            </w:r>
          </w:p>
        </w:tc>
        <w:tc>
          <w:tcPr>
            <w:tcW w:w="1843" w:type="dxa"/>
            <w:vAlign w:val="center"/>
          </w:tcPr>
          <w:p w14:paraId="4836AE97" w14:textId="77777777" w:rsidR="008F2628" w:rsidRPr="00B10224" w:rsidRDefault="008F2628" w:rsidP="008F2628">
            <w:pPr>
              <w:spacing w:after="0"/>
              <w:rPr>
                <w:rFonts w:ascii="Arial Narrow" w:eastAsia="Times New Roman" w:hAnsi="Arial Narrow" w:cs="Tahoma"/>
                <w:sz w:val="20"/>
                <w:szCs w:val="20"/>
                <w:lang w:eastAsia="en-AU"/>
              </w:rPr>
            </w:pPr>
            <w:r w:rsidRPr="00B10224">
              <w:rPr>
                <w:rFonts w:ascii="Arial Narrow" w:eastAsia="Times New Roman" w:hAnsi="Arial Narrow" w:cs="Tahoma"/>
                <w:sz w:val="20"/>
                <w:szCs w:val="20"/>
                <w:lang w:eastAsia="en-AU"/>
              </w:rPr>
              <w:t>6,775</w:t>
            </w:r>
          </w:p>
        </w:tc>
      </w:tr>
    </w:tbl>
    <w:p w14:paraId="20BED4FE" w14:textId="77777777" w:rsidR="008F2628" w:rsidRDefault="008F2628" w:rsidP="008F2628">
      <w:pPr>
        <w:pStyle w:val="Tablenotes"/>
      </w:pPr>
      <w:r>
        <w:t xml:space="preserve">Source: </w:t>
      </w:r>
      <w:r>
        <w:fldChar w:fldCharType="begin"/>
      </w:r>
      <w:r>
        <w:instrText xml:space="preserve"> ADDIN EN.CITE &lt;EndNote&gt;&lt;Cite AuthorYear="1"&gt;&lt;Author&gt;Australian Institute of Health and Welfare (AIHW)&lt;/Author&gt;&lt;Year&gt;2019&lt;/Year&gt;&lt;RecNum&gt;55&lt;/RecNum&gt;&lt;DisplayText&gt;Australian Institute of Health and Welfare (AIHW) (2019)&lt;/DisplayText&gt;&lt;record&gt;&lt;rec-number&gt;55&lt;/rec-number&gt;&lt;foreign-keys&gt;&lt;key app="EN" db-id="rpxx2texi59tzqewr09xxp96wtzx9a9wr0rv" timestamp="1633766914"&gt;55&lt;/key&gt;&lt;/foreign-keys&gt;&lt;ref-type name="Web Page"&gt;12&lt;/ref-type&gt;&lt;contributors&gt;&lt;authors&gt;&lt;author&gt;Australian Institute of Health and Welfare (AIHW),&lt;/author&gt;&lt;/authors&gt;&lt;/contributors&gt;&lt;titles&gt;&lt;title&gt;Cancer in Australia 2019&lt;/title&gt;&lt;/titles&gt;&lt;number&gt;18 November 2020&lt;/number&gt;&lt;dates&gt;&lt;year&gt;2019&lt;/year&gt;&lt;/dates&gt;&lt;pub-location&gt;Canberra&lt;/pub-location&gt;&lt;urls&gt;&lt;related-urls&gt;&lt;url&gt;https://www.aihw.gov.au/reports/cancer/cancer-in-australia-2019/contents/table-of-contents.&lt;/url&gt;&lt;/related-urls&gt;&lt;/urls&gt;&lt;/record&gt;&lt;/Cite&gt;&lt;/EndNote&gt;</w:instrText>
      </w:r>
      <w:r>
        <w:fldChar w:fldCharType="separate"/>
      </w:r>
      <w:r>
        <w:rPr>
          <w:noProof/>
        </w:rPr>
        <w:t>Australian Institute of Health and Welfare (AIHW) (2019)</w:t>
      </w:r>
      <w:r>
        <w:fldChar w:fldCharType="end"/>
      </w:r>
    </w:p>
    <w:p w14:paraId="53FDC55A" w14:textId="77777777" w:rsidR="008F2628" w:rsidRDefault="008F2628" w:rsidP="008F2628">
      <w:pPr>
        <w:pStyle w:val="Tablenotes"/>
      </w:pPr>
      <w:r w:rsidRPr="00B10224">
        <w:t>* Average increase calculated from the increase of cases each year from 2017-2020</w:t>
      </w:r>
    </w:p>
    <w:p w14:paraId="4988E68F" w14:textId="77777777" w:rsidR="008F2628" w:rsidRPr="00B86D98" w:rsidRDefault="008F2628" w:rsidP="008F2628">
      <w:pPr>
        <w:spacing w:after="120"/>
        <w:rPr>
          <w:i/>
          <w:iCs/>
          <w:color w:val="000000" w:themeColor="text1"/>
        </w:rPr>
      </w:pPr>
      <w:r w:rsidRPr="00B86D98">
        <w:rPr>
          <w:i/>
          <w:iCs/>
          <w:color w:val="000000" w:themeColor="text1"/>
        </w:rPr>
        <w:t xml:space="preserve">PASC noted the assumption that the estimated testing population would represent about 50% of people with haematological malignancies was based on clinical judgement. PASC considered that this estimate did not include those ‘suspected’ of malignancy (rather utilisation estimates based on incidence of diagnosed haematological malignancy), which should be accounted for in the assessment report. For example, a sub-population of patients with a clinical presentation of a presumed haematological malignancy that would be confirmed to be non-malignant after the proposed test. In addition, PASC considered that the estimated population size may increase over time as more </w:t>
      </w:r>
      <w:r>
        <w:rPr>
          <w:i/>
          <w:iCs/>
          <w:color w:val="000000" w:themeColor="text1"/>
        </w:rPr>
        <w:t xml:space="preserve">diagnostic and/or </w:t>
      </w:r>
      <w:r w:rsidRPr="00B86D98">
        <w:rPr>
          <w:i/>
          <w:iCs/>
          <w:color w:val="000000" w:themeColor="text1"/>
        </w:rPr>
        <w:t>prognostic markers are identified in different malignancies. The applicant agreed that this was likely and noted that the 50% utilisation estimate was framed using a diagnostic utility framework, rather than a clinical relevance framework.</w:t>
      </w:r>
    </w:p>
    <w:p w14:paraId="2401E620" w14:textId="77777777" w:rsidR="008F2628" w:rsidRPr="00B10224" w:rsidRDefault="008F2628" w:rsidP="008F2628">
      <w:pPr>
        <w:pStyle w:val="Heading4"/>
        <w:rPr>
          <w:rStyle w:val="PageNumber"/>
        </w:rPr>
      </w:pPr>
      <w:r w:rsidRPr="00B10224">
        <w:rPr>
          <w:rStyle w:val="PageNumber"/>
        </w:rPr>
        <w:t>Current investigations for haematological malignancies</w:t>
      </w:r>
    </w:p>
    <w:p w14:paraId="77E61BDC" w14:textId="77777777" w:rsidR="008F2628" w:rsidRDefault="008F2628" w:rsidP="008F2628">
      <w:r>
        <w:t>Patients presenting with clinical features suspicious for haematological malignancy typically undergo investigations by their primary health care provider including full blood count and other basic laboratory investigations. If the results of these investigations are consistent with a haematological malignancy, patients are typically referred to a specialist haematologist physician for further investigations, which may include further laboratory investigations (immunophenotyping of peripheral blood, cytological/histopathological examination of bone marrow biopsy/</w:t>
      </w:r>
      <w:r w:rsidRPr="009E7844">
        <w:t xml:space="preserve">lymph nodes), radiological investigations and/or diagnostic procedures (bone marrow biopsy, biopsy of lymph nodes/affected organs). The aim of these investigations is to establish a definitive diagnosis (including sub-categorisation) of haematological malignancy as per the </w:t>
      </w:r>
      <w:r w:rsidRPr="0095380F">
        <w:t>current WHO diagnostic</w:t>
      </w:r>
      <w:r w:rsidRPr="009E7844">
        <w:t xml:space="preserve"> criteria</w:t>
      </w:r>
      <w:r>
        <w:t xml:space="preserve"> </w:t>
      </w:r>
      <w:r>
        <w:fldChar w:fldCharType="begin">
          <w:fldData xml:space="preserve">PEVuZE5vdGU+PENpdGU+PEF1dGhvcj5Td2VyZGxvdzwvQXV0aG9yPjxZZWFyPjIwMTY8L1llYXI+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</w:fldData>
        </w:fldChar>
      </w:r>
      <w:r>
        <w:instrText xml:space="preserve"> ADDIN EN.CITE </w:instrText>
      </w:r>
      <w:r>
        <w:fldChar w:fldCharType="begin">
          <w:fldData xml:space="preserve">PEVuZE5vdGU+PENpdGU+PEF1dGhvcj5Td2VyZGxvdzwvQXV0aG9yPjxZZWFyPjIwMTY8L1llYXI+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</w:fldData>
        </w:fldChar>
      </w:r>
      <w:r>
        <w:instrText xml:space="preserve"> ADDIN EN.CITE.DATA </w:instrText>
      </w:r>
      <w:r>
        <w:fldChar w:fldCharType="end"/>
      </w:r>
      <w:r>
        <w:fldChar w:fldCharType="separate"/>
      </w:r>
      <w:r>
        <w:rPr>
          <w:noProof/>
        </w:rPr>
        <w:t>(Swerdlow et al., 2016)</w:t>
      </w:r>
      <w:r>
        <w:fldChar w:fldCharType="end"/>
      </w:r>
      <w:r w:rsidRPr="009E7844">
        <w:t>. In some cases, this categorisation cannot be achieved without additional genetic profiling including cytogenetic and molecular analysis.</w:t>
      </w:r>
    </w:p>
    <w:p w14:paraId="51C7B6A4" w14:textId="77777777" w:rsidR="008F2628" w:rsidRDefault="008F2628" w:rsidP="008F2628">
      <w:r>
        <w:t xml:space="preserve">If the diagnosis can be made based using the investigations described above, then diagnostic testing would cease, and the patient would commence treatment specific for the individual subtype of haematological malignancy diagnosed (see </w:t>
      </w:r>
      <w:r>
        <w:fldChar w:fldCharType="begin"/>
      </w:r>
      <w:r>
        <w:instrText xml:space="preserve"> REF _Ref85118413 \h </w:instrText>
      </w:r>
      <w:r>
        <w:fldChar w:fldCharType="separate"/>
      </w:r>
      <w:r>
        <w:t xml:space="preserve">Figure </w:t>
      </w:r>
      <w:r>
        <w:rPr>
          <w:noProof/>
        </w:rPr>
        <w:t>5</w:t>
      </w:r>
      <w:r>
        <w:fldChar w:fldCharType="end"/>
      </w:r>
      <w:r>
        <w:t>).</w:t>
      </w:r>
    </w:p>
    <w:p w14:paraId="75B684D2" w14:textId="77777777" w:rsidR="008F2628" w:rsidRDefault="008F2628" w:rsidP="008F2628">
      <w:pPr>
        <w:autoSpaceDE w:val="0"/>
        <w:autoSpaceDN w:val="0"/>
        <w:adjustRightInd w:val="0"/>
        <w:spacing w:line="23" w:lineRule="atLeast"/>
        <w:rPr>
          <w:rFonts w:asciiTheme="minorHAnsi" w:hAnsiTheme="minorHAnsi" w:cstheme="minorHAnsi"/>
          <w:i/>
          <w:iCs/>
        </w:rPr>
      </w:pPr>
      <w:r>
        <w:rPr>
          <w:szCs w:val="20"/>
        </w:rPr>
        <w:t>The treatment of haematological malignancy depends on the precise sub-categorisation but may include (</w:t>
      </w:r>
      <w:proofErr w:type="spellStart"/>
      <w:r>
        <w:rPr>
          <w:szCs w:val="20"/>
        </w:rPr>
        <w:t>i</w:t>
      </w:r>
      <w:proofErr w:type="spellEnd"/>
      <w:r>
        <w:rPr>
          <w:szCs w:val="20"/>
        </w:rPr>
        <w:t>) cytotoxic chemotherapy (ii) targeted agents (iii) immunotherapy (iv) autologous/allogeneic stem cell transplantation and/or (v) observation alone/supportive care.</w:t>
      </w:r>
    </w:p>
    <w:p w14:paraId="761264EC" w14:textId="77777777" w:rsidR="008F2628" w:rsidRPr="00341F18" w:rsidRDefault="008F2628" w:rsidP="008F2628">
      <w:pPr>
        <w:autoSpaceDE w:val="0"/>
        <w:autoSpaceDN w:val="0"/>
        <w:adjustRightInd w:val="0"/>
        <w:spacing w:after="120"/>
        <w:rPr>
          <w:rFonts w:asciiTheme="minorHAnsi" w:hAnsiTheme="minorHAnsi" w:cstheme="minorHAnsi"/>
          <w:i/>
          <w:iCs/>
        </w:rPr>
      </w:pPr>
      <w:r w:rsidRPr="00341F18">
        <w:rPr>
          <w:rFonts w:asciiTheme="minorHAnsi" w:hAnsiTheme="minorHAnsi" w:cstheme="minorHAnsi"/>
          <w:i/>
          <w:iCs/>
        </w:rPr>
        <w:t xml:space="preserve">PASC agreed with the applicant that although NGS gene panel testing is used for both diagnosis and sub-classification, people who undertake these tests often </w:t>
      </w:r>
      <w:r>
        <w:rPr>
          <w:rFonts w:asciiTheme="minorHAnsi" w:hAnsiTheme="minorHAnsi" w:cstheme="minorHAnsi"/>
          <w:i/>
          <w:iCs/>
        </w:rPr>
        <w:t xml:space="preserve">have a suspicion </w:t>
      </w:r>
      <w:r w:rsidRPr="00341F18">
        <w:rPr>
          <w:rFonts w:asciiTheme="minorHAnsi" w:hAnsiTheme="minorHAnsi" w:cstheme="minorHAnsi"/>
          <w:i/>
          <w:iCs/>
        </w:rPr>
        <w:t xml:space="preserve">of a malignancy, </w:t>
      </w:r>
      <w:r>
        <w:rPr>
          <w:rFonts w:asciiTheme="minorHAnsi" w:hAnsiTheme="minorHAnsi" w:cstheme="minorHAnsi"/>
          <w:i/>
          <w:iCs/>
        </w:rPr>
        <w:t>and initially undergo diagnostic testing with existing MBS reimbursed tests prior to subclassification.</w:t>
      </w:r>
    </w:p>
    <w:p w14:paraId="3AB69CA8" w14:textId="77777777" w:rsidR="008F2628" w:rsidRPr="00B10224" w:rsidRDefault="008F2628" w:rsidP="008F2628">
      <w:pPr>
        <w:rPr>
          <w:rStyle w:val="IntenseEmphasis"/>
          <w:color w:val="2E74B5" w:themeColor="accent1" w:themeShade="BF"/>
        </w:rPr>
      </w:pPr>
      <w:r w:rsidRPr="00B10224">
        <w:rPr>
          <w:rStyle w:val="IntenseEmphasis"/>
          <w:color w:val="2E74B5" w:themeColor="accent1" w:themeShade="BF"/>
        </w:rPr>
        <w:t>Cascade testing</w:t>
      </w:r>
    </w:p>
    <w:p w14:paraId="0AA4BAAB" w14:textId="77777777" w:rsidR="008F2628" w:rsidRDefault="008F2628" w:rsidP="008F2628">
      <w:r>
        <w:t>The applicant has noted that approximately</w:t>
      </w:r>
      <w:r>
        <w:rPr>
          <w:szCs w:val="20"/>
        </w:rPr>
        <w:t xml:space="preserve"> 8-15% of all </w:t>
      </w:r>
      <w:r w:rsidRPr="006328BB">
        <w:rPr>
          <w:szCs w:val="20"/>
        </w:rPr>
        <w:t>haematological malignancies</w:t>
      </w:r>
      <w:r>
        <w:rPr>
          <w:szCs w:val="20"/>
        </w:rPr>
        <w:t xml:space="preserve"> are familial</w:t>
      </w:r>
      <w:r>
        <w:t xml:space="preserve"> </w:t>
      </w:r>
      <w:r>
        <w:fldChar w:fldCharType="begin"/>
      </w:r>
      <w:r>
        <w:instrText xml:space="preserve"> ADDIN EN.CITE &lt;EndNote&gt;&lt;Cite&gt;&lt;Author&gt;Brown&lt;/Author&gt;&lt;Year&gt;2020&lt;/Year&gt;&lt;RecNum&gt;30&lt;/RecNum&gt;&lt;DisplayText&gt;(Brown &amp;amp; Hiwase, 2020)&lt;/DisplayText&gt;&lt;record&gt;&lt;rec-number&gt;30&lt;/rec-number&gt;&lt;foreign-keys&gt;&lt;key app="EN" db-id="rpxx2texi59tzqewr09xxp96wtzx9a9wr0rv" timestamp="1633760397"&gt;30&lt;/key&gt;&lt;/foreign-keys&gt;&lt;ref-type name="Journal Article"&gt;17&lt;/ref-type&gt;&lt;contributors&gt;&lt;authors&gt;&lt;author&gt;Brown, A. L.&lt;/author&gt;&lt;author&gt;Hiwase, D. K.&lt;/author&gt;&lt;/authors&gt;&lt;/contributors&gt;&lt;auth-address&gt;Department of Genetics and Molecular Pathology, SA Pathology, Adelaide, South Australia, Australia; Centre for Cancer Biology, SA Pathology &amp;amp; University of South Australia, Adelaide, South Australia, Australia; School of Medicine, University of Adelaide, Adelaide, South Australia, Australia. Electronic address: Anna.brown@sa.gov.au.&amp;#xD;School of Medicine, University of Adelaide, Adelaide, South Australia, Australia; Department of Haematology, Royal Adelaide Hospital, Central Adelaide Local Health Network, Adelaide, Australia; Cancer Theme, South Australian Health and Medical Research Institute, Adelaide, Australia.&lt;/auth-address&gt;&lt;titles&gt;&lt;title&gt;What&amp;apos;s germane in the germline? Finding clinically relevant germline variants in myeloid neoplasms from tumor only screening&lt;/title&gt;&lt;secondary-title&gt;Leuk Res&lt;/secondary-title&gt;&lt;/titles&gt;&lt;periodical&gt;&lt;full-title&gt;Leuk Res&lt;/full-title&gt;&lt;/periodical&gt;&lt;pages&gt;106431&lt;/pages&gt;&lt;volume&gt;96&lt;/volume&gt;&lt;edition&gt;2020/08/11&lt;/edition&gt;&lt;keywords&gt;&lt;keyword&gt;Cohort Studies&lt;/keyword&gt;&lt;keyword&gt;Genetic Predisposition to Disease&lt;/keyword&gt;&lt;keyword&gt;Germ Cells&lt;/keyword&gt;&lt;keyword&gt;Humans&lt;/keyword&gt;&lt;keyword&gt;*Leukemia&lt;/keyword&gt;&lt;keyword&gt;*Neoplasms&lt;/keyword&gt;&lt;/keywords&gt;&lt;dates&gt;&lt;year&gt;2020&lt;/year&gt;&lt;pub-dates&gt;&lt;date&gt;Sep&lt;/date&gt;&lt;/pub-dates&gt;&lt;/dates&gt;&lt;isbn&gt;1873-5835 (Electronic)&amp;#xD;0145-2126 (Linking)&lt;/isbn&gt;&lt;accession-num&gt;32771235&lt;/accession-num&gt;&lt;urls&gt;&lt;related-urls&gt;&lt;url&gt;https://www.ncbi.nlm.nih.gov/pubmed/32771235&lt;/url&gt;&lt;/related-urls&gt;&lt;/urls&gt;&lt;electronic-resource-num&gt;10.1016/j.leukres.2020.106431&lt;/electronic-resource-num&gt;&lt;/record&gt;&lt;/Cite&gt;&lt;/EndNote&gt;</w:instrText>
      </w:r>
      <w:r>
        <w:fldChar w:fldCharType="separate"/>
      </w:r>
      <w:r>
        <w:rPr>
          <w:noProof/>
        </w:rPr>
        <w:t>(Brown &amp; Hiwase, 2020)</w:t>
      </w:r>
      <w:r>
        <w:fldChar w:fldCharType="end"/>
      </w:r>
      <w:r>
        <w:t>. However, the application does not request cascade testing of family members, and the primary intention of the test is to investigate somatic genes.</w:t>
      </w:r>
    </w:p>
    <w:p w14:paraId="6C99D93B" w14:textId="77777777" w:rsidR="008F2628" w:rsidRPr="00B86D98" w:rsidRDefault="008F2628" w:rsidP="008F2628">
      <w:pPr>
        <w:spacing w:after="120"/>
        <w:rPr>
          <w:i/>
          <w:iCs/>
          <w:color w:val="000000" w:themeColor="text1"/>
        </w:rPr>
      </w:pPr>
      <w:r w:rsidRPr="00B86D98">
        <w:rPr>
          <w:i/>
          <w:iCs/>
          <w:color w:val="000000" w:themeColor="text1"/>
        </w:rPr>
        <w:lastRenderedPageBreak/>
        <w:t xml:space="preserve">PASC discussed the issue of germline variants that result in an inherited predisposition to haematological cancer which represent around 8-15% of haematological malignancies. PASC noted the pre-PASC response, which the applicant stated that familial </w:t>
      </w:r>
      <w:r>
        <w:rPr>
          <w:i/>
          <w:iCs/>
          <w:color w:val="000000" w:themeColor="text1"/>
        </w:rPr>
        <w:t>variant</w:t>
      </w:r>
      <w:r w:rsidRPr="00B86D98">
        <w:rPr>
          <w:i/>
          <w:iCs/>
          <w:color w:val="000000" w:themeColor="text1"/>
        </w:rPr>
        <w:t xml:space="preserve"> diagnosis may be relevant for future donor selection for transplantation. The applicant advised that the need for a cascade test in patients with unselected myeloid malignancies is in the range of just 1-2%. As there are existing numbers for germline testing and inherited conditions which can cover some of the germline gene </w:t>
      </w:r>
      <w:r>
        <w:rPr>
          <w:i/>
          <w:iCs/>
          <w:color w:val="000000" w:themeColor="text1"/>
        </w:rPr>
        <w:t>variants</w:t>
      </w:r>
      <w:r w:rsidRPr="00B86D98">
        <w:rPr>
          <w:i/>
          <w:iCs/>
          <w:color w:val="000000" w:themeColor="text1"/>
        </w:rPr>
        <w:t xml:space="preserve">, PASC confirmed that cascade testing for germline </w:t>
      </w:r>
      <w:r>
        <w:rPr>
          <w:i/>
          <w:iCs/>
          <w:color w:val="000000" w:themeColor="text1"/>
        </w:rPr>
        <w:t>variants</w:t>
      </w:r>
      <w:r w:rsidRPr="00B86D98">
        <w:rPr>
          <w:i/>
          <w:iCs/>
          <w:color w:val="000000" w:themeColor="text1"/>
        </w:rPr>
        <w:t xml:space="preserve"> is out of scope for this application.</w:t>
      </w:r>
    </w:p>
    <w:p w14:paraId="652FA597" w14:textId="77777777" w:rsidR="008F2628" w:rsidRPr="00B10224" w:rsidRDefault="008F2628" w:rsidP="008F2628">
      <w:pPr>
        <w:pStyle w:val="Heading4"/>
        <w:rPr>
          <w:rStyle w:val="PageNumber"/>
        </w:rPr>
      </w:pPr>
      <w:r w:rsidRPr="00B10224">
        <w:rPr>
          <w:rStyle w:val="PageNumber"/>
        </w:rPr>
        <w:t>Equity of access</w:t>
      </w:r>
    </w:p>
    <w:p w14:paraId="6FF0871E" w14:textId="77777777" w:rsidR="008F2628" w:rsidRDefault="008F2628" w:rsidP="008F2628">
      <w:r>
        <w:t>Currently, genetic testing for private patients is either (</w:t>
      </w:r>
      <w:proofErr w:type="spellStart"/>
      <w:r>
        <w:t>i</w:t>
      </w:r>
      <w:proofErr w:type="spellEnd"/>
      <w:r>
        <w:t xml:space="preserve">) being performed at cost to the referring pathology provider/patient or (ii) not being performed; the former leading to inequity in access and the latter leading to inaccurate diagnosis and treatment. Public funding of these genetic tests would provide equity of access for all Australian patients and would align Australian clinical practice with the established clinical practice guidelines and diagnostic standard of care as stipulated by the revision of the WHO </w:t>
      </w:r>
      <w:r w:rsidRPr="004B16DF">
        <w:t xml:space="preserve">classification of </w:t>
      </w:r>
      <w:r>
        <w:t>haematological malignancy.</w:t>
      </w:r>
    </w:p>
    <w:p w14:paraId="3F77B326" w14:textId="77777777" w:rsidR="0009708F" w:rsidRPr="008F2628" w:rsidRDefault="0009708F" w:rsidP="0009708F">
      <w:pPr>
        <w:pStyle w:val="Heading3"/>
      </w:pPr>
      <w:r w:rsidRPr="008F1532">
        <w:t>Intervention</w:t>
      </w:r>
    </w:p>
    <w:p w14:paraId="6E20823B" w14:textId="77777777" w:rsidR="0009708F" w:rsidRDefault="0009708F" w:rsidP="0009708F">
      <w:r w:rsidRPr="00017682">
        <w:t xml:space="preserve">The proposed </w:t>
      </w:r>
      <w:r w:rsidRPr="00991CC0">
        <w:t xml:space="preserve">genetic test is an investigative </w:t>
      </w:r>
      <w:r w:rsidRPr="00971E99">
        <w:t>medical service (</w:t>
      </w:r>
      <w:r w:rsidRPr="00A028CA">
        <w:rPr>
          <w:i/>
          <w:iCs/>
        </w:rPr>
        <w:t>in-vitro</w:t>
      </w:r>
      <w:r w:rsidRPr="00971E99">
        <w:t xml:space="preserve"> diagnostic test) that uses precision medicine to molecularly analyse and definitively diagnose haematological malignancies by identifying their sub-classification. It is a new item that is proposing a way of clinically delivering a service that is new to the MBS in terms of new technology. The</w:t>
      </w:r>
      <w:r>
        <w:t xml:space="preserve"> primary</w:t>
      </w:r>
      <w:r w:rsidRPr="00971E99">
        <w:t xml:space="preserve"> purpose of performing the service is to</w:t>
      </w:r>
      <w:r>
        <w:t xml:space="preserve"> a</w:t>
      </w:r>
      <w:r w:rsidRPr="00433A42">
        <w:t>ssist in establishing a diagnosis in</w:t>
      </w:r>
      <w:r>
        <w:t xml:space="preserve"> newly diagnosed patients or those at disease relapse. The test results may subsequently provide</w:t>
      </w:r>
      <w:r w:rsidRPr="00433A42">
        <w:t xml:space="preserve"> information about prognosis</w:t>
      </w:r>
      <w:r>
        <w:t xml:space="preserve"> and/or identify</w:t>
      </w:r>
      <w:r w:rsidRPr="00991CC0">
        <w:t xml:space="preserve"> a patient</w:t>
      </w:r>
      <w:r>
        <w:t>’s suitability</w:t>
      </w:r>
      <w:r w:rsidRPr="00991CC0">
        <w:t xml:space="preserve"> for therapy</w:t>
      </w:r>
      <w:r>
        <w:t>.</w:t>
      </w:r>
    </w:p>
    <w:p w14:paraId="703111EF" w14:textId="77777777" w:rsidR="0009708F" w:rsidRPr="00B86D98" w:rsidRDefault="0009708F" w:rsidP="0009708F">
      <w:pPr>
        <w:spacing w:after="120"/>
        <w:rPr>
          <w:i/>
          <w:iCs/>
          <w:color w:val="000000" w:themeColor="text1"/>
        </w:rPr>
      </w:pPr>
      <w:r w:rsidRPr="00B86D98">
        <w:rPr>
          <w:i/>
          <w:iCs/>
          <w:color w:val="000000" w:themeColor="text1"/>
        </w:rPr>
        <w:t>PASC noted that the proposed intervention is genetic testing for variants associated with haematological malignancies using next generation sequencing (NGS) gene panel testing.</w:t>
      </w:r>
    </w:p>
    <w:p w14:paraId="2589EB72" w14:textId="77777777" w:rsidR="0009708F" w:rsidRPr="00971E99" w:rsidRDefault="0009708F" w:rsidP="0009708F">
      <w:r w:rsidRPr="00971E99">
        <w:t>The investigative test</w:t>
      </w:r>
      <w:r>
        <w:t xml:space="preserve">, </w:t>
      </w:r>
      <w:r w:rsidRPr="00971E99">
        <w:t xml:space="preserve">using NGS gene panel testing, </w:t>
      </w:r>
      <w:r>
        <w:t>should be restricted to once per diagnostic episode</w:t>
      </w:r>
      <w:r w:rsidRPr="00971E99">
        <w:t xml:space="preserve"> </w:t>
      </w:r>
      <w:r>
        <w:t>(new diagnosis or relapse)</w:t>
      </w:r>
      <w:r w:rsidRPr="00971E99">
        <w:t>, conducted in addition to other investigative procedures.</w:t>
      </w:r>
    </w:p>
    <w:p w14:paraId="371A445D" w14:textId="77777777" w:rsidR="0009708F" w:rsidRDefault="0009708F" w:rsidP="0009708F">
      <w:r>
        <w:t>As stipulated by the applicant, t</w:t>
      </w:r>
      <w:r w:rsidRPr="001654F8">
        <w:t xml:space="preserve">esting would be </w:t>
      </w:r>
      <w:r>
        <w:t>requested by the treating clinician</w:t>
      </w:r>
      <w:r w:rsidRPr="001654F8">
        <w:t xml:space="preserve"> </w:t>
      </w:r>
      <w:r>
        <w:t xml:space="preserve">and </w:t>
      </w:r>
      <w:r w:rsidRPr="001654F8">
        <w:t xml:space="preserve">provided by </w:t>
      </w:r>
      <w:r>
        <w:t>a</w:t>
      </w:r>
      <w:r w:rsidRPr="001654F8">
        <w:t xml:space="preserve">pproved </w:t>
      </w:r>
      <w:r>
        <w:t>p</w:t>
      </w:r>
      <w:r w:rsidRPr="001654F8">
        <w:t xml:space="preserve">ractising </w:t>
      </w:r>
      <w:r>
        <w:t>p</w:t>
      </w:r>
      <w:r w:rsidRPr="001654F8">
        <w:t>athologists in line with other tests on the MBS Pathology</w:t>
      </w:r>
      <w:r>
        <w:t xml:space="preserve"> Services</w:t>
      </w:r>
      <w:r w:rsidRPr="001654F8">
        <w:t xml:space="preserve"> Table.</w:t>
      </w:r>
      <w:r w:rsidRPr="00EA0F28">
        <w:rPr>
          <w:szCs w:val="20"/>
        </w:rPr>
        <w:t xml:space="preserve"> Patients should be referred by a specialist haematologist/oncologist or consultant physician. T</w:t>
      </w:r>
      <w:r>
        <w:t>esting</w:t>
      </w:r>
      <w:r w:rsidRPr="00BA6793">
        <w:t xml:space="preserve"> </w:t>
      </w:r>
      <w:r>
        <w:t xml:space="preserve">would </w:t>
      </w:r>
      <w:r w:rsidRPr="00BA6793">
        <w:t xml:space="preserve">occur in </w:t>
      </w:r>
      <w:r>
        <w:t xml:space="preserve">a National Association of Testing Authorities (NATA) accredited diagnostic laboratory in </w:t>
      </w:r>
      <w:r w:rsidRPr="00BA6793">
        <w:t xml:space="preserve">accordance with </w:t>
      </w:r>
      <w:r>
        <w:t>the National Pathology Accreditation Advisory Council (</w:t>
      </w:r>
      <w:r w:rsidRPr="00BA6793">
        <w:t>NPAAC</w:t>
      </w:r>
      <w:r>
        <w:t>)</w:t>
      </w:r>
      <w:r w:rsidRPr="00BA6793">
        <w:t xml:space="preserve"> guidelines</w:t>
      </w:r>
      <w:r>
        <w:t>.</w:t>
      </w:r>
    </w:p>
    <w:p w14:paraId="05BD765C" w14:textId="77777777" w:rsidR="0009708F" w:rsidRPr="00590D3D" w:rsidRDefault="0009708F" w:rsidP="0009708F">
      <w:pPr>
        <w:rPr>
          <w:szCs w:val="20"/>
        </w:rPr>
      </w:pPr>
      <w:r>
        <w:t xml:space="preserve">Investigations are intended to be entirely rendered in Australia and </w:t>
      </w:r>
      <w:r w:rsidRPr="00275F8B">
        <w:t xml:space="preserve">would be delivered only by </w:t>
      </w:r>
      <w:r>
        <w:t>a</w:t>
      </w:r>
      <w:r w:rsidRPr="00275F8B">
        <w:t xml:space="preserve">pproved </w:t>
      </w:r>
      <w:r>
        <w:t>p</w:t>
      </w:r>
      <w:r w:rsidRPr="00275F8B">
        <w:t xml:space="preserve">ractising </w:t>
      </w:r>
      <w:r>
        <w:t>p</w:t>
      </w:r>
      <w:r w:rsidRPr="00275F8B">
        <w:t>athologists with appropriate scope of practice in NATA</w:t>
      </w:r>
      <w:r>
        <w:t>-a</w:t>
      </w:r>
      <w:r w:rsidRPr="00275F8B">
        <w:t xml:space="preserve">ccredited </w:t>
      </w:r>
      <w:r>
        <w:t>p</w:t>
      </w:r>
      <w:r w:rsidRPr="00275F8B">
        <w:t xml:space="preserve">athology </w:t>
      </w:r>
      <w:r>
        <w:t>l</w:t>
      </w:r>
      <w:r w:rsidRPr="00275F8B">
        <w:t>aboratories (as defined in MBS Pathology</w:t>
      </w:r>
      <w:r>
        <w:t xml:space="preserve"> Services</w:t>
      </w:r>
      <w:r w:rsidRPr="00275F8B">
        <w:t xml:space="preserve"> </w:t>
      </w:r>
      <w:r>
        <w:t>T</w:t>
      </w:r>
      <w:r w:rsidRPr="00275F8B">
        <w:t xml:space="preserve">able) by referral only by registered </w:t>
      </w:r>
      <w:r>
        <w:t>m</w:t>
      </w:r>
      <w:r w:rsidRPr="00275F8B">
        <w:t xml:space="preserve">edical </w:t>
      </w:r>
      <w:r>
        <w:t>p</w:t>
      </w:r>
      <w:r w:rsidRPr="00275F8B">
        <w:t xml:space="preserve">ractitioners (non-pathologists) in line with other tests in the MBS Pathology </w:t>
      </w:r>
      <w:r>
        <w:t xml:space="preserve">Services </w:t>
      </w:r>
      <w:r w:rsidRPr="00275F8B">
        <w:t>Table.</w:t>
      </w:r>
    </w:p>
    <w:p w14:paraId="50726157" w14:textId="77777777" w:rsidR="0009708F" w:rsidRDefault="0009708F" w:rsidP="0009708F">
      <w:r>
        <w:t>The investigative process of the proposed health technology involves the extraction of n</w:t>
      </w:r>
      <w:r w:rsidRPr="00B30F80">
        <w:t>ucleic acid</w:t>
      </w:r>
      <w:r>
        <w:t xml:space="preserve"> </w:t>
      </w:r>
      <w:r w:rsidRPr="00BA6793">
        <w:t>from the tissue of interest with haematological malignancy (typically blood, bone marrow aspirate or lymph node biopsy)</w:t>
      </w:r>
      <w:r>
        <w:t xml:space="preserve">, and then undergoes </w:t>
      </w:r>
      <w:r w:rsidRPr="00BA6793">
        <w:t>target enrichment using either hybridisation-based target enrichment or amplicon</w:t>
      </w:r>
      <w:r>
        <w:t>-based</w:t>
      </w:r>
      <w:r w:rsidRPr="00BA6793">
        <w:t xml:space="preserve"> target enrichment. </w:t>
      </w:r>
      <w:r w:rsidRPr="005634A5">
        <w:t xml:space="preserve">The most widely used </w:t>
      </w:r>
      <w:r>
        <w:t xml:space="preserve">molecular characterisation </w:t>
      </w:r>
      <w:r w:rsidRPr="005634A5">
        <w:t>technique</w:t>
      </w:r>
      <w:r>
        <w:t xml:space="preserve"> for clinical applications</w:t>
      </w:r>
      <w:r w:rsidRPr="005634A5">
        <w:t xml:space="preserve"> is targeted panels</w:t>
      </w:r>
      <w:r>
        <w:t xml:space="preserve"> (Lymphoid, Myeloid) that</w:t>
      </w:r>
      <w:r w:rsidRPr="005634A5">
        <w:t xml:space="preserve"> focus on a certain number of genes</w:t>
      </w:r>
      <w:r>
        <w:t xml:space="preserve"> or gene regions according to the cancer phenotype. </w:t>
      </w:r>
      <w:r w:rsidRPr="00BA6793">
        <w:t xml:space="preserve">The sequence data is processed by a bioinformatics pipeline which includes </w:t>
      </w:r>
      <w:r>
        <w:t xml:space="preserve">sequence read </w:t>
      </w:r>
      <w:r w:rsidRPr="00BA6793">
        <w:t>alignment and variant calling</w:t>
      </w:r>
      <w:r>
        <w:t xml:space="preserve"> and annotation</w:t>
      </w:r>
      <w:r w:rsidRPr="00BA6793">
        <w:t>. Genomic variants are then curated by scientists/pathologists and a clinical report generated.</w:t>
      </w:r>
    </w:p>
    <w:p w14:paraId="4F0D301B" w14:textId="77777777" w:rsidR="0009708F" w:rsidRDefault="0009708F" w:rsidP="0009708F">
      <w:r>
        <w:lastRenderedPageBreak/>
        <w:t xml:space="preserve">Patients with a suspected haematological malignancy would still be required to undergo initial </w:t>
      </w:r>
      <w:r w:rsidRPr="00F878C1">
        <w:t>diagnostic tests, such as full blood counts, immunohistochemistry, cytogenetic testing and fluorescence in situ hybridisation</w:t>
      </w:r>
      <w:r>
        <w:t xml:space="preserve"> (FISH</w:t>
      </w:r>
      <w:r w:rsidRPr="00F131CD">
        <w:t xml:space="preserve">). Once diagnosed, a proportion of patients will need to undergo assessment of genomic variation </w:t>
      </w:r>
      <w:proofErr w:type="gramStart"/>
      <w:r w:rsidRPr="00F131CD">
        <w:t>in order to</w:t>
      </w:r>
      <w:proofErr w:type="gramEnd"/>
      <w:r w:rsidRPr="00F131CD">
        <w:t xml:space="preserve"> make a specific, definitive diagnosis, or refine, or change the presumptive diagnosis, that will enable the selection of the most appropriate therapy and guide prognostication (</w:t>
      </w:r>
      <w:r>
        <w:t xml:space="preserve">see </w:t>
      </w:r>
      <w:r>
        <w:fldChar w:fldCharType="begin"/>
      </w:r>
      <w:r>
        <w:instrText xml:space="preserve"> REF _Ref85185146 \h </w:instrText>
      </w:r>
      <w:r>
        <w:fldChar w:fldCharType="separate"/>
      </w:r>
      <w:r>
        <w:t xml:space="preserve">Figure </w:t>
      </w:r>
      <w:r>
        <w:rPr>
          <w:noProof/>
        </w:rPr>
        <w:t>6</w:t>
      </w:r>
      <w:r>
        <w:fldChar w:fldCharType="end"/>
      </w:r>
      <w:r>
        <w:t>)</w:t>
      </w:r>
      <w:r w:rsidRPr="00F878C1">
        <w:t>.</w:t>
      </w:r>
      <w:r>
        <w:t xml:space="preserve"> The number of genes and diversity of variants that need to be assessed practically necessitates the use of massively parallel sequencing technologies.</w:t>
      </w:r>
    </w:p>
    <w:p w14:paraId="47FB4C0E" w14:textId="77777777" w:rsidR="0009708F" w:rsidRDefault="0009708F" w:rsidP="0009708F">
      <w:r w:rsidRPr="00B53C28">
        <w:t>The results of these genomic tests are interpreted</w:t>
      </w:r>
      <w:r>
        <w:t xml:space="preserve"> by the clinician w</w:t>
      </w:r>
      <w:r w:rsidRPr="00B53C28">
        <w:t>ith the rest of the pathological data to categorise the patient as per WHO 2017 diagnostic criteria</w:t>
      </w:r>
      <w:r>
        <w:t xml:space="preserve"> and to guide the patient treatment approach </w:t>
      </w:r>
      <w:r>
        <w:fldChar w:fldCharType="begin">
          <w:fldData xml:space="preserve">PEVuZE5vdGU+PENpdGU+PEF1dGhvcj5Td2VyZGxvdzwvQXV0aG9yPjxZZWFyPjIwMTY8L1llYXI+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</w:fldData>
        </w:fldChar>
      </w:r>
      <w:r>
        <w:instrText xml:space="preserve"> ADDIN EN.CITE </w:instrText>
      </w:r>
      <w:r>
        <w:fldChar w:fldCharType="begin">
          <w:fldData xml:space="preserve">PEVuZE5vdGU+PENpdGU+PEF1dGhvcj5Td2VyZGxvdzwvQXV0aG9yPjxZZWFyPjIwMTY8L1llYXI+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</w:fldData>
        </w:fldChar>
      </w:r>
      <w:r>
        <w:instrText xml:space="preserve"> ADDIN EN.CITE.DATA </w:instrText>
      </w:r>
      <w:r>
        <w:fldChar w:fldCharType="end"/>
      </w:r>
      <w:r>
        <w:fldChar w:fldCharType="separate"/>
      </w:r>
      <w:r>
        <w:rPr>
          <w:noProof/>
        </w:rPr>
        <w:t>(Swerdlow et al., 2016)</w:t>
      </w:r>
      <w:r>
        <w:fldChar w:fldCharType="end"/>
      </w:r>
      <w:r w:rsidRPr="00B53C28">
        <w:t>.</w:t>
      </w:r>
      <w:r>
        <w:t xml:space="preserve"> The applicant lists 105 possible exemplar and 130 facilitated genes (</w:t>
      </w:r>
      <w:r>
        <w:fldChar w:fldCharType="begin"/>
      </w:r>
      <w:r>
        <w:instrText xml:space="preserve"> REF _Ref87363625 \h </w:instrText>
      </w:r>
      <w:r>
        <w:fldChar w:fldCharType="separate"/>
      </w:r>
      <w:r>
        <w:t>Appendix C</w:t>
      </w:r>
      <w:r>
        <w:fldChar w:fldCharType="end"/>
      </w:r>
      <w:r>
        <w:t>). The panel would consist of approximately 25-40 genes, some of them “core” and some supplemental depending on the cancer subtype.</w:t>
      </w:r>
    </w:p>
    <w:p w14:paraId="0EA1A389" w14:textId="77777777" w:rsidR="0009708F" w:rsidRDefault="0009708F" w:rsidP="0009708F">
      <w:r>
        <w:t xml:space="preserve">The diagnostic utility of gene panel analysis in haematological malignancy is broad and covers a wide range of clinical settings. In some settings, the detection of somatic variants in general (requiring the survey of a wide array of genes) can aid in the diagnosis of a malignant rather than non-malignant haematological </w:t>
      </w:r>
      <w:r w:rsidRPr="00BC2889">
        <w:t>condition (e.g., T-</w:t>
      </w:r>
      <w:r w:rsidRPr="00A40FD4">
        <w:t>cell lymphoma versus autoimmune conditions)</w:t>
      </w:r>
      <w:r>
        <w:t xml:space="preserve"> through the demonstration of the presence of clonal haematopoiesis, directing subsequent investigations and therapy </w:t>
      </w:r>
      <w:r w:rsidRPr="00A40FD4">
        <w:t>choices. In</w:t>
      </w:r>
      <w:r>
        <w:t xml:space="preserve"> other settings, variants in specific genes can distinguish between differential diagnoses </w:t>
      </w:r>
      <w:r w:rsidRPr="00BC2889">
        <w:t>(e.g.,</w:t>
      </w:r>
      <w:r w:rsidRPr="00A40FD4">
        <w:t xml:space="preserve"> </w:t>
      </w:r>
      <w:r>
        <w:t>hairy cell leukaemia vs h</w:t>
      </w:r>
      <w:r w:rsidRPr="00A40FD4">
        <w:t>airy cell leukaemia-variant/</w:t>
      </w:r>
      <w:r>
        <w:t>s</w:t>
      </w:r>
      <w:r w:rsidRPr="00A40FD4">
        <w:t>plenic marginal zone lymphoma</w:t>
      </w:r>
      <w:r>
        <w:t>) or determine the genomic subtype of a disease (</w:t>
      </w:r>
      <w:r w:rsidRPr="00BC2889">
        <w:rPr>
          <w:iCs/>
        </w:rPr>
        <w:t>e.g.</w:t>
      </w:r>
      <w:r>
        <w:rPr>
          <w:iCs/>
        </w:rPr>
        <w:t>,</w:t>
      </w:r>
      <w:r>
        <w:t xml:space="preserve"> </w:t>
      </w:r>
      <w:r w:rsidRPr="009F2AC7">
        <w:rPr>
          <w:i/>
        </w:rPr>
        <w:t>RUNX1</w:t>
      </w:r>
      <w:r>
        <w:t>-variant in a</w:t>
      </w:r>
      <w:r w:rsidRPr="00017682">
        <w:t>cute myeloid leukaemia</w:t>
      </w:r>
      <w:r>
        <w:t xml:space="preserve">), which in turn provides important prognostic information and directs therapy decisions (ranging from chemotherapy to targeted therapies to bone marrow transplant). Additionally, the identification of germline variants in some diseases define WHO-based entities </w:t>
      </w:r>
      <w:r w:rsidRPr="00BC2889">
        <w:t>(e.g.,</w:t>
      </w:r>
      <w:r>
        <w:t xml:space="preserve"> myeloid neoplasms with germline </w:t>
      </w:r>
      <w:r w:rsidRPr="009F2AC7">
        <w:rPr>
          <w:i/>
        </w:rPr>
        <w:t>GATA2</w:t>
      </w:r>
      <w:r>
        <w:t xml:space="preserve"> variants) as well as have additional implications for the patient’s health (where some inherited syndromes have clinical manifestations outside of the haematological compartment), fertility management and donor selection for transplant if required, as well as for family members who may also be at risk.</w:t>
      </w:r>
    </w:p>
    <w:p w14:paraId="6A0B6834" w14:textId="77777777" w:rsidR="0009708F" w:rsidRPr="00B86D98" w:rsidRDefault="0009708F" w:rsidP="0009708F">
      <w:pPr>
        <w:spacing w:after="120"/>
        <w:rPr>
          <w:i/>
          <w:iCs/>
          <w:color w:val="000000" w:themeColor="text1"/>
        </w:rPr>
      </w:pPr>
      <w:r w:rsidRPr="00B86D98">
        <w:rPr>
          <w:i/>
          <w:iCs/>
          <w:color w:val="000000" w:themeColor="text1"/>
        </w:rPr>
        <w:t>PASC acknowledged that a minimum gene panel is required for quality assurance. The applicant stated that an attempt was made to list genes in the appendix (exemplar and facilitated). Additionally, the applicant suggested that the gene panel list should not be too prescriptive as this is subject to gene identification and laboratory preferences. PASC agreed with the applicant that this is appropriate, however, minimum requirements should be set for clarity.</w:t>
      </w:r>
    </w:p>
    <w:p w14:paraId="52A97DE3" w14:textId="77777777" w:rsidR="0009708F" w:rsidRPr="00B86D98" w:rsidRDefault="0009708F" w:rsidP="0009708F">
      <w:pPr>
        <w:spacing w:after="120"/>
        <w:rPr>
          <w:i/>
          <w:iCs/>
          <w:color w:val="000000" w:themeColor="text1"/>
        </w:rPr>
      </w:pPr>
      <w:r w:rsidRPr="00B86D98">
        <w:rPr>
          <w:i/>
          <w:iCs/>
          <w:color w:val="000000" w:themeColor="text1"/>
        </w:rPr>
        <w:t xml:space="preserve">PASC ultimately recommended that explanatory notes be included in the PICO to specify minimum gene panel requirements, acknowledging these panels will change over time with advances in technology. The Department also raised the possibility </w:t>
      </w:r>
      <w:r>
        <w:rPr>
          <w:i/>
          <w:iCs/>
          <w:color w:val="000000" w:themeColor="text1"/>
        </w:rPr>
        <w:t xml:space="preserve">of </w:t>
      </w:r>
      <w:r w:rsidRPr="00B86D98">
        <w:rPr>
          <w:i/>
          <w:iCs/>
          <w:color w:val="000000" w:themeColor="text1"/>
        </w:rPr>
        <w:t>listing the minimum gene panel requirements on an online forum</w:t>
      </w:r>
      <w:r>
        <w:rPr>
          <w:i/>
          <w:iCs/>
          <w:color w:val="000000" w:themeColor="text1"/>
        </w:rPr>
        <w:t>.</w:t>
      </w:r>
    </w:p>
    <w:p w14:paraId="497620B9" w14:textId="6BEF023B" w:rsidR="000E11A4" w:rsidRPr="008F2628" w:rsidRDefault="007A66C8" w:rsidP="00E24DA3">
      <w:pPr>
        <w:pStyle w:val="Heading3"/>
        <w:spacing w:before="240"/>
      </w:pPr>
      <w:r w:rsidRPr="008F1532">
        <w:t>Comparator</w:t>
      </w:r>
      <w:r w:rsidR="007D6B83">
        <w:t>(</w:t>
      </w:r>
      <w:r w:rsidR="008F1532">
        <w:t>s</w:t>
      </w:r>
      <w:r w:rsidR="007D6B83">
        <w:t>)</w:t>
      </w:r>
    </w:p>
    <w:p w14:paraId="18437A87" w14:textId="09390DFD" w:rsidR="00A66B85" w:rsidRDefault="00A66B85" w:rsidP="00E24DA3">
      <w:pPr>
        <w:spacing w:after="120"/>
      </w:pPr>
      <w:r w:rsidRPr="00900C35">
        <w:t>The nominated comparator is no gene</w:t>
      </w:r>
      <w:r w:rsidR="000E45EF">
        <w:t>tic</w:t>
      </w:r>
      <w:r w:rsidRPr="00900C35">
        <w:t xml:space="preserve"> testing.</w:t>
      </w:r>
    </w:p>
    <w:p w14:paraId="6FC05C17" w14:textId="59C660AA" w:rsidR="00A66B85" w:rsidRDefault="00A66B85" w:rsidP="00E24DA3">
      <w:pPr>
        <w:spacing w:after="120"/>
      </w:pPr>
      <w:r w:rsidRPr="00985632">
        <w:t xml:space="preserve">Several diagnostic tests, such as full blood counts with morphology review, bone marrow examination and tissue biopsy are utilised. These are supplemented by flow cytometry, immunohistochemistry, cytogenetic testing </w:t>
      </w:r>
      <w:r w:rsidR="001B77A5">
        <w:t>including FISH</w:t>
      </w:r>
      <w:r w:rsidR="008062C3">
        <w:t xml:space="preserve"> </w:t>
      </w:r>
      <w:r w:rsidRPr="00985632">
        <w:t>and individual molecular genetic tests. These provide a working diagnosis of a haematological malignancy. Genetic characterisation is required for many patients to provide additional diagnostic information that enables the selection of the most appropriate therapy, provides prognostic information and may assist in monitoring the response to treatment.</w:t>
      </w:r>
    </w:p>
    <w:p w14:paraId="27EA4EF0" w14:textId="6CFAE74F" w:rsidR="00D54A27" w:rsidRPr="00B86D98" w:rsidRDefault="00D54A27" w:rsidP="00272EBE">
      <w:pPr>
        <w:spacing w:after="120"/>
        <w:rPr>
          <w:i/>
          <w:iCs/>
          <w:color w:val="000000" w:themeColor="text1"/>
        </w:rPr>
      </w:pPr>
      <w:r w:rsidRPr="00B86D98">
        <w:rPr>
          <w:i/>
          <w:iCs/>
          <w:color w:val="000000" w:themeColor="text1"/>
        </w:rPr>
        <w:lastRenderedPageBreak/>
        <w:t xml:space="preserve">PASC confirmed that the proposed comparator is no </w:t>
      </w:r>
      <w:r w:rsidR="005C644C">
        <w:rPr>
          <w:i/>
          <w:iCs/>
          <w:color w:val="000000" w:themeColor="text1"/>
        </w:rPr>
        <w:t>NGS-based gene panel</w:t>
      </w:r>
      <w:r w:rsidRPr="00B86D98">
        <w:rPr>
          <w:i/>
          <w:iCs/>
          <w:color w:val="000000" w:themeColor="text1"/>
        </w:rPr>
        <w:t xml:space="preserve"> testing. Although PASC acknowledged that currently FISH testing is included on the MBS for single gene testing and for gene rearrangements, which currently cannot be identified by an NGS </w:t>
      </w:r>
      <w:r w:rsidR="00930CE7">
        <w:rPr>
          <w:i/>
          <w:iCs/>
          <w:color w:val="000000" w:themeColor="text1"/>
        </w:rPr>
        <w:t xml:space="preserve">DNA </w:t>
      </w:r>
      <w:r w:rsidRPr="00B86D98">
        <w:rPr>
          <w:i/>
          <w:iCs/>
          <w:color w:val="000000" w:themeColor="text1"/>
        </w:rPr>
        <w:t>panel. Therefore, the proposed NGS panel would not replace the FISH testing, at least not in the near future. PASC agreed with the applicant that although FISH testing tends to overlap with other NGS testing for multi-gene panels, it occupies a different role compared to NGS gene panel testing.</w:t>
      </w:r>
    </w:p>
    <w:p w14:paraId="2A773BD7" w14:textId="0200DB03" w:rsidR="00D54A27" w:rsidRPr="00B86D98" w:rsidRDefault="00D54A27" w:rsidP="00272EBE">
      <w:pPr>
        <w:spacing w:after="120"/>
        <w:rPr>
          <w:i/>
          <w:iCs/>
          <w:color w:val="000000" w:themeColor="text1"/>
        </w:rPr>
      </w:pPr>
      <w:r w:rsidRPr="00B86D98">
        <w:rPr>
          <w:i/>
          <w:iCs/>
          <w:color w:val="000000" w:themeColor="text1"/>
        </w:rPr>
        <w:t xml:space="preserve">The applicant also advised that within the next few years gene rearrangements may be able to be tested by NGS, however, the focus of FISH is currently on DNA single gene </w:t>
      </w:r>
      <w:r w:rsidR="00203421">
        <w:rPr>
          <w:i/>
          <w:iCs/>
          <w:color w:val="000000" w:themeColor="text1"/>
        </w:rPr>
        <w:t>variant</w:t>
      </w:r>
      <w:r w:rsidR="00930CE7">
        <w:rPr>
          <w:i/>
          <w:iCs/>
          <w:color w:val="000000" w:themeColor="text1"/>
        </w:rPr>
        <w:t xml:space="preserve"> (particularly rearrangement)</w:t>
      </w:r>
      <w:r w:rsidRPr="00B86D98">
        <w:rPr>
          <w:i/>
          <w:iCs/>
          <w:color w:val="000000" w:themeColor="text1"/>
        </w:rPr>
        <w:t xml:space="preserve"> testing (see “Outcomes” below).</w:t>
      </w:r>
    </w:p>
    <w:p w14:paraId="5AA8422F" w14:textId="38B7D5AC" w:rsidR="009B4DEF" w:rsidRDefault="00A66B85" w:rsidP="00E24DA3">
      <w:pPr>
        <w:spacing w:after="120"/>
      </w:pPr>
      <w:r>
        <w:t xml:space="preserve">The expansion of MBS item number 73325 has recently been approved by the MSAC </w:t>
      </w:r>
      <w:r w:rsidRPr="00A27266">
        <w:t xml:space="preserve">for genetic testing for myeloproliferative neoplasms, for both </w:t>
      </w:r>
      <w:r w:rsidR="00D05E85" w:rsidRPr="00A27266">
        <w:t>gene</w:t>
      </w:r>
      <w:r w:rsidR="004A5609">
        <w:t>-</w:t>
      </w:r>
      <w:r w:rsidR="00D05E85" w:rsidRPr="00A27266">
        <w:t>specific</w:t>
      </w:r>
      <w:r w:rsidRPr="00A27266">
        <w:t xml:space="preserve"> and </w:t>
      </w:r>
      <w:r w:rsidR="007B0D22">
        <w:t>NGS</w:t>
      </w:r>
      <w:r w:rsidRPr="00A27266">
        <w:t xml:space="preserve"> gene panel testing, following initial </w:t>
      </w:r>
      <w:r w:rsidRPr="00DD0475">
        <w:rPr>
          <w:i/>
          <w:iCs/>
        </w:rPr>
        <w:t xml:space="preserve">JAK2 V617F </w:t>
      </w:r>
      <w:r w:rsidRPr="00A27266">
        <w:t>triage testing</w:t>
      </w:r>
      <w:r w:rsidR="004F361E">
        <w:t xml:space="preserve"> </w:t>
      </w:r>
      <w:r w:rsidR="00EB008C">
        <w:fldChar w:fldCharType="begin"/>
      </w:r>
      <w:r w:rsidR="00EB008C">
        <w:instrText xml:space="preserve"> ADDIN EN.CITE &lt;EndNote&gt;&lt;Cite&gt;&lt;Author&gt;Medical Services Advisory Committee (MSAC)&lt;/Author&gt;&lt;Year&gt;2020&lt;/Year&gt;&lt;RecNum&gt;58&lt;/RecNum&gt;&lt;DisplayText&gt;(Medical Services Advisory Committee (MSAC), 2020)&lt;/DisplayText&gt;&lt;record&gt;&lt;rec-number&gt;58&lt;/rec-number&gt;&lt;foreign-keys&gt;&lt;key app="EN" db-id="rpxx2texi59tzqewr09xxp96wtzx9a9wr0rv" timestamp="1636512606"&gt;58&lt;/key&gt;&lt;/foreign-keys&gt;&lt;ref-type name="Government Document"&gt;46&lt;/ref-type&gt;&lt;contributors&gt;&lt;authors&gt;&lt;author&gt;Medical Services Advisory Committee (MSAC),&lt;/author&gt;&lt;/authors&gt;&lt;secondary-authors&gt;&lt;author&gt;Department of Health,&lt;/author&gt;&lt;/secondary-authors&gt;&lt;/contributors&gt;&lt;titles&gt;&lt;title&gt;Public Summary Document, Application No. 1532 – Expansion of genetic testing for myeloproliferative neoplasms under MBS item 73325&lt;/title&gt;&lt;/titles&gt;&lt;dates&gt;&lt;year&gt;2020&lt;/year&gt;&lt;/dates&gt;&lt;pub-location&gt;Canberra&lt;/pub-location&gt;&lt;urls&gt;&lt;related-urls&gt;&lt;url&gt;http://www.msac.gov.au/internet/msac/publishing.nsf/Content/203361E9D7C61A2DCA2583B70004823F/$File/1532%20Final%20PSD_Nov2020.pdf&lt;/url&gt;&lt;/related-urls&gt;&lt;/urls&gt;&lt;access-date&gt;10 November 2021&lt;/access-date&gt;&lt;/record&gt;&lt;/Cite&gt;&lt;/EndNote&gt;</w:instrText>
      </w:r>
      <w:r w:rsidR="00EB008C">
        <w:fldChar w:fldCharType="separate"/>
      </w:r>
      <w:r w:rsidR="00284B76">
        <w:rPr>
          <w:noProof/>
        </w:rPr>
        <w:t xml:space="preserve"> (MSAC</w:t>
      </w:r>
      <w:r w:rsidR="00EB008C">
        <w:rPr>
          <w:noProof/>
        </w:rPr>
        <w:t>, 2020)</w:t>
      </w:r>
      <w:r w:rsidR="00EB008C">
        <w:fldChar w:fldCharType="end"/>
      </w:r>
      <w:r w:rsidR="00B909D3">
        <w:t xml:space="preserve">. </w:t>
      </w:r>
      <w:r>
        <w:t xml:space="preserve">In addition, there are </w:t>
      </w:r>
      <w:r w:rsidR="00D05E85">
        <w:t>several</w:t>
      </w:r>
      <w:r>
        <w:t xml:space="preserve"> MBS items that test for gene rearrangements and/or fusions using </w:t>
      </w:r>
      <w:r w:rsidR="00537D20">
        <w:t>FISH</w:t>
      </w:r>
      <w:r w:rsidRPr="003B249F">
        <w:t xml:space="preserve"> </w:t>
      </w:r>
      <w:r>
        <w:t>(</w:t>
      </w:r>
      <w:r w:rsidR="00E71EE9">
        <w:t xml:space="preserve">that are </w:t>
      </w:r>
      <w:r>
        <w:t>not</w:t>
      </w:r>
      <w:r w:rsidR="00E71EE9">
        <w:t xml:space="preserve"> typically detectable using</w:t>
      </w:r>
      <w:r>
        <w:t xml:space="preserve"> NGS), and patients would need to undergo multiple testing for diagnosis </w:t>
      </w:r>
      <w:r w:rsidR="0029328D">
        <w:t>using MBS items detailed in</w:t>
      </w:r>
      <w:r w:rsidR="00D21000">
        <w:t xml:space="preserve"> Table 5</w:t>
      </w:r>
      <w:r w:rsidR="0029328D">
        <w:t>.</w:t>
      </w:r>
    </w:p>
    <w:p w14:paraId="31027F15" w14:textId="6D333680" w:rsidR="00F66F5C" w:rsidRDefault="00F66F5C" w:rsidP="00E24DA3">
      <w:pPr>
        <w:pStyle w:val="Caption"/>
        <w:spacing w:before="240"/>
      </w:pPr>
      <w:bookmarkStart w:id="9" w:name="_Ref85185271"/>
      <w:r>
        <w:t xml:space="preserve">Table </w:t>
      </w:r>
      <w:r>
        <w:fldChar w:fldCharType="begin"/>
      </w:r>
      <w:r>
        <w:instrText xml:space="preserve"> SEQ Table \* ARABIC </w:instrText>
      </w:r>
      <w:r>
        <w:fldChar w:fldCharType="separate"/>
      </w:r>
      <w:r w:rsidR="00CA44B7">
        <w:rPr>
          <w:noProof/>
        </w:rPr>
        <w:t>5</w:t>
      </w:r>
      <w:r>
        <w:fldChar w:fldCharType="end"/>
      </w:r>
      <w:bookmarkEnd w:id="9"/>
      <w:r>
        <w:tab/>
      </w:r>
      <w:r w:rsidRPr="00770AC9">
        <w:t>Existing MBS items for gene rearrangements and/or fusions using fluorescence in situ hybridisation</w:t>
      </w: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8306"/>
      </w:tblGrid>
      <w:tr w:rsidR="00805196" w:rsidRPr="00F65C7D" w14:paraId="16BB9DDC" w14:textId="77777777" w:rsidTr="00430DB4">
        <w:trPr>
          <w:trHeight w:val="366"/>
          <w:tblHeader/>
        </w:trPr>
        <w:tc>
          <w:tcPr>
            <w:tcW w:w="752" w:type="pct"/>
          </w:tcPr>
          <w:p w14:paraId="4AF8A66D" w14:textId="523A83B5" w:rsidR="00094533" w:rsidRPr="00DD081F" w:rsidRDefault="001F023F" w:rsidP="007956E6">
            <w:pPr>
              <w:pStyle w:val="TableHeading"/>
            </w:pPr>
            <w:r w:rsidRPr="00DD081F">
              <w:t>Item number</w:t>
            </w:r>
          </w:p>
        </w:tc>
        <w:tc>
          <w:tcPr>
            <w:tcW w:w="4248" w:type="pct"/>
          </w:tcPr>
          <w:p w14:paraId="4015932B" w14:textId="29390AAC" w:rsidR="00094533" w:rsidRPr="00371C8A" w:rsidRDefault="001F023F" w:rsidP="007956E6">
            <w:pPr>
              <w:pStyle w:val="TableHeading"/>
            </w:pPr>
            <w:r w:rsidRPr="00371C8A">
              <w:t>Gene</w:t>
            </w:r>
            <w:r w:rsidR="005E6892" w:rsidRPr="00371C8A">
              <w:t xml:space="preserve"> rearrangement/fusion</w:t>
            </w:r>
          </w:p>
        </w:tc>
      </w:tr>
      <w:tr w:rsidR="008A6844" w:rsidRPr="00F65C7D" w14:paraId="3C88F4FA" w14:textId="77777777" w:rsidTr="00430DB4">
        <w:tc>
          <w:tcPr>
            <w:tcW w:w="752" w:type="pct"/>
          </w:tcPr>
          <w:p w14:paraId="405B0997" w14:textId="052B7617" w:rsidR="00094533" w:rsidRPr="00DD081F" w:rsidRDefault="005E6892" w:rsidP="007956E6">
            <w:pPr>
              <w:pStyle w:val="TableText0"/>
            </w:pPr>
            <w:r w:rsidRPr="00DD081F">
              <w:t>73326</w:t>
            </w:r>
          </w:p>
        </w:tc>
        <w:tc>
          <w:tcPr>
            <w:tcW w:w="4248" w:type="pct"/>
          </w:tcPr>
          <w:p w14:paraId="2F572090" w14:textId="70FD7127" w:rsidR="00094533" w:rsidRPr="00F65C7D" w:rsidRDefault="00F21855" w:rsidP="007956E6">
            <w:pPr>
              <w:pStyle w:val="TableText0"/>
              <w:rPr>
                <w:rFonts w:eastAsia="Times New Roman" w:cs="Tahoma"/>
                <w:lang w:eastAsia="en-AU"/>
              </w:rPr>
            </w:pPr>
            <w:r w:rsidRPr="00017682">
              <w:rPr>
                <w:rFonts w:eastAsia="Times New Roman" w:cs="Tahoma"/>
                <w:lang w:eastAsia="en-AU"/>
              </w:rPr>
              <w:t>C</w:t>
            </w:r>
            <w:r w:rsidR="005E6892" w:rsidRPr="00991CC0">
              <w:rPr>
                <w:rFonts w:eastAsia="Times New Roman" w:cs="Tahoma"/>
                <w:lang w:eastAsia="en-AU"/>
              </w:rPr>
              <w:t xml:space="preserve">haracterisation of the gene rearrangement </w:t>
            </w:r>
            <w:r w:rsidR="005E6892" w:rsidRPr="00DD0475">
              <w:rPr>
                <w:rFonts w:eastAsia="Times New Roman" w:cs="Tahoma"/>
                <w:i/>
                <w:iCs/>
                <w:lang w:eastAsia="en-AU"/>
              </w:rPr>
              <w:t>FIP1L1-PDGFRA</w:t>
            </w:r>
            <w:r w:rsidR="005E6892" w:rsidRPr="00991CC0">
              <w:rPr>
                <w:rFonts w:eastAsia="Times New Roman" w:cs="Tahoma"/>
                <w:lang w:eastAsia="en-AU"/>
              </w:rPr>
              <w:t xml:space="preserve"> in the</w:t>
            </w:r>
            <w:r w:rsidRPr="00991CC0">
              <w:rPr>
                <w:rFonts w:eastAsia="Times New Roman" w:cs="Tahoma"/>
                <w:lang w:eastAsia="en-AU"/>
              </w:rPr>
              <w:t xml:space="preserve"> </w:t>
            </w:r>
            <w:r w:rsidR="005E6892" w:rsidRPr="00F65C7D">
              <w:rPr>
                <w:rFonts w:eastAsia="Times New Roman" w:cs="Tahoma"/>
                <w:lang w:eastAsia="en-AU"/>
              </w:rPr>
              <w:t xml:space="preserve">diagnostic work-up and management of a patient with laboratory evidence of mast cell disease, idiopathic </w:t>
            </w:r>
            <w:proofErr w:type="spellStart"/>
            <w:r w:rsidR="005E6892" w:rsidRPr="00F65C7D">
              <w:rPr>
                <w:rFonts w:eastAsia="Times New Roman" w:cs="Tahoma"/>
                <w:lang w:eastAsia="en-AU"/>
              </w:rPr>
              <w:t>hypereosinophilic</w:t>
            </w:r>
            <w:proofErr w:type="spellEnd"/>
            <w:r w:rsidR="005E6892" w:rsidRPr="00F65C7D">
              <w:rPr>
                <w:rFonts w:eastAsia="Times New Roman" w:cs="Tahoma"/>
                <w:lang w:eastAsia="en-AU"/>
              </w:rPr>
              <w:t xml:space="preserve"> syndrome, or chronic eosinophilic leukaemia.</w:t>
            </w:r>
          </w:p>
        </w:tc>
      </w:tr>
      <w:tr w:rsidR="008A6844" w:rsidRPr="00F65C7D" w14:paraId="7E32C16C" w14:textId="77777777" w:rsidTr="00430DB4">
        <w:tc>
          <w:tcPr>
            <w:tcW w:w="752" w:type="pct"/>
          </w:tcPr>
          <w:p w14:paraId="6D2AEB4A" w14:textId="2BD5AC03" w:rsidR="00094533" w:rsidRPr="00DD081F" w:rsidRDefault="005E6892" w:rsidP="007956E6">
            <w:pPr>
              <w:pStyle w:val="TableText0"/>
            </w:pPr>
            <w:r w:rsidRPr="00DD081F">
              <w:t>73314</w:t>
            </w:r>
          </w:p>
        </w:tc>
        <w:tc>
          <w:tcPr>
            <w:tcW w:w="4248" w:type="pct"/>
          </w:tcPr>
          <w:p w14:paraId="41E4B64F" w14:textId="605434E9" w:rsidR="00094533" w:rsidRPr="00F65C7D" w:rsidRDefault="00F21855" w:rsidP="007956E6">
            <w:pPr>
              <w:pStyle w:val="TableText0"/>
              <w:rPr>
                <w:rFonts w:eastAsia="Times New Roman" w:cs="Tahoma"/>
                <w:lang w:eastAsia="en-AU"/>
              </w:rPr>
            </w:pPr>
            <w:r w:rsidRPr="00017682">
              <w:rPr>
                <w:rFonts w:eastAsia="Times New Roman" w:cs="Tahoma"/>
                <w:lang w:eastAsia="en-AU"/>
              </w:rPr>
              <w:t>C</w:t>
            </w:r>
            <w:r w:rsidR="005E6892" w:rsidRPr="00991CC0">
              <w:rPr>
                <w:rFonts w:eastAsia="Times New Roman" w:cs="Tahoma"/>
                <w:lang w:eastAsia="en-AU"/>
              </w:rPr>
              <w:t>haracterisation of gene rearrangement or the identification of mutations within a known gene rearrangement, in the diagnosis and monitoring of patients with laboratory evidence of acute myeloid leukaemia, acute promyelocytic leukaemia, acute lymphoid leukaemia, or chronic myeloid leukaemia.</w:t>
            </w:r>
          </w:p>
        </w:tc>
      </w:tr>
      <w:tr w:rsidR="008A6844" w:rsidRPr="00F65C7D" w14:paraId="25977DF1" w14:textId="77777777" w:rsidTr="00430DB4">
        <w:tc>
          <w:tcPr>
            <w:tcW w:w="752" w:type="pct"/>
          </w:tcPr>
          <w:p w14:paraId="6928A705" w14:textId="71CA0620" w:rsidR="005E6892" w:rsidRPr="00DD081F" w:rsidRDefault="005E6892" w:rsidP="007956E6">
            <w:pPr>
              <w:pStyle w:val="TableText0"/>
            </w:pPr>
            <w:r w:rsidRPr="00DD081F">
              <w:t>73369</w:t>
            </w:r>
          </w:p>
        </w:tc>
        <w:tc>
          <w:tcPr>
            <w:tcW w:w="4248" w:type="pct"/>
          </w:tcPr>
          <w:p w14:paraId="579C633A" w14:textId="2E626892" w:rsidR="005E6892" w:rsidRPr="00DE6AA6" w:rsidRDefault="00F21855" w:rsidP="007956E6">
            <w:pPr>
              <w:pStyle w:val="TableText0"/>
            </w:pPr>
            <w:r w:rsidRPr="00371C8A">
              <w:t>C</w:t>
            </w:r>
            <w:r w:rsidR="005E6892" w:rsidRPr="00371C8A">
              <w:t>haracterisation of (</w:t>
            </w:r>
            <w:proofErr w:type="spellStart"/>
            <w:r w:rsidR="005E6892" w:rsidRPr="00371C8A">
              <w:t>i</w:t>
            </w:r>
            <w:proofErr w:type="spellEnd"/>
            <w:r w:rsidR="005E6892" w:rsidRPr="00371C8A">
              <w:t xml:space="preserve">) </w:t>
            </w:r>
            <w:r w:rsidR="005E6892" w:rsidRPr="00DD0475">
              <w:rPr>
                <w:i/>
                <w:iCs/>
              </w:rPr>
              <w:t>TCL1A</w:t>
            </w:r>
            <w:r w:rsidR="005E6892" w:rsidRPr="00371C8A">
              <w:t xml:space="preserve"> gene rearrangement; and/or (ii) </w:t>
            </w:r>
            <w:r w:rsidR="005E6892" w:rsidRPr="00DD0475">
              <w:rPr>
                <w:i/>
                <w:iCs/>
              </w:rPr>
              <w:t>MTCP1</w:t>
            </w:r>
            <w:r w:rsidR="005E6892" w:rsidRPr="00371C8A">
              <w:t xml:space="preserve"> gene rearrangement.</w:t>
            </w:r>
          </w:p>
        </w:tc>
      </w:tr>
      <w:tr w:rsidR="008A6844" w:rsidRPr="00F65C7D" w14:paraId="3FDF3268" w14:textId="77777777" w:rsidTr="00430DB4">
        <w:tc>
          <w:tcPr>
            <w:tcW w:w="752" w:type="pct"/>
          </w:tcPr>
          <w:p w14:paraId="3FC7402C" w14:textId="7ED5A529" w:rsidR="005E6892" w:rsidRPr="00DD081F" w:rsidRDefault="005E6892" w:rsidP="007956E6">
            <w:pPr>
              <w:pStyle w:val="TableText0"/>
            </w:pPr>
            <w:r w:rsidRPr="00DD081F">
              <w:t>73364</w:t>
            </w:r>
          </w:p>
        </w:tc>
        <w:tc>
          <w:tcPr>
            <w:tcW w:w="4248" w:type="pct"/>
          </w:tcPr>
          <w:p w14:paraId="59F5A59C" w14:textId="7A0C6F5F" w:rsidR="005E6892" w:rsidRPr="00F65C7D" w:rsidRDefault="00F21855" w:rsidP="007956E6">
            <w:pPr>
              <w:pStyle w:val="TableText0"/>
              <w:rPr>
                <w:rFonts w:eastAsia="Times New Roman" w:cs="Tahoma"/>
                <w:lang w:eastAsia="en-AU"/>
              </w:rPr>
            </w:pPr>
            <w:r w:rsidRPr="00017682">
              <w:rPr>
                <w:rFonts w:eastAsia="Times New Roman" w:cs="Tahoma"/>
                <w:lang w:eastAsia="en-AU"/>
              </w:rPr>
              <w:t>C</w:t>
            </w:r>
            <w:r w:rsidR="005E6892" w:rsidRPr="00991CC0">
              <w:rPr>
                <w:rFonts w:eastAsia="Times New Roman" w:cs="Tahoma"/>
                <w:lang w:eastAsia="en-AU"/>
              </w:rPr>
              <w:t xml:space="preserve">haracterisation of </w:t>
            </w:r>
            <w:r w:rsidR="005E6892" w:rsidRPr="00DD0475">
              <w:rPr>
                <w:rFonts w:eastAsia="Times New Roman" w:cs="Tahoma"/>
                <w:i/>
                <w:iCs/>
                <w:lang w:eastAsia="en-AU"/>
              </w:rPr>
              <w:t>MYC</w:t>
            </w:r>
            <w:r w:rsidR="005E6892" w:rsidRPr="00991CC0">
              <w:rPr>
                <w:rFonts w:eastAsia="Times New Roman" w:cs="Tahoma"/>
                <w:lang w:eastAsia="en-AU"/>
              </w:rPr>
              <w:t xml:space="preserve"> gene rearrangement. If positive, then the characterisation of either or both of </w:t>
            </w:r>
            <w:r w:rsidR="005E6892" w:rsidRPr="00DD0475">
              <w:rPr>
                <w:rFonts w:eastAsia="Times New Roman" w:cs="Tahoma"/>
                <w:i/>
                <w:iCs/>
                <w:lang w:eastAsia="en-AU"/>
              </w:rPr>
              <w:t>BCL2</w:t>
            </w:r>
            <w:r w:rsidR="005E6892" w:rsidRPr="00991CC0">
              <w:rPr>
                <w:rFonts w:eastAsia="Times New Roman" w:cs="Tahoma"/>
                <w:lang w:eastAsia="en-AU"/>
              </w:rPr>
              <w:t xml:space="preserve"> and </w:t>
            </w:r>
            <w:r w:rsidR="005E6892" w:rsidRPr="00DD0475">
              <w:rPr>
                <w:rFonts w:eastAsia="Times New Roman" w:cs="Tahoma"/>
                <w:i/>
                <w:iCs/>
                <w:lang w:eastAsia="en-AU"/>
              </w:rPr>
              <w:t>BCL6</w:t>
            </w:r>
            <w:r w:rsidR="005E6892" w:rsidRPr="00991CC0">
              <w:rPr>
                <w:rFonts w:eastAsia="Times New Roman" w:cs="Tahoma"/>
                <w:lang w:eastAsia="en-AU"/>
              </w:rPr>
              <w:t xml:space="preserve"> gene rearrangements for patients with evidence of diffuse large B-cell ly</w:t>
            </w:r>
            <w:r w:rsidR="005E6892" w:rsidRPr="00F65C7D">
              <w:rPr>
                <w:rFonts w:eastAsia="Times New Roman" w:cs="Tahoma"/>
                <w:lang w:eastAsia="en-AU"/>
              </w:rPr>
              <w:t>mphoma or high</w:t>
            </w:r>
            <w:r w:rsidR="004A5609">
              <w:rPr>
                <w:rFonts w:eastAsia="Times New Roman" w:cs="Tahoma"/>
                <w:lang w:eastAsia="en-AU"/>
              </w:rPr>
              <w:t>-</w:t>
            </w:r>
            <w:r w:rsidR="005E6892" w:rsidRPr="00F65C7D">
              <w:rPr>
                <w:rFonts w:eastAsia="Times New Roman" w:cs="Tahoma"/>
                <w:lang w:eastAsia="en-AU"/>
              </w:rPr>
              <w:t>grade B-cell lymphoma.</w:t>
            </w:r>
          </w:p>
        </w:tc>
      </w:tr>
      <w:tr w:rsidR="008A6844" w:rsidRPr="00F65C7D" w14:paraId="2BFBE691" w14:textId="77777777" w:rsidTr="00430DB4">
        <w:tc>
          <w:tcPr>
            <w:tcW w:w="752" w:type="pct"/>
          </w:tcPr>
          <w:p w14:paraId="1FED3FE4" w14:textId="7E5AF1F0" w:rsidR="005E6892" w:rsidRPr="00DD081F" w:rsidRDefault="005E6892" w:rsidP="007956E6">
            <w:pPr>
              <w:pStyle w:val="TableText0"/>
            </w:pPr>
            <w:r w:rsidRPr="00DD081F">
              <w:t>73365</w:t>
            </w:r>
          </w:p>
        </w:tc>
        <w:tc>
          <w:tcPr>
            <w:tcW w:w="4248" w:type="pct"/>
          </w:tcPr>
          <w:p w14:paraId="6BB8CF77" w14:textId="69781933" w:rsidR="005E6892" w:rsidRPr="00F65C7D" w:rsidRDefault="00F21855" w:rsidP="007956E6">
            <w:pPr>
              <w:pStyle w:val="TableText0"/>
              <w:rPr>
                <w:rFonts w:eastAsia="Times New Roman" w:cs="Tahoma"/>
                <w:lang w:eastAsia="en-AU"/>
              </w:rPr>
            </w:pPr>
            <w:r w:rsidRPr="00017682">
              <w:rPr>
                <w:rFonts w:eastAsia="Times New Roman" w:cs="Tahoma"/>
                <w:lang w:eastAsia="en-AU"/>
              </w:rPr>
              <w:t>C</w:t>
            </w:r>
            <w:r w:rsidR="005E6892" w:rsidRPr="00991CC0">
              <w:rPr>
                <w:rFonts w:eastAsia="Times New Roman" w:cs="Tahoma"/>
                <w:lang w:eastAsia="en-AU"/>
              </w:rPr>
              <w:t xml:space="preserve">haracterisation of </w:t>
            </w:r>
            <w:r w:rsidR="005E6892" w:rsidRPr="00DD0475">
              <w:rPr>
                <w:rFonts w:eastAsia="Times New Roman" w:cs="Tahoma"/>
                <w:i/>
                <w:iCs/>
                <w:lang w:eastAsia="en-AU"/>
              </w:rPr>
              <w:t>MYC</w:t>
            </w:r>
            <w:r w:rsidR="005E6892" w:rsidRPr="00991CC0">
              <w:rPr>
                <w:rFonts w:eastAsia="Times New Roman" w:cs="Tahoma"/>
                <w:lang w:eastAsia="en-AU"/>
              </w:rPr>
              <w:t xml:space="preserve"> gene rearrangement in patients with clinical or laboratory evidence of Burkitt lymphoma.</w:t>
            </w:r>
          </w:p>
        </w:tc>
      </w:tr>
      <w:tr w:rsidR="008A6844" w:rsidRPr="00F65C7D" w14:paraId="5BB5EC28" w14:textId="77777777" w:rsidTr="00430DB4">
        <w:tc>
          <w:tcPr>
            <w:tcW w:w="752" w:type="pct"/>
          </w:tcPr>
          <w:p w14:paraId="79C91686" w14:textId="0029F17A" w:rsidR="005E6892" w:rsidRPr="00DD081F" w:rsidRDefault="005E6892" w:rsidP="007956E6">
            <w:pPr>
              <w:pStyle w:val="TableText0"/>
            </w:pPr>
            <w:r w:rsidRPr="00DD081F">
              <w:t>73366</w:t>
            </w:r>
          </w:p>
        </w:tc>
        <w:tc>
          <w:tcPr>
            <w:tcW w:w="4248" w:type="pct"/>
          </w:tcPr>
          <w:p w14:paraId="32720851" w14:textId="206567C4" w:rsidR="005E6892" w:rsidRPr="00F65C7D" w:rsidRDefault="00F21855" w:rsidP="007956E6">
            <w:pPr>
              <w:pStyle w:val="TableText0"/>
              <w:rPr>
                <w:rFonts w:eastAsia="Times New Roman" w:cs="Tahoma"/>
                <w:lang w:eastAsia="en-AU"/>
              </w:rPr>
            </w:pPr>
            <w:r w:rsidRPr="00017682">
              <w:rPr>
                <w:rFonts w:eastAsia="Times New Roman" w:cs="Tahoma"/>
                <w:lang w:eastAsia="en-AU"/>
              </w:rPr>
              <w:t>C</w:t>
            </w:r>
            <w:r w:rsidR="005E6892" w:rsidRPr="00991CC0">
              <w:rPr>
                <w:rFonts w:eastAsia="Times New Roman" w:cs="Tahoma"/>
                <w:lang w:eastAsia="en-AU"/>
              </w:rPr>
              <w:t xml:space="preserve">haracterisation of </w:t>
            </w:r>
            <w:r w:rsidR="005E6892" w:rsidRPr="00DD0475">
              <w:rPr>
                <w:rFonts w:eastAsia="Times New Roman" w:cs="Tahoma"/>
                <w:i/>
                <w:iCs/>
                <w:lang w:eastAsia="en-AU"/>
              </w:rPr>
              <w:t>CCND1</w:t>
            </w:r>
            <w:r w:rsidR="005E6892" w:rsidRPr="00991CC0">
              <w:rPr>
                <w:rFonts w:eastAsia="Times New Roman" w:cs="Tahoma"/>
                <w:lang w:eastAsia="en-AU"/>
              </w:rPr>
              <w:t xml:space="preserve">and/or </w:t>
            </w:r>
            <w:r w:rsidR="005E6892" w:rsidRPr="00DD0475">
              <w:rPr>
                <w:rFonts w:eastAsia="Times New Roman" w:cs="Tahoma"/>
                <w:i/>
                <w:iCs/>
                <w:lang w:eastAsia="en-AU"/>
              </w:rPr>
              <w:t>CCND2</w:t>
            </w:r>
            <w:r w:rsidR="005E6892" w:rsidRPr="00991CC0">
              <w:rPr>
                <w:rFonts w:eastAsia="Times New Roman" w:cs="Tahoma"/>
                <w:lang w:eastAsia="en-AU"/>
              </w:rPr>
              <w:t xml:space="preserve"> gene rearrangement(s) in patients with clinical or laboratory evidence of mantle cell lymphoma.</w:t>
            </w:r>
          </w:p>
        </w:tc>
      </w:tr>
      <w:tr w:rsidR="008A6844" w:rsidRPr="00F65C7D" w14:paraId="645D9A3D" w14:textId="77777777" w:rsidTr="00430DB4">
        <w:tc>
          <w:tcPr>
            <w:tcW w:w="752" w:type="pct"/>
          </w:tcPr>
          <w:p w14:paraId="1250A8A9" w14:textId="7A9F8A07" w:rsidR="005E6892" w:rsidRPr="00DD081F" w:rsidRDefault="005E6892" w:rsidP="007956E6">
            <w:pPr>
              <w:pStyle w:val="TableText0"/>
            </w:pPr>
            <w:r w:rsidRPr="00DD081F">
              <w:t>73368</w:t>
            </w:r>
          </w:p>
        </w:tc>
        <w:tc>
          <w:tcPr>
            <w:tcW w:w="4248" w:type="pct"/>
          </w:tcPr>
          <w:p w14:paraId="3B631D08" w14:textId="60E929AB" w:rsidR="005E6892" w:rsidRPr="00371C8A" w:rsidRDefault="00F21855" w:rsidP="007956E6">
            <w:pPr>
              <w:pStyle w:val="TableText0"/>
            </w:pPr>
            <w:r w:rsidRPr="00371C8A">
              <w:t>C</w:t>
            </w:r>
            <w:r w:rsidR="005E6892" w:rsidRPr="00371C8A">
              <w:t xml:space="preserve">haracterisation of </w:t>
            </w:r>
            <w:r w:rsidR="005E6892" w:rsidRPr="00DD0475">
              <w:rPr>
                <w:i/>
                <w:iCs/>
              </w:rPr>
              <w:t>DUSP22</w:t>
            </w:r>
            <w:r w:rsidR="005E6892" w:rsidRPr="00371C8A">
              <w:t xml:space="preserve"> and/or </w:t>
            </w:r>
            <w:r w:rsidR="005E6892" w:rsidRPr="00DD0475">
              <w:rPr>
                <w:i/>
                <w:iCs/>
              </w:rPr>
              <w:t>TP63</w:t>
            </w:r>
            <w:r w:rsidR="005E6892" w:rsidRPr="00371C8A">
              <w:t xml:space="preserve"> gene rearrangement(s) in patients with clinical or laboratory evidence of ALK negative anaplastic large cell lymphoma</w:t>
            </w:r>
          </w:p>
        </w:tc>
      </w:tr>
    </w:tbl>
    <w:p w14:paraId="2B1C0E4F" w14:textId="2373DBB6" w:rsidR="008E11AD" w:rsidRPr="007956E6" w:rsidRDefault="004A5609" w:rsidP="00A66B85">
      <w:pPr>
        <w:spacing w:after="240"/>
        <w:rPr>
          <w:rFonts w:ascii="Arial Narrow" w:hAnsi="Arial Narrow"/>
          <w:sz w:val="18"/>
          <w:szCs w:val="18"/>
        </w:rPr>
      </w:pPr>
      <w:r>
        <w:rPr>
          <w:rFonts w:ascii="Arial Narrow" w:hAnsi="Arial Narrow"/>
          <w:sz w:val="18"/>
          <w:szCs w:val="18"/>
        </w:rPr>
        <w:t xml:space="preserve">Note: </w:t>
      </w:r>
      <w:r w:rsidR="00D05E85" w:rsidRPr="007956E6">
        <w:rPr>
          <w:rFonts w:ascii="Arial Narrow" w:hAnsi="Arial Narrow"/>
          <w:sz w:val="18"/>
          <w:szCs w:val="18"/>
        </w:rPr>
        <w:t xml:space="preserve">Most genetic testing of </w:t>
      </w:r>
      <w:r w:rsidRPr="007956E6">
        <w:rPr>
          <w:rFonts w:ascii="Arial Narrow" w:hAnsi="Arial Narrow"/>
          <w:sz w:val="18"/>
          <w:szCs w:val="18"/>
        </w:rPr>
        <w:t>patients</w:t>
      </w:r>
      <w:r>
        <w:rPr>
          <w:rFonts w:ascii="Arial Narrow" w:hAnsi="Arial Narrow"/>
          <w:sz w:val="18"/>
          <w:szCs w:val="18"/>
        </w:rPr>
        <w:t xml:space="preserve"> with a</w:t>
      </w:r>
      <w:r w:rsidRPr="007956E6">
        <w:rPr>
          <w:rFonts w:ascii="Arial Narrow" w:hAnsi="Arial Narrow"/>
          <w:sz w:val="18"/>
          <w:szCs w:val="18"/>
        </w:rPr>
        <w:t xml:space="preserve"> </w:t>
      </w:r>
      <w:r w:rsidR="00D05E85" w:rsidRPr="007956E6">
        <w:rPr>
          <w:rFonts w:ascii="Arial Narrow" w:hAnsi="Arial Narrow"/>
          <w:sz w:val="18"/>
          <w:szCs w:val="18"/>
        </w:rPr>
        <w:t>haematological malignancy is conducted either by state-funded services, or through private laboratories as an out-of</w:t>
      </w:r>
      <w:r>
        <w:rPr>
          <w:rFonts w:ascii="Arial Narrow" w:hAnsi="Arial Narrow"/>
          <w:sz w:val="18"/>
          <w:szCs w:val="18"/>
        </w:rPr>
        <w:t>-</w:t>
      </w:r>
      <w:r w:rsidR="00D05E85" w:rsidRPr="007956E6">
        <w:rPr>
          <w:rFonts w:ascii="Arial Narrow" w:hAnsi="Arial Narrow"/>
          <w:sz w:val="18"/>
          <w:szCs w:val="18"/>
        </w:rPr>
        <w:t>pocket expense for patients.</w:t>
      </w:r>
    </w:p>
    <w:p w14:paraId="1C3DBE3F" w14:textId="3E9F57E3" w:rsidR="00A66B85" w:rsidRDefault="00A66B85" w:rsidP="00A66B85">
      <w:pPr>
        <w:spacing w:after="240"/>
      </w:pPr>
      <w:r>
        <w:t xml:space="preserve">Genetic testing for variants in patients with </w:t>
      </w:r>
      <w:r w:rsidR="00D63377">
        <w:t>a</w:t>
      </w:r>
      <w:r w:rsidR="00D63377" w:rsidRPr="00017682">
        <w:t>cute myeloid leukaemia</w:t>
      </w:r>
      <w:r>
        <w:t>,</w:t>
      </w:r>
      <w:r w:rsidRPr="00540E77">
        <w:t xml:space="preserve"> </w:t>
      </w:r>
      <w:r w:rsidR="008173BC" w:rsidRPr="00017682">
        <w:t xml:space="preserve">myelodysplastic syndromes </w:t>
      </w:r>
      <w:r w:rsidRPr="00540E77">
        <w:t xml:space="preserve">and many of the </w:t>
      </w:r>
      <w:r w:rsidR="008173BC" w:rsidRPr="00991CC0">
        <w:t>m</w:t>
      </w:r>
      <w:r w:rsidR="008173BC" w:rsidRPr="00017682">
        <w:t>yeloproliferative neoplasm</w:t>
      </w:r>
      <w:r w:rsidR="008173BC">
        <w:t xml:space="preserve"> </w:t>
      </w:r>
      <w:r w:rsidRPr="00540E77">
        <w:t>variants</w:t>
      </w:r>
      <w:r>
        <w:t xml:space="preserve"> requires NGS, which is not covered by existing MBS items. Therefore, beside</w:t>
      </w:r>
      <w:r w:rsidRPr="004234D5">
        <w:t xml:space="preserve"> the specific items described above that use FISH</w:t>
      </w:r>
      <w:r>
        <w:t>,</w:t>
      </w:r>
      <w:r w:rsidRPr="001B7DEA">
        <w:t xml:space="preserve"> </w:t>
      </w:r>
      <w:r>
        <w:t xml:space="preserve">for the </w:t>
      </w:r>
      <w:r w:rsidRPr="007956E6">
        <w:t>majority</w:t>
      </w:r>
      <w:r>
        <w:t xml:space="preserve"> of patients with a haematological malignancy, </w:t>
      </w:r>
      <w:r w:rsidRPr="001B7DEA">
        <w:t>the nominated comparator is no gene</w:t>
      </w:r>
      <w:r>
        <w:t xml:space="preserve"> panel</w:t>
      </w:r>
      <w:r w:rsidRPr="001B7DEA">
        <w:t xml:space="preserve"> testing.</w:t>
      </w:r>
    </w:p>
    <w:p w14:paraId="407DC8E9" w14:textId="44607AAC" w:rsidR="00874201" w:rsidRPr="00DA4816" w:rsidRDefault="00825468" w:rsidP="00DA4816">
      <w:pPr>
        <w:spacing w:after="240"/>
        <w:rPr>
          <w:rFonts w:ascii="Arial Narrow" w:hAnsi="Arial Narrow"/>
          <w:b/>
          <w:bCs/>
          <w:sz w:val="20"/>
          <w:szCs w:val="20"/>
        </w:rPr>
      </w:pPr>
      <w:r>
        <w:t>The</w:t>
      </w:r>
      <w:r w:rsidR="00AE5C65">
        <w:t xml:space="preserve"> </w:t>
      </w:r>
      <w:r w:rsidR="00A77DB7">
        <w:t>introduction of genetic testing for</w:t>
      </w:r>
      <w:r w:rsidR="00AE5C65">
        <w:t xml:space="preserve"> variants associated with haematological malignancies using NGS gene panel testing </w:t>
      </w:r>
      <w:r w:rsidR="00A77DB7">
        <w:t>would therefore</w:t>
      </w:r>
      <w:r w:rsidR="00B31493">
        <w:t xml:space="preserve"> </w:t>
      </w:r>
      <w:r w:rsidR="00AE5C65">
        <w:t>be</w:t>
      </w:r>
      <w:r w:rsidR="00415AE7">
        <w:t xml:space="preserve"> </w:t>
      </w:r>
      <w:r w:rsidR="00B31493">
        <w:t>additional</w:t>
      </w:r>
      <w:r w:rsidR="00AE5C65">
        <w:t xml:space="preserve"> to the</w:t>
      </w:r>
      <w:r w:rsidR="006C0AC2">
        <w:t xml:space="preserve"> currently listed</w:t>
      </w:r>
      <w:r w:rsidR="00AE5C65">
        <w:t xml:space="preserve"> MBS items, where </w:t>
      </w:r>
      <w:r w:rsidR="009B04FD">
        <w:t xml:space="preserve">patients </w:t>
      </w:r>
      <w:r w:rsidR="000B643B">
        <w:t>have a</w:t>
      </w:r>
      <w:r w:rsidR="00D851B3">
        <w:t xml:space="preserve"> </w:t>
      </w:r>
      <w:r w:rsidR="000B643B">
        <w:t>malignant diagnosis</w:t>
      </w:r>
      <w:r w:rsidR="00AE5C65">
        <w:t xml:space="preserve">. </w:t>
      </w:r>
      <w:r w:rsidR="000B643B">
        <w:rPr>
          <w:szCs w:val="20"/>
        </w:rPr>
        <w:t xml:space="preserve">These </w:t>
      </w:r>
      <w:r w:rsidR="000B643B" w:rsidRPr="001B7DEA">
        <w:rPr>
          <w:szCs w:val="20"/>
        </w:rPr>
        <w:t>MBS item</w:t>
      </w:r>
      <w:r w:rsidR="000B643B">
        <w:rPr>
          <w:szCs w:val="20"/>
        </w:rPr>
        <w:t>s</w:t>
      </w:r>
      <w:r w:rsidR="000B643B" w:rsidRPr="001B7DEA">
        <w:rPr>
          <w:szCs w:val="20"/>
        </w:rPr>
        <w:t xml:space="preserve"> for </w:t>
      </w:r>
      <w:r w:rsidR="000B643B">
        <w:rPr>
          <w:szCs w:val="20"/>
        </w:rPr>
        <w:t>diagnostic</w:t>
      </w:r>
      <w:r w:rsidR="000B643B" w:rsidRPr="001B7DEA">
        <w:rPr>
          <w:szCs w:val="20"/>
        </w:rPr>
        <w:t xml:space="preserve"> tests </w:t>
      </w:r>
      <w:r w:rsidR="000B643B">
        <w:rPr>
          <w:szCs w:val="20"/>
        </w:rPr>
        <w:t>are often</w:t>
      </w:r>
      <w:r w:rsidR="000B643B" w:rsidRPr="001B7DEA">
        <w:rPr>
          <w:szCs w:val="20"/>
        </w:rPr>
        <w:t xml:space="preserve"> performed to </w:t>
      </w:r>
      <w:r w:rsidR="000B643B">
        <w:rPr>
          <w:szCs w:val="20"/>
        </w:rPr>
        <w:t xml:space="preserve">provide initial </w:t>
      </w:r>
      <w:r w:rsidR="000B643B" w:rsidRPr="001B7DEA">
        <w:rPr>
          <w:szCs w:val="20"/>
        </w:rPr>
        <w:t>characteris</w:t>
      </w:r>
      <w:r w:rsidR="000B643B">
        <w:rPr>
          <w:szCs w:val="20"/>
        </w:rPr>
        <w:t>ation of a</w:t>
      </w:r>
      <w:r w:rsidR="000B643B" w:rsidRPr="001B7DEA">
        <w:rPr>
          <w:szCs w:val="20"/>
        </w:rPr>
        <w:t xml:space="preserve"> </w:t>
      </w:r>
      <w:r w:rsidR="000B643B">
        <w:rPr>
          <w:szCs w:val="20"/>
        </w:rPr>
        <w:t xml:space="preserve">haematological malignancy </w:t>
      </w:r>
      <w:r w:rsidR="00463D08">
        <w:rPr>
          <w:szCs w:val="20"/>
        </w:rPr>
        <w:t>(</w:t>
      </w:r>
      <w:r w:rsidR="00DA4816">
        <w:rPr>
          <w:szCs w:val="20"/>
        </w:rPr>
        <w:t>Table 6</w:t>
      </w:r>
      <w:r w:rsidR="00463D08">
        <w:rPr>
          <w:szCs w:val="20"/>
        </w:rPr>
        <w:t>)</w:t>
      </w:r>
      <w:r w:rsidR="000B643B">
        <w:rPr>
          <w:szCs w:val="20"/>
        </w:rPr>
        <w:t>.</w:t>
      </w:r>
      <w:bookmarkStart w:id="10" w:name="_Ref85119251"/>
    </w:p>
    <w:p w14:paraId="4A7FB9CA" w14:textId="13F1DB7B" w:rsidR="004221DC" w:rsidRDefault="004221DC" w:rsidP="007956E6">
      <w:pPr>
        <w:pStyle w:val="Caption"/>
      </w:pPr>
      <w:r>
        <w:lastRenderedPageBreak/>
        <w:t xml:space="preserve">Table </w:t>
      </w:r>
      <w:r>
        <w:fldChar w:fldCharType="begin"/>
      </w:r>
      <w:r>
        <w:instrText xml:space="preserve"> SEQ Table \* ARABIC </w:instrText>
      </w:r>
      <w:r>
        <w:fldChar w:fldCharType="separate"/>
      </w:r>
      <w:r w:rsidR="00CA44B7">
        <w:rPr>
          <w:noProof/>
        </w:rPr>
        <w:t>6</w:t>
      </w:r>
      <w:r>
        <w:fldChar w:fldCharType="end"/>
      </w:r>
      <w:bookmarkEnd w:id="10"/>
      <w:r>
        <w:tab/>
      </w:r>
      <w:r w:rsidRPr="00BB399B">
        <w:t>Existing MBS items for diagnostic test to characterise haematological malignancies</w:t>
      </w: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517"/>
        <w:gridCol w:w="6237"/>
      </w:tblGrid>
      <w:tr w:rsidR="00805196" w:rsidRPr="00F65C7D" w14:paraId="6DD70F2E" w14:textId="77777777" w:rsidTr="0095380F">
        <w:trPr>
          <w:tblHeader/>
        </w:trPr>
        <w:tc>
          <w:tcPr>
            <w:tcW w:w="1034" w:type="pct"/>
          </w:tcPr>
          <w:p w14:paraId="55494F04" w14:textId="1F1138C2" w:rsidR="00124EE6" w:rsidRPr="00371C8A" w:rsidRDefault="0074145F" w:rsidP="007956E6">
            <w:pPr>
              <w:pStyle w:val="TableHeading"/>
            </w:pPr>
            <w:r w:rsidRPr="00DD081F">
              <w:t>Investigative technology</w:t>
            </w:r>
          </w:p>
        </w:tc>
        <w:tc>
          <w:tcPr>
            <w:tcW w:w="776" w:type="pct"/>
          </w:tcPr>
          <w:p w14:paraId="410FB710" w14:textId="05E5A075" w:rsidR="00124EE6" w:rsidRPr="00371C8A" w:rsidRDefault="00124EE6" w:rsidP="007956E6">
            <w:pPr>
              <w:pStyle w:val="TableHeading"/>
            </w:pPr>
            <w:r w:rsidRPr="00371C8A">
              <w:t>Item number</w:t>
            </w:r>
          </w:p>
        </w:tc>
        <w:tc>
          <w:tcPr>
            <w:tcW w:w="3190" w:type="pct"/>
          </w:tcPr>
          <w:p w14:paraId="12EECA64" w14:textId="18CE8B7C" w:rsidR="00124EE6" w:rsidRPr="00371C8A" w:rsidRDefault="00DC46A4" w:rsidP="007956E6">
            <w:pPr>
              <w:pStyle w:val="TableHeading"/>
            </w:pPr>
            <w:r w:rsidRPr="00371C8A">
              <w:t>Description and fee</w:t>
            </w:r>
          </w:p>
        </w:tc>
      </w:tr>
      <w:tr w:rsidR="00805196" w:rsidRPr="00F65C7D" w14:paraId="42680787" w14:textId="77777777" w:rsidTr="0095380F">
        <w:tc>
          <w:tcPr>
            <w:tcW w:w="1034" w:type="pct"/>
            <w:tcBorders>
              <w:bottom w:val="single" w:sz="4" w:space="0" w:color="auto"/>
            </w:tcBorders>
          </w:tcPr>
          <w:p w14:paraId="4F68D8DB" w14:textId="06AB91E4" w:rsidR="00124EE6" w:rsidRPr="007956E6" w:rsidRDefault="0074145F" w:rsidP="007956E6">
            <w:pPr>
              <w:pStyle w:val="TableText0"/>
              <w:rPr>
                <w:b/>
              </w:rPr>
            </w:pPr>
            <w:r w:rsidRPr="00DD081F">
              <w:t>Full blood count to rule in/out leukaemia</w:t>
            </w:r>
          </w:p>
        </w:tc>
        <w:tc>
          <w:tcPr>
            <w:tcW w:w="776" w:type="pct"/>
          </w:tcPr>
          <w:p w14:paraId="6E6E4208" w14:textId="7F088BD3" w:rsidR="00124EE6" w:rsidRPr="00DD081F" w:rsidRDefault="00DC46A4" w:rsidP="007956E6">
            <w:pPr>
              <w:pStyle w:val="TableText0"/>
            </w:pPr>
            <w:r w:rsidRPr="00017682">
              <w:rPr>
                <w:rFonts w:eastAsia="Times New Roman" w:cs="Tahoma"/>
                <w:lang w:eastAsia="en-AU"/>
              </w:rPr>
              <w:t>65070 (Group P1 – Haematology)</w:t>
            </w:r>
          </w:p>
        </w:tc>
        <w:tc>
          <w:tcPr>
            <w:tcW w:w="3190" w:type="pct"/>
          </w:tcPr>
          <w:p w14:paraId="4C1F91B9" w14:textId="6BD4DC39" w:rsidR="00124EE6" w:rsidRPr="00371C8A" w:rsidRDefault="00124EE6" w:rsidP="007956E6">
            <w:pPr>
              <w:pStyle w:val="TableText0"/>
            </w:pPr>
            <w:r w:rsidRPr="00371C8A">
              <w:t>Erythrocyte count, haematocrit, haemoglobin, calculation or measurement of red cell index or indices, platelet count, leucocyte count and manual or instrument generated differential count - not being a service where haemoglobin only is requested - one or more instrument generated sets of results from a single sample; and (if performed)</w:t>
            </w:r>
          </w:p>
          <w:p w14:paraId="198CF480" w14:textId="77777777" w:rsidR="00124EE6" w:rsidRPr="00991CC0" w:rsidRDefault="00124EE6" w:rsidP="007956E6">
            <w:pPr>
              <w:pStyle w:val="TableText0"/>
              <w:rPr>
                <w:rFonts w:eastAsia="Times New Roman" w:cs="Tahoma"/>
                <w:lang w:eastAsia="en-AU"/>
              </w:rPr>
            </w:pPr>
            <w:r w:rsidRPr="00017682">
              <w:rPr>
                <w:rFonts w:eastAsia="Times New Roman" w:cs="Tahoma"/>
                <w:lang w:eastAsia="en-AU"/>
              </w:rPr>
              <w:t>(a) a morphological assessment of a blood film;</w:t>
            </w:r>
          </w:p>
          <w:p w14:paraId="60117A48" w14:textId="7C574EEB" w:rsidR="00124EE6" w:rsidRPr="00F65C7D" w:rsidRDefault="00124EE6" w:rsidP="007956E6">
            <w:pPr>
              <w:pStyle w:val="TableText0"/>
              <w:rPr>
                <w:rFonts w:eastAsia="Times New Roman" w:cs="Tahoma"/>
                <w:lang w:eastAsia="en-AU"/>
              </w:rPr>
            </w:pPr>
            <w:r w:rsidRPr="00F65C7D">
              <w:rPr>
                <w:rFonts w:eastAsia="Times New Roman" w:cs="Tahoma"/>
                <w:lang w:eastAsia="en-AU"/>
              </w:rPr>
              <w:t>(b) any service in item 65060 or 65072</w:t>
            </w:r>
          </w:p>
          <w:p w14:paraId="72264D15" w14:textId="5C08E40E" w:rsidR="00124EE6" w:rsidRPr="00DD081F" w:rsidRDefault="00124EE6" w:rsidP="007956E6">
            <w:pPr>
              <w:pStyle w:val="TableText0"/>
            </w:pPr>
            <w:r w:rsidRPr="00DD081F">
              <w:t>Fee: $16.95 Benefit: 75% = $12.75 85% = $14.45</w:t>
            </w:r>
          </w:p>
        </w:tc>
      </w:tr>
      <w:tr w:rsidR="00805196" w:rsidRPr="00F65C7D" w14:paraId="54586F34" w14:textId="77777777" w:rsidTr="0095380F">
        <w:tc>
          <w:tcPr>
            <w:tcW w:w="1034" w:type="pct"/>
            <w:tcBorders>
              <w:top w:val="single" w:sz="4" w:space="0" w:color="auto"/>
              <w:left w:val="single" w:sz="4" w:space="0" w:color="auto"/>
              <w:bottom w:val="nil"/>
              <w:right w:val="single" w:sz="4" w:space="0" w:color="auto"/>
            </w:tcBorders>
          </w:tcPr>
          <w:p w14:paraId="32937700" w14:textId="3B2EE0E7" w:rsidR="007B207A" w:rsidRPr="00DD081F" w:rsidRDefault="007B207A" w:rsidP="007956E6">
            <w:pPr>
              <w:pStyle w:val="TableText0"/>
            </w:pPr>
            <w:r w:rsidRPr="00017682">
              <w:rPr>
                <w:rFonts w:eastAsia="Times New Roman" w:cs="Tahoma"/>
                <w:lang w:eastAsia="en-AU"/>
              </w:rPr>
              <w:t xml:space="preserve">Biopsy/cytology. </w:t>
            </w:r>
          </w:p>
        </w:tc>
        <w:tc>
          <w:tcPr>
            <w:tcW w:w="776" w:type="pct"/>
            <w:tcBorders>
              <w:left w:val="single" w:sz="4" w:space="0" w:color="auto"/>
            </w:tcBorders>
          </w:tcPr>
          <w:p w14:paraId="5E490567" w14:textId="4AB8CD3C" w:rsidR="007B207A" w:rsidRPr="00371C8A" w:rsidRDefault="007B207A" w:rsidP="007956E6">
            <w:pPr>
              <w:pStyle w:val="TableText0"/>
            </w:pPr>
            <w:r w:rsidRPr="00371C8A">
              <w:t>73049 (Group P6 – Cytology)</w:t>
            </w:r>
          </w:p>
        </w:tc>
        <w:tc>
          <w:tcPr>
            <w:tcW w:w="3190" w:type="pct"/>
          </w:tcPr>
          <w:p w14:paraId="716E205E" w14:textId="77777777" w:rsidR="007B207A" w:rsidRPr="00991CC0" w:rsidRDefault="007B207A" w:rsidP="007956E6">
            <w:pPr>
              <w:pStyle w:val="TableText0"/>
              <w:rPr>
                <w:rFonts w:eastAsia="Times New Roman" w:cs="Tahoma"/>
                <w:lang w:eastAsia="en-AU"/>
              </w:rPr>
            </w:pPr>
            <w:r w:rsidRPr="00017682">
              <w:rPr>
                <w:rFonts w:eastAsia="Times New Roman" w:cs="Tahoma"/>
                <w:lang w:eastAsia="en-AU"/>
              </w:rPr>
              <w:t>Cytology of material obtained directly from a patient by fine needle aspiration of solid tissue or tissues - 1 identified site</w:t>
            </w:r>
          </w:p>
          <w:p w14:paraId="28DCA592" w14:textId="563E9910" w:rsidR="007B207A" w:rsidRPr="00F65C7D" w:rsidRDefault="007B207A" w:rsidP="007956E6">
            <w:pPr>
              <w:pStyle w:val="TableText0"/>
              <w:rPr>
                <w:rFonts w:eastAsia="Times New Roman" w:cs="Tahoma"/>
                <w:lang w:eastAsia="en-AU"/>
              </w:rPr>
            </w:pPr>
            <w:r w:rsidRPr="00F65C7D">
              <w:rPr>
                <w:rFonts w:eastAsia="Times New Roman" w:cs="Tahoma"/>
                <w:lang w:eastAsia="en-AU"/>
              </w:rPr>
              <w:t>Fee: $68.15 Benefit: 75% = $51.15 85% = $57.95</w:t>
            </w:r>
          </w:p>
          <w:p w14:paraId="3261286B" w14:textId="1213C5FD" w:rsidR="007B207A" w:rsidRPr="00DD081F" w:rsidRDefault="007B207A" w:rsidP="007956E6">
            <w:pPr>
              <w:pStyle w:val="TableText0"/>
            </w:pPr>
            <w:r w:rsidRPr="00F65C7D">
              <w:rPr>
                <w:rFonts w:eastAsia="Times New Roman" w:cs="Tahoma"/>
                <w:lang w:eastAsia="en-AU"/>
              </w:rPr>
              <w:t>(Although an excision lymph node biopsy is best, especially in the case of lymphomas, bone marrow biopsy is sometimes performed for staging but is rarely the diagnostic investigation. A normal bone marrow biopsy does not exclude lymphoma.</w:t>
            </w:r>
            <w:r w:rsidR="00EB008C">
              <w:rPr>
                <w:rFonts w:eastAsia="Times New Roman" w:cs="Tahoma"/>
                <w:lang w:eastAsia="en-AU"/>
              </w:rPr>
              <w:fldChar w:fldCharType="begin">
                <w:fldData xml:space="preserve">PEVuZE5vdGU+PENpdGU+PEF1dGhvcj5Cb3d6eWsgQWwtTmFlZWI8L0F1dGhvcj48WWVhcj4yMDE4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</w:fldData>
              </w:fldChar>
            </w:r>
            <w:r w:rsidR="00EB008C">
              <w:rPr>
                <w:rFonts w:eastAsia="Times New Roman" w:cs="Tahoma"/>
                <w:lang w:eastAsia="en-AU"/>
              </w:rPr>
              <w:instrText xml:space="preserve"> ADDIN EN.CITE </w:instrText>
            </w:r>
            <w:r w:rsidR="00EB008C">
              <w:rPr>
                <w:rFonts w:eastAsia="Times New Roman" w:cs="Tahoma"/>
                <w:lang w:eastAsia="en-AU"/>
              </w:rPr>
              <w:fldChar w:fldCharType="begin">
                <w:fldData xml:space="preserve">PEVuZE5vdGU+PENpdGU+PEF1dGhvcj5Cb3d6eWsgQWwtTmFlZWI8L0F1dGhvcj48WWVhcj4yMDE4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</w:fldData>
              </w:fldChar>
            </w:r>
            <w:r w:rsidR="00EB008C">
              <w:rPr>
                <w:rFonts w:eastAsia="Times New Roman" w:cs="Tahoma"/>
                <w:lang w:eastAsia="en-AU"/>
              </w:rPr>
              <w:instrText xml:space="preserve"> ADDIN EN.CITE.DATA </w:instrText>
            </w:r>
            <w:r w:rsidR="00EB008C">
              <w:rPr>
                <w:rFonts w:eastAsia="Times New Roman" w:cs="Tahoma"/>
                <w:lang w:eastAsia="en-AU"/>
              </w:rPr>
            </w:r>
            <w:r w:rsidR="00EB008C">
              <w:rPr>
                <w:rFonts w:eastAsia="Times New Roman" w:cs="Tahoma"/>
                <w:lang w:eastAsia="en-AU"/>
              </w:rPr>
              <w:fldChar w:fldCharType="end"/>
            </w:r>
            <w:r w:rsidR="00EB008C">
              <w:rPr>
                <w:rFonts w:eastAsia="Times New Roman" w:cs="Tahoma"/>
                <w:lang w:eastAsia="en-AU"/>
              </w:rPr>
            </w:r>
            <w:r w:rsidR="00EB008C">
              <w:rPr>
                <w:rFonts w:eastAsia="Times New Roman" w:cs="Tahoma"/>
                <w:lang w:eastAsia="en-AU"/>
              </w:rPr>
              <w:fldChar w:fldCharType="separate"/>
            </w:r>
            <w:r w:rsidR="00EB008C">
              <w:rPr>
                <w:rFonts w:eastAsia="Times New Roman" w:cs="Tahoma"/>
                <w:noProof/>
                <w:lang w:eastAsia="en-AU"/>
              </w:rPr>
              <w:t>(Bowzyk Al-Naeeb et al., 2018)</w:t>
            </w:r>
            <w:r w:rsidR="00EB008C">
              <w:rPr>
                <w:rFonts w:eastAsia="Times New Roman" w:cs="Tahoma"/>
                <w:lang w:eastAsia="en-AU"/>
              </w:rPr>
              <w:fldChar w:fldCharType="end"/>
            </w:r>
            <w:r w:rsidRPr="00017682">
              <w:rPr>
                <w:rFonts w:eastAsia="Times New Roman" w:cs="Tahoma"/>
                <w:lang w:eastAsia="en-AU"/>
              </w:rPr>
              <w:t>)</w:t>
            </w:r>
          </w:p>
        </w:tc>
      </w:tr>
      <w:tr w:rsidR="00805196" w:rsidRPr="00F65C7D" w14:paraId="26CB9FB9" w14:textId="77777777" w:rsidTr="0095380F">
        <w:tc>
          <w:tcPr>
            <w:tcW w:w="1034" w:type="pct"/>
            <w:tcBorders>
              <w:top w:val="nil"/>
              <w:left w:val="single" w:sz="4" w:space="0" w:color="auto"/>
              <w:bottom w:val="nil"/>
              <w:right w:val="single" w:sz="4" w:space="0" w:color="auto"/>
            </w:tcBorders>
          </w:tcPr>
          <w:p w14:paraId="5EE5216C" w14:textId="6E967B10" w:rsidR="007B207A" w:rsidRPr="00DD081F" w:rsidRDefault="007B207A" w:rsidP="00E24DA3">
            <w:pPr>
              <w:pStyle w:val="TableText0"/>
            </w:pPr>
          </w:p>
        </w:tc>
        <w:tc>
          <w:tcPr>
            <w:tcW w:w="776" w:type="pct"/>
            <w:tcBorders>
              <w:left w:val="single" w:sz="4" w:space="0" w:color="auto"/>
            </w:tcBorders>
          </w:tcPr>
          <w:p w14:paraId="174015E3" w14:textId="3FED2AA7" w:rsidR="007B207A" w:rsidRPr="00991CC0" w:rsidRDefault="007B207A" w:rsidP="00FA7581">
            <w:pPr>
              <w:pStyle w:val="TableText0"/>
              <w:pageBreakBefore/>
              <w:rPr>
                <w:rFonts w:eastAsia="Times New Roman" w:cs="Tahoma"/>
                <w:lang w:eastAsia="en-AU"/>
              </w:rPr>
            </w:pPr>
            <w:r w:rsidRPr="00017682">
              <w:rPr>
                <w:rFonts w:eastAsia="Times New Roman" w:cs="Tahoma"/>
                <w:lang w:eastAsia="en-AU"/>
              </w:rPr>
              <w:t>30075 (Group T8 - Surgical Operations, Subgroup 1 – General)</w:t>
            </w:r>
          </w:p>
        </w:tc>
        <w:tc>
          <w:tcPr>
            <w:tcW w:w="3190" w:type="pct"/>
          </w:tcPr>
          <w:p w14:paraId="1FC5FD3D" w14:textId="77777777" w:rsidR="007B207A" w:rsidRPr="00F65C7D" w:rsidRDefault="007B207A" w:rsidP="00FA7581">
            <w:pPr>
              <w:pStyle w:val="TableText0"/>
              <w:pageBreakBefore/>
              <w:rPr>
                <w:rFonts w:eastAsia="Times New Roman" w:cs="Tahoma"/>
                <w:lang w:eastAsia="en-AU"/>
              </w:rPr>
            </w:pPr>
            <w:r w:rsidRPr="00F65C7D">
              <w:rPr>
                <w:rFonts w:eastAsia="Times New Roman" w:cs="Tahoma"/>
                <w:lang w:eastAsia="en-AU"/>
              </w:rPr>
              <w:t>DIAGNOSTIC BIOPSY OF LYMPH NODE, MUSCLE OR OTHER DEEP TISSUE OR ORGAN, as an independent procedure, if the biopsy specimen is sent for pathological examination</w:t>
            </w:r>
          </w:p>
          <w:p w14:paraId="10945D4A" w14:textId="1FD02FEE" w:rsidR="007B207A" w:rsidRPr="00F65C7D" w:rsidRDefault="007B207A" w:rsidP="00FA7581">
            <w:pPr>
              <w:pStyle w:val="TableText0"/>
              <w:pageBreakBefore/>
              <w:rPr>
                <w:rFonts w:eastAsia="Times New Roman" w:cs="Tahoma"/>
                <w:lang w:eastAsia="en-AU"/>
              </w:rPr>
            </w:pPr>
            <w:r w:rsidRPr="00F65C7D">
              <w:rPr>
                <w:rFonts w:eastAsia="Times New Roman" w:cs="Tahoma"/>
                <w:lang w:eastAsia="en-AU"/>
              </w:rPr>
              <w:t>Fee: $154.45 Benefit: 75% = $115.85 85% = $131.30</w:t>
            </w:r>
          </w:p>
        </w:tc>
      </w:tr>
      <w:tr w:rsidR="00805196" w:rsidRPr="00F65C7D" w14:paraId="3402306F" w14:textId="77777777" w:rsidTr="0095380F">
        <w:tc>
          <w:tcPr>
            <w:tcW w:w="1034" w:type="pct"/>
            <w:tcBorders>
              <w:top w:val="nil"/>
              <w:left w:val="single" w:sz="4" w:space="0" w:color="auto"/>
              <w:bottom w:val="nil"/>
              <w:right w:val="single" w:sz="4" w:space="0" w:color="auto"/>
            </w:tcBorders>
          </w:tcPr>
          <w:p w14:paraId="6CBB4CC1" w14:textId="0533F5EE" w:rsidR="007B207A" w:rsidRPr="00DD081F" w:rsidRDefault="007B207A" w:rsidP="007956E6">
            <w:pPr>
              <w:pStyle w:val="TableText0"/>
            </w:pPr>
          </w:p>
        </w:tc>
        <w:tc>
          <w:tcPr>
            <w:tcW w:w="776" w:type="pct"/>
            <w:tcBorders>
              <w:left w:val="single" w:sz="4" w:space="0" w:color="auto"/>
            </w:tcBorders>
          </w:tcPr>
          <w:p w14:paraId="687C6C11" w14:textId="1747C1DF" w:rsidR="007B207A" w:rsidRPr="00991CC0" w:rsidRDefault="007B207A" w:rsidP="007956E6">
            <w:pPr>
              <w:pStyle w:val="TableText0"/>
              <w:rPr>
                <w:rFonts w:eastAsia="Times New Roman" w:cs="Tahoma"/>
                <w:lang w:eastAsia="en-AU"/>
              </w:rPr>
            </w:pPr>
            <w:r w:rsidRPr="00017682">
              <w:rPr>
                <w:rFonts w:eastAsia="Times New Roman" w:cs="Tahoma"/>
                <w:lang w:eastAsia="en-AU"/>
              </w:rPr>
              <w:t>30078 (Group T8 - Surgical Operations, Subgroup 1 – General)</w:t>
            </w:r>
          </w:p>
        </w:tc>
        <w:tc>
          <w:tcPr>
            <w:tcW w:w="3190" w:type="pct"/>
          </w:tcPr>
          <w:p w14:paraId="5324088A" w14:textId="77777777" w:rsidR="007B207A" w:rsidRPr="00F65C7D" w:rsidRDefault="007B207A" w:rsidP="007956E6">
            <w:pPr>
              <w:pStyle w:val="TableText0"/>
              <w:rPr>
                <w:rFonts w:eastAsia="Times New Roman" w:cs="Tahoma"/>
                <w:lang w:eastAsia="en-AU"/>
              </w:rPr>
            </w:pPr>
            <w:r w:rsidRPr="00F65C7D">
              <w:rPr>
                <w:rFonts w:eastAsia="Times New Roman" w:cs="Tahoma"/>
                <w:lang w:eastAsia="en-AU"/>
              </w:rPr>
              <w:t>DIAGNOSTIC DRILL BIOPSY OF LYMPH NODE, DEEP TISSUE OR ORGAN, as an independent procedure, where the biopsy specimen is sent for pathological examination</w:t>
            </w:r>
          </w:p>
          <w:p w14:paraId="084AAE02" w14:textId="65FE46E9" w:rsidR="007B207A" w:rsidRPr="00F65C7D" w:rsidRDefault="007B207A" w:rsidP="007956E6">
            <w:pPr>
              <w:pStyle w:val="TableText0"/>
              <w:rPr>
                <w:rFonts w:eastAsia="Times New Roman" w:cs="Tahoma"/>
                <w:lang w:eastAsia="en-AU"/>
              </w:rPr>
            </w:pPr>
            <w:r w:rsidRPr="00F65C7D">
              <w:rPr>
                <w:rFonts w:eastAsia="Times New Roman" w:cs="Tahoma"/>
                <w:lang w:eastAsia="en-AU"/>
              </w:rPr>
              <w:t>Fee: $50.00 Benefit: 75% = $37.50 85% = $42.50</w:t>
            </w:r>
          </w:p>
        </w:tc>
      </w:tr>
      <w:tr w:rsidR="00805196" w:rsidRPr="00F65C7D" w14:paraId="6A700D28" w14:textId="77777777" w:rsidTr="0095380F">
        <w:tc>
          <w:tcPr>
            <w:tcW w:w="1034" w:type="pct"/>
            <w:tcBorders>
              <w:top w:val="nil"/>
              <w:left w:val="single" w:sz="4" w:space="0" w:color="auto"/>
              <w:bottom w:val="single" w:sz="4" w:space="0" w:color="auto"/>
              <w:right w:val="single" w:sz="4" w:space="0" w:color="auto"/>
            </w:tcBorders>
          </w:tcPr>
          <w:p w14:paraId="0DA76522" w14:textId="77777777" w:rsidR="007B207A" w:rsidRPr="00DD081F" w:rsidRDefault="007B207A" w:rsidP="007956E6">
            <w:pPr>
              <w:pStyle w:val="TableText0"/>
            </w:pPr>
          </w:p>
        </w:tc>
        <w:tc>
          <w:tcPr>
            <w:tcW w:w="776" w:type="pct"/>
            <w:tcBorders>
              <w:left w:val="single" w:sz="4" w:space="0" w:color="auto"/>
            </w:tcBorders>
          </w:tcPr>
          <w:p w14:paraId="69DF854B" w14:textId="5B038ED5" w:rsidR="007B207A" w:rsidRPr="00991CC0" w:rsidRDefault="007B207A" w:rsidP="007956E6">
            <w:pPr>
              <w:pStyle w:val="TableText0"/>
              <w:rPr>
                <w:rFonts w:eastAsia="Times New Roman" w:cs="Tahoma"/>
                <w:lang w:eastAsia="en-AU"/>
              </w:rPr>
            </w:pPr>
            <w:r w:rsidRPr="00017682">
              <w:rPr>
                <w:rFonts w:eastAsia="Times New Roman" w:cs="Tahoma"/>
                <w:lang w:eastAsia="en-AU"/>
              </w:rPr>
              <w:t>65084 (Group P1 – Haematology)</w:t>
            </w:r>
          </w:p>
        </w:tc>
        <w:tc>
          <w:tcPr>
            <w:tcW w:w="3190" w:type="pct"/>
          </w:tcPr>
          <w:p w14:paraId="2A2F1263" w14:textId="77777777" w:rsidR="007B207A" w:rsidRPr="00F65C7D" w:rsidRDefault="007B207A" w:rsidP="007956E6">
            <w:pPr>
              <w:pStyle w:val="TableText0"/>
              <w:rPr>
                <w:rFonts w:eastAsia="Times New Roman" w:cs="Tahoma"/>
                <w:lang w:eastAsia="en-AU"/>
              </w:rPr>
            </w:pPr>
            <w:r w:rsidRPr="00F65C7D">
              <w:rPr>
                <w:rFonts w:eastAsia="Times New Roman" w:cs="Tahoma"/>
                <w:lang w:eastAsia="en-AU"/>
              </w:rPr>
              <w:t>Bone marrow trephine biopsy - histopathological examination of sections of bone marrow and examination of aspirated material (including clot sections where necessary), including (if performed): any test described in item 65060, 65066 or 65070</w:t>
            </w:r>
          </w:p>
          <w:p w14:paraId="3F097F93" w14:textId="147FFC13" w:rsidR="007B207A" w:rsidRPr="00F65C7D" w:rsidRDefault="007B207A" w:rsidP="007956E6">
            <w:pPr>
              <w:pStyle w:val="TableText0"/>
              <w:rPr>
                <w:rFonts w:eastAsia="Times New Roman" w:cs="Tahoma"/>
                <w:lang w:eastAsia="en-AU"/>
              </w:rPr>
            </w:pPr>
            <w:r w:rsidRPr="00F65C7D">
              <w:rPr>
                <w:rFonts w:eastAsia="Times New Roman" w:cs="Tahoma"/>
                <w:lang w:eastAsia="en-AU"/>
              </w:rPr>
              <w:t>Fee: $165.85 Benefit: 75% = $124.40 85% = $141.00</w:t>
            </w:r>
          </w:p>
        </w:tc>
      </w:tr>
      <w:tr w:rsidR="00805196" w:rsidRPr="00F65C7D" w14:paraId="2300D43A" w14:textId="77777777" w:rsidTr="0095380F">
        <w:tc>
          <w:tcPr>
            <w:tcW w:w="1034" w:type="pct"/>
            <w:tcBorders>
              <w:top w:val="single" w:sz="4" w:space="0" w:color="auto"/>
              <w:bottom w:val="single" w:sz="4" w:space="0" w:color="auto"/>
            </w:tcBorders>
          </w:tcPr>
          <w:p w14:paraId="67B5A0CE" w14:textId="5B81686D" w:rsidR="00DC46A4" w:rsidRPr="00DD081F" w:rsidRDefault="002936E2" w:rsidP="007956E6">
            <w:pPr>
              <w:pStyle w:val="TableText0"/>
            </w:pPr>
            <w:r w:rsidRPr="00017682">
              <w:rPr>
                <w:rFonts w:eastAsia="Times New Roman" w:cs="Tahoma"/>
                <w:lang w:eastAsia="en-AU"/>
              </w:rPr>
              <w:t>Cytogenetic testing for risk stratification in myeloid malignancies</w:t>
            </w:r>
          </w:p>
        </w:tc>
        <w:tc>
          <w:tcPr>
            <w:tcW w:w="776" w:type="pct"/>
          </w:tcPr>
          <w:p w14:paraId="3DE6E08B" w14:textId="40F08596" w:rsidR="00DC46A4" w:rsidRPr="00991CC0" w:rsidRDefault="002936E2" w:rsidP="007956E6">
            <w:pPr>
              <w:pStyle w:val="TableText0"/>
              <w:rPr>
                <w:rFonts w:eastAsia="Times New Roman" w:cs="Tahoma"/>
                <w:lang w:eastAsia="en-AU"/>
              </w:rPr>
            </w:pPr>
            <w:r w:rsidRPr="00017682">
              <w:rPr>
                <w:rFonts w:eastAsia="Times New Roman" w:cs="Tahoma"/>
                <w:lang w:eastAsia="en-AU"/>
              </w:rPr>
              <w:t xml:space="preserve">73290 (Group P7 – </w:t>
            </w:r>
            <w:r w:rsidRPr="00991CC0">
              <w:rPr>
                <w:rFonts w:eastAsia="Times New Roman" w:cs="Tahoma"/>
                <w:lang w:eastAsia="en-AU"/>
              </w:rPr>
              <w:t>Genetics)</w:t>
            </w:r>
          </w:p>
        </w:tc>
        <w:tc>
          <w:tcPr>
            <w:tcW w:w="3190" w:type="pct"/>
          </w:tcPr>
          <w:p w14:paraId="46CFBE26" w14:textId="77777777" w:rsidR="002936E2" w:rsidRPr="00F65C7D" w:rsidRDefault="002936E2" w:rsidP="007956E6">
            <w:pPr>
              <w:pStyle w:val="TableText0"/>
              <w:rPr>
                <w:rFonts w:eastAsia="Times New Roman" w:cs="Tahoma"/>
                <w:lang w:eastAsia="en-AU"/>
              </w:rPr>
            </w:pPr>
            <w:r w:rsidRPr="00F65C7D">
              <w:rPr>
                <w:rFonts w:eastAsia="Times New Roman" w:cs="Tahoma"/>
                <w:lang w:eastAsia="en-AU"/>
              </w:rPr>
              <w:t>The study of the whole of each chromosome by cytogenetic or other techniques, performed on blood or bone marrow, in the diagnosis and monitoring of haematological malignancy (including a service in items 73287 or 73289, if performed). - 1 or more tests.</w:t>
            </w:r>
          </w:p>
          <w:p w14:paraId="5D4108F0" w14:textId="1C3D2263" w:rsidR="00DC46A4" w:rsidRPr="00017682" w:rsidRDefault="002936E2" w:rsidP="007956E6">
            <w:pPr>
              <w:pStyle w:val="TableText0"/>
              <w:rPr>
                <w:rFonts w:eastAsia="Times New Roman" w:cs="Tahoma"/>
                <w:lang w:eastAsia="en-AU"/>
              </w:rPr>
            </w:pPr>
            <w:r w:rsidRPr="00F65C7D">
              <w:rPr>
                <w:rFonts w:eastAsia="Times New Roman" w:cs="Tahoma"/>
                <w:lang w:eastAsia="en-AU"/>
              </w:rPr>
              <w:t>Fee: $394.55 Benefit: 75% = $295.95 85% = $335.40</w:t>
            </w:r>
          </w:p>
        </w:tc>
      </w:tr>
      <w:tr w:rsidR="00805196" w:rsidRPr="00F65C7D" w14:paraId="30CE915C" w14:textId="77777777" w:rsidTr="0095380F">
        <w:tc>
          <w:tcPr>
            <w:tcW w:w="1034" w:type="pct"/>
            <w:tcBorders>
              <w:top w:val="single" w:sz="4" w:space="0" w:color="auto"/>
              <w:left w:val="single" w:sz="4" w:space="0" w:color="auto"/>
              <w:bottom w:val="nil"/>
              <w:right w:val="single" w:sz="4" w:space="0" w:color="auto"/>
            </w:tcBorders>
          </w:tcPr>
          <w:p w14:paraId="71DA8444" w14:textId="38837717" w:rsidR="007B207A" w:rsidRPr="00991CC0" w:rsidRDefault="007B207A" w:rsidP="00E24DA3">
            <w:pPr>
              <w:pStyle w:val="TableText0"/>
              <w:rPr>
                <w:rFonts w:eastAsia="Times New Roman" w:cs="Tahoma"/>
                <w:lang w:eastAsia="en-AU"/>
              </w:rPr>
            </w:pPr>
            <w:r w:rsidRPr="00017682">
              <w:rPr>
                <w:rFonts w:eastAsia="Times New Roman" w:cs="Tahoma"/>
                <w:lang w:eastAsia="en-AU"/>
              </w:rPr>
              <w:t>Immunohistochemistry/ immunofluorescence</w:t>
            </w:r>
          </w:p>
        </w:tc>
        <w:tc>
          <w:tcPr>
            <w:tcW w:w="776" w:type="pct"/>
            <w:tcBorders>
              <w:left w:val="single" w:sz="4" w:space="0" w:color="auto"/>
            </w:tcBorders>
          </w:tcPr>
          <w:p w14:paraId="671124AE" w14:textId="45D2C69A" w:rsidR="007B207A" w:rsidRPr="00371C8A" w:rsidRDefault="007B207A" w:rsidP="007956E6">
            <w:pPr>
              <w:pStyle w:val="TableText0"/>
            </w:pPr>
            <w:r w:rsidRPr="00DD081F">
              <w:t>71139 (Group P4 – Immunology)</w:t>
            </w:r>
          </w:p>
        </w:tc>
        <w:tc>
          <w:tcPr>
            <w:tcW w:w="3190" w:type="pct"/>
          </w:tcPr>
          <w:p w14:paraId="4B261F77" w14:textId="77777777" w:rsidR="007B207A" w:rsidRPr="00F65C7D" w:rsidRDefault="007B207A" w:rsidP="007956E6">
            <w:pPr>
              <w:pStyle w:val="TableText0"/>
              <w:rPr>
                <w:rFonts w:eastAsia="Times New Roman" w:cs="Tahoma"/>
                <w:lang w:eastAsia="en-AU"/>
              </w:rPr>
            </w:pPr>
            <w:r w:rsidRPr="00017682">
              <w:rPr>
                <w:rFonts w:eastAsia="Times New Roman" w:cs="Tahoma"/>
                <w:lang w:eastAsia="en-AU"/>
              </w:rPr>
              <w:t xml:space="preserve">Characterisation of 3 or more leucocyte surface antigens by immunofluorescence or </w:t>
            </w:r>
            <w:proofErr w:type="spellStart"/>
            <w:r w:rsidRPr="00017682">
              <w:rPr>
                <w:rFonts w:eastAsia="Times New Roman" w:cs="Tahoma"/>
                <w:lang w:eastAsia="en-AU"/>
              </w:rPr>
              <w:t>immunoenzyme</w:t>
            </w:r>
            <w:proofErr w:type="spellEnd"/>
            <w:r w:rsidRPr="00017682">
              <w:rPr>
                <w:rFonts w:eastAsia="Times New Roman" w:cs="Tahoma"/>
                <w:lang w:eastAsia="en-AU"/>
              </w:rPr>
              <w:t xml:space="preserve"> techniques to assess lymphoid o</w:t>
            </w:r>
            <w:r w:rsidRPr="00991CC0">
              <w:rPr>
                <w:rFonts w:eastAsia="Times New Roman" w:cs="Tahoma"/>
                <w:lang w:eastAsia="en-AU"/>
              </w:rPr>
              <w:t>r myeloid cell populations, including a total lymphocyte count or total leucocyte count by any method, on 1 or more specimens of blood, CSF or serous fluid</w:t>
            </w:r>
          </w:p>
          <w:p w14:paraId="17B90A58" w14:textId="0C5B3870" w:rsidR="007B207A" w:rsidRPr="00DD081F" w:rsidRDefault="007B207A" w:rsidP="00DD0475">
            <w:pPr>
              <w:pStyle w:val="TableText0"/>
            </w:pPr>
            <w:r w:rsidRPr="00F65C7D">
              <w:rPr>
                <w:rFonts w:eastAsia="Times New Roman" w:cs="Tahoma"/>
                <w:lang w:eastAsia="en-AU"/>
              </w:rPr>
              <w:t>Fee: $104.05 Benefit: 75% = $78.05 85% = $88.45</w:t>
            </w:r>
          </w:p>
        </w:tc>
      </w:tr>
      <w:tr w:rsidR="00805196" w:rsidRPr="00F65C7D" w14:paraId="310988BA" w14:textId="77777777" w:rsidTr="0095380F">
        <w:tc>
          <w:tcPr>
            <w:tcW w:w="1034" w:type="pct"/>
            <w:tcBorders>
              <w:top w:val="nil"/>
              <w:left w:val="single" w:sz="4" w:space="0" w:color="auto"/>
              <w:bottom w:val="nil"/>
              <w:right w:val="single" w:sz="4" w:space="0" w:color="auto"/>
            </w:tcBorders>
          </w:tcPr>
          <w:p w14:paraId="1C2E7275" w14:textId="77777777" w:rsidR="007B207A" w:rsidRPr="00DD081F" w:rsidRDefault="007B207A" w:rsidP="007956E6">
            <w:pPr>
              <w:pStyle w:val="TableText0"/>
            </w:pPr>
          </w:p>
        </w:tc>
        <w:tc>
          <w:tcPr>
            <w:tcW w:w="776" w:type="pct"/>
            <w:tcBorders>
              <w:left w:val="single" w:sz="4" w:space="0" w:color="auto"/>
            </w:tcBorders>
          </w:tcPr>
          <w:p w14:paraId="3CE9A156" w14:textId="443177C7" w:rsidR="007B207A" w:rsidRPr="00371C8A" w:rsidRDefault="007B207A" w:rsidP="007956E6">
            <w:pPr>
              <w:pStyle w:val="TableText0"/>
            </w:pPr>
            <w:r w:rsidRPr="00371C8A">
              <w:t>73364 (Group P7 – Genetics)</w:t>
            </w:r>
          </w:p>
        </w:tc>
        <w:tc>
          <w:tcPr>
            <w:tcW w:w="3190" w:type="pct"/>
          </w:tcPr>
          <w:p w14:paraId="5738C19B" w14:textId="77777777" w:rsidR="007B207A" w:rsidRPr="00F65C7D" w:rsidRDefault="007B207A" w:rsidP="007956E6">
            <w:pPr>
              <w:pStyle w:val="TableText0"/>
              <w:rPr>
                <w:rFonts w:eastAsia="Times New Roman" w:cs="Tahoma"/>
                <w:lang w:eastAsia="en-AU"/>
              </w:rPr>
            </w:pPr>
            <w:r w:rsidRPr="00017682">
              <w:rPr>
                <w:rFonts w:eastAsia="Times New Roman" w:cs="Tahoma"/>
                <w:lang w:eastAsia="en-AU"/>
              </w:rPr>
              <w:t xml:space="preserve">Analysis of </w:t>
            </w:r>
            <w:r w:rsidRPr="00991CC0">
              <w:rPr>
                <w:rFonts w:eastAsia="Times New Roman" w:cs="Tahoma"/>
                <w:lang w:eastAsia="en-AU"/>
              </w:rPr>
              <w:t>tumour tissue, requested by a specialist or consultant physician, that:</w:t>
            </w:r>
          </w:p>
          <w:p w14:paraId="760AF449" w14:textId="513E1F04" w:rsidR="007B207A" w:rsidRPr="00F65C7D" w:rsidRDefault="007B207A" w:rsidP="007956E6">
            <w:pPr>
              <w:pStyle w:val="TableText0"/>
              <w:rPr>
                <w:rFonts w:eastAsia="Times New Roman" w:cs="Tahoma"/>
                <w:lang w:eastAsia="en-AU"/>
              </w:rPr>
            </w:pPr>
            <w:r w:rsidRPr="00F65C7D">
              <w:rPr>
                <w:rFonts w:eastAsia="Times New Roman" w:cs="Tahoma"/>
                <w:lang w:eastAsia="en-AU"/>
              </w:rPr>
              <w:t>(a) is for:</w:t>
            </w:r>
          </w:p>
          <w:p w14:paraId="1D4A80CB" w14:textId="77777777" w:rsidR="007B207A" w:rsidRPr="00F65C7D" w:rsidRDefault="007B207A" w:rsidP="007956E6">
            <w:pPr>
              <w:pStyle w:val="TableText0"/>
              <w:rPr>
                <w:rFonts w:eastAsia="Times New Roman" w:cs="Tahoma"/>
                <w:lang w:eastAsia="en-AU"/>
              </w:rPr>
            </w:pPr>
            <w:r w:rsidRPr="00F65C7D">
              <w:rPr>
                <w:rFonts w:eastAsia="Times New Roman" w:cs="Tahoma"/>
                <w:lang w:eastAsia="en-AU"/>
              </w:rPr>
              <w:t>(</w:t>
            </w:r>
            <w:proofErr w:type="spellStart"/>
            <w:r w:rsidRPr="00F65C7D">
              <w:rPr>
                <w:rFonts w:eastAsia="Times New Roman" w:cs="Tahoma"/>
                <w:lang w:eastAsia="en-AU"/>
              </w:rPr>
              <w:t>i</w:t>
            </w:r>
            <w:proofErr w:type="spellEnd"/>
            <w:r w:rsidRPr="00F65C7D">
              <w:rPr>
                <w:rFonts w:eastAsia="Times New Roman" w:cs="Tahoma"/>
                <w:lang w:eastAsia="en-AU"/>
              </w:rPr>
              <w:t xml:space="preserve">) the characterisation of </w:t>
            </w:r>
            <w:r w:rsidRPr="00DD0475">
              <w:rPr>
                <w:rFonts w:eastAsia="Times New Roman" w:cs="Tahoma"/>
                <w:i/>
                <w:iCs/>
                <w:lang w:eastAsia="en-AU"/>
              </w:rPr>
              <w:t>MYC</w:t>
            </w:r>
            <w:r w:rsidRPr="00F65C7D">
              <w:rPr>
                <w:rFonts w:eastAsia="Times New Roman" w:cs="Tahoma"/>
                <w:lang w:eastAsia="en-AU"/>
              </w:rPr>
              <w:t xml:space="preserve"> gene rearrangement; and</w:t>
            </w:r>
            <w:r w:rsidRPr="00F65C7D">
              <w:rPr>
                <w:rFonts w:eastAsia="Times New Roman" w:cs="Tahoma"/>
                <w:lang w:eastAsia="en-AU"/>
              </w:rPr>
              <w:br/>
              <w:t>(ii) if the results of the characterisation mentioned in subparagraph (</w:t>
            </w:r>
            <w:proofErr w:type="spellStart"/>
            <w:r w:rsidRPr="00F65C7D">
              <w:rPr>
                <w:rFonts w:eastAsia="Times New Roman" w:cs="Tahoma"/>
                <w:lang w:eastAsia="en-AU"/>
              </w:rPr>
              <w:t>i</w:t>
            </w:r>
            <w:proofErr w:type="spellEnd"/>
            <w:r w:rsidRPr="00F65C7D">
              <w:rPr>
                <w:rFonts w:eastAsia="Times New Roman" w:cs="Tahoma"/>
                <w:lang w:eastAsia="en-AU"/>
              </w:rPr>
              <w:t xml:space="preserve">) are positive—the characterisation of either or both of </w:t>
            </w:r>
            <w:r w:rsidRPr="00DD0475">
              <w:rPr>
                <w:rFonts w:eastAsia="Times New Roman" w:cs="Tahoma"/>
                <w:i/>
                <w:iCs/>
                <w:lang w:eastAsia="en-AU"/>
              </w:rPr>
              <w:t>BCL2</w:t>
            </w:r>
            <w:r w:rsidRPr="00F65C7D">
              <w:rPr>
                <w:rFonts w:eastAsia="Times New Roman" w:cs="Tahoma"/>
                <w:lang w:eastAsia="en-AU"/>
              </w:rPr>
              <w:t xml:space="preserve"> gene rearrangement and </w:t>
            </w:r>
            <w:r w:rsidRPr="00DD0475">
              <w:rPr>
                <w:rFonts w:eastAsia="Times New Roman" w:cs="Tahoma"/>
                <w:i/>
                <w:iCs/>
                <w:lang w:eastAsia="en-AU"/>
              </w:rPr>
              <w:t>BCL6</w:t>
            </w:r>
            <w:r w:rsidRPr="00F65C7D">
              <w:rPr>
                <w:rFonts w:eastAsia="Times New Roman" w:cs="Tahoma"/>
                <w:lang w:eastAsia="en-AU"/>
              </w:rPr>
              <w:t xml:space="preserve"> gene rearrangement; and</w:t>
            </w:r>
          </w:p>
          <w:p w14:paraId="4E3BB15B" w14:textId="77777777" w:rsidR="007B207A" w:rsidRPr="00F65C7D" w:rsidRDefault="007B207A" w:rsidP="007956E6">
            <w:pPr>
              <w:pStyle w:val="TableText0"/>
              <w:rPr>
                <w:rFonts w:eastAsia="Times New Roman" w:cs="Tahoma"/>
                <w:lang w:eastAsia="en-AU"/>
              </w:rPr>
            </w:pPr>
            <w:r w:rsidRPr="00F65C7D">
              <w:rPr>
                <w:rFonts w:eastAsia="Times New Roman" w:cs="Tahoma"/>
                <w:lang w:eastAsia="en-AU"/>
              </w:rPr>
              <w:t>(b) is for a patient:</w:t>
            </w:r>
          </w:p>
          <w:p w14:paraId="630FC015" w14:textId="77777777" w:rsidR="007B207A" w:rsidRPr="00F65C7D" w:rsidRDefault="007B207A" w:rsidP="007956E6">
            <w:pPr>
              <w:pStyle w:val="TableText0"/>
              <w:rPr>
                <w:rFonts w:eastAsia="Times New Roman" w:cs="Tahoma"/>
                <w:lang w:eastAsia="en-AU"/>
              </w:rPr>
            </w:pPr>
            <w:r w:rsidRPr="00F65C7D">
              <w:rPr>
                <w:rFonts w:eastAsia="Times New Roman" w:cs="Tahoma"/>
                <w:lang w:eastAsia="en-AU"/>
              </w:rPr>
              <w:t>(</w:t>
            </w:r>
            <w:proofErr w:type="spellStart"/>
            <w:r w:rsidRPr="00F65C7D">
              <w:rPr>
                <w:rFonts w:eastAsia="Times New Roman" w:cs="Tahoma"/>
                <w:lang w:eastAsia="en-AU"/>
              </w:rPr>
              <w:t>i</w:t>
            </w:r>
            <w:proofErr w:type="spellEnd"/>
            <w:r w:rsidRPr="00F65C7D">
              <w:rPr>
                <w:rFonts w:eastAsia="Times New Roman" w:cs="Tahoma"/>
                <w:lang w:eastAsia="en-AU"/>
              </w:rPr>
              <w:t xml:space="preserve">) for whom </w:t>
            </w:r>
            <w:r w:rsidRPr="00DD0475">
              <w:rPr>
                <w:rFonts w:eastAsia="Times New Roman" w:cs="Tahoma"/>
                <w:i/>
                <w:iCs/>
                <w:lang w:eastAsia="en-AU"/>
              </w:rPr>
              <w:t>MYC</w:t>
            </w:r>
            <w:r w:rsidRPr="00F65C7D">
              <w:rPr>
                <w:rFonts w:eastAsia="Times New Roman" w:cs="Tahoma"/>
                <w:lang w:eastAsia="en-AU"/>
              </w:rPr>
              <w:t xml:space="preserve"> immunohistochemistry is non-negative; and</w:t>
            </w:r>
            <w:r w:rsidRPr="00F65C7D">
              <w:rPr>
                <w:rFonts w:eastAsia="Times New Roman" w:cs="Tahoma"/>
                <w:lang w:eastAsia="en-AU"/>
              </w:rPr>
              <w:br/>
              <w:t>(ii) with clinical or laboratory evidence, including morphological features, of diffuse large B-cell lymphoma or high-grade B-cell lymphoma; and</w:t>
            </w:r>
          </w:p>
          <w:p w14:paraId="3F6A3775" w14:textId="7A6A5414" w:rsidR="007B207A" w:rsidRPr="00F65C7D" w:rsidRDefault="007B207A" w:rsidP="007956E6">
            <w:pPr>
              <w:pStyle w:val="TableText0"/>
              <w:rPr>
                <w:rFonts w:eastAsia="Times New Roman" w:cs="Tahoma"/>
                <w:lang w:eastAsia="en-AU"/>
              </w:rPr>
            </w:pPr>
            <w:r w:rsidRPr="00F65C7D">
              <w:rPr>
                <w:rFonts w:eastAsia="Times New Roman" w:cs="Tahoma"/>
                <w:lang w:eastAsia="en-AU"/>
              </w:rPr>
              <w:t>(c) is not performed in conjunction with item 73365. Applicable only once per lifetime</w:t>
            </w:r>
          </w:p>
          <w:p w14:paraId="69DF27DF" w14:textId="36824A54" w:rsidR="007B207A" w:rsidRPr="00F65C7D" w:rsidRDefault="007B207A" w:rsidP="007956E6">
            <w:pPr>
              <w:pStyle w:val="TableText0"/>
              <w:rPr>
                <w:rFonts w:eastAsia="Times New Roman" w:cs="Tahoma"/>
                <w:lang w:eastAsia="en-AU"/>
              </w:rPr>
            </w:pPr>
            <w:r w:rsidRPr="00F65C7D">
              <w:rPr>
                <w:rFonts w:eastAsia="Times New Roman" w:cs="Tahoma"/>
                <w:lang w:eastAsia="en-AU"/>
              </w:rPr>
              <w:t>Fee: $400.00 Benefit: 75% = $300.00 85% = $340.00</w:t>
            </w:r>
          </w:p>
        </w:tc>
      </w:tr>
      <w:tr w:rsidR="00805196" w:rsidRPr="00F65C7D" w14:paraId="65E0A42E" w14:textId="77777777" w:rsidTr="0095380F">
        <w:tc>
          <w:tcPr>
            <w:tcW w:w="1034" w:type="pct"/>
            <w:tcBorders>
              <w:top w:val="nil"/>
              <w:left w:val="single" w:sz="4" w:space="0" w:color="auto"/>
              <w:bottom w:val="single" w:sz="4" w:space="0" w:color="auto"/>
              <w:right w:val="single" w:sz="4" w:space="0" w:color="auto"/>
            </w:tcBorders>
          </w:tcPr>
          <w:p w14:paraId="19251B85" w14:textId="77777777" w:rsidR="007B207A" w:rsidRDefault="00E24DA3" w:rsidP="007956E6">
            <w:pPr>
              <w:pStyle w:val="TableText0"/>
              <w:rPr>
                <w:rFonts w:eastAsia="Times New Roman" w:cs="Tahoma"/>
                <w:lang w:eastAsia="en-AU"/>
              </w:rPr>
            </w:pPr>
            <w:r w:rsidRPr="00017682">
              <w:rPr>
                <w:rFonts w:eastAsia="Times New Roman" w:cs="Tahoma"/>
                <w:lang w:eastAsia="en-AU"/>
              </w:rPr>
              <w:lastRenderedPageBreak/>
              <w:t>Immunohistochemistry/ immunofluorescence</w:t>
            </w:r>
          </w:p>
          <w:p w14:paraId="55CF24EE" w14:textId="08722D2B" w:rsidR="00E24DA3" w:rsidRPr="00DD081F" w:rsidRDefault="00E24DA3" w:rsidP="007956E6">
            <w:pPr>
              <w:pStyle w:val="TableText0"/>
            </w:pPr>
            <w:r>
              <w:rPr>
                <w:rFonts w:eastAsia="Times New Roman" w:cs="Tahoma"/>
                <w:lang w:eastAsia="en-AU"/>
              </w:rPr>
              <w:t>(cont.)</w:t>
            </w:r>
          </w:p>
        </w:tc>
        <w:tc>
          <w:tcPr>
            <w:tcW w:w="776" w:type="pct"/>
            <w:tcBorders>
              <w:left w:val="single" w:sz="4" w:space="0" w:color="auto"/>
            </w:tcBorders>
          </w:tcPr>
          <w:p w14:paraId="06C8A4BE" w14:textId="4A123949" w:rsidR="007B207A" w:rsidRPr="00371C8A" w:rsidRDefault="007B207A" w:rsidP="007956E6">
            <w:pPr>
              <w:pStyle w:val="TableText0"/>
            </w:pPr>
            <w:r w:rsidRPr="00371C8A">
              <w:t>73365 (Group P7 – Genetics)</w:t>
            </w:r>
          </w:p>
        </w:tc>
        <w:tc>
          <w:tcPr>
            <w:tcW w:w="3190" w:type="pct"/>
          </w:tcPr>
          <w:p w14:paraId="1081421E" w14:textId="77777777" w:rsidR="007B207A" w:rsidRPr="00F65C7D" w:rsidRDefault="007B207A" w:rsidP="007956E6">
            <w:pPr>
              <w:pStyle w:val="TableText0"/>
              <w:rPr>
                <w:rFonts w:eastAsia="Times New Roman" w:cs="Tahoma"/>
                <w:lang w:eastAsia="en-AU"/>
              </w:rPr>
            </w:pPr>
            <w:r w:rsidRPr="00017682">
              <w:rPr>
                <w:rFonts w:eastAsia="Times New Roman" w:cs="Tahoma"/>
                <w:lang w:eastAsia="en-AU"/>
              </w:rPr>
              <w:t xml:space="preserve">Analysis of tumour tissue, requested by a </w:t>
            </w:r>
            <w:r w:rsidRPr="00991CC0">
              <w:rPr>
                <w:rFonts w:eastAsia="Times New Roman" w:cs="Tahoma"/>
                <w:lang w:eastAsia="en-AU"/>
              </w:rPr>
              <w:t>specialist or consultant physician, that:</w:t>
            </w:r>
          </w:p>
          <w:p w14:paraId="1E78F680" w14:textId="28947696" w:rsidR="007B207A" w:rsidRPr="00F65C7D" w:rsidRDefault="007B207A" w:rsidP="007956E6">
            <w:pPr>
              <w:pStyle w:val="TableText0"/>
              <w:rPr>
                <w:rFonts w:eastAsia="Times New Roman" w:cs="Tahoma"/>
                <w:lang w:eastAsia="en-AU"/>
              </w:rPr>
            </w:pPr>
            <w:r w:rsidRPr="00F65C7D">
              <w:rPr>
                <w:rFonts w:eastAsia="Times New Roman" w:cs="Tahoma"/>
                <w:lang w:eastAsia="en-AU"/>
              </w:rPr>
              <w:t xml:space="preserve">(a) is for the characterisation of </w:t>
            </w:r>
            <w:r w:rsidRPr="00DD0475">
              <w:rPr>
                <w:rFonts w:eastAsia="Times New Roman" w:cs="Tahoma"/>
                <w:i/>
                <w:iCs/>
                <w:lang w:eastAsia="en-AU"/>
              </w:rPr>
              <w:t>MYC</w:t>
            </w:r>
            <w:r w:rsidRPr="00F65C7D">
              <w:rPr>
                <w:rFonts w:eastAsia="Times New Roman" w:cs="Tahoma"/>
                <w:lang w:eastAsia="en-AU"/>
              </w:rPr>
              <w:t xml:space="preserve"> gene rearrangement; and(b) is for a patient with clinical or laboratory evidence, including morphological features, of Burkitt lymphoma; and</w:t>
            </w:r>
          </w:p>
          <w:p w14:paraId="734C8BAE" w14:textId="36AB69CF" w:rsidR="007B207A" w:rsidRPr="00F65C7D" w:rsidRDefault="007B207A" w:rsidP="007956E6">
            <w:pPr>
              <w:pStyle w:val="TableText0"/>
              <w:rPr>
                <w:rFonts w:eastAsia="Times New Roman" w:cs="Tahoma"/>
                <w:lang w:eastAsia="en-AU"/>
              </w:rPr>
            </w:pPr>
            <w:r w:rsidRPr="00F65C7D">
              <w:rPr>
                <w:rFonts w:eastAsia="Times New Roman" w:cs="Tahoma"/>
                <w:lang w:eastAsia="en-AU"/>
              </w:rPr>
              <w:t>(c) is not performed in conjunction with item 73364. Applicable only once per lifetime</w:t>
            </w:r>
          </w:p>
          <w:p w14:paraId="5A64BE2D" w14:textId="367218B7" w:rsidR="007B207A" w:rsidRPr="00F65C7D" w:rsidRDefault="007B207A" w:rsidP="007956E6">
            <w:pPr>
              <w:pStyle w:val="TableText0"/>
              <w:rPr>
                <w:rFonts w:eastAsia="Times New Roman" w:cs="Tahoma"/>
                <w:lang w:eastAsia="en-AU"/>
              </w:rPr>
            </w:pPr>
            <w:r w:rsidRPr="00F65C7D">
              <w:rPr>
                <w:rFonts w:eastAsia="Times New Roman" w:cs="Tahoma"/>
                <w:lang w:eastAsia="en-AU"/>
              </w:rPr>
              <w:t>Fee: $340.00 Benefit: 75% = $255.00 85% = $289.00</w:t>
            </w:r>
          </w:p>
        </w:tc>
      </w:tr>
    </w:tbl>
    <w:p w14:paraId="15863BAA" w14:textId="28114D7A" w:rsidR="00677AE3" w:rsidRPr="008F1532" w:rsidRDefault="00677AE3" w:rsidP="00713728">
      <w:pPr>
        <w:pStyle w:val="Heading3"/>
      </w:pPr>
      <w:r w:rsidRPr="008F1532">
        <w:t>Reference standard</w:t>
      </w:r>
    </w:p>
    <w:p w14:paraId="312AD798" w14:textId="437F3928" w:rsidR="006E2D0D" w:rsidRDefault="008F09CA" w:rsidP="00874201">
      <w:pPr>
        <w:spacing w:before="240"/>
      </w:pPr>
      <w:r>
        <w:t xml:space="preserve">On the basis that the </w:t>
      </w:r>
      <w:r>
        <w:rPr>
          <w:color w:val="000000" w:themeColor="text1"/>
        </w:rPr>
        <w:t>diagnostic testing is recommended by t</w:t>
      </w:r>
      <w:r w:rsidRPr="002A36AC">
        <w:rPr>
          <w:color w:val="000000" w:themeColor="text1"/>
        </w:rPr>
        <w:t>he WHO guidelines</w:t>
      </w:r>
      <w:r>
        <w:rPr>
          <w:color w:val="000000" w:themeColor="text1"/>
        </w:rPr>
        <w:t>, a</w:t>
      </w:r>
      <w:r w:rsidDel="006F7CE2">
        <w:t xml:space="preserve"> </w:t>
      </w:r>
      <w:r>
        <w:t>r</w:t>
      </w:r>
      <w:r w:rsidR="00155FB9">
        <w:t>eference standard or clinical utility standard are not required in this instance.</w:t>
      </w:r>
    </w:p>
    <w:p w14:paraId="02C08CA0" w14:textId="232F8098" w:rsidR="00D54A27" w:rsidRDefault="00D54A27" w:rsidP="00E9714E">
      <w:pPr>
        <w:spacing w:after="120"/>
        <w:rPr>
          <w:i/>
          <w:iCs/>
          <w:color w:val="000000" w:themeColor="text1"/>
        </w:rPr>
      </w:pPr>
      <w:r w:rsidRPr="00B86D98">
        <w:rPr>
          <w:i/>
          <w:iCs/>
          <w:color w:val="000000" w:themeColor="text1"/>
        </w:rPr>
        <w:t>PASC confirmed that a reference standard or clinical utility standard are not required for this application by virtue of the recommendations for diagnostic testing in WHO guidelines.</w:t>
      </w:r>
    </w:p>
    <w:p w14:paraId="29C1EA87" w14:textId="409CD307" w:rsidR="007A66C8" w:rsidRPr="008F1532" w:rsidRDefault="007A66C8" w:rsidP="00713728">
      <w:pPr>
        <w:pStyle w:val="Heading3"/>
      </w:pPr>
      <w:r w:rsidRPr="008F1532">
        <w:t>Outcomes</w:t>
      </w:r>
    </w:p>
    <w:p w14:paraId="4A3EEDC4" w14:textId="327773CD" w:rsidR="00E42634" w:rsidRDefault="00E42634" w:rsidP="00041B99">
      <w:pPr>
        <w:pStyle w:val="Heading4"/>
        <w:spacing w:before="120"/>
      </w:pPr>
      <w:r w:rsidRPr="00E42634">
        <w:t>Patient</w:t>
      </w:r>
      <w:r w:rsidR="00155FB9">
        <w:t>-</w:t>
      </w:r>
      <w:r w:rsidRPr="00E42634">
        <w:t>relevant</w:t>
      </w:r>
      <w:r w:rsidR="00155FB9">
        <w:t xml:space="preserve"> health outcomes</w:t>
      </w:r>
    </w:p>
    <w:p w14:paraId="5A1EB468" w14:textId="253CD032" w:rsidR="00DD1561" w:rsidRPr="00C62FFF" w:rsidRDefault="00DD1561" w:rsidP="00DD1561">
      <w:pPr>
        <w:spacing w:after="80"/>
      </w:pPr>
      <w:r w:rsidRPr="00C62FFF">
        <w:t>Safety Outcomes:</w:t>
      </w:r>
    </w:p>
    <w:p w14:paraId="66FBE90C" w14:textId="490433CE" w:rsidR="00DD1561" w:rsidRDefault="00DD1561" w:rsidP="00BC2889">
      <w:pPr>
        <w:pStyle w:val="ListParagraph"/>
        <w:numPr>
          <w:ilvl w:val="0"/>
          <w:numId w:val="79"/>
        </w:numPr>
        <w:ind w:left="714" w:hanging="357"/>
      </w:pPr>
      <w:r>
        <w:t>Test adverse events</w:t>
      </w:r>
    </w:p>
    <w:p w14:paraId="69286772" w14:textId="0C1B3D64" w:rsidR="00DD1561" w:rsidRDefault="00DD1561" w:rsidP="000E45EF">
      <w:pPr>
        <w:pStyle w:val="ListParagraph"/>
        <w:numPr>
          <w:ilvl w:val="0"/>
          <w:numId w:val="79"/>
        </w:numPr>
      </w:pPr>
      <w:r>
        <w:t>Adverse events from treatment</w:t>
      </w:r>
    </w:p>
    <w:p w14:paraId="267F5374" w14:textId="644F17F4" w:rsidR="0031113F" w:rsidRDefault="00DD1561" w:rsidP="000E45EF">
      <w:pPr>
        <w:pStyle w:val="ListParagraph"/>
        <w:numPr>
          <w:ilvl w:val="0"/>
          <w:numId w:val="79"/>
        </w:numPr>
      </w:pPr>
      <w:r>
        <w:t>Adverse events from change in patient management</w:t>
      </w:r>
    </w:p>
    <w:p w14:paraId="25BB2FB3" w14:textId="490D9C0B" w:rsidR="00DD1561" w:rsidRPr="00C62FFF" w:rsidRDefault="00DD1561" w:rsidP="00DD1561">
      <w:r w:rsidRPr="00C62FFF">
        <w:t>Clinical Effectiveness Outcomes:</w:t>
      </w:r>
    </w:p>
    <w:p w14:paraId="1921A80B" w14:textId="3BF032FF" w:rsidR="00DD1561" w:rsidRDefault="00DD1561" w:rsidP="000E45EF">
      <w:pPr>
        <w:ind w:left="360"/>
      </w:pPr>
      <w:r>
        <w:t>Direct evidence</w:t>
      </w:r>
    </w:p>
    <w:p w14:paraId="3B386272" w14:textId="77777777" w:rsidR="00DD1561" w:rsidRDefault="00DD1561" w:rsidP="000E45EF">
      <w:pPr>
        <w:pStyle w:val="ListParagraph"/>
        <w:numPr>
          <w:ilvl w:val="0"/>
          <w:numId w:val="79"/>
        </w:numPr>
      </w:pPr>
      <w:r>
        <w:t>Change in patient health outcomes: mortality, morbidity, quality of life</w:t>
      </w:r>
    </w:p>
    <w:p w14:paraId="7D258EF2" w14:textId="77777777" w:rsidR="00DD1561" w:rsidRDefault="00DD1561" w:rsidP="000E45EF">
      <w:pPr>
        <w:ind w:left="360"/>
      </w:pPr>
      <w:r>
        <w:t>Indirect evidence</w:t>
      </w:r>
    </w:p>
    <w:p w14:paraId="58A4A91B" w14:textId="77777777" w:rsidR="00B40817" w:rsidRDefault="00B40817" w:rsidP="00B40817">
      <w:pPr>
        <w:numPr>
          <w:ilvl w:val="0"/>
          <w:numId w:val="79"/>
        </w:numPr>
        <w:spacing w:before="120" w:after="120" w:line="240" w:lineRule="auto"/>
        <w:contextualSpacing/>
      </w:pPr>
      <w:r>
        <w:t>Cumulative diagnostic yield (informative result)</w:t>
      </w:r>
    </w:p>
    <w:p w14:paraId="36DC02BD" w14:textId="77777777" w:rsidR="00B40817" w:rsidRPr="00B40817" w:rsidRDefault="00B40817" w:rsidP="00B40817">
      <w:pPr>
        <w:numPr>
          <w:ilvl w:val="0"/>
          <w:numId w:val="79"/>
        </w:numPr>
        <w:spacing w:after="0" w:line="240" w:lineRule="auto"/>
        <w:contextualSpacing/>
        <w:rPr>
          <w:rFonts w:asciiTheme="minorHAnsi" w:hAnsiTheme="minorHAnsi" w:cstheme="minorHAnsi"/>
        </w:rPr>
      </w:pPr>
      <w:r>
        <w:t>Cumulative prognostic yield (from those with an informative result)</w:t>
      </w:r>
    </w:p>
    <w:p w14:paraId="3FF856F0" w14:textId="7C0DC218" w:rsidR="00B40817" w:rsidRPr="007C7D43" w:rsidRDefault="00B40817" w:rsidP="00B40817">
      <w:pPr>
        <w:numPr>
          <w:ilvl w:val="0"/>
          <w:numId w:val="79"/>
        </w:numPr>
        <w:spacing w:after="0" w:line="240" w:lineRule="auto"/>
        <w:contextualSpacing/>
        <w:rPr>
          <w:rFonts w:asciiTheme="minorHAnsi" w:hAnsiTheme="minorHAnsi" w:cstheme="minorHAnsi"/>
        </w:rPr>
      </w:pPr>
      <w:r w:rsidRPr="00971E99">
        <w:t>Change in management/treatment resulting in change in patient outcomes: mortality, morbidity, quality of life (indirect evidence)</w:t>
      </w:r>
    </w:p>
    <w:p w14:paraId="42644105" w14:textId="11D00491" w:rsidR="00DD1561" w:rsidRPr="00DD6627" w:rsidRDefault="00DD1561" w:rsidP="00DD6627">
      <w:pPr>
        <w:pStyle w:val="Heading4"/>
        <w:spacing w:before="120"/>
      </w:pPr>
      <w:r w:rsidRPr="000E45EF">
        <w:t>Health system resources</w:t>
      </w:r>
    </w:p>
    <w:p w14:paraId="1B1F4798" w14:textId="77777777" w:rsidR="00DD1561" w:rsidRDefault="00DD1561" w:rsidP="000E45EF">
      <w:pPr>
        <w:pStyle w:val="ListParagraph"/>
        <w:numPr>
          <w:ilvl w:val="0"/>
          <w:numId w:val="79"/>
        </w:numPr>
      </w:pPr>
      <w:r>
        <w:t>Cost of gene panel test or variant-specific test</w:t>
      </w:r>
    </w:p>
    <w:p w14:paraId="4C4B2F8A" w14:textId="77777777" w:rsidR="00872C37" w:rsidRDefault="00872C37" w:rsidP="00872C37">
      <w:pPr>
        <w:pStyle w:val="ListParagraph"/>
        <w:numPr>
          <w:ilvl w:val="0"/>
          <w:numId w:val="79"/>
        </w:numPr>
      </w:pPr>
      <w:r>
        <w:t>Reduced number of preliminary diagnostic tests</w:t>
      </w:r>
    </w:p>
    <w:p w14:paraId="1631FA13" w14:textId="25FD82C5" w:rsidR="00DD1561" w:rsidRDefault="00DD1561" w:rsidP="000E45EF">
      <w:pPr>
        <w:pStyle w:val="ListParagraph"/>
        <w:numPr>
          <w:ilvl w:val="0"/>
          <w:numId w:val="79"/>
        </w:numPr>
      </w:pPr>
      <w:r>
        <w:t>Cost of targeted therapies</w:t>
      </w:r>
    </w:p>
    <w:p w14:paraId="16535AB6" w14:textId="180C028B" w:rsidR="00DD1561" w:rsidRDefault="00DD1561" w:rsidP="000E45EF">
      <w:pPr>
        <w:pStyle w:val="ListParagraph"/>
        <w:numPr>
          <w:ilvl w:val="0"/>
          <w:numId w:val="79"/>
        </w:numPr>
      </w:pPr>
      <w:r>
        <w:t>Cost per quality-adjusted life year</w:t>
      </w:r>
      <w:r w:rsidR="006D11AC">
        <w:t xml:space="preserve"> and/or cost-effectiveness [</w:t>
      </w:r>
      <w:r w:rsidR="00EF21B3">
        <w:t xml:space="preserve">The economic evaluation </w:t>
      </w:r>
      <w:r w:rsidR="006D11AC">
        <w:t xml:space="preserve">TBC at the 28 January </w:t>
      </w:r>
      <w:r w:rsidR="00874201">
        <w:t xml:space="preserve">2022 </w:t>
      </w:r>
      <w:r w:rsidR="006D11AC">
        <w:t>MSAC Executive meeting]</w:t>
      </w:r>
    </w:p>
    <w:p w14:paraId="350BFB56" w14:textId="701C437E" w:rsidR="00DD1561" w:rsidRDefault="00DD1561" w:rsidP="000E45EF">
      <w:pPr>
        <w:pStyle w:val="ListParagraph"/>
        <w:numPr>
          <w:ilvl w:val="0"/>
          <w:numId w:val="79"/>
        </w:numPr>
      </w:pPr>
      <w:r>
        <w:t>Total Australian Government healthcare costs</w:t>
      </w:r>
    </w:p>
    <w:p w14:paraId="301238F1" w14:textId="77777777" w:rsidR="00D54A27" w:rsidRPr="00B86D98" w:rsidRDefault="00D54A27" w:rsidP="00E9714E">
      <w:pPr>
        <w:spacing w:after="120"/>
        <w:rPr>
          <w:i/>
          <w:iCs/>
          <w:color w:val="000000" w:themeColor="text1"/>
        </w:rPr>
      </w:pPr>
      <w:r w:rsidRPr="00B86D98">
        <w:rPr>
          <w:i/>
          <w:iCs/>
          <w:color w:val="000000" w:themeColor="text1"/>
        </w:rPr>
        <w:t xml:space="preserve">PASC confirmed that the outcomes listed in the PICO are appropriate, with the potential addition of the outcome of ‘reduced number of preliminary diagnostic tests’ under health system resources. </w:t>
      </w:r>
    </w:p>
    <w:p w14:paraId="45E05398" w14:textId="77777777" w:rsidR="00E24DA3" w:rsidRDefault="00E24DA3">
      <w:pPr>
        <w:spacing w:after="160" w:line="259" w:lineRule="auto"/>
        <w:rPr>
          <w:i/>
          <w:iCs/>
          <w:color w:val="000000" w:themeColor="text1"/>
        </w:rPr>
      </w:pPr>
      <w:r>
        <w:rPr>
          <w:i/>
          <w:iCs/>
          <w:color w:val="000000" w:themeColor="text1"/>
        </w:rPr>
        <w:br w:type="page"/>
      </w:r>
    </w:p>
    <w:p w14:paraId="07563861" w14:textId="1F3B6D64" w:rsidR="00D54A27" w:rsidRPr="00B86D98" w:rsidRDefault="00D54A27" w:rsidP="00E9714E">
      <w:pPr>
        <w:spacing w:after="120"/>
        <w:rPr>
          <w:i/>
          <w:iCs/>
          <w:color w:val="000000" w:themeColor="text1"/>
        </w:rPr>
      </w:pPr>
      <w:r w:rsidRPr="00B86D98">
        <w:rPr>
          <w:i/>
          <w:iCs/>
          <w:color w:val="000000" w:themeColor="text1"/>
        </w:rPr>
        <w:lastRenderedPageBreak/>
        <w:t>The applicant advised that while existing MBS items to assess gene rearrangements in select haematological malignancies are currently performed via FISH, it may be able to be tested via NGS in future. PASC considered that the extent to which other genetic testing that would be required to be performed as a preliminary test was unclear. PASC advised that any cost offsets relating to the replacement of existing FISH testing items, and any projections concerning the rate in which NGS may replace FISH, should be considered as part of the assessment report.</w:t>
      </w:r>
    </w:p>
    <w:p w14:paraId="4BBF84CB" w14:textId="56F8DC96" w:rsidR="009B31CC" w:rsidRDefault="009B31CC" w:rsidP="00713728">
      <w:pPr>
        <w:pStyle w:val="Heading2"/>
      </w:pPr>
      <w:r w:rsidRPr="00490FBB">
        <w:t>Assessment framework (for investigative technologies)</w:t>
      </w:r>
    </w:p>
    <w:p w14:paraId="243353D1" w14:textId="7B995683" w:rsidR="00234038" w:rsidRDefault="00234038" w:rsidP="00041B99">
      <w:pPr>
        <w:spacing w:before="120"/>
      </w:pPr>
      <w:r>
        <w:t>The proposed assessment framework is depicted in</w:t>
      </w:r>
      <w:r w:rsidR="009A5517">
        <w:t xml:space="preserve"> </w:t>
      </w:r>
      <w:r w:rsidR="00DA4816">
        <w:t>Figure 4</w:t>
      </w:r>
    </w:p>
    <w:p w14:paraId="6E6AD705" w14:textId="6F13757E" w:rsidR="00234038" w:rsidRDefault="00D43928" w:rsidP="00DA4816">
      <w:r w:rsidRPr="00D43928">
        <w:rPr>
          <w:noProof/>
          <w:lang w:eastAsia="en-AU"/>
        </w:rPr>
        <w:drawing>
          <wp:inline distT="0" distB="0" distL="0" distR="0" wp14:anchorId="38E539AD" wp14:editId="6EC5FD85">
            <wp:extent cx="6083935" cy="2419350"/>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6"/>
                    <a:stretch>
                      <a:fillRect/>
                    </a:stretch>
                  </pic:blipFill>
                  <pic:spPr>
                    <a:xfrm>
                      <a:off x="0" y="0"/>
                      <a:ext cx="6083935" cy="2419350"/>
                    </a:xfrm>
                    <a:prstGeom prst="rect">
                      <a:avLst/>
                    </a:prstGeom>
                  </pic:spPr>
                </pic:pic>
              </a:graphicData>
            </a:graphic>
          </wp:inline>
        </w:drawing>
      </w:r>
    </w:p>
    <w:p w14:paraId="13C7D853" w14:textId="6F670F6A" w:rsidR="00234038" w:rsidRDefault="00234038">
      <w:pPr>
        <w:pStyle w:val="Caption"/>
      </w:pPr>
      <w:bookmarkStart w:id="11" w:name="_Ref85118291"/>
      <w:r>
        <w:t xml:space="preserve">Figure </w:t>
      </w:r>
      <w:r>
        <w:fldChar w:fldCharType="begin"/>
      </w:r>
      <w:r>
        <w:instrText xml:space="preserve"> SEQ Figure \* ARABIC </w:instrText>
      </w:r>
      <w:r>
        <w:fldChar w:fldCharType="separate"/>
      </w:r>
      <w:r w:rsidR="00AC37DB">
        <w:rPr>
          <w:noProof/>
        </w:rPr>
        <w:t>4</w:t>
      </w:r>
      <w:r>
        <w:fldChar w:fldCharType="end"/>
      </w:r>
      <w:bookmarkEnd w:id="11"/>
      <w:r>
        <w:tab/>
      </w:r>
      <w:r w:rsidRPr="001F21A7">
        <w:t>Assessment framework</w:t>
      </w:r>
    </w:p>
    <w:p w14:paraId="6013DB31" w14:textId="01B1116E" w:rsidR="00903219" w:rsidRPr="00DD0475" w:rsidRDefault="00903219" w:rsidP="005C14A4">
      <w:pPr>
        <w:pStyle w:val="Tablenotes"/>
      </w:pPr>
      <w:r w:rsidRPr="00DD0475">
        <w:t>Figure notes: 1: direct from test to health outcomes evidence; 2: test accuracy; 3: change in diagnosis/treatment/management; 4: influence of the change in management on health outcomes; 5: influence of the change in management on intermediate outcomes; 6: adverse events due to testing; 7: adverse events due to treatment</w:t>
      </w:r>
    </w:p>
    <w:p w14:paraId="50F8967E" w14:textId="5294BB0A" w:rsidR="00041B99" w:rsidRDefault="00903219" w:rsidP="00860FEE">
      <w:pPr>
        <w:pStyle w:val="Tablenotes"/>
      </w:pPr>
      <w:r w:rsidRPr="00DD0475">
        <w:t>QALY=quality-adjusted life-years</w:t>
      </w:r>
    </w:p>
    <w:p w14:paraId="20D99A02" w14:textId="57EF08CE" w:rsidR="008F2628" w:rsidRDefault="00D54A27" w:rsidP="00DA4816">
      <w:pPr>
        <w:spacing w:after="120"/>
        <w:rPr>
          <w:rFonts w:ascii="Franklin Gothic Medium" w:eastAsiaTheme="majorEastAsia" w:hAnsi="Franklin Gothic Medium" w:cstheme="majorBidi"/>
          <w:color w:val="000000" w:themeColor="text1"/>
          <w:sz w:val="32"/>
          <w:szCs w:val="26"/>
        </w:rPr>
      </w:pPr>
      <w:r w:rsidRPr="00B86D98">
        <w:rPr>
          <w:i/>
          <w:iCs/>
          <w:color w:val="000000" w:themeColor="text1"/>
        </w:rPr>
        <w:t>PASC confirmed that the proposed assessment framework is appropriate for genetic testing for haematological malignancies.</w:t>
      </w:r>
    </w:p>
    <w:p w14:paraId="2FA49F13" w14:textId="77777777" w:rsidR="00DA4816" w:rsidRDefault="00DA4816">
      <w:pPr>
        <w:spacing w:after="160" w:line="259" w:lineRule="auto"/>
        <w:rPr>
          <w:rFonts w:ascii="Franklin Gothic Medium" w:eastAsiaTheme="majorEastAsia" w:hAnsi="Franklin Gothic Medium" w:cstheme="majorBidi"/>
          <w:color w:val="000000" w:themeColor="text1"/>
          <w:sz w:val="32"/>
          <w:szCs w:val="26"/>
        </w:rPr>
      </w:pPr>
      <w:r>
        <w:br w:type="page"/>
      </w:r>
    </w:p>
    <w:p w14:paraId="6069F0B5" w14:textId="17FBBD94" w:rsidR="00D73332" w:rsidRPr="00490FBB" w:rsidRDefault="00D73332" w:rsidP="00713728">
      <w:pPr>
        <w:pStyle w:val="Heading2"/>
        <w:rPr>
          <w:b/>
          <w:bCs/>
          <w:i/>
        </w:rPr>
      </w:pPr>
      <w:r w:rsidRPr="00490FBB">
        <w:lastRenderedPageBreak/>
        <w:t>Clinical management algorithms</w:t>
      </w:r>
    </w:p>
    <w:p w14:paraId="3CDD9F60" w14:textId="52BA7FD8" w:rsidR="00144226" w:rsidRDefault="00D13975" w:rsidP="00420510">
      <w:pPr>
        <w:spacing w:after="0"/>
      </w:pPr>
      <w:r>
        <w:t>The clinical management algorithm for the comparator is depicted in</w:t>
      </w:r>
      <w:r w:rsidR="00DA4816">
        <w:t xml:space="preserve"> Figure 5.</w:t>
      </w:r>
      <w:r>
        <w:t xml:space="preserve"> </w:t>
      </w:r>
      <w:r w:rsidR="007D202E">
        <w:t>Patients with</w:t>
      </w:r>
      <w:r w:rsidR="006C0AC2">
        <w:t xml:space="preserve"> an</w:t>
      </w:r>
      <w:r w:rsidR="007D202E">
        <w:t xml:space="preserve"> incomplete diagnosis</w:t>
      </w:r>
      <w:r w:rsidR="00FB788E">
        <w:t xml:space="preserve"> </w:t>
      </w:r>
      <w:r w:rsidR="00F23D78">
        <w:t xml:space="preserve">of a malignant condition </w:t>
      </w:r>
      <w:r w:rsidR="006C0AC2">
        <w:t xml:space="preserve">in the absence of </w:t>
      </w:r>
      <w:r w:rsidR="00D709C4">
        <w:t xml:space="preserve">NGS-based </w:t>
      </w:r>
      <w:r w:rsidR="006C0AC2">
        <w:t xml:space="preserve">subtyping </w:t>
      </w:r>
      <w:r w:rsidR="00FB788E">
        <w:t xml:space="preserve">are required to commence generalised </w:t>
      </w:r>
      <w:r w:rsidR="006C0AC2">
        <w:t xml:space="preserve">anti-cancer </w:t>
      </w:r>
      <w:r w:rsidR="00FB788E">
        <w:t>treatment</w:t>
      </w:r>
      <w:r w:rsidR="00D709C4">
        <w:t xml:space="preserve">. </w:t>
      </w:r>
      <w:r w:rsidR="009619E9">
        <w:t xml:space="preserve">However, for </w:t>
      </w:r>
      <w:proofErr w:type="gramStart"/>
      <w:r w:rsidR="009619E9">
        <w:t>the majority of</w:t>
      </w:r>
      <w:proofErr w:type="gramEnd"/>
      <w:r w:rsidR="009619E9">
        <w:t xml:space="preserve"> patients with </w:t>
      </w:r>
      <w:r w:rsidR="00237B7E">
        <w:t>haematological</w:t>
      </w:r>
      <w:r w:rsidR="009619E9">
        <w:t xml:space="preserve"> malignancies</w:t>
      </w:r>
      <w:r w:rsidR="000C5316">
        <w:t xml:space="preserve"> (patients with </w:t>
      </w:r>
      <w:r w:rsidR="00D63377">
        <w:t>a</w:t>
      </w:r>
      <w:r w:rsidR="00D63377" w:rsidRPr="00017682">
        <w:t>cute myeloid leukaemia</w:t>
      </w:r>
      <w:r w:rsidR="00F07867">
        <w:t xml:space="preserve">, </w:t>
      </w:r>
      <w:r w:rsidR="008173BC" w:rsidRPr="00017682">
        <w:t xml:space="preserve">myelodysplastic syndromes </w:t>
      </w:r>
      <w:r w:rsidR="00F07867">
        <w:t xml:space="preserve">and many of the </w:t>
      </w:r>
      <w:r w:rsidR="008173BC" w:rsidRPr="00991CC0">
        <w:t>m</w:t>
      </w:r>
      <w:r w:rsidR="008173BC" w:rsidRPr="00017682">
        <w:t>yeloproliferative neoplasm</w:t>
      </w:r>
      <w:r w:rsidR="008173BC">
        <w:t xml:space="preserve"> </w:t>
      </w:r>
      <w:r w:rsidR="00F07867">
        <w:t>variants)</w:t>
      </w:r>
      <w:r w:rsidR="00237B7E">
        <w:t xml:space="preserve">, genetic testing for variants using NGS </w:t>
      </w:r>
      <w:r w:rsidR="000C5316">
        <w:t>is required.</w:t>
      </w:r>
    </w:p>
    <w:p w14:paraId="1AFA01E5" w14:textId="49986D9A" w:rsidR="00234038" w:rsidRDefault="00ED783F" w:rsidP="008B4F3E">
      <w:pPr>
        <w:keepNext/>
      </w:pPr>
      <w:r w:rsidRPr="00ED783F">
        <w:rPr>
          <w:noProof/>
        </w:rPr>
        <w:t xml:space="preserve"> </w:t>
      </w:r>
      <w:r w:rsidRPr="00ED783F">
        <w:rPr>
          <w:noProof/>
          <w:lang w:eastAsia="en-AU"/>
        </w:rPr>
        <w:drawing>
          <wp:inline distT="0" distB="0" distL="0" distR="0" wp14:anchorId="58449447" wp14:editId="43A7DDEA">
            <wp:extent cx="4504765" cy="3567720"/>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7"/>
                    <a:stretch>
                      <a:fillRect/>
                    </a:stretch>
                  </pic:blipFill>
                  <pic:spPr>
                    <a:xfrm>
                      <a:off x="0" y="0"/>
                      <a:ext cx="4530302" cy="3587945"/>
                    </a:xfrm>
                    <a:prstGeom prst="rect">
                      <a:avLst/>
                    </a:prstGeom>
                  </pic:spPr>
                </pic:pic>
              </a:graphicData>
            </a:graphic>
          </wp:inline>
        </w:drawing>
      </w:r>
    </w:p>
    <w:p w14:paraId="0427669E" w14:textId="599E70C7" w:rsidR="00234038" w:rsidRDefault="00234038" w:rsidP="00B64D8D">
      <w:pPr>
        <w:pStyle w:val="Caption"/>
      </w:pPr>
      <w:bookmarkStart w:id="12" w:name="_Ref85118413"/>
      <w:bookmarkStart w:id="13" w:name="_Ref85197204"/>
      <w:r>
        <w:t xml:space="preserve">Figure </w:t>
      </w:r>
      <w:r>
        <w:fldChar w:fldCharType="begin"/>
      </w:r>
      <w:r>
        <w:instrText xml:space="preserve"> SEQ Figure \* ARABIC </w:instrText>
      </w:r>
      <w:r>
        <w:fldChar w:fldCharType="separate"/>
      </w:r>
      <w:r w:rsidR="00AC37DB">
        <w:rPr>
          <w:noProof/>
        </w:rPr>
        <w:t>5</w:t>
      </w:r>
      <w:r>
        <w:fldChar w:fldCharType="end"/>
      </w:r>
      <w:bookmarkEnd w:id="12"/>
      <w:r>
        <w:tab/>
      </w:r>
      <w:r w:rsidRPr="000E2017">
        <w:t>Current</w:t>
      </w:r>
      <w:r w:rsidR="0037699B">
        <w:t xml:space="preserve"> management algorithm for</w:t>
      </w:r>
      <w:r w:rsidRPr="000E2017">
        <w:t xml:space="preserve"> investigations associated with haematological malignancies</w:t>
      </w:r>
      <w:bookmarkEnd w:id="13"/>
    </w:p>
    <w:p w14:paraId="5AC95595" w14:textId="69C3690D" w:rsidR="00573BF9" w:rsidRDefault="00234038" w:rsidP="008B4F3E">
      <w:pPr>
        <w:pStyle w:val="Tablenotes"/>
      </w:pPr>
      <w:r>
        <w:t>*</w:t>
      </w:r>
      <w:r w:rsidR="007D60E5" w:rsidRPr="008B4F3E">
        <w:rPr>
          <w:rFonts w:cs="Tahoma"/>
          <w:lang w:val="en-GB" w:eastAsia="ja-JP"/>
        </w:rPr>
        <w:t>Treatment delivered will depend on the variant(s) identified. The number and types of treatment are too numerous to list.</w:t>
      </w:r>
    </w:p>
    <w:p w14:paraId="1F86001B" w14:textId="7A42C4BF" w:rsidR="00A1775C" w:rsidRDefault="00155FB9" w:rsidP="000E45EF">
      <w:pPr>
        <w:pStyle w:val="Tablenotes"/>
        <w:rPr>
          <w:lang w:val="en-GB" w:eastAsia="ja-JP"/>
        </w:rPr>
      </w:pPr>
      <w:r>
        <w:rPr>
          <w:lang w:val="en-GB" w:eastAsia="ja-JP"/>
        </w:rPr>
        <w:t>N</w:t>
      </w:r>
      <w:r w:rsidR="0056360A" w:rsidRPr="00625076">
        <w:rPr>
          <w:lang w:val="en-GB" w:eastAsia="ja-JP"/>
        </w:rPr>
        <w:t xml:space="preserve">ote: </w:t>
      </w:r>
      <w:r w:rsidR="009C6578" w:rsidRPr="00625076">
        <w:rPr>
          <w:lang w:val="en-GB" w:eastAsia="ja-JP"/>
        </w:rPr>
        <w:t xml:space="preserve">Genetic testing for variants in patients with </w:t>
      </w:r>
      <w:r w:rsidR="00D63377">
        <w:t>a</w:t>
      </w:r>
      <w:r w:rsidR="00D63377" w:rsidRPr="00017682">
        <w:t>cute myeloid leukaemia</w:t>
      </w:r>
      <w:r w:rsidR="009C6578" w:rsidRPr="00625076">
        <w:rPr>
          <w:lang w:val="en-GB" w:eastAsia="ja-JP"/>
        </w:rPr>
        <w:t xml:space="preserve">, </w:t>
      </w:r>
      <w:r w:rsidR="008173BC" w:rsidRPr="00017682">
        <w:t>myelodysplastic syndromes</w:t>
      </w:r>
      <w:r w:rsidR="008173BC">
        <w:t xml:space="preserve"> </w:t>
      </w:r>
      <w:r w:rsidR="009C6578" w:rsidRPr="00625076">
        <w:rPr>
          <w:lang w:val="en-GB" w:eastAsia="ja-JP"/>
        </w:rPr>
        <w:t xml:space="preserve">and many of the </w:t>
      </w:r>
      <w:r w:rsidR="008173BC" w:rsidRPr="00991CC0">
        <w:t>m</w:t>
      </w:r>
      <w:r w:rsidR="008173BC" w:rsidRPr="00017682">
        <w:t>yeloproliferative neoplasm</w:t>
      </w:r>
      <w:r w:rsidR="008173BC">
        <w:t xml:space="preserve"> </w:t>
      </w:r>
      <w:r w:rsidR="009C6578" w:rsidRPr="00625076">
        <w:rPr>
          <w:lang w:val="en-GB" w:eastAsia="ja-JP"/>
        </w:rPr>
        <w:t xml:space="preserve">variants requires NGS, which is not covered by existing MBS item numbers. </w:t>
      </w:r>
      <w:r>
        <w:rPr>
          <w:lang w:val="en-GB" w:eastAsia="ja-JP"/>
        </w:rPr>
        <w:t>P</w:t>
      </w:r>
      <w:r w:rsidR="001005A9" w:rsidRPr="00625076">
        <w:rPr>
          <w:lang w:val="en-GB" w:eastAsia="ja-JP"/>
        </w:rPr>
        <w:t>atients would need to undergo multiple testing for diagnosis using a range of MBS items</w:t>
      </w:r>
      <w:r>
        <w:rPr>
          <w:lang w:val="en-GB" w:eastAsia="ja-JP"/>
        </w:rPr>
        <w:t xml:space="preserve"> for g</w:t>
      </w:r>
      <w:r w:rsidRPr="00625076">
        <w:rPr>
          <w:lang w:val="en-GB" w:eastAsia="ja-JP"/>
        </w:rPr>
        <w:t>enomic subtyping using FISH and individual molecular genetic tests investigat</w:t>
      </w:r>
      <w:r>
        <w:rPr>
          <w:lang w:val="en-GB" w:eastAsia="ja-JP"/>
        </w:rPr>
        <w:t>ing</w:t>
      </w:r>
      <w:r w:rsidRPr="00625076">
        <w:rPr>
          <w:lang w:val="en-GB" w:eastAsia="ja-JP"/>
        </w:rPr>
        <w:t xml:space="preserve"> gene rearrangements</w:t>
      </w:r>
      <w:r w:rsidR="001005A9" w:rsidRPr="00625076">
        <w:rPr>
          <w:lang w:val="en-GB" w:eastAsia="ja-JP"/>
        </w:rPr>
        <w:t>.</w:t>
      </w:r>
      <w:r w:rsidR="00A1775C">
        <w:rPr>
          <w:lang w:val="en-GB" w:eastAsia="ja-JP"/>
        </w:rPr>
        <w:t xml:space="preserve"> </w:t>
      </w:r>
    </w:p>
    <w:p w14:paraId="0E2587B7" w14:textId="323ECB8A" w:rsidR="00DF6C2B" w:rsidRDefault="00625076" w:rsidP="00A1775C">
      <w:pPr>
        <w:spacing w:after="0"/>
        <w:rPr>
          <w:lang w:val="en-GB" w:eastAsia="ja-JP"/>
        </w:rPr>
      </w:pPr>
      <w:r>
        <w:rPr>
          <w:lang w:val="en-GB" w:eastAsia="ja-JP"/>
        </w:rPr>
        <w:t>The proposed clinical management algorithm is depicted in</w:t>
      </w:r>
      <w:r w:rsidR="00DA4816">
        <w:rPr>
          <w:lang w:val="en-GB" w:eastAsia="ja-JP"/>
        </w:rPr>
        <w:t xml:space="preserve"> Figure 6.</w:t>
      </w:r>
      <w:r>
        <w:rPr>
          <w:lang w:val="en-GB" w:eastAsia="ja-JP"/>
        </w:rPr>
        <w:t xml:space="preserve"> Patients </w:t>
      </w:r>
      <w:r w:rsidR="00EA5735">
        <w:rPr>
          <w:lang w:val="en-GB" w:eastAsia="ja-JP"/>
        </w:rPr>
        <w:t>who receive a</w:t>
      </w:r>
      <w:r w:rsidR="003A4B99">
        <w:rPr>
          <w:lang w:val="en-GB" w:eastAsia="ja-JP"/>
        </w:rPr>
        <w:t xml:space="preserve"> </w:t>
      </w:r>
      <w:r w:rsidR="00EA5735">
        <w:rPr>
          <w:lang w:val="en-GB" w:eastAsia="ja-JP"/>
        </w:rPr>
        <w:t>malignant diagnosis from clinical investigations can undergo genomic subtyping</w:t>
      </w:r>
      <w:r w:rsidR="00934361">
        <w:rPr>
          <w:lang w:val="en-GB" w:eastAsia="ja-JP"/>
        </w:rPr>
        <w:t xml:space="preserve"> using </w:t>
      </w:r>
      <w:r w:rsidR="00934361" w:rsidRPr="00484486">
        <w:rPr>
          <w:rFonts w:asciiTheme="minorHAnsi" w:hAnsiTheme="minorHAnsi" w:cstheme="minorHAnsi"/>
        </w:rPr>
        <w:t>NGS</w:t>
      </w:r>
      <w:r w:rsidR="00934361">
        <w:rPr>
          <w:rFonts w:asciiTheme="minorHAnsi" w:hAnsiTheme="minorHAnsi" w:cstheme="minorHAnsi"/>
        </w:rPr>
        <w:t xml:space="preserve"> gene panel testing</w:t>
      </w:r>
      <w:r w:rsidR="00EA5735">
        <w:rPr>
          <w:lang w:val="en-GB" w:eastAsia="ja-JP"/>
        </w:rPr>
        <w:t xml:space="preserve"> </w:t>
      </w:r>
      <w:r w:rsidR="003E18D2">
        <w:rPr>
          <w:lang w:val="en-GB" w:eastAsia="ja-JP"/>
        </w:rPr>
        <w:t xml:space="preserve">for diagnostic purposes and </w:t>
      </w:r>
      <w:r w:rsidR="00EA5735">
        <w:rPr>
          <w:lang w:val="en-GB" w:eastAsia="ja-JP"/>
        </w:rPr>
        <w:t>to</w:t>
      </w:r>
      <w:r w:rsidR="00D709C4">
        <w:rPr>
          <w:lang w:val="en-GB" w:eastAsia="ja-JP"/>
        </w:rPr>
        <w:t xml:space="preserve"> </w:t>
      </w:r>
      <w:r w:rsidR="003E18D2">
        <w:rPr>
          <w:lang w:val="en-GB" w:eastAsia="ja-JP"/>
        </w:rPr>
        <w:t xml:space="preserve">potentially </w:t>
      </w:r>
      <w:r w:rsidR="00EA5735">
        <w:rPr>
          <w:lang w:val="en-GB" w:eastAsia="ja-JP"/>
        </w:rPr>
        <w:t xml:space="preserve">identify specific treatment pathways and </w:t>
      </w:r>
      <w:r w:rsidR="007D202E">
        <w:rPr>
          <w:lang w:val="en-GB" w:eastAsia="ja-JP"/>
        </w:rPr>
        <w:t>prognosis information</w:t>
      </w:r>
      <w:r>
        <w:rPr>
          <w:lang w:val="en-GB" w:eastAsia="ja-JP"/>
        </w:rPr>
        <w:t>.</w:t>
      </w:r>
    </w:p>
    <w:p w14:paraId="0A6363D7" w14:textId="77B18C2D" w:rsidR="00B64D8D" w:rsidRDefault="00ED783F" w:rsidP="00B64D8D">
      <w:pPr>
        <w:keepNext/>
      </w:pPr>
      <w:r w:rsidRPr="00ED783F">
        <w:rPr>
          <w:noProof/>
        </w:rPr>
        <w:lastRenderedPageBreak/>
        <w:t xml:space="preserve"> </w:t>
      </w:r>
      <w:r w:rsidRPr="00ED783F">
        <w:rPr>
          <w:noProof/>
          <w:lang w:eastAsia="en-AU"/>
        </w:rPr>
        <w:drawing>
          <wp:inline distT="0" distB="0" distL="0" distR="0" wp14:anchorId="3C87E0E3" wp14:editId="0B41D513">
            <wp:extent cx="6426835" cy="4257675"/>
            <wp:effectExtent l="0" t="0" r="0" b="952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8"/>
                    <a:stretch>
                      <a:fillRect/>
                    </a:stretch>
                  </pic:blipFill>
                  <pic:spPr>
                    <a:xfrm>
                      <a:off x="0" y="0"/>
                      <a:ext cx="6426835" cy="4257675"/>
                    </a:xfrm>
                    <a:prstGeom prst="rect">
                      <a:avLst/>
                    </a:prstGeom>
                  </pic:spPr>
                </pic:pic>
              </a:graphicData>
            </a:graphic>
          </wp:inline>
        </w:drawing>
      </w:r>
    </w:p>
    <w:p w14:paraId="01088646" w14:textId="30DBAE63" w:rsidR="00234038" w:rsidRDefault="00B64D8D" w:rsidP="008B4F3E">
      <w:pPr>
        <w:pStyle w:val="Caption"/>
      </w:pPr>
      <w:bookmarkStart w:id="14" w:name="_Ref85185146"/>
      <w:r>
        <w:t xml:space="preserve">Figure </w:t>
      </w:r>
      <w:r>
        <w:fldChar w:fldCharType="begin"/>
      </w:r>
      <w:r>
        <w:instrText xml:space="preserve"> SEQ Figure \* ARABIC </w:instrText>
      </w:r>
      <w:r>
        <w:fldChar w:fldCharType="separate"/>
      </w:r>
      <w:r>
        <w:rPr>
          <w:noProof/>
        </w:rPr>
        <w:t>6</w:t>
      </w:r>
      <w:r>
        <w:fldChar w:fldCharType="end"/>
      </w:r>
      <w:bookmarkEnd w:id="14"/>
      <w:r>
        <w:t xml:space="preserve"> </w:t>
      </w:r>
      <w:r w:rsidRPr="00582FDD">
        <w:t>Proposed management algorithm for investigations associated with haematological malignancies</w:t>
      </w:r>
    </w:p>
    <w:p w14:paraId="5B7D853A" w14:textId="1EFEFD1B" w:rsidR="006F668F" w:rsidRPr="00DD0475" w:rsidRDefault="00D223C1" w:rsidP="004370ED">
      <w:pPr>
        <w:pStyle w:val="Tablenotes"/>
      </w:pPr>
      <w:r w:rsidRPr="00DD0475">
        <w:t>*Treatment delivered will depend on the variant(s) identified. The number and types of treatment are too numerous to list.</w:t>
      </w:r>
    </w:p>
    <w:p w14:paraId="40519CD8" w14:textId="350817D6" w:rsidR="0054017F" w:rsidRDefault="009049A5">
      <w:pPr>
        <w:rPr>
          <w:lang w:val="en-GB" w:eastAsia="ja-JP"/>
        </w:rPr>
      </w:pPr>
      <w:r>
        <w:rPr>
          <w:lang w:val="en-GB" w:eastAsia="ja-JP"/>
        </w:rPr>
        <w:t xml:space="preserve">Genomic subtyping is an additional service provided to patients with </w:t>
      </w:r>
      <w:r w:rsidR="00D4071B">
        <w:rPr>
          <w:lang w:val="en-GB" w:eastAsia="ja-JP"/>
        </w:rPr>
        <w:t xml:space="preserve">a </w:t>
      </w:r>
      <w:r>
        <w:rPr>
          <w:lang w:val="en-GB" w:eastAsia="ja-JP"/>
        </w:rPr>
        <w:t xml:space="preserve">malignant diagnosis </w:t>
      </w:r>
      <w:proofErr w:type="gramStart"/>
      <w:r>
        <w:rPr>
          <w:lang w:val="en-GB" w:eastAsia="ja-JP"/>
        </w:rPr>
        <w:t>post clinical investigations</w:t>
      </w:r>
      <w:proofErr w:type="gramEnd"/>
      <w:r>
        <w:rPr>
          <w:lang w:val="en-GB" w:eastAsia="ja-JP"/>
        </w:rPr>
        <w:t xml:space="preserve">. </w:t>
      </w:r>
      <w:r w:rsidR="00E642C6">
        <w:rPr>
          <w:lang w:val="en-GB" w:eastAsia="ja-JP"/>
        </w:rPr>
        <w:t>P</w:t>
      </w:r>
      <w:r w:rsidR="00241DE5">
        <w:rPr>
          <w:lang w:val="en-GB" w:eastAsia="ja-JP"/>
        </w:rPr>
        <w:t>atients with a</w:t>
      </w:r>
      <w:r w:rsidR="00D4071B">
        <w:rPr>
          <w:lang w:val="en-GB" w:eastAsia="ja-JP"/>
        </w:rPr>
        <w:t xml:space="preserve"> </w:t>
      </w:r>
      <w:r w:rsidR="00D712AA">
        <w:rPr>
          <w:lang w:val="en-GB" w:eastAsia="ja-JP"/>
        </w:rPr>
        <w:t xml:space="preserve">malignant diagnosis </w:t>
      </w:r>
      <w:r w:rsidR="00FD4A1C">
        <w:rPr>
          <w:lang w:val="en-GB" w:eastAsia="ja-JP"/>
        </w:rPr>
        <w:t xml:space="preserve">are </w:t>
      </w:r>
      <w:r w:rsidR="00E642C6">
        <w:rPr>
          <w:lang w:val="en-GB" w:eastAsia="ja-JP"/>
        </w:rPr>
        <w:t xml:space="preserve">currently </w:t>
      </w:r>
      <w:r w:rsidR="00FD4A1C">
        <w:rPr>
          <w:lang w:val="en-GB" w:eastAsia="ja-JP"/>
        </w:rPr>
        <w:t>directed to receive generalised treatmen</w:t>
      </w:r>
      <w:r w:rsidR="001273DC">
        <w:rPr>
          <w:lang w:val="en-GB" w:eastAsia="ja-JP"/>
        </w:rPr>
        <w:t>t</w:t>
      </w:r>
      <w:r w:rsidR="00745FBD">
        <w:rPr>
          <w:lang w:val="en-GB" w:eastAsia="ja-JP"/>
        </w:rPr>
        <w:t xml:space="preserve">, </w:t>
      </w:r>
      <w:r>
        <w:rPr>
          <w:lang w:val="en-GB" w:eastAsia="ja-JP"/>
        </w:rPr>
        <w:t>whereas</w:t>
      </w:r>
      <w:r w:rsidR="00745FBD">
        <w:rPr>
          <w:lang w:val="en-GB" w:eastAsia="ja-JP"/>
        </w:rPr>
        <w:t xml:space="preserve"> </w:t>
      </w:r>
      <w:r w:rsidR="00E642C6">
        <w:rPr>
          <w:lang w:val="en-GB" w:eastAsia="ja-JP"/>
        </w:rPr>
        <w:t>the proposed management algorithm suggests the introduction of genomic subtyping</w:t>
      </w:r>
      <w:r w:rsidR="003A4B99">
        <w:rPr>
          <w:lang w:val="en-GB" w:eastAsia="ja-JP"/>
        </w:rPr>
        <w:t xml:space="preserve"> and thereafter specific treatment</w:t>
      </w:r>
      <w:r w:rsidR="00E642C6">
        <w:rPr>
          <w:lang w:val="en-GB" w:eastAsia="ja-JP"/>
        </w:rPr>
        <w:t xml:space="preserve">. The introduction of genomic subtyping for these patients </w:t>
      </w:r>
      <w:r w:rsidR="00AE1309">
        <w:rPr>
          <w:lang w:val="en-GB" w:eastAsia="ja-JP"/>
        </w:rPr>
        <w:t>can</w:t>
      </w:r>
      <w:r w:rsidR="00E642C6">
        <w:rPr>
          <w:lang w:val="en-GB" w:eastAsia="ja-JP"/>
        </w:rPr>
        <w:t xml:space="preserve"> increase </w:t>
      </w:r>
      <w:r w:rsidR="00AE0EDE">
        <w:rPr>
          <w:lang w:val="en-GB" w:eastAsia="ja-JP"/>
        </w:rPr>
        <w:t xml:space="preserve">the success of treatment </w:t>
      </w:r>
      <w:r w:rsidR="00EB76EB">
        <w:rPr>
          <w:lang w:val="en-GB" w:eastAsia="ja-JP"/>
        </w:rPr>
        <w:t xml:space="preserve">and improve health </w:t>
      </w:r>
      <w:r w:rsidR="004F361E">
        <w:rPr>
          <w:lang w:val="en-GB" w:eastAsia="ja-JP"/>
        </w:rPr>
        <w:t xml:space="preserve">outcomes </w:t>
      </w:r>
      <w:r w:rsidR="00185266">
        <w:rPr>
          <w:lang w:val="en-GB" w:eastAsia="ja-JP"/>
        </w:rPr>
        <w:t>by delivering a specific diagnosis that informs prognosis and</w:t>
      </w:r>
      <w:r w:rsidR="005B174D">
        <w:rPr>
          <w:lang w:val="en-GB" w:eastAsia="ja-JP"/>
        </w:rPr>
        <w:t xml:space="preserve"> allows use of</w:t>
      </w:r>
      <w:r w:rsidR="00185266">
        <w:rPr>
          <w:lang w:val="en-GB" w:eastAsia="ja-JP"/>
        </w:rPr>
        <w:t xml:space="preserve"> precision medicine</w:t>
      </w:r>
      <w:r w:rsidR="00D51EA2">
        <w:rPr>
          <w:lang w:val="en-GB" w:eastAsia="ja-JP"/>
        </w:rPr>
        <w:t xml:space="preserve"> </w:t>
      </w:r>
      <w:r w:rsidR="00196E4C">
        <w:rPr>
          <w:lang w:val="en-GB" w:eastAsia="ja-JP"/>
        </w:rPr>
        <w:t>through the</w:t>
      </w:r>
      <w:r w:rsidR="00D51EA2">
        <w:rPr>
          <w:lang w:val="en-GB" w:eastAsia="ja-JP"/>
        </w:rPr>
        <w:t xml:space="preserve"> identifi</w:t>
      </w:r>
      <w:r w:rsidR="00196E4C">
        <w:rPr>
          <w:lang w:val="en-GB" w:eastAsia="ja-JP"/>
        </w:rPr>
        <w:t>cation of</w:t>
      </w:r>
      <w:r w:rsidR="00D51EA2">
        <w:rPr>
          <w:lang w:val="en-GB" w:eastAsia="ja-JP"/>
        </w:rPr>
        <w:t xml:space="preserve"> tumour variants</w:t>
      </w:r>
      <w:r w:rsidR="00185266">
        <w:rPr>
          <w:lang w:val="en-GB" w:eastAsia="ja-JP"/>
        </w:rPr>
        <w:t>.</w:t>
      </w:r>
    </w:p>
    <w:p w14:paraId="28464EF4" w14:textId="575A0089" w:rsidR="00F51B05" w:rsidRDefault="00F51B05" w:rsidP="009F5FA3">
      <w:pPr>
        <w:rPr>
          <w:lang w:val="en-GB" w:eastAsia="ja-JP"/>
        </w:rPr>
      </w:pPr>
      <w:r w:rsidRPr="00497605">
        <w:rPr>
          <w:lang w:val="en-GB" w:eastAsia="ja-JP"/>
        </w:rPr>
        <w:t xml:space="preserve">The </w:t>
      </w:r>
      <w:r w:rsidR="00F022D7">
        <w:rPr>
          <w:lang w:val="en-GB" w:eastAsia="ja-JP"/>
        </w:rPr>
        <w:t>proposed</w:t>
      </w:r>
      <w:r w:rsidRPr="00497605">
        <w:rPr>
          <w:lang w:val="en-GB" w:eastAsia="ja-JP"/>
        </w:rPr>
        <w:t xml:space="preserve"> test will primar</w:t>
      </w:r>
      <w:r w:rsidR="00F022D7">
        <w:rPr>
          <w:lang w:val="en-GB" w:eastAsia="ja-JP"/>
        </w:rPr>
        <w:t>il</w:t>
      </w:r>
      <w:r w:rsidRPr="00497605">
        <w:rPr>
          <w:lang w:val="en-GB" w:eastAsia="ja-JP"/>
        </w:rPr>
        <w:t xml:space="preserve">y be considered for </w:t>
      </w:r>
      <w:r w:rsidR="00497605" w:rsidRPr="00497605">
        <w:rPr>
          <w:lang w:val="en-GB" w:eastAsia="ja-JP"/>
        </w:rPr>
        <w:t>diagnostic</w:t>
      </w:r>
      <w:r w:rsidRPr="00497605">
        <w:rPr>
          <w:lang w:val="en-GB" w:eastAsia="ja-JP"/>
        </w:rPr>
        <w:t xml:space="preserve"> purposes</w:t>
      </w:r>
      <w:r w:rsidR="00497605" w:rsidRPr="00497605">
        <w:rPr>
          <w:lang w:val="en-GB" w:eastAsia="ja-JP"/>
        </w:rPr>
        <w:t xml:space="preserve"> at initial diagnosis and at disease relapse(s) only,</w:t>
      </w:r>
      <w:r w:rsidRPr="00497605">
        <w:rPr>
          <w:lang w:val="en-GB" w:eastAsia="ja-JP"/>
        </w:rPr>
        <w:t xml:space="preserve"> with prognosis as a secondary outcome.</w:t>
      </w:r>
      <w:r w:rsidR="00497605" w:rsidRPr="00497605">
        <w:rPr>
          <w:lang w:val="en-GB" w:eastAsia="ja-JP"/>
        </w:rPr>
        <w:t xml:space="preserve"> Whilst the applicant discussed the use of monitoring, other currently available methods and technologies will be used to monitor patients’ response to the treatment.</w:t>
      </w:r>
    </w:p>
    <w:p w14:paraId="06540912" w14:textId="77777777" w:rsidR="00D54A27" w:rsidRPr="00B86D98" w:rsidRDefault="00D54A27" w:rsidP="00E9714E">
      <w:pPr>
        <w:spacing w:after="120"/>
        <w:rPr>
          <w:i/>
          <w:iCs/>
          <w:color w:val="000000" w:themeColor="text1"/>
        </w:rPr>
      </w:pPr>
      <w:r w:rsidRPr="00B86D98">
        <w:rPr>
          <w:i/>
          <w:iCs/>
          <w:color w:val="000000" w:themeColor="text1"/>
        </w:rPr>
        <w:t xml:space="preserve">PASC confirmed that the clinical management algorithms are appropriate. Although, PASC advised that the other molecular tests on the MBS should be captured in the algorithms. </w:t>
      </w:r>
    </w:p>
    <w:p w14:paraId="2A293E9E" w14:textId="59AFBAD1" w:rsidR="000E11A4" w:rsidRPr="00284B76" w:rsidRDefault="00D54A27" w:rsidP="00284B76">
      <w:pPr>
        <w:spacing w:after="120"/>
        <w:rPr>
          <w:i/>
          <w:iCs/>
          <w:color w:val="000000" w:themeColor="text1"/>
        </w:rPr>
      </w:pPr>
      <w:r w:rsidRPr="003C434D">
        <w:rPr>
          <w:i/>
          <w:iCs/>
          <w:color w:val="000000" w:themeColor="text1"/>
        </w:rPr>
        <w:t xml:space="preserve">During the pre-PASC response, the applicant </w:t>
      </w:r>
      <w:r>
        <w:rPr>
          <w:i/>
          <w:iCs/>
          <w:color w:val="000000" w:themeColor="text1"/>
        </w:rPr>
        <w:t>confirmed</w:t>
      </w:r>
      <w:r w:rsidRPr="003C434D">
        <w:rPr>
          <w:i/>
          <w:iCs/>
          <w:color w:val="000000" w:themeColor="text1"/>
        </w:rPr>
        <w:t xml:space="preserve"> that NGS gene testing is not intended for the monitoring</w:t>
      </w:r>
      <w:r>
        <w:rPr>
          <w:i/>
          <w:iCs/>
          <w:color w:val="000000" w:themeColor="text1"/>
        </w:rPr>
        <w:t xml:space="preserve"> (e.g. minimal residual disease analysis)</w:t>
      </w:r>
      <w:r w:rsidRPr="003C434D">
        <w:rPr>
          <w:i/>
          <w:iCs/>
          <w:color w:val="000000" w:themeColor="text1"/>
        </w:rPr>
        <w:t xml:space="preserve"> of a patient’s response to treatment. Instead, this application is intended to provide genomic subtyping to those patients with an incomplete diagnosis to confirm, amend or change the initial diagnosis</w:t>
      </w:r>
      <w:r>
        <w:rPr>
          <w:i/>
          <w:iCs/>
          <w:color w:val="000000" w:themeColor="text1"/>
        </w:rPr>
        <w:t>, and at disease relapse</w:t>
      </w:r>
      <w:r w:rsidRPr="003C434D">
        <w:rPr>
          <w:i/>
          <w:iCs/>
          <w:color w:val="000000" w:themeColor="text1"/>
        </w:rPr>
        <w:t>.</w:t>
      </w:r>
      <w:r>
        <w:rPr>
          <w:i/>
          <w:iCs/>
          <w:color w:val="000000" w:themeColor="text1"/>
        </w:rPr>
        <w:t xml:space="preserve"> P</w:t>
      </w:r>
      <w:r w:rsidRPr="003C434D">
        <w:rPr>
          <w:i/>
          <w:iCs/>
          <w:color w:val="000000" w:themeColor="text1"/>
        </w:rPr>
        <w:t>atients are monitored clinical</w:t>
      </w:r>
      <w:r>
        <w:rPr>
          <w:i/>
          <w:iCs/>
          <w:color w:val="000000" w:themeColor="text1"/>
        </w:rPr>
        <w:t>ly and through the use of other non-NGS-based tests</w:t>
      </w:r>
      <w:r w:rsidRPr="003C434D">
        <w:rPr>
          <w:i/>
          <w:iCs/>
          <w:color w:val="000000" w:themeColor="text1"/>
        </w:rPr>
        <w:t>. PASC acknowledged that repeat testing may be required if patien</w:t>
      </w:r>
      <w:r>
        <w:rPr>
          <w:i/>
          <w:iCs/>
          <w:color w:val="000000" w:themeColor="text1"/>
        </w:rPr>
        <w:t>t results</w:t>
      </w:r>
      <w:r w:rsidRPr="003C434D">
        <w:rPr>
          <w:i/>
          <w:iCs/>
          <w:color w:val="000000" w:themeColor="text1"/>
        </w:rPr>
        <w:t xml:space="preserve"> are inconclusive.</w:t>
      </w:r>
      <w:r w:rsidR="000E11A4">
        <w:br w:type="page"/>
      </w:r>
    </w:p>
    <w:p w14:paraId="2BDE22B9" w14:textId="0071D5F1" w:rsidR="00D73332" w:rsidRDefault="00D73332" w:rsidP="00713728">
      <w:pPr>
        <w:pStyle w:val="Heading2"/>
        <w:rPr>
          <w:b/>
          <w:bCs/>
          <w:i/>
        </w:rPr>
      </w:pPr>
      <w:r w:rsidRPr="00490FBB">
        <w:lastRenderedPageBreak/>
        <w:t>Proposed economic evaluation</w:t>
      </w:r>
    </w:p>
    <w:p w14:paraId="3F20C01B" w14:textId="047C873E" w:rsidR="00B76CCD" w:rsidRDefault="0051739C">
      <w:r w:rsidRPr="00230FFA">
        <w:t>Based on the clinical claim of superiority in clinical effectiveness, a cost-effectiveness or cost-utility analysis</w:t>
      </w:r>
      <w:r w:rsidRPr="0051739C">
        <w:t xml:space="preserve"> would be appropriate</w:t>
      </w:r>
      <w:r w:rsidR="00234038">
        <w:t xml:space="preserve"> (</w:t>
      </w:r>
      <w:r w:rsidR="005F1A1A">
        <w:fldChar w:fldCharType="begin"/>
      </w:r>
      <w:r w:rsidR="005F1A1A">
        <w:instrText xml:space="preserve"> REF _Ref85118640 \h </w:instrText>
      </w:r>
      <w:r w:rsidR="005F1A1A">
        <w:fldChar w:fldCharType="separate"/>
      </w:r>
      <w:r w:rsidR="00F743A4">
        <w:t xml:space="preserve">Table </w:t>
      </w:r>
      <w:r w:rsidR="00F743A4">
        <w:rPr>
          <w:noProof/>
        </w:rPr>
        <w:t>7</w:t>
      </w:r>
      <w:r w:rsidR="005F1A1A">
        <w:fldChar w:fldCharType="end"/>
      </w:r>
      <w:r w:rsidR="00234038">
        <w:fldChar w:fldCharType="begin"/>
      </w:r>
      <w:r w:rsidR="00234038">
        <w:instrText xml:space="preserve"> REF _Ref85118640 \h </w:instrText>
      </w:r>
      <w:r w:rsidR="00234038">
        <w:fldChar w:fldCharType="end"/>
      </w:r>
      <w:r w:rsidR="00234038">
        <w:t>)</w:t>
      </w:r>
      <w:r w:rsidRPr="0051739C">
        <w:t xml:space="preserve">. </w:t>
      </w:r>
      <w:r w:rsidR="006F48C4">
        <w:t xml:space="preserve">Further, a </w:t>
      </w:r>
      <w:r w:rsidR="000E45EF">
        <w:t xml:space="preserve">cost-effectiveness </w:t>
      </w:r>
      <w:r w:rsidR="006F48C4">
        <w:t xml:space="preserve">and/or </w:t>
      </w:r>
      <w:r w:rsidR="000E45EF">
        <w:t xml:space="preserve">cost-utility analysis </w:t>
      </w:r>
      <w:r w:rsidR="006F48C4">
        <w:t xml:space="preserve">will </w:t>
      </w:r>
      <w:r w:rsidR="00B9187F">
        <w:t>accurately represent</w:t>
      </w:r>
      <w:r w:rsidR="006F48C4">
        <w:t xml:space="preserve"> the incremental health outcomes to be considered </w:t>
      </w:r>
      <w:r w:rsidR="00B9187F">
        <w:t>(</w:t>
      </w:r>
      <w:r w:rsidR="002705CB">
        <w:t>i.e.</w:t>
      </w:r>
      <w:r w:rsidR="003E3B8C">
        <w:t>,</w:t>
      </w:r>
      <w:r w:rsidR="002705CB">
        <w:t xml:space="preserve"> </w:t>
      </w:r>
      <w:r w:rsidR="006F48C4">
        <w:t>QALYs, mortality and morbidity</w:t>
      </w:r>
      <w:r w:rsidR="002705CB">
        <w:t>).</w:t>
      </w:r>
      <w:r w:rsidR="006F48C4" w:rsidRPr="0051739C">
        <w:t xml:space="preserve"> </w:t>
      </w:r>
      <w:r w:rsidR="002705CB">
        <w:t>As</w:t>
      </w:r>
      <w:r w:rsidRPr="0051739C">
        <w:t xml:space="preserve"> the comparator </w:t>
      </w:r>
      <w:r w:rsidR="00022178">
        <w:t>is no gene panel testing</w:t>
      </w:r>
      <w:r w:rsidR="00D56962">
        <w:t>,</w:t>
      </w:r>
      <w:r w:rsidRPr="0051739C">
        <w:t xml:space="preserve"> the economic evaluation should capture the incremental value of</w:t>
      </w:r>
      <w:r w:rsidR="004E44FE">
        <w:t xml:space="preserve"> current</w:t>
      </w:r>
      <w:r w:rsidRPr="0051739C">
        <w:t xml:space="preserve"> testing</w:t>
      </w:r>
      <w:r w:rsidR="004E44FE">
        <w:t xml:space="preserve"> procedures</w:t>
      </w:r>
      <w:r w:rsidRPr="0051739C">
        <w:t xml:space="preserve"> for </w:t>
      </w:r>
      <w:r w:rsidR="004E44FE">
        <w:t xml:space="preserve">all </w:t>
      </w:r>
      <w:r w:rsidRPr="0051739C">
        <w:t xml:space="preserve">conditions </w:t>
      </w:r>
      <w:r w:rsidR="004E44FE">
        <w:t xml:space="preserve">in the absence of </w:t>
      </w:r>
      <w:r w:rsidR="00C441EB">
        <w:t>gene panel testing.</w:t>
      </w:r>
    </w:p>
    <w:p w14:paraId="1FBC652E" w14:textId="7B885044" w:rsidR="00234038" w:rsidRDefault="00234038" w:rsidP="00880A69">
      <w:pPr>
        <w:pStyle w:val="Caption"/>
      </w:pPr>
      <w:bookmarkStart w:id="15" w:name="_Ref85118640"/>
      <w:r>
        <w:t xml:space="preserve">Table </w:t>
      </w:r>
      <w:r>
        <w:fldChar w:fldCharType="begin"/>
      </w:r>
      <w:r>
        <w:instrText xml:space="preserve"> SEQ Table \* ARABIC </w:instrText>
      </w:r>
      <w:r>
        <w:fldChar w:fldCharType="separate"/>
      </w:r>
      <w:r w:rsidR="00CA44B7">
        <w:rPr>
          <w:noProof/>
        </w:rPr>
        <w:t>7</w:t>
      </w:r>
      <w:r>
        <w:fldChar w:fldCharType="end"/>
      </w:r>
      <w:bookmarkEnd w:id="15"/>
      <w:r>
        <w:tab/>
      </w:r>
      <w:r w:rsidRPr="00B70105">
        <w:t>Classification of comparative effectiveness and safety of the proposed intervention, compared with its main comparator, and guide to the suitable type of economic evaluation</w:t>
      </w:r>
    </w:p>
    <w:tbl>
      <w:tblPr>
        <w:tblpPr w:leftFromText="180" w:rightFromText="180" w:vertAnchor="text" w:horzAnchor="margin" w:tblpX="-5" w:tblpY="64"/>
        <w:tblW w:w="5265" w:type="pct"/>
        <w:tblLayout w:type="fixed"/>
        <w:tblCellMar>
          <w:left w:w="115" w:type="dxa"/>
          <w:right w:w="115" w:type="dxa"/>
        </w:tblCellMar>
        <w:tblLook w:val="01E0" w:firstRow="1" w:lastRow="1" w:firstColumn="1" w:lastColumn="1" w:noHBand="0" w:noVBand="0"/>
        <w:tblCaption w:val="Table 19 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1623"/>
        <w:gridCol w:w="2423"/>
        <w:gridCol w:w="2215"/>
        <w:gridCol w:w="1668"/>
        <w:gridCol w:w="2149"/>
      </w:tblGrid>
      <w:tr w:rsidR="00F65C7D" w:rsidRPr="00F65C7D" w14:paraId="7D281C21" w14:textId="77777777" w:rsidTr="008B4F3E">
        <w:trPr>
          <w:cantSplit/>
          <w:tblHeader/>
        </w:trPr>
        <w:tc>
          <w:tcPr>
            <w:tcW w:w="1529" w:type="dxa"/>
            <w:vMerge w:val="restart"/>
            <w:tcBorders>
              <w:top w:val="single" w:sz="4" w:space="0" w:color="auto"/>
              <w:left w:val="single" w:sz="4" w:space="0" w:color="auto"/>
              <w:right w:val="single" w:sz="4" w:space="0" w:color="auto"/>
            </w:tcBorders>
          </w:tcPr>
          <w:p w14:paraId="24C0D30D" w14:textId="77777777" w:rsidR="00BF4695" w:rsidRPr="008B4F3E" w:rsidRDefault="00BF4695" w:rsidP="00880A69">
            <w:pPr>
              <w:pStyle w:val="TableHeading"/>
            </w:pPr>
            <w:bookmarkStart w:id="16" w:name="Title_Table2" w:colFirst="0" w:colLast="0"/>
            <w:bookmarkStart w:id="17" w:name="_Ref54260209"/>
            <w:r w:rsidRPr="008B4F3E">
              <w:t>Comparative safety</w:t>
            </w:r>
            <w:r w:rsidRPr="008B4F3E">
              <w:rPr>
                <w:color w:val="FFFFFF" w:themeColor="background1"/>
              </w:rPr>
              <w:t>-</w:t>
            </w:r>
          </w:p>
        </w:tc>
        <w:tc>
          <w:tcPr>
            <w:tcW w:w="2283" w:type="dxa"/>
            <w:tcBorders>
              <w:top w:val="single" w:sz="4" w:space="0" w:color="auto"/>
              <w:left w:val="single" w:sz="4" w:space="0" w:color="auto"/>
              <w:bottom w:val="single" w:sz="4" w:space="0" w:color="auto"/>
              <w:right w:val="nil"/>
            </w:tcBorders>
          </w:tcPr>
          <w:p w14:paraId="146D5C30" w14:textId="77777777" w:rsidR="00BF4695" w:rsidRPr="008B4F3E" w:rsidRDefault="00BF4695" w:rsidP="00880A69">
            <w:pPr>
              <w:pStyle w:val="TableHeading"/>
            </w:pPr>
          </w:p>
        </w:tc>
        <w:tc>
          <w:tcPr>
            <w:tcW w:w="2087" w:type="dxa"/>
            <w:tcBorders>
              <w:top w:val="single" w:sz="4" w:space="0" w:color="auto"/>
              <w:left w:val="nil"/>
              <w:bottom w:val="single" w:sz="4" w:space="0" w:color="auto"/>
            </w:tcBorders>
          </w:tcPr>
          <w:p w14:paraId="42765556" w14:textId="77777777" w:rsidR="00BF4695" w:rsidRPr="008B4F3E" w:rsidRDefault="00BF4695" w:rsidP="00880A69">
            <w:pPr>
              <w:pStyle w:val="TableHeading"/>
            </w:pPr>
            <w:r w:rsidRPr="008B4F3E">
              <w:t>Comparative effectiveness</w:t>
            </w:r>
          </w:p>
        </w:tc>
        <w:tc>
          <w:tcPr>
            <w:tcW w:w="1571" w:type="dxa"/>
            <w:tcBorders>
              <w:top w:val="single" w:sz="4" w:space="0" w:color="auto"/>
              <w:left w:val="nil"/>
              <w:bottom w:val="single" w:sz="4" w:space="0" w:color="auto"/>
            </w:tcBorders>
          </w:tcPr>
          <w:p w14:paraId="50B48B0C" w14:textId="77777777" w:rsidR="00BF4695" w:rsidRPr="008B4F3E" w:rsidRDefault="00BF4695" w:rsidP="00880A69">
            <w:pPr>
              <w:pStyle w:val="TableHeading"/>
            </w:pPr>
          </w:p>
        </w:tc>
        <w:tc>
          <w:tcPr>
            <w:tcW w:w="2024" w:type="dxa"/>
            <w:tcBorders>
              <w:top w:val="single" w:sz="4" w:space="0" w:color="auto"/>
              <w:left w:val="nil"/>
              <w:bottom w:val="single" w:sz="4" w:space="0" w:color="auto"/>
              <w:right w:val="single" w:sz="4" w:space="0" w:color="auto"/>
            </w:tcBorders>
          </w:tcPr>
          <w:p w14:paraId="39473E26" w14:textId="77777777" w:rsidR="00BF4695" w:rsidRPr="008B4F3E" w:rsidRDefault="00BF4695" w:rsidP="00880A69">
            <w:pPr>
              <w:pStyle w:val="TableHeading"/>
            </w:pPr>
          </w:p>
        </w:tc>
      </w:tr>
      <w:bookmarkEnd w:id="16"/>
      <w:tr w:rsidR="00F65C7D" w:rsidRPr="00F65C7D" w14:paraId="766695B8" w14:textId="77777777" w:rsidTr="008B4F3E">
        <w:trPr>
          <w:cantSplit/>
          <w:tblHeader/>
        </w:trPr>
        <w:tc>
          <w:tcPr>
            <w:tcW w:w="1529" w:type="dxa"/>
            <w:vMerge/>
            <w:tcBorders>
              <w:left w:val="single" w:sz="4" w:space="0" w:color="auto"/>
              <w:bottom w:val="single" w:sz="4" w:space="0" w:color="auto"/>
              <w:right w:val="single" w:sz="4" w:space="0" w:color="auto"/>
            </w:tcBorders>
          </w:tcPr>
          <w:p w14:paraId="06CC2683" w14:textId="77777777" w:rsidR="00BF4695" w:rsidRPr="008B4F3E" w:rsidRDefault="00BF4695" w:rsidP="00880A69">
            <w:pPr>
              <w:pStyle w:val="TableHeading"/>
            </w:pPr>
          </w:p>
        </w:tc>
        <w:tc>
          <w:tcPr>
            <w:tcW w:w="2283" w:type="dxa"/>
            <w:tcBorders>
              <w:left w:val="single" w:sz="4" w:space="0" w:color="auto"/>
              <w:bottom w:val="single" w:sz="4" w:space="0" w:color="auto"/>
              <w:right w:val="single" w:sz="4" w:space="0" w:color="auto"/>
            </w:tcBorders>
          </w:tcPr>
          <w:p w14:paraId="60EE2144" w14:textId="77777777" w:rsidR="00BF4695" w:rsidRPr="008B4F3E" w:rsidRDefault="00BF4695" w:rsidP="00880A69">
            <w:pPr>
              <w:pStyle w:val="TableHeading"/>
            </w:pPr>
            <w:r w:rsidRPr="008B4F3E">
              <w:t>Inferior</w:t>
            </w:r>
          </w:p>
        </w:tc>
        <w:tc>
          <w:tcPr>
            <w:tcW w:w="2087" w:type="dxa"/>
            <w:tcBorders>
              <w:top w:val="single" w:sz="4" w:space="0" w:color="auto"/>
              <w:left w:val="single" w:sz="4" w:space="0" w:color="auto"/>
              <w:bottom w:val="single" w:sz="4" w:space="0" w:color="auto"/>
              <w:right w:val="single" w:sz="4" w:space="0" w:color="auto"/>
            </w:tcBorders>
          </w:tcPr>
          <w:p w14:paraId="2A7F17F4" w14:textId="77777777" w:rsidR="00BF4695" w:rsidRPr="008B4F3E" w:rsidRDefault="00BF4695" w:rsidP="00880A69">
            <w:pPr>
              <w:pStyle w:val="TableHeading"/>
            </w:pPr>
            <w:proofErr w:type="spellStart"/>
            <w:r w:rsidRPr="008B4F3E">
              <w:t>Uncertain</w:t>
            </w:r>
            <w:r w:rsidRPr="008B4F3E">
              <w:rPr>
                <w:vertAlign w:val="superscript"/>
              </w:rPr>
              <w:t>a</w:t>
            </w:r>
            <w:proofErr w:type="spellEnd"/>
          </w:p>
        </w:tc>
        <w:tc>
          <w:tcPr>
            <w:tcW w:w="1571" w:type="dxa"/>
            <w:tcBorders>
              <w:top w:val="single" w:sz="4" w:space="0" w:color="auto"/>
              <w:left w:val="single" w:sz="4" w:space="0" w:color="auto"/>
              <w:bottom w:val="single" w:sz="4" w:space="0" w:color="auto"/>
              <w:right w:val="single" w:sz="4" w:space="0" w:color="auto"/>
            </w:tcBorders>
          </w:tcPr>
          <w:p w14:paraId="68C6B4D8" w14:textId="77777777" w:rsidR="00BF4695" w:rsidRPr="008B4F3E" w:rsidRDefault="00BF4695" w:rsidP="00880A69">
            <w:pPr>
              <w:pStyle w:val="TableHeading"/>
            </w:pPr>
            <w:proofErr w:type="spellStart"/>
            <w:r w:rsidRPr="008B4F3E">
              <w:t>Noninferior</w:t>
            </w:r>
            <w:r w:rsidRPr="008B4F3E">
              <w:rPr>
                <w:vertAlign w:val="superscript"/>
              </w:rPr>
              <w:t>b</w:t>
            </w:r>
            <w:proofErr w:type="spellEnd"/>
          </w:p>
        </w:tc>
        <w:tc>
          <w:tcPr>
            <w:tcW w:w="2024" w:type="dxa"/>
            <w:tcBorders>
              <w:top w:val="single" w:sz="4" w:space="0" w:color="auto"/>
              <w:left w:val="single" w:sz="4" w:space="0" w:color="auto"/>
              <w:bottom w:val="single" w:sz="4" w:space="0" w:color="auto"/>
              <w:right w:val="single" w:sz="4" w:space="0" w:color="auto"/>
            </w:tcBorders>
          </w:tcPr>
          <w:p w14:paraId="2A14AE11" w14:textId="77777777" w:rsidR="00BF4695" w:rsidRPr="008B4F3E" w:rsidRDefault="00BF4695" w:rsidP="00880A69">
            <w:pPr>
              <w:pStyle w:val="TableHeading"/>
            </w:pPr>
            <w:r w:rsidRPr="008B4F3E">
              <w:t>Superior</w:t>
            </w:r>
          </w:p>
        </w:tc>
      </w:tr>
      <w:tr w:rsidR="00F65C7D" w:rsidRPr="00F65C7D" w14:paraId="03223D68" w14:textId="77777777" w:rsidTr="008B4F3E">
        <w:tc>
          <w:tcPr>
            <w:tcW w:w="1529" w:type="dxa"/>
            <w:tcBorders>
              <w:top w:val="single" w:sz="4" w:space="0" w:color="auto"/>
              <w:left w:val="single" w:sz="4" w:space="0" w:color="auto"/>
              <w:bottom w:val="single" w:sz="4" w:space="0" w:color="auto"/>
              <w:right w:val="single" w:sz="4" w:space="0" w:color="auto"/>
            </w:tcBorders>
            <w:vAlign w:val="center"/>
          </w:tcPr>
          <w:p w14:paraId="588AA1FD" w14:textId="77777777" w:rsidR="00BF4695" w:rsidRPr="008B4F3E" w:rsidRDefault="00BF4695" w:rsidP="00880A69">
            <w:pPr>
              <w:pStyle w:val="Tabletext"/>
            </w:pPr>
            <w:r w:rsidRPr="008B4F3E">
              <w:t>Inferior</w:t>
            </w:r>
          </w:p>
        </w:tc>
        <w:tc>
          <w:tcPr>
            <w:tcW w:w="2283" w:type="dxa"/>
            <w:tcBorders>
              <w:top w:val="single" w:sz="4" w:space="0" w:color="auto"/>
              <w:left w:val="single" w:sz="4" w:space="0" w:color="auto"/>
              <w:bottom w:val="single" w:sz="4" w:space="0" w:color="auto"/>
              <w:right w:val="single" w:sz="4" w:space="0" w:color="auto"/>
            </w:tcBorders>
            <w:vAlign w:val="center"/>
          </w:tcPr>
          <w:p w14:paraId="59754159" w14:textId="77777777" w:rsidR="00BF4695" w:rsidRPr="008B4F3E" w:rsidRDefault="00BF4695" w:rsidP="00880A69">
            <w:pPr>
              <w:pStyle w:val="Tabletext"/>
            </w:pPr>
            <w:r w:rsidRPr="008B4F3E">
              <w:t>Health forgone: need other supportive factors</w:t>
            </w:r>
          </w:p>
        </w:tc>
        <w:tc>
          <w:tcPr>
            <w:tcW w:w="2087" w:type="dxa"/>
            <w:tcBorders>
              <w:top w:val="single" w:sz="4" w:space="0" w:color="auto"/>
              <w:left w:val="single" w:sz="4" w:space="0" w:color="auto"/>
              <w:bottom w:val="single" w:sz="4" w:space="0" w:color="auto"/>
              <w:right w:val="single" w:sz="4" w:space="0" w:color="auto"/>
            </w:tcBorders>
            <w:vAlign w:val="center"/>
          </w:tcPr>
          <w:p w14:paraId="0258D664" w14:textId="77777777" w:rsidR="00BF4695" w:rsidRPr="008B4F3E" w:rsidRDefault="00BF4695" w:rsidP="00880A69">
            <w:pPr>
              <w:pStyle w:val="Tabletext"/>
            </w:pPr>
            <w:r w:rsidRPr="008B4F3E">
              <w:t>Health forgone possible: need other supportive factors</w:t>
            </w:r>
          </w:p>
        </w:tc>
        <w:tc>
          <w:tcPr>
            <w:tcW w:w="1571" w:type="dxa"/>
            <w:tcBorders>
              <w:top w:val="single" w:sz="4" w:space="0" w:color="auto"/>
              <w:left w:val="single" w:sz="4" w:space="0" w:color="auto"/>
              <w:bottom w:val="single" w:sz="4" w:space="0" w:color="auto"/>
              <w:right w:val="single" w:sz="4" w:space="0" w:color="auto"/>
            </w:tcBorders>
            <w:vAlign w:val="center"/>
          </w:tcPr>
          <w:p w14:paraId="252572C0" w14:textId="77777777" w:rsidR="00BF4695" w:rsidRPr="008B4F3E" w:rsidRDefault="00BF4695" w:rsidP="00880A69">
            <w:pPr>
              <w:pStyle w:val="Tabletext"/>
            </w:pPr>
            <w:r w:rsidRPr="008B4F3E">
              <w:t>Health forgone: need other supportive factors</w:t>
            </w:r>
          </w:p>
        </w:tc>
        <w:tc>
          <w:tcPr>
            <w:tcW w:w="2024" w:type="dxa"/>
            <w:tcBorders>
              <w:top w:val="single" w:sz="4" w:space="0" w:color="auto"/>
              <w:left w:val="single" w:sz="4" w:space="0" w:color="auto"/>
              <w:bottom w:val="single" w:sz="4" w:space="0" w:color="auto"/>
              <w:right w:val="single" w:sz="4" w:space="0" w:color="auto"/>
            </w:tcBorders>
            <w:vAlign w:val="center"/>
          </w:tcPr>
          <w:p w14:paraId="28B000FA" w14:textId="77777777" w:rsidR="00BF4695" w:rsidRPr="008B4F3E" w:rsidRDefault="00BF4695" w:rsidP="00880A69">
            <w:pPr>
              <w:pStyle w:val="Tabletext"/>
            </w:pPr>
            <w:r w:rsidRPr="008B4F3E">
              <w:t>? Likely CUA</w:t>
            </w:r>
          </w:p>
        </w:tc>
      </w:tr>
      <w:tr w:rsidR="00F65C7D" w:rsidRPr="00F65C7D" w14:paraId="54327F4D" w14:textId="77777777" w:rsidTr="008B4F3E">
        <w:tc>
          <w:tcPr>
            <w:tcW w:w="1529" w:type="dxa"/>
            <w:tcBorders>
              <w:top w:val="single" w:sz="4" w:space="0" w:color="auto"/>
              <w:left w:val="single" w:sz="4" w:space="0" w:color="auto"/>
              <w:bottom w:val="single" w:sz="4" w:space="0" w:color="auto"/>
              <w:right w:val="single" w:sz="4" w:space="0" w:color="auto"/>
            </w:tcBorders>
            <w:vAlign w:val="center"/>
          </w:tcPr>
          <w:p w14:paraId="539A764D" w14:textId="77777777" w:rsidR="00BF4695" w:rsidRPr="008B4F3E" w:rsidRDefault="00BF4695" w:rsidP="00880A69">
            <w:pPr>
              <w:pStyle w:val="Tabletext"/>
            </w:pPr>
            <w:proofErr w:type="spellStart"/>
            <w:r w:rsidRPr="008B4F3E">
              <w:t>Uncertain</w:t>
            </w:r>
            <w:r w:rsidRPr="008B4F3E">
              <w:rPr>
                <w:vertAlign w:val="superscript"/>
              </w:rPr>
              <w:t>a</w:t>
            </w:r>
            <w:proofErr w:type="spellEnd"/>
          </w:p>
        </w:tc>
        <w:tc>
          <w:tcPr>
            <w:tcW w:w="2283" w:type="dxa"/>
            <w:tcBorders>
              <w:top w:val="single" w:sz="4" w:space="0" w:color="auto"/>
              <w:left w:val="single" w:sz="4" w:space="0" w:color="auto"/>
              <w:bottom w:val="single" w:sz="4" w:space="0" w:color="auto"/>
              <w:right w:val="single" w:sz="4" w:space="0" w:color="auto"/>
            </w:tcBorders>
            <w:vAlign w:val="center"/>
          </w:tcPr>
          <w:p w14:paraId="67B958AA" w14:textId="77777777" w:rsidR="00BF4695" w:rsidRPr="008B4F3E" w:rsidRDefault="00BF4695" w:rsidP="00880A69">
            <w:pPr>
              <w:pStyle w:val="Tabletext"/>
            </w:pPr>
            <w:r w:rsidRPr="008B4F3E">
              <w:t>Health forgone possible: need other supportive factors</w:t>
            </w:r>
          </w:p>
        </w:tc>
        <w:tc>
          <w:tcPr>
            <w:tcW w:w="2087" w:type="dxa"/>
            <w:tcBorders>
              <w:top w:val="single" w:sz="4" w:space="0" w:color="auto"/>
              <w:left w:val="single" w:sz="4" w:space="0" w:color="auto"/>
              <w:bottom w:val="single" w:sz="4" w:space="0" w:color="auto"/>
              <w:right w:val="single" w:sz="4" w:space="0" w:color="auto"/>
            </w:tcBorders>
            <w:vAlign w:val="center"/>
          </w:tcPr>
          <w:p w14:paraId="4C8B69CB" w14:textId="77777777" w:rsidR="00BF4695" w:rsidRPr="008B4F3E" w:rsidRDefault="00BF4695" w:rsidP="00880A69">
            <w:pPr>
              <w:pStyle w:val="Tabletext"/>
            </w:pPr>
            <w:r w:rsidRPr="008B4F3E">
              <w:t>?</w:t>
            </w:r>
          </w:p>
        </w:tc>
        <w:tc>
          <w:tcPr>
            <w:tcW w:w="1571" w:type="dxa"/>
            <w:tcBorders>
              <w:top w:val="single" w:sz="4" w:space="0" w:color="auto"/>
              <w:left w:val="single" w:sz="4" w:space="0" w:color="auto"/>
              <w:bottom w:val="single" w:sz="4" w:space="0" w:color="auto"/>
              <w:right w:val="single" w:sz="4" w:space="0" w:color="auto"/>
            </w:tcBorders>
            <w:vAlign w:val="center"/>
          </w:tcPr>
          <w:p w14:paraId="1B666A23" w14:textId="77777777" w:rsidR="00BF4695" w:rsidRPr="008B4F3E" w:rsidRDefault="00BF4695" w:rsidP="00880A69">
            <w:pPr>
              <w:pStyle w:val="Tabletext"/>
            </w:pPr>
            <w:r w:rsidRPr="008B4F3E">
              <w:t>?</w:t>
            </w:r>
          </w:p>
        </w:tc>
        <w:tc>
          <w:tcPr>
            <w:tcW w:w="2024" w:type="dxa"/>
            <w:tcBorders>
              <w:top w:val="single" w:sz="4" w:space="0" w:color="auto"/>
              <w:left w:val="single" w:sz="4" w:space="0" w:color="auto"/>
              <w:bottom w:val="single" w:sz="4" w:space="0" w:color="auto"/>
              <w:right w:val="single" w:sz="4" w:space="0" w:color="auto"/>
            </w:tcBorders>
            <w:vAlign w:val="center"/>
          </w:tcPr>
          <w:p w14:paraId="43028EF1" w14:textId="77777777" w:rsidR="00BF4695" w:rsidRPr="008B4F3E" w:rsidRDefault="00BF4695" w:rsidP="00880A69">
            <w:pPr>
              <w:pStyle w:val="Tabletext"/>
            </w:pPr>
            <w:r w:rsidRPr="008B4F3E">
              <w:t>? Likely CEA/CUA</w:t>
            </w:r>
          </w:p>
        </w:tc>
      </w:tr>
      <w:tr w:rsidR="00F65C7D" w:rsidRPr="00F65C7D" w14:paraId="395AF9F9" w14:textId="77777777" w:rsidTr="008B4F3E">
        <w:tc>
          <w:tcPr>
            <w:tcW w:w="1529" w:type="dxa"/>
            <w:tcBorders>
              <w:top w:val="single" w:sz="4" w:space="0" w:color="auto"/>
              <w:left w:val="single" w:sz="4" w:space="0" w:color="auto"/>
              <w:bottom w:val="single" w:sz="4" w:space="0" w:color="auto"/>
              <w:right w:val="single" w:sz="4" w:space="0" w:color="auto"/>
            </w:tcBorders>
            <w:vAlign w:val="center"/>
          </w:tcPr>
          <w:p w14:paraId="304A9F51" w14:textId="77777777" w:rsidR="00BF4695" w:rsidRPr="008B4F3E" w:rsidRDefault="00BF4695" w:rsidP="00880A69">
            <w:pPr>
              <w:pStyle w:val="Tabletext"/>
            </w:pPr>
            <w:proofErr w:type="spellStart"/>
            <w:r w:rsidRPr="008B4F3E">
              <w:t>Noninferior</w:t>
            </w:r>
            <w:r w:rsidRPr="008B4F3E">
              <w:rPr>
                <w:vertAlign w:val="superscript"/>
              </w:rPr>
              <w:t>b</w:t>
            </w:r>
            <w:proofErr w:type="spellEnd"/>
          </w:p>
        </w:tc>
        <w:tc>
          <w:tcPr>
            <w:tcW w:w="2283" w:type="dxa"/>
            <w:tcBorders>
              <w:top w:val="single" w:sz="4" w:space="0" w:color="auto"/>
              <w:left w:val="single" w:sz="4" w:space="0" w:color="auto"/>
              <w:bottom w:val="single" w:sz="4" w:space="0" w:color="auto"/>
              <w:right w:val="single" w:sz="4" w:space="0" w:color="auto"/>
            </w:tcBorders>
            <w:vAlign w:val="center"/>
          </w:tcPr>
          <w:p w14:paraId="39CEA0F2" w14:textId="77777777" w:rsidR="00BF4695" w:rsidRPr="008B4F3E" w:rsidRDefault="00BF4695" w:rsidP="00880A69">
            <w:pPr>
              <w:pStyle w:val="Tabletext"/>
            </w:pPr>
            <w:r w:rsidRPr="008B4F3E">
              <w:t>Health forgone: need other supportive factors</w:t>
            </w:r>
          </w:p>
        </w:tc>
        <w:tc>
          <w:tcPr>
            <w:tcW w:w="2087" w:type="dxa"/>
            <w:tcBorders>
              <w:top w:val="single" w:sz="4" w:space="0" w:color="auto"/>
              <w:left w:val="single" w:sz="4" w:space="0" w:color="auto"/>
              <w:bottom w:val="single" w:sz="4" w:space="0" w:color="auto"/>
              <w:right w:val="single" w:sz="4" w:space="0" w:color="auto"/>
            </w:tcBorders>
            <w:vAlign w:val="center"/>
          </w:tcPr>
          <w:p w14:paraId="4701386F" w14:textId="77777777" w:rsidR="00BF4695" w:rsidRPr="008B4F3E" w:rsidRDefault="00BF4695" w:rsidP="00880A69">
            <w:pPr>
              <w:pStyle w:val="Tabletext"/>
            </w:pPr>
            <w:r w:rsidRPr="008B4F3E">
              <w:t>?</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tcPr>
          <w:p w14:paraId="14DECFF8" w14:textId="77777777" w:rsidR="00BF4695" w:rsidRPr="008B4F3E" w:rsidRDefault="00BF4695" w:rsidP="00880A69">
            <w:pPr>
              <w:pStyle w:val="Tabletext"/>
            </w:pPr>
            <w:r w:rsidRPr="008B4F3E">
              <w:t>CMA</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tcPr>
          <w:p w14:paraId="42DD282C" w14:textId="77777777" w:rsidR="00BF4695" w:rsidRPr="008B4F3E" w:rsidRDefault="00BF4695" w:rsidP="00880A69">
            <w:pPr>
              <w:pStyle w:val="Tabletext"/>
            </w:pPr>
            <w:r w:rsidRPr="008B4F3E">
              <w:t>CEA/CUA</w:t>
            </w:r>
          </w:p>
        </w:tc>
      </w:tr>
      <w:tr w:rsidR="00F65C7D" w:rsidRPr="00F65C7D" w14:paraId="18C5AE5E" w14:textId="77777777" w:rsidTr="008B4F3E">
        <w:tc>
          <w:tcPr>
            <w:tcW w:w="1529" w:type="dxa"/>
            <w:tcBorders>
              <w:top w:val="single" w:sz="4" w:space="0" w:color="auto"/>
              <w:left w:val="single" w:sz="4" w:space="0" w:color="auto"/>
              <w:bottom w:val="single" w:sz="4" w:space="0" w:color="auto"/>
              <w:right w:val="single" w:sz="4" w:space="0" w:color="auto"/>
            </w:tcBorders>
            <w:vAlign w:val="center"/>
          </w:tcPr>
          <w:p w14:paraId="7234A510" w14:textId="77777777" w:rsidR="00BF4695" w:rsidRPr="008B4F3E" w:rsidRDefault="00BF4695" w:rsidP="00880A69">
            <w:pPr>
              <w:pStyle w:val="Tabletext"/>
            </w:pPr>
            <w:r w:rsidRPr="008B4F3E">
              <w:t>Superior</w:t>
            </w:r>
          </w:p>
        </w:tc>
        <w:tc>
          <w:tcPr>
            <w:tcW w:w="2283" w:type="dxa"/>
            <w:tcBorders>
              <w:top w:val="single" w:sz="4" w:space="0" w:color="auto"/>
              <w:left w:val="single" w:sz="4" w:space="0" w:color="auto"/>
              <w:bottom w:val="single" w:sz="4" w:space="0" w:color="auto"/>
              <w:right w:val="single" w:sz="4" w:space="0" w:color="auto"/>
            </w:tcBorders>
            <w:vAlign w:val="center"/>
          </w:tcPr>
          <w:p w14:paraId="68AD4E52" w14:textId="77777777" w:rsidR="00BF4695" w:rsidRPr="008B4F3E" w:rsidRDefault="00BF4695" w:rsidP="00880A69">
            <w:pPr>
              <w:pStyle w:val="Tabletext"/>
            </w:pPr>
            <w:r w:rsidRPr="008B4F3E">
              <w:t>? Likely CUA</w:t>
            </w:r>
          </w:p>
        </w:tc>
        <w:tc>
          <w:tcPr>
            <w:tcW w:w="2087" w:type="dxa"/>
            <w:tcBorders>
              <w:top w:val="single" w:sz="4" w:space="0" w:color="auto"/>
              <w:left w:val="single" w:sz="4" w:space="0" w:color="auto"/>
              <w:bottom w:val="single" w:sz="4" w:space="0" w:color="auto"/>
              <w:right w:val="single" w:sz="4" w:space="0" w:color="auto"/>
            </w:tcBorders>
            <w:vAlign w:val="center"/>
          </w:tcPr>
          <w:p w14:paraId="5BA29533" w14:textId="77777777" w:rsidR="00BF4695" w:rsidRPr="008B4F3E" w:rsidRDefault="00BF4695" w:rsidP="00880A69">
            <w:pPr>
              <w:pStyle w:val="Tabletext"/>
            </w:pPr>
            <w:r w:rsidRPr="008B4F3E">
              <w:t>? Likely CEA/CUA</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tcPr>
          <w:p w14:paraId="0742B792" w14:textId="77777777" w:rsidR="00BF4695" w:rsidRPr="008B4F3E" w:rsidRDefault="00BF4695" w:rsidP="00880A69">
            <w:pPr>
              <w:pStyle w:val="Tabletext"/>
            </w:pPr>
            <w:r w:rsidRPr="008B4F3E">
              <w:t>CEA/CUA</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tcPr>
          <w:p w14:paraId="2589210D" w14:textId="77777777" w:rsidR="00BF4695" w:rsidRPr="008B4F3E" w:rsidRDefault="00BF4695" w:rsidP="00880A69">
            <w:pPr>
              <w:pStyle w:val="Tabletext"/>
            </w:pPr>
            <w:r w:rsidRPr="008B4F3E">
              <w:t>CEA/CUA</w:t>
            </w:r>
          </w:p>
        </w:tc>
      </w:tr>
    </w:tbl>
    <w:bookmarkEnd w:id="17"/>
    <w:p w14:paraId="6538A3FB" w14:textId="77777777" w:rsidR="000939E0" w:rsidRPr="008B4F3E" w:rsidRDefault="000939E0" w:rsidP="008B4F3E">
      <w:pPr>
        <w:pStyle w:val="Tablenotes"/>
      </w:pPr>
      <w:r w:rsidRPr="008B4F3E">
        <w:t>CEA=cost-effectiveness analysis; CMA=cost-minimisation analysis; CUA=cost-utility analysis</w:t>
      </w:r>
    </w:p>
    <w:p w14:paraId="48F7CED7" w14:textId="77777777" w:rsidR="000939E0" w:rsidRPr="008B4F3E" w:rsidRDefault="000939E0" w:rsidP="008B4F3E">
      <w:pPr>
        <w:pStyle w:val="Tablenotes"/>
      </w:pPr>
      <w:r w:rsidRPr="008B4F3E">
        <w:t xml:space="preserve">? = reflect uncertainties and any identified health trade-offs in the economic evaluation, as a minimum in a cost-consequences analysis </w:t>
      </w:r>
    </w:p>
    <w:p w14:paraId="65C6F534" w14:textId="77777777" w:rsidR="000939E0" w:rsidRPr="008B4F3E" w:rsidRDefault="000939E0" w:rsidP="008B4F3E">
      <w:pPr>
        <w:pStyle w:val="Tablenotes"/>
      </w:pPr>
      <w:r w:rsidRPr="00DD081F">
        <w:rPr>
          <w:vertAlign w:val="superscript"/>
        </w:rPr>
        <w:t>a</w:t>
      </w:r>
      <w:r w:rsidRPr="00B64D8D">
        <w:t> ‘Uncertainty’ covers concepts such as inadequate minimisation of important sources of bias, lack of statistical significance in an underpowered trial, detecting clinically unimportant therapeutic differences, inconsistent results across trials, and trade-offs within the comparative effectiveness and/or the comparative safety considerations</w:t>
      </w:r>
    </w:p>
    <w:p w14:paraId="1CB9C9B3" w14:textId="0C2F7416" w:rsidR="000939E0" w:rsidRDefault="000939E0" w:rsidP="008B4F3E">
      <w:pPr>
        <w:pStyle w:val="Tablenotes"/>
      </w:pPr>
      <w:r w:rsidRPr="00DD081F">
        <w:rPr>
          <w:vertAlign w:val="superscript"/>
        </w:rPr>
        <w:t>b</w:t>
      </w:r>
      <w:r w:rsidRPr="00B64D8D">
        <w:t> An adequate assessment of ‘noninferiority’ is the preferred basis for demonstrating equivalence</w:t>
      </w:r>
    </w:p>
    <w:p w14:paraId="4E898264" w14:textId="77777777" w:rsidR="00C748B7" w:rsidRPr="00B86D98" w:rsidRDefault="00C748B7" w:rsidP="00E9714E">
      <w:pPr>
        <w:spacing w:after="120"/>
        <w:rPr>
          <w:i/>
          <w:iCs/>
          <w:color w:val="000000" w:themeColor="text1"/>
        </w:rPr>
      </w:pPr>
      <w:r w:rsidRPr="00B86D98">
        <w:rPr>
          <w:i/>
          <w:iCs/>
          <w:color w:val="000000" w:themeColor="text1"/>
        </w:rPr>
        <w:t>In the pre-PASC response, the applicant noted that the clinical claim of genetic testing for haematological malignancies is non-inferior in terms of safety and superior in terms of clinical effectiveness, compared with no genetic testing. Therefore, a cost-utility analysis would be the most appropriate. PASC confirmed the clinical claim is appropriate.</w:t>
      </w:r>
    </w:p>
    <w:p w14:paraId="0C5C2141" w14:textId="77777777" w:rsidR="00C748B7" w:rsidRPr="00B86D98" w:rsidRDefault="00C748B7" w:rsidP="00E9714E">
      <w:pPr>
        <w:spacing w:after="120"/>
        <w:rPr>
          <w:i/>
          <w:iCs/>
          <w:color w:val="000000" w:themeColor="text1"/>
        </w:rPr>
      </w:pPr>
      <w:r w:rsidRPr="00B86D98">
        <w:rPr>
          <w:i/>
          <w:iCs/>
          <w:color w:val="000000" w:themeColor="text1"/>
        </w:rPr>
        <w:t>PASC discussed whether a full economic evaluation was required, in addition to an assessment of budget impact, based on the precedence of MSAC not requiring the full economic evaluation for applications 1526, 1537, 1538 and 1532. PASC concluded a full economic evaluation was required regardless of the testing being recommended by the WHO guidelines.</w:t>
      </w:r>
    </w:p>
    <w:p w14:paraId="1385298A" w14:textId="2998F20B" w:rsidR="00C748B7" w:rsidRPr="00B86D98" w:rsidRDefault="00C748B7" w:rsidP="00E9714E">
      <w:pPr>
        <w:spacing w:after="120"/>
        <w:rPr>
          <w:i/>
          <w:iCs/>
          <w:color w:val="000000" w:themeColor="text1"/>
        </w:rPr>
      </w:pPr>
      <w:r w:rsidRPr="00B86D98">
        <w:rPr>
          <w:i/>
          <w:iCs/>
          <w:color w:val="000000" w:themeColor="text1"/>
        </w:rPr>
        <w:t>PASC agreed with the Department that the question of the required economic evaluation could be raised to the MSAC Executive.</w:t>
      </w:r>
    </w:p>
    <w:p w14:paraId="429EE2F2" w14:textId="77777777" w:rsidR="00D443DA" w:rsidRDefault="00D443DA">
      <w:pPr>
        <w:spacing w:after="160" w:line="259" w:lineRule="auto"/>
        <w:rPr>
          <w:rFonts w:ascii="Franklin Gothic Medium" w:eastAsiaTheme="majorEastAsia" w:hAnsi="Franklin Gothic Medium" w:cstheme="majorBidi"/>
          <w:color w:val="000000" w:themeColor="text1"/>
          <w:sz w:val="32"/>
          <w:szCs w:val="26"/>
        </w:rPr>
      </w:pPr>
      <w:r>
        <w:br w:type="page"/>
      </w:r>
    </w:p>
    <w:p w14:paraId="123E0A39" w14:textId="580B3FE4" w:rsidR="009D13F7" w:rsidRDefault="00D73332" w:rsidP="009D13F7">
      <w:pPr>
        <w:pStyle w:val="Heading2"/>
      </w:pPr>
      <w:r w:rsidRPr="00DE762F">
        <w:lastRenderedPageBreak/>
        <w:t>Propos</w:t>
      </w:r>
      <w:r w:rsidR="000D1FCF" w:rsidRPr="00DE762F">
        <w:t>al for public funding</w:t>
      </w:r>
    </w:p>
    <w:p w14:paraId="2DE8778C" w14:textId="4F2EF600" w:rsidR="00387B89" w:rsidRDefault="00387B89" w:rsidP="00E747FF">
      <w:r w:rsidRPr="00387B89">
        <w:t xml:space="preserve">Public funding is requested for an investigative medical service that uses genetic testing to identify variants associated with haematological malignancies (most widely used technique for molecular diagnosis of haematological malignancies is targeted NGS panel (lymphoid or myeloid) focusing on specific genes as described by the WHO). </w:t>
      </w:r>
      <w:r w:rsidR="00E747FF" w:rsidRPr="00387B89">
        <w:t xml:space="preserve">The applicant is proposing </w:t>
      </w:r>
      <w:r w:rsidR="001317DC" w:rsidRPr="00387B89">
        <w:t xml:space="preserve">a new </w:t>
      </w:r>
      <w:r w:rsidR="00094D8E" w:rsidRPr="00387B89">
        <w:t xml:space="preserve">MBS item </w:t>
      </w:r>
      <w:r w:rsidR="007719DF" w:rsidRPr="00387B89">
        <w:t xml:space="preserve">that </w:t>
      </w:r>
      <w:r w:rsidR="00D66ACE" w:rsidRPr="00387B89">
        <w:t xml:space="preserve">will clinically deliver </w:t>
      </w:r>
      <w:r w:rsidRPr="00387B89">
        <w:t>this</w:t>
      </w:r>
      <w:r w:rsidR="00D66ACE" w:rsidRPr="00387B89">
        <w:t xml:space="preserve"> service that is new to the MBS</w:t>
      </w:r>
      <w:r w:rsidR="00E520F0" w:rsidRPr="00387B89">
        <w:t xml:space="preserve">. </w:t>
      </w:r>
      <w:r w:rsidR="00626DBD">
        <w:t xml:space="preserve">The applicant has stated that there </w:t>
      </w:r>
      <w:r w:rsidR="001D2053">
        <w:t>are</w:t>
      </w:r>
      <w:r w:rsidR="00626DBD">
        <w:t xml:space="preserve"> no </w:t>
      </w:r>
      <w:r w:rsidR="003319DB">
        <w:t>other associated applications related to the proposed health technology in</w:t>
      </w:r>
      <w:r w:rsidR="007E7629">
        <w:t xml:space="preserve"> progress.</w:t>
      </w:r>
    </w:p>
    <w:p w14:paraId="27B0D186" w14:textId="526BFA48" w:rsidR="007E7629" w:rsidRPr="00387B89" w:rsidRDefault="007A76B0" w:rsidP="00E747FF">
      <w:r>
        <w:t>The</w:t>
      </w:r>
      <w:r w:rsidR="00E360B9">
        <w:t xml:space="preserve"> investigative tests </w:t>
      </w:r>
      <w:r>
        <w:t xml:space="preserve">mentioned below </w:t>
      </w:r>
      <w:r w:rsidR="00E360B9">
        <w:t xml:space="preserve">will </w:t>
      </w:r>
      <w:r w:rsidR="007F267F">
        <w:t>take</w:t>
      </w:r>
      <w:r w:rsidR="00E360B9">
        <w:t xml:space="preserve"> 2-4 weeks </w:t>
      </w:r>
      <w:r>
        <w:t xml:space="preserve">in total </w:t>
      </w:r>
      <w:r w:rsidR="007F267F">
        <w:t>to perform.</w:t>
      </w:r>
      <w:r w:rsidR="007F267F" w:rsidRPr="007F267F">
        <w:t xml:space="preserve"> </w:t>
      </w:r>
      <w:r w:rsidR="007F267F">
        <w:t>An approximation of costs has been provided by the applicant and is detailed below.</w:t>
      </w:r>
    </w:p>
    <w:p w14:paraId="455E09FA" w14:textId="77777777" w:rsidR="00346293" w:rsidRDefault="00346293" w:rsidP="008B4F3E">
      <w:pPr>
        <w:spacing w:line="240" w:lineRule="auto"/>
      </w:pPr>
      <w:r>
        <w:t>Costings will vary from laboratory to laboratory; however, approximate costs include:</w:t>
      </w:r>
    </w:p>
    <w:p w14:paraId="43B1A88B" w14:textId="053BCE90" w:rsidR="00346293" w:rsidRDefault="00346293" w:rsidP="00114E2F">
      <w:pPr>
        <w:numPr>
          <w:ilvl w:val="0"/>
          <w:numId w:val="34"/>
        </w:numPr>
        <w:spacing w:line="240" w:lineRule="auto"/>
        <w:ind w:left="714" w:hanging="357"/>
        <w:contextualSpacing/>
      </w:pPr>
      <w:r>
        <w:t xml:space="preserve">DNA extraction/sample processing </w:t>
      </w:r>
      <w:r>
        <w:tab/>
      </w:r>
      <w:r w:rsidR="00991CC0">
        <w:tab/>
      </w:r>
      <w:r w:rsidR="00991CC0">
        <w:tab/>
      </w:r>
      <w:r>
        <w:t>$35</w:t>
      </w:r>
    </w:p>
    <w:p w14:paraId="119BA57B" w14:textId="03673239" w:rsidR="00346293" w:rsidRDefault="00346293" w:rsidP="00114E2F">
      <w:pPr>
        <w:numPr>
          <w:ilvl w:val="0"/>
          <w:numId w:val="34"/>
        </w:numPr>
        <w:spacing w:line="240" w:lineRule="auto"/>
        <w:ind w:left="714" w:hanging="357"/>
        <w:contextualSpacing/>
      </w:pPr>
      <w:r>
        <w:t xml:space="preserve">Target enrichment consumables </w:t>
      </w:r>
      <w:r>
        <w:tab/>
      </w:r>
      <w:r w:rsidR="00991CC0">
        <w:tab/>
      </w:r>
      <w:r w:rsidR="00991CC0">
        <w:tab/>
      </w:r>
      <w:r>
        <w:t>$200</w:t>
      </w:r>
    </w:p>
    <w:p w14:paraId="1B281004" w14:textId="4007263E" w:rsidR="00346293" w:rsidRDefault="00346293" w:rsidP="00114E2F">
      <w:pPr>
        <w:numPr>
          <w:ilvl w:val="0"/>
          <w:numId w:val="34"/>
        </w:numPr>
        <w:spacing w:line="240" w:lineRule="auto"/>
        <w:ind w:left="714" w:hanging="357"/>
        <w:contextualSpacing/>
      </w:pPr>
      <w:r>
        <w:t xml:space="preserve">Sequencing consumables per sample </w:t>
      </w:r>
      <w:r>
        <w:tab/>
      </w:r>
      <w:r w:rsidR="00991CC0">
        <w:tab/>
      </w:r>
      <w:r w:rsidR="00991CC0">
        <w:tab/>
      </w:r>
      <w:r>
        <w:t>$50</w:t>
      </w:r>
    </w:p>
    <w:p w14:paraId="6AFB22FF" w14:textId="2111D801" w:rsidR="00346293" w:rsidRDefault="00346293" w:rsidP="00114E2F">
      <w:pPr>
        <w:numPr>
          <w:ilvl w:val="0"/>
          <w:numId w:val="34"/>
        </w:numPr>
        <w:spacing w:line="240" w:lineRule="auto"/>
        <w:ind w:left="714" w:hanging="357"/>
        <w:contextualSpacing/>
      </w:pPr>
      <w:r>
        <w:t xml:space="preserve">Technician labour for sample set up </w:t>
      </w:r>
      <w:r>
        <w:tab/>
      </w:r>
      <w:r w:rsidR="00991CC0">
        <w:tab/>
      </w:r>
      <w:r w:rsidR="00991CC0">
        <w:tab/>
      </w:r>
      <w:r>
        <w:t>$300</w:t>
      </w:r>
    </w:p>
    <w:p w14:paraId="4D4544F0" w14:textId="26EB289D" w:rsidR="00AB1A1C" w:rsidRDefault="00346293" w:rsidP="00114E2F">
      <w:pPr>
        <w:numPr>
          <w:ilvl w:val="0"/>
          <w:numId w:val="34"/>
        </w:numPr>
        <w:spacing w:line="240" w:lineRule="auto"/>
        <w:ind w:left="714" w:hanging="357"/>
      </w:pPr>
      <w:r>
        <w:t xml:space="preserve">Genomic analysis/interpretation/report generation </w:t>
      </w:r>
      <w:r>
        <w:tab/>
        <w:t>$150</w:t>
      </w:r>
    </w:p>
    <w:p w14:paraId="2681CB6E" w14:textId="3A14D5FF" w:rsidR="00913140" w:rsidRDefault="00913140" w:rsidP="000E45EF">
      <w:pPr>
        <w:spacing w:line="240" w:lineRule="auto"/>
      </w:pPr>
      <w:r>
        <w:t xml:space="preserve">The proposed MBS item descriptor is presented </w:t>
      </w:r>
      <w:r w:rsidR="00114E2F">
        <w:t>i</w:t>
      </w:r>
      <w:r>
        <w:t xml:space="preserve">n </w:t>
      </w:r>
      <w:r w:rsidR="00F47EDA">
        <w:fldChar w:fldCharType="begin"/>
      </w:r>
      <w:r w:rsidR="00F47EDA">
        <w:instrText xml:space="preserve"> REF _Ref87024808 \h </w:instrText>
      </w:r>
      <w:r w:rsidR="00F47EDA">
        <w:fldChar w:fldCharType="separate"/>
      </w:r>
      <w:r w:rsidR="00F47EDA">
        <w:t xml:space="preserve">Table </w:t>
      </w:r>
      <w:r w:rsidR="00F47EDA">
        <w:rPr>
          <w:noProof/>
        </w:rPr>
        <w:t>8</w:t>
      </w:r>
      <w:r w:rsidR="00F47EDA">
        <w:fldChar w:fldCharType="end"/>
      </w:r>
      <w:r w:rsidR="00F47EDA">
        <w:t>.</w:t>
      </w:r>
    </w:p>
    <w:p w14:paraId="7DEE78AA" w14:textId="29BDD0D8" w:rsidR="004221DC" w:rsidRDefault="004221DC" w:rsidP="000E45EF">
      <w:pPr>
        <w:pStyle w:val="Caption"/>
      </w:pPr>
      <w:bookmarkStart w:id="18" w:name="_Ref87024808"/>
      <w:r>
        <w:t xml:space="preserve">Table </w:t>
      </w:r>
      <w:r>
        <w:fldChar w:fldCharType="begin"/>
      </w:r>
      <w:r>
        <w:instrText xml:space="preserve"> SEQ Table \* ARABIC </w:instrText>
      </w:r>
      <w:r>
        <w:fldChar w:fldCharType="separate"/>
      </w:r>
      <w:r w:rsidR="00CA44B7">
        <w:rPr>
          <w:noProof/>
        </w:rPr>
        <w:t>8</w:t>
      </w:r>
      <w:r>
        <w:fldChar w:fldCharType="end"/>
      </w:r>
      <w:bookmarkEnd w:id="18"/>
      <w:r>
        <w:tab/>
        <w:t xml:space="preserve">Proposed </w:t>
      </w:r>
      <w:r w:rsidRPr="004D36C8">
        <w:t>MBS item descriptor</w:t>
      </w:r>
    </w:p>
    <w:tbl>
      <w:tblPr>
        <w:tblpPr w:leftFromText="180" w:rightFromText="180" w:vertAnchor="text" w:horzAnchor="margin" w:tblpY="160"/>
        <w:tblW w:w="9209"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09"/>
      </w:tblGrid>
      <w:tr w:rsidR="00DA5E63" w:rsidRPr="005414BC" w14:paraId="0C8D926A" w14:textId="77777777" w:rsidTr="008B4F3E">
        <w:trPr>
          <w:cantSplit/>
          <w:tblHeader/>
        </w:trPr>
        <w:tc>
          <w:tcPr>
            <w:tcW w:w="9209" w:type="dxa"/>
            <w:tcBorders>
              <w:top w:val="single" w:sz="4" w:space="0" w:color="auto"/>
              <w:left w:val="single" w:sz="4" w:space="0" w:color="auto"/>
              <w:bottom w:val="single" w:sz="4" w:space="0" w:color="auto"/>
              <w:right w:val="single" w:sz="4" w:space="0" w:color="auto"/>
            </w:tcBorders>
            <w:hideMark/>
          </w:tcPr>
          <w:p w14:paraId="0A0C14FB" w14:textId="77777777" w:rsidR="00DA5E63" w:rsidRPr="008B4F3E" w:rsidRDefault="00DA5E63" w:rsidP="00DA5E63">
            <w:pPr>
              <w:spacing w:before="40" w:after="40" w:line="240" w:lineRule="auto"/>
              <w:rPr>
                <w:rFonts w:ascii="Arial Narrow" w:hAnsi="Arial Narrow" w:cstheme="minorHAnsi"/>
                <w:b/>
                <w:bCs/>
                <w:sz w:val="20"/>
                <w:szCs w:val="20"/>
              </w:rPr>
            </w:pPr>
            <w:r w:rsidRPr="003D621A">
              <w:rPr>
                <w:rFonts w:ascii="Arial Narrow" w:hAnsi="Arial Narrow"/>
                <w:sz w:val="20"/>
                <w:szCs w:val="20"/>
              </w:rPr>
              <w:t xml:space="preserve">Category </w:t>
            </w:r>
            <w:r w:rsidRPr="008B4F3E">
              <w:rPr>
                <w:rFonts w:ascii="Arial Narrow" w:hAnsi="Arial Narrow"/>
                <w:sz w:val="20"/>
                <w:szCs w:val="20"/>
              </w:rPr>
              <w:t xml:space="preserve">(6) – </w:t>
            </w:r>
            <w:r w:rsidRPr="003D621A">
              <w:rPr>
                <w:rFonts w:ascii="Arial Narrow" w:hAnsi="Arial Narrow"/>
                <w:sz w:val="20"/>
                <w:szCs w:val="20"/>
              </w:rPr>
              <w:t>Pathology services – Group P7 Genetics</w:t>
            </w:r>
          </w:p>
        </w:tc>
      </w:tr>
      <w:tr w:rsidR="00DA5E63" w:rsidRPr="005414BC" w14:paraId="51816E9A" w14:textId="77777777" w:rsidTr="008B4F3E">
        <w:trPr>
          <w:cantSplit/>
          <w:tblHeader/>
        </w:trPr>
        <w:tc>
          <w:tcPr>
            <w:tcW w:w="9209" w:type="dxa"/>
            <w:tcBorders>
              <w:top w:val="single" w:sz="4" w:space="0" w:color="auto"/>
              <w:left w:val="single" w:sz="4" w:space="0" w:color="auto"/>
              <w:bottom w:val="single" w:sz="4" w:space="0" w:color="auto"/>
              <w:right w:val="single" w:sz="4" w:space="0" w:color="auto"/>
            </w:tcBorders>
          </w:tcPr>
          <w:p w14:paraId="2E36ACF3" w14:textId="77777777" w:rsidR="00DA5E63" w:rsidRPr="00971E99" w:rsidRDefault="00DA5E63" w:rsidP="00DA5E63">
            <w:pPr>
              <w:spacing w:before="120" w:after="120" w:line="240" w:lineRule="auto"/>
              <w:rPr>
                <w:rFonts w:ascii="Arial Narrow" w:hAnsi="Arial Narrow" w:cstheme="minorHAnsi"/>
                <w:sz w:val="20"/>
                <w:szCs w:val="20"/>
              </w:rPr>
            </w:pPr>
            <w:r w:rsidRPr="00991CC0">
              <w:rPr>
                <w:rFonts w:ascii="Arial Narrow" w:hAnsi="Arial Narrow" w:cstheme="minorHAnsi"/>
                <w:sz w:val="20"/>
                <w:szCs w:val="20"/>
              </w:rPr>
              <w:t>MBS item *</w:t>
            </w:r>
            <w:r w:rsidRPr="00971E99">
              <w:rPr>
                <w:rFonts w:ascii="Arial Narrow" w:hAnsi="Arial Narrow" w:cstheme="minorHAnsi"/>
                <w:sz w:val="20"/>
                <w:szCs w:val="20"/>
              </w:rPr>
              <w:t>XXXX</w:t>
            </w:r>
          </w:p>
          <w:p w14:paraId="0295A1D9" w14:textId="15515099" w:rsidR="00DA5E63" w:rsidRPr="00971E99" w:rsidRDefault="00DA5E63" w:rsidP="00DA5E63">
            <w:pPr>
              <w:rPr>
                <w:rFonts w:ascii="Arial Narrow" w:hAnsi="Arial Narrow" w:cstheme="minorHAnsi"/>
                <w:sz w:val="20"/>
                <w:szCs w:val="20"/>
              </w:rPr>
            </w:pPr>
            <w:r w:rsidRPr="00971E99">
              <w:rPr>
                <w:rFonts w:ascii="Arial Narrow" w:hAnsi="Arial Narrow" w:cstheme="minorHAnsi"/>
                <w:sz w:val="20"/>
                <w:szCs w:val="20"/>
              </w:rPr>
              <w:t>Characterisation of gene variant(s) by a gene panel consisting of at least 25 genes, requested by a specialist or consultant physician in a patient presenting with a</w:t>
            </w:r>
            <w:r w:rsidR="00C972BB">
              <w:rPr>
                <w:rFonts w:ascii="Arial Narrow" w:hAnsi="Arial Narrow" w:cstheme="minorHAnsi"/>
                <w:sz w:val="20"/>
                <w:szCs w:val="20"/>
              </w:rPr>
              <w:t xml:space="preserve"> clinically suspected</w:t>
            </w:r>
            <w:r w:rsidRPr="00971E99">
              <w:rPr>
                <w:rFonts w:ascii="Arial Narrow" w:hAnsi="Arial Narrow" w:cstheme="minorHAnsi"/>
                <w:sz w:val="20"/>
                <w:szCs w:val="20"/>
              </w:rPr>
              <w:t xml:space="preserve"> haematological malignancy.</w:t>
            </w:r>
          </w:p>
          <w:p w14:paraId="416EC4D1" w14:textId="5CEA710A" w:rsidR="00DA5E63" w:rsidRPr="00971E99" w:rsidRDefault="00DA5E63" w:rsidP="00DA5E63">
            <w:pPr>
              <w:rPr>
                <w:rFonts w:ascii="Arial Narrow" w:hAnsi="Arial Narrow" w:cstheme="minorHAnsi"/>
                <w:sz w:val="20"/>
                <w:szCs w:val="20"/>
              </w:rPr>
            </w:pPr>
            <w:r w:rsidRPr="00971E99">
              <w:rPr>
                <w:rFonts w:ascii="Arial Narrow" w:hAnsi="Arial Narrow" w:cstheme="minorHAnsi"/>
                <w:sz w:val="20"/>
                <w:szCs w:val="20"/>
              </w:rPr>
              <w:t>Applicable once per diagnostic episode</w:t>
            </w:r>
            <w:r w:rsidR="00E71EE9">
              <w:rPr>
                <w:rFonts w:ascii="Arial Narrow" w:hAnsi="Arial Narrow" w:cstheme="minorHAnsi"/>
                <w:sz w:val="20"/>
                <w:szCs w:val="20"/>
              </w:rPr>
              <w:t xml:space="preserve"> </w:t>
            </w:r>
            <w:r w:rsidR="00A44EE1">
              <w:rPr>
                <w:rFonts w:ascii="Arial Narrow" w:hAnsi="Arial Narrow" w:cstheme="minorHAnsi"/>
                <w:sz w:val="20"/>
                <w:szCs w:val="20"/>
              </w:rPr>
              <w:t>at initial diagnosis or at disease relapse</w:t>
            </w:r>
          </w:p>
        </w:tc>
      </w:tr>
      <w:tr w:rsidR="00DA5E63" w:rsidRPr="005414BC" w14:paraId="6D40D069" w14:textId="77777777" w:rsidTr="008B4F3E">
        <w:trPr>
          <w:cantSplit/>
          <w:trHeight w:val="322"/>
          <w:tblHeader/>
        </w:trPr>
        <w:tc>
          <w:tcPr>
            <w:tcW w:w="9209" w:type="dxa"/>
            <w:tcBorders>
              <w:top w:val="single" w:sz="4" w:space="0" w:color="auto"/>
              <w:left w:val="single" w:sz="4" w:space="0" w:color="auto"/>
              <w:bottom w:val="single" w:sz="4" w:space="0" w:color="auto"/>
              <w:right w:val="single" w:sz="4" w:space="0" w:color="auto"/>
            </w:tcBorders>
            <w:vAlign w:val="center"/>
          </w:tcPr>
          <w:p w14:paraId="6D7CF145" w14:textId="1BDFBA75" w:rsidR="00DA5E63" w:rsidRPr="00971E99" w:rsidRDefault="00DA5E63" w:rsidP="008B4F3E">
            <w:pPr>
              <w:spacing w:before="40" w:after="40" w:line="240" w:lineRule="auto"/>
              <w:rPr>
                <w:rFonts w:ascii="Arial Narrow" w:hAnsi="Arial Narrow" w:cstheme="minorHAnsi"/>
                <w:sz w:val="20"/>
                <w:szCs w:val="20"/>
              </w:rPr>
            </w:pPr>
            <w:r w:rsidRPr="00DD081F">
              <w:rPr>
                <w:rFonts w:ascii="Arial Narrow" w:hAnsi="Arial Narrow"/>
                <w:sz w:val="20"/>
                <w:szCs w:val="20"/>
              </w:rPr>
              <w:t xml:space="preserve">Fee: </w:t>
            </w:r>
            <w:r w:rsidRPr="008B4F3E">
              <w:rPr>
                <w:rFonts w:ascii="Arial Narrow" w:hAnsi="Arial Narrow"/>
                <w:sz w:val="20"/>
                <w:szCs w:val="20"/>
              </w:rPr>
              <w:t>$800   Benefit: 75% = $600   85% = $680</w:t>
            </w:r>
          </w:p>
        </w:tc>
      </w:tr>
    </w:tbl>
    <w:p w14:paraId="29B9FF76" w14:textId="77777777" w:rsidR="008427FC" w:rsidRDefault="008427FC" w:rsidP="00284B76">
      <w:pPr>
        <w:spacing w:after="120"/>
      </w:pPr>
    </w:p>
    <w:p w14:paraId="118AA357" w14:textId="1AB4EB77" w:rsidR="00D93179" w:rsidRDefault="00D93179" w:rsidP="00D93179">
      <w:pPr>
        <w:spacing w:after="240"/>
      </w:pPr>
      <w:r w:rsidRPr="001D2053">
        <w:t xml:space="preserve">Most genetic testing of </w:t>
      </w:r>
      <w:r w:rsidRPr="008A6844">
        <w:t xml:space="preserve">haematological malignancy patients is </w:t>
      </w:r>
      <w:r w:rsidR="000B1E8B">
        <w:t xml:space="preserve">currently </w:t>
      </w:r>
      <w:r w:rsidRPr="008A6844">
        <w:t>conducted either by state-funded services, or through private laboratories as an out-of</w:t>
      </w:r>
      <w:r w:rsidR="00502E8B" w:rsidRPr="008B150F">
        <w:t>-</w:t>
      </w:r>
      <w:r w:rsidRPr="008B150F">
        <w:t>pocket expense for patients.</w:t>
      </w:r>
    </w:p>
    <w:p w14:paraId="223E53B4" w14:textId="77777777" w:rsidR="00C748B7" w:rsidRPr="00B86D98" w:rsidRDefault="00C748B7" w:rsidP="00E9714E">
      <w:pPr>
        <w:spacing w:after="120"/>
        <w:rPr>
          <w:i/>
          <w:iCs/>
          <w:color w:val="000000" w:themeColor="text1"/>
        </w:rPr>
      </w:pPr>
      <w:r w:rsidRPr="00B86D98">
        <w:rPr>
          <w:i/>
          <w:iCs/>
          <w:color w:val="000000" w:themeColor="text1"/>
        </w:rPr>
        <w:t>PASC noted the proposed item descriptor.</w:t>
      </w:r>
    </w:p>
    <w:p w14:paraId="4C1DEB78" w14:textId="77777777" w:rsidR="00C748B7" w:rsidRPr="00B86D98" w:rsidRDefault="00C748B7" w:rsidP="00E9714E">
      <w:pPr>
        <w:spacing w:after="120"/>
        <w:rPr>
          <w:i/>
          <w:iCs/>
          <w:color w:val="000000" w:themeColor="text1"/>
        </w:rPr>
      </w:pPr>
      <w:r w:rsidRPr="00B86D98">
        <w:rPr>
          <w:i/>
          <w:iCs/>
          <w:color w:val="000000" w:themeColor="text1"/>
        </w:rPr>
        <w:t>PASC confirmed the coverage of item descriptor in terms of the primary purpose of testing being initial diagnosis, or testing at disease relapse, and the secondary purposes of identification of potential therapeutic targets or prognostication. PASC also noted that utilisation projections for this testing should be identified so that the budget impact can be realised into the future.</w:t>
      </w:r>
    </w:p>
    <w:p w14:paraId="54C794ED" w14:textId="33CCAE4B" w:rsidR="00C748B7" w:rsidRPr="00B86D98" w:rsidRDefault="00C748B7" w:rsidP="00E9714E">
      <w:pPr>
        <w:spacing w:after="120"/>
        <w:rPr>
          <w:i/>
          <w:iCs/>
          <w:color w:val="000000" w:themeColor="text1"/>
        </w:rPr>
      </w:pPr>
      <w:r w:rsidRPr="00B86D98">
        <w:rPr>
          <w:i/>
          <w:iCs/>
          <w:color w:val="000000" w:themeColor="text1"/>
        </w:rPr>
        <w:t>PASC noted the proposed fee of $800 and that there are several benchmark fees for characterisation of multiple genes through gene panels on the MBS ($700 to $1,200). PASC noted that consultation feedback stated the proposed fee was too low which could have flow-on impacts to the consumer (see “Summary of public consultation input”), and as such advised that the assessment report include a fee justification based on actual costs with an appropriate benchmark and sensitivity test for panel sizes and fee. This is in line with comments from public pathology and the private facility advocacy bodies, which proposed that the costing was conservative or manifestly inadequate.</w:t>
      </w:r>
    </w:p>
    <w:p w14:paraId="62338695" w14:textId="3B70A369" w:rsidR="00D37A3F" w:rsidRPr="00D37A3F" w:rsidRDefault="003F0A39" w:rsidP="00713728">
      <w:pPr>
        <w:pStyle w:val="Heading2"/>
      </w:pPr>
      <w:r>
        <w:lastRenderedPageBreak/>
        <w:t>Summary of public consultation</w:t>
      </w:r>
      <w:r w:rsidRPr="00D37A3F">
        <w:t xml:space="preserve"> </w:t>
      </w:r>
      <w:r w:rsidR="00E470B0">
        <w:t>input</w:t>
      </w:r>
    </w:p>
    <w:p w14:paraId="2D8B892F" w14:textId="77777777" w:rsidR="00D12B91" w:rsidRDefault="00D12B91" w:rsidP="00D12B91">
      <w:r>
        <w:t>Consultation input was received from five (5) organisations:</w:t>
      </w:r>
    </w:p>
    <w:p w14:paraId="5D1A953B" w14:textId="77777777" w:rsidR="00D12B91" w:rsidRDefault="00D12B91" w:rsidP="00D12B91">
      <w:pPr>
        <w:pStyle w:val="ListParagraph"/>
        <w:numPr>
          <w:ilvl w:val="0"/>
          <w:numId w:val="80"/>
        </w:numPr>
        <w:spacing w:after="160" w:line="259" w:lineRule="auto"/>
      </w:pPr>
      <w:r>
        <w:t>Public Pathology Australia (PPA)</w:t>
      </w:r>
    </w:p>
    <w:p w14:paraId="5FDBEB5F" w14:textId="77777777" w:rsidR="00D12B91" w:rsidRDefault="00D12B91" w:rsidP="00D12B91">
      <w:pPr>
        <w:pStyle w:val="ListParagraph"/>
        <w:numPr>
          <w:ilvl w:val="0"/>
          <w:numId w:val="80"/>
        </w:numPr>
        <w:spacing w:after="160" w:line="259" w:lineRule="auto"/>
      </w:pPr>
      <w:r>
        <w:t>Australian Genomics (AG)</w:t>
      </w:r>
    </w:p>
    <w:p w14:paraId="12E18DC8" w14:textId="77777777" w:rsidR="00D12B91" w:rsidRDefault="00D12B91" w:rsidP="00D12B91">
      <w:pPr>
        <w:pStyle w:val="ListParagraph"/>
        <w:numPr>
          <w:ilvl w:val="0"/>
          <w:numId w:val="80"/>
        </w:numPr>
        <w:spacing w:after="160" w:line="259" w:lineRule="auto"/>
      </w:pPr>
      <w:r w:rsidRPr="006067C7">
        <w:t>Myeloproliferative Neoplasm Alliance Australia (MPNAA)</w:t>
      </w:r>
    </w:p>
    <w:p w14:paraId="7208E534" w14:textId="77777777" w:rsidR="00D12B91" w:rsidRDefault="00D12B91" w:rsidP="00D12B91">
      <w:pPr>
        <w:pStyle w:val="ListParagraph"/>
        <w:numPr>
          <w:ilvl w:val="0"/>
          <w:numId w:val="80"/>
        </w:numPr>
        <w:spacing w:after="160" w:line="259" w:lineRule="auto"/>
      </w:pPr>
      <w:r>
        <w:t>Leukaemia Foundation (LF)</w:t>
      </w:r>
    </w:p>
    <w:p w14:paraId="5A4DFAE5" w14:textId="77777777" w:rsidR="00D12B91" w:rsidRDefault="00D12B91" w:rsidP="00D12B91">
      <w:pPr>
        <w:pStyle w:val="ListParagraph"/>
        <w:numPr>
          <w:ilvl w:val="0"/>
          <w:numId w:val="80"/>
        </w:numPr>
        <w:spacing w:after="160" w:line="259" w:lineRule="auto"/>
      </w:pPr>
      <w:r>
        <w:t>Australian Pathology (PA)</w:t>
      </w:r>
    </w:p>
    <w:p w14:paraId="7C9EF888" w14:textId="77777777" w:rsidR="00D12B91" w:rsidRDefault="00D12B91" w:rsidP="00D12B91">
      <w:r>
        <w:t>All were supportive of the application. LF also consulted consumers and the Blood Cancer Taskforce and advised that they were also supportive of the application.</w:t>
      </w:r>
    </w:p>
    <w:p w14:paraId="79B17556" w14:textId="77777777" w:rsidR="00D12B91" w:rsidRDefault="00D12B91" w:rsidP="00D12B91">
      <w:r>
        <w:rPr>
          <w:u w:val="single"/>
        </w:rPr>
        <w:t>Benefits</w:t>
      </w:r>
      <w:r>
        <w:t xml:space="preserve"> </w:t>
      </w:r>
    </w:p>
    <w:p w14:paraId="27EF4EDE" w14:textId="77777777" w:rsidR="00D12B91" w:rsidRDefault="00D12B91" w:rsidP="00D12B91">
      <w:r>
        <w:t>All responses considered that the proposed service would provide clarity of diagnosis as well as selection of the most appropriate treatment options, which would lead to better health outcomes. PPA and AG noted that the testing will ensure patients have access to the standard of care in accordance with the World Health Organisation (WHO) guidelines.</w:t>
      </w:r>
    </w:p>
    <w:p w14:paraId="22B16069" w14:textId="77777777" w:rsidR="00D12B91" w:rsidRDefault="00D12B91" w:rsidP="00D12B91">
      <w:r>
        <w:t xml:space="preserve">PA considered that </w:t>
      </w:r>
      <w:r w:rsidRPr="00D15B64">
        <w:t>precision cancer care is emerging as standard of care</w:t>
      </w:r>
      <w:r>
        <w:t>,</w:t>
      </w:r>
      <w:r w:rsidRPr="00D15B64">
        <w:t xml:space="preserve"> and avoids the need for expensive therapies associated with treatment related side effects.</w:t>
      </w:r>
    </w:p>
    <w:p w14:paraId="09CC53BF" w14:textId="77777777" w:rsidR="00D12B91" w:rsidRDefault="00D12B91" w:rsidP="00D12B91">
      <w:r>
        <w:t>Public funding of the proposed test would improve equity of access for consumers with a diagnosis or potential diagnosis of cancer, noting that barriers to accessing this testing would likely affect clinical outcomes. The MPNAA considered that public funding would increase the knowledge base for m</w:t>
      </w:r>
      <w:r w:rsidRPr="006067C7">
        <w:t xml:space="preserve">yeloproliferative </w:t>
      </w:r>
      <w:r>
        <w:t>n</w:t>
      </w:r>
      <w:r w:rsidRPr="006067C7">
        <w:t>eoplasm</w:t>
      </w:r>
      <w:r>
        <w:t>s, and could inform clinical practice and best treatment pathways.</w:t>
      </w:r>
    </w:p>
    <w:p w14:paraId="7EB57151" w14:textId="77777777" w:rsidR="00D12B91" w:rsidRDefault="00D12B91" w:rsidP="00D12B91">
      <w:r>
        <w:t>PPA stated that genetic testing is normally performed as part of a suite of other pathology testing such as blood counts, morphology, immunophenotyping, and cytogenetics. Current WHO guidelines already outline how genetic testing should be used in conjunction with these other pathology test, but genetic testing does not have absolute dependencies on these other tests and can provide standalone information on diagnosis, prognosis, and treatment. PPA also stated that broader genetic testing carries with it the requirement of up-to-date education to explain the purpose and results to the patient.</w:t>
      </w:r>
    </w:p>
    <w:p w14:paraId="11C933B4" w14:textId="77777777" w:rsidR="00D12B91" w:rsidRDefault="00D12B91" w:rsidP="00D12B91">
      <w:r>
        <w:t>PA considers that the proposed MBS fee does not adequately reimburse the cost of the test.</w:t>
      </w:r>
    </w:p>
    <w:p w14:paraId="6ED13CDB" w14:textId="77777777" w:rsidR="00D12B91" w:rsidRPr="00DA4EE7" w:rsidRDefault="00D12B91" w:rsidP="00D443DA">
      <w:pPr>
        <w:keepNext/>
      </w:pPr>
      <w:r>
        <w:rPr>
          <w:u w:val="single"/>
        </w:rPr>
        <w:t>Disadvantages</w:t>
      </w:r>
    </w:p>
    <w:p w14:paraId="6C188DCC" w14:textId="1A22875A" w:rsidR="00D12B91" w:rsidRDefault="00D12B91" w:rsidP="00D12B91">
      <w:r>
        <w:t>Testing in some genes for tumour associated variants may also discover inherited variants associated with blood cancer predisposition, and appropriate policy, systems, genetic counselling and consumer support must be in place when delivering such testing to ensure the patient is aware of this possibility. However, this would allow for early intervention</w:t>
      </w:r>
      <w:r w:rsidRPr="005C23BB">
        <w:t xml:space="preserve"> </w:t>
      </w:r>
      <w:r>
        <w:t xml:space="preserve">for some consumers. </w:t>
      </w:r>
    </w:p>
    <w:p w14:paraId="783601BB" w14:textId="77777777" w:rsidR="00C748B7" w:rsidRPr="00B86D98" w:rsidRDefault="00C748B7" w:rsidP="00E9714E">
      <w:pPr>
        <w:spacing w:after="120"/>
        <w:rPr>
          <w:i/>
          <w:iCs/>
          <w:color w:val="000000" w:themeColor="text1"/>
        </w:rPr>
      </w:pPr>
      <w:r w:rsidRPr="00B86D98">
        <w:rPr>
          <w:i/>
          <w:iCs/>
          <w:color w:val="000000" w:themeColor="text1"/>
        </w:rPr>
        <w:t>PASC noted that many organisations provided detailed consultation feedback</w:t>
      </w:r>
    </w:p>
    <w:p w14:paraId="4AED4E4E" w14:textId="77777777" w:rsidR="00C748B7" w:rsidRPr="00B86D98" w:rsidRDefault="00C748B7" w:rsidP="00E9714E">
      <w:pPr>
        <w:spacing w:after="120"/>
        <w:rPr>
          <w:i/>
          <w:iCs/>
          <w:color w:val="000000" w:themeColor="text1"/>
        </w:rPr>
      </w:pPr>
      <w:r w:rsidRPr="00B86D98">
        <w:rPr>
          <w:i/>
          <w:iCs/>
          <w:color w:val="000000" w:themeColor="text1"/>
        </w:rPr>
        <w:t>In terms of the issues raised, PASC acknowledged that:</w:t>
      </w:r>
    </w:p>
    <w:p w14:paraId="0CE1EB6B" w14:textId="77777777" w:rsidR="00C748B7" w:rsidRPr="00B86D98" w:rsidRDefault="00C748B7" w:rsidP="00E9714E">
      <w:pPr>
        <w:pStyle w:val="ListParagraph"/>
        <w:numPr>
          <w:ilvl w:val="0"/>
          <w:numId w:val="84"/>
        </w:numPr>
        <w:spacing w:after="120"/>
        <w:rPr>
          <w:i/>
          <w:iCs/>
          <w:color w:val="000000" w:themeColor="text1"/>
        </w:rPr>
      </w:pPr>
      <w:r w:rsidRPr="00B86D98">
        <w:rPr>
          <w:i/>
          <w:iCs/>
          <w:color w:val="000000" w:themeColor="text1"/>
        </w:rPr>
        <w:t>the issue of minimum residual disease analysis would not be covered by this item.</w:t>
      </w:r>
    </w:p>
    <w:p w14:paraId="046A6D33" w14:textId="4C180A68" w:rsidR="00C748B7" w:rsidRPr="00B86D98" w:rsidRDefault="00C748B7" w:rsidP="00E9714E">
      <w:pPr>
        <w:pStyle w:val="ListParagraph"/>
        <w:numPr>
          <w:ilvl w:val="0"/>
          <w:numId w:val="84"/>
        </w:numPr>
        <w:spacing w:after="120"/>
        <w:rPr>
          <w:i/>
          <w:iCs/>
          <w:color w:val="000000" w:themeColor="text1"/>
        </w:rPr>
      </w:pPr>
      <w:r w:rsidRPr="00B86D98">
        <w:rPr>
          <w:i/>
          <w:iCs/>
          <w:color w:val="000000" w:themeColor="text1"/>
        </w:rPr>
        <w:t>the impact of genetic counselling should be considered where germline variants are identified. The issue of familia</w:t>
      </w:r>
      <w:r w:rsidR="006D11AC">
        <w:rPr>
          <w:i/>
          <w:iCs/>
          <w:color w:val="000000" w:themeColor="text1"/>
        </w:rPr>
        <w:t>l</w:t>
      </w:r>
      <w:r w:rsidRPr="00B86D98">
        <w:rPr>
          <w:i/>
          <w:iCs/>
          <w:color w:val="000000" w:themeColor="text1"/>
        </w:rPr>
        <w:t xml:space="preserve"> </w:t>
      </w:r>
      <w:r w:rsidR="00203421">
        <w:rPr>
          <w:i/>
          <w:iCs/>
          <w:color w:val="000000" w:themeColor="text1"/>
        </w:rPr>
        <w:t>variants</w:t>
      </w:r>
      <w:r w:rsidR="00203421" w:rsidRPr="00B86D98">
        <w:rPr>
          <w:i/>
          <w:iCs/>
          <w:color w:val="000000" w:themeColor="text1"/>
        </w:rPr>
        <w:t xml:space="preserve"> </w:t>
      </w:r>
      <w:r w:rsidRPr="00B86D98">
        <w:rPr>
          <w:i/>
          <w:iCs/>
          <w:color w:val="000000" w:themeColor="text1"/>
        </w:rPr>
        <w:t>is also important for donor selection for bone marrow transplant.</w:t>
      </w:r>
    </w:p>
    <w:p w14:paraId="39AF39C0" w14:textId="107C1CD2" w:rsidR="00C748B7" w:rsidRPr="001434A6" w:rsidRDefault="00C748B7" w:rsidP="00E9714E">
      <w:pPr>
        <w:pStyle w:val="ListParagraph"/>
        <w:numPr>
          <w:ilvl w:val="0"/>
          <w:numId w:val="84"/>
        </w:numPr>
        <w:spacing w:after="120"/>
        <w:rPr>
          <w:i/>
          <w:iCs/>
          <w:color w:val="000000" w:themeColor="text1"/>
        </w:rPr>
      </w:pPr>
      <w:r w:rsidRPr="001434A6">
        <w:rPr>
          <w:i/>
          <w:iCs/>
          <w:color w:val="000000" w:themeColor="text1"/>
        </w:rPr>
        <w:t>the proposed fee is too low and as such this could have flow on impacts on consumers</w:t>
      </w:r>
    </w:p>
    <w:p w14:paraId="4E116528" w14:textId="77777777" w:rsidR="003D621A" w:rsidRPr="00D37A3F" w:rsidRDefault="003D621A" w:rsidP="003D621A">
      <w:pPr>
        <w:pStyle w:val="Heading2"/>
      </w:pPr>
      <w:r w:rsidRPr="00D37A3F">
        <w:lastRenderedPageBreak/>
        <w:t>Next steps</w:t>
      </w:r>
    </w:p>
    <w:p w14:paraId="512E0521" w14:textId="77777777" w:rsidR="008F2628" w:rsidRDefault="00C748B7" w:rsidP="00B86D98">
      <w:pPr>
        <w:spacing w:before="240" w:after="120"/>
        <w:rPr>
          <w:i/>
          <w:iCs/>
          <w:color w:val="000000" w:themeColor="text1"/>
        </w:rPr>
      </w:pPr>
      <w:r w:rsidRPr="00055B10">
        <w:rPr>
          <w:i/>
          <w:iCs/>
          <w:color w:val="000000" w:themeColor="text1"/>
        </w:rPr>
        <w:t xml:space="preserve">PASC </w:t>
      </w:r>
      <w:r>
        <w:rPr>
          <w:i/>
          <w:iCs/>
          <w:color w:val="000000" w:themeColor="text1"/>
        </w:rPr>
        <w:t>noted</w:t>
      </w:r>
      <w:r w:rsidRPr="00055B10">
        <w:rPr>
          <w:i/>
          <w:iCs/>
          <w:color w:val="000000" w:themeColor="text1"/>
        </w:rPr>
        <w:t xml:space="preserve"> that the applicant would like to proceed to a </w:t>
      </w:r>
      <w:r>
        <w:rPr>
          <w:i/>
          <w:iCs/>
          <w:color w:val="000000" w:themeColor="text1"/>
        </w:rPr>
        <w:t>department-contracted assessment report (</w:t>
      </w:r>
      <w:r w:rsidRPr="00055B10">
        <w:rPr>
          <w:i/>
          <w:iCs/>
          <w:color w:val="000000" w:themeColor="text1"/>
        </w:rPr>
        <w:t>DCAR</w:t>
      </w:r>
      <w:r>
        <w:rPr>
          <w:i/>
          <w:iCs/>
          <w:color w:val="000000" w:themeColor="text1"/>
        </w:rPr>
        <w:t>)</w:t>
      </w:r>
      <w:r w:rsidRPr="00055B10">
        <w:rPr>
          <w:i/>
          <w:iCs/>
          <w:color w:val="000000" w:themeColor="text1"/>
        </w:rPr>
        <w:t xml:space="preserve"> </w:t>
      </w:r>
      <w:r>
        <w:rPr>
          <w:i/>
          <w:iCs/>
          <w:color w:val="000000" w:themeColor="text1"/>
        </w:rPr>
        <w:t xml:space="preserve">after the PICO is ratified by </w:t>
      </w:r>
      <w:r w:rsidRPr="00055B10">
        <w:rPr>
          <w:i/>
          <w:iCs/>
          <w:color w:val="000000" w:themeColor="text1"/>
        </w:rPr>
        <w:t>PASC.</w:t>
      </w:r>
    </w:p>
    <w:p w14:paraId="13241AC0" w14:textId="1BD5F277" w:rsidR="008F2628" w:rsidRPr="00D37A3F" w:rsidRDefault="008F2628" w:rsidP="008F2628">
      <w:pPr>
        <w:pStyle w:val="Heading2"/>
      </w:pPr>
      <w:r>
        <w:t>Applicant Comments on the PICO Confirmation</w:t>
      </w:r>
    </w:p>
    <w:p w14:paraId="4AAC44E8" w14:textId="77777777" w:rsidR="008F2628" w:rsidRPr="008F2628" w:rsidRDefault="008F2628" w:rsidP="008F2628">
      <w:pPr>
        <w:autoSpaceDE w:val="0"/>
        <w:autoSpaceDN w:val="0"/>
        <w:adjustRightInd w:val="0"/>
        <w:spacing w:after="0" w:line="23" w:lineRule="atLeast"/>
        <w:rPr>
          <w:b/>
          <w:bCs/>
          <w:i/>
          <w:iCs/>
        </w:rPr>
      </w:pPr>
      <w:r w:rsidRPr="008F2628">
        <w:rPr>
          <w:b/>
          <w:bCs/>
          <w:i/>
          <w:iCs/>
        </w:rPr>
        <w:t>Population</w:t>
      </w:r>
    </w:p>
    <w:p w14:paraId="1C23C0CF" w14:textId="6E85F6EB" w:rsidR="008F2628" w:rsidRDefault="008F2628" w:rsidP="00422F06">
      <w:pPr>
        <w:spacing w:before="120"/>
      </w:pPr>
      <w:r w:rsidRPr="008F2628">
        <w:t>The College agrees that the inclusion of “</w:t>
      </w:r>
      <w:r w:rsidRPr="008F2628">
        <w:rPr>
          <w:i/>
          <w:iCs/>
        </w:rPr>
        <w:t>patients with a suspicion of a haematological malignancy</w:t>
      </w:r>
      <w:r w:rsidRPr="008F2628">
        <w:t>” may lead to leakage of the item number and an increase in numbers of patients being tested. Perhaps this should be worded along the lines of “</w:t>
      </w:r>
      <w:r w:rsidRPr="008F2628">
        <w:rPr>
          <w:i/>
          <w:iCs/>
        </w:rPr>
        <w:t>in patients with clinicopathological features consistent with a haematological malignancy</w:t>
      </w:r>
      <w:r w:rsidRPr="008F2628">
        <w:t xml:space="preserve">”, that is, patients whose preliminary diagnosis with established testing modalities is suggestive of a haematological malignancy. </w:t>
      </w:r>
    </w:p>
    <w:p w14:paraId="3577C785" w14:textId="77777777" w:rsidR="008F2628" w:rsidRPr="008F2628" w:rsidRDefault="008F2628" w:rsidP="008F2628">
      <w:pPr>
        <w:autoSpaceDE w:val="0"/>
        <w:autoSpaceDN w:val="0"/>
        <w:adjustRightInd w:val="0"/>
        <w:spacing w:after="0" w:line="23" w:lineRule="atLeast"/>
        <w:rPr>
          <w:b/>
          <w:bCs/>
          <w:i/>
          <w:iCs/>
        </w:rPr>
      </w:pPr>
      <w:r w:rsidRPr="008F2628">
        <w:rPr>
          <w:b/>
          <w:bCs/>
          <w:i/>
          <w:iCs/>
        </w:rPr>
        <w:t xml:space="preserve">Assessment framework </w:t>
      </w:r>
    </w:p>
    <w:p w14:paraId="0479C650" w14:textId="77777777" w:rsidR="008F2628" w:rsidRDefault="008F2628" w:rsidP="008F2628">
      <w:pPr>
        <w:spacing w:before="120" w:after="120"/>
        <w:rPr>
          <w:rFonts w:asciiTheme="minorHAnsi" w:hAnsiTheme="minorHAnsi" w:cstheme="minorHAnsi"/>
        </w:rPr>
      </w:pPr>
      <w:r>
        <w:rPr>
          <w:rFonts w:asciiTheme="minorHAnsi" w:hAnsiTheme="minorHAnsi" w:cstheme="minorHAnsi"/>
        </w:rPr>
        <w:t xml:space="preserve">The initial patient population should be amended in line with text describing the population </w:t>
      </w:r>
      <w:proofErr w:type="gramStart"/>
      <w:r>
        <w:rPr>
          <w:rFonts w:asciiTheme="minorHAnsi" w:hAnsiTheme="minorHAnsi" w:cstheme="minorHAnsi"/>
        </w:rPr>
        <w:t>i.e.</w:t>
      </w:r>
      <w:proofErr w:type="gramEnd"/>
      <w:r>
        <w:rPr>
          <w:rFonts w:asciiTheme="minorHAnsi" w:hAnsiTheme="minorHAnsi" w:cstheme="minorHAnsi"/>
        </w:rPr>
        <w:t xml:space="preserve"> change from “</w:t>
      </w:r>
      <w:r>
        <w:rPr>
          <w:rFonts w:asciiTheme="minorHAnsi" w:hAnsiTheme="minorHAnsi" w:cstheme="minorHAnsi"/>
          <w:i/>
          <w:iCs/>
        </w:rPr>
        <w:t>Patients with a morphological diagnosis</w:t>
      </w:r>
      <w:r>
        <w:rPr>
          <w:rFonts w:asciiTheme="minorHAnsi" w:hAnsiTheme="minorHAnsi" w:cstheme="minorHAnsi"/>
        </w:rPr>
        <w:t>….” to “</w:t>
      </w:r>
      <w:r>
        <w:rPr>
          <w:rFonts w:asciiTheme="minorHAnsi" w:hAnsiTheme="minorHAnsi" w:cstheme="minorHAnsi"/>
          <w:i/>
          <w:iCs/>
        </w:rPr>
        <w:t>patients with a suspicion of a haematological malignancy</w:t>
      </w:r>
      <w:r>
        <w:rPr>
          <w:rFonts w:asciiTheme="minorHAnsi" w:hAnsiTheme="minorHAnsi" w:cstheme="minorHAnsi"/>
        </w:rPr>
        <w:t>”. However, in light of the College’s comments above, this should be amended to “P</w:t>
      </w:r>
      <w:r>
        <w:rPr>
          <w:rFonts w:asciiTheme="minorHAnsi" w:hAnsiTheme="minorHAnsi" w:cstheme="minorHAnsi"/>
          <w:i/>
          <w:iCs/>
        </w:rPr>
        <w:t>atients with clinicopathological features consistent with a haematological malignancy</w:t>
      </w:r>
      <w:r>
        <w:rPr>
          <w:rFonts w:asciiTheme="minorHAnsi" w:hAnsiTheme="minorHAnsi" w:cstheme="minorHAnsi"/>
        </w:rPr>
        <w:t>”, that is, patients whose preliminary diagnosis with established testing modalities is suggestive of a haematological malignancy.</w:t>
      </w:r>
    </w:p>
    <w:p w14:paraId="51638927" w14:textId="77777777" w:rsidR="008F2628" w:rsidRPr="008F2628" w:rsidRDefault="008F2628" w:rsidP="008F2628">
      <w:pPr>
        <w:autoSpaceDE w:val="0"/>
        <w:autoSpaceDN w:val="0"/>
        <w:adjustRightInd w:val="0"/>
        <w:spacing w:after="0" w:line="23" w:lineRule="atLeast"/>
        <w:rPr>
          <w:b/>
          <w:bCs/>
          <w:i/>
          <w:iCs/>
        </w:rPr>
      </w:pPr>
      <w:r w:rsidRPr="008F2628">
        <w:rPr>
          <w:b/>
          <w:bCs/>
          <w:i/>
          <w:iCs/>
        </w:rPr>
        <w:t>Proposal for public funding</w:t>
      </w:r>
    </w:p>
    <w:p w14:paraId="60D280DF" w14:textId="77777777" w:rsidR="008F2628" w:rsidRPr="008F2628" w:rsidRDefault="008F2628" w:rsidP="00422F06">
      <w:pPr>
        <w:spacing w:before="120" w:after="120"/>
      </w:pPr>
      <w:r w:rsidRPr="008F2628">
        <w:t>The College agrees with PASC that the proposed fee is slightly too low. This may have resulted from a miscommunication between the College and the expert Working Party in that the proposed $800 actually represents the 85% fee. This fee was arrived at by surveying labs that are currently conducting this panel testing. The amended fee structure would then be:</w:t>
      </w:r>
    </w:p>
    <w:p w14:paraId="26417F7E" w14:textId="06A6D830" w:rsidR="001D2053" w:rsidRDefault="008F2628" w:rsidP="008F2628">
      <w:pPr>
        <w:spacing w:before="120" w:after="120"/>
        <w:rPr>
          <w:rFonts w:ascii="Franklin Gothic Medium" w:eastAsiaTheme="majorEastAsia" w:hAnsi="Franklin Gothic Medium" w:cstheme="majorBidi"/>
          <w:color w:val="000000" w:themeColor="text1"/>
          <w:sz w:val="32"/>
          <w:szCs w:val="26"/>
        </w:rPr>
      </w:pPr>
      <w:r>
        <w:rPr>
          <w:rFonts w:asciiTheme="minorHAnsi" w:hAnsiTheme="minorHAnsi" w:cstheme="minorHAnsi"/>
        </w:rPr>
        <w:t>Fee: $940   Benefit: 75% = $705   85% = $799</w:t>
      </w:r>
      <w:r w:rsidR="001D2053">
        <w:br w:type="page"/>
      </w:r>
    </w:p>
    <w:p w14:paraId="51BC4C20" w14:textId="4921E0F0" w:rsidR="000E2854" w:rsidRDefault="000E2854" w:rsidP="000E2854">
      <w:pPr>
        <w:pStyle w:val="Heading2"/>
      </w:pPr>
      <w:r w:rsidRPr="00A33126">
        <w:lastRenderedPageBreak/>
        <w:t>References</w:t>
      </w:r>
    </w:p>
    <w:p w14:paraId="647275F7" w14:textId="77777777" w:rsidR="00406830" w:rsidRPr="00EB008C" w:rsidRDefault="00406830" w:rsidP="00406830">
      <w:pPr>
        <w:rPr>
          <w:noProof/>
        </w:rPr>
      </w:pPr>
      <w:r>
        <w:rPr>
          <w:rFonts w:ascii="Arial Narrow" w:hAnsi="Arial Narrow"/>
          <w:color w:val="000000"/>
          <w:sz w:val="20"/>
          <w:szCs w:val="20"/>
          <w:lang w:eastAsia="en-AU"/>
        </w:rPr>
        <w:fldChar w:fldCharType="begin"/>
      </w:r>
      <w:r>
        <w:rPr>
          <w:rFonts w:ascii="Arial Narrow" w:hAnsi="Arial Narrow"/>
          <w:color w:val="000000"/>
          <w:sz w:val="20"/>
          <w:szCs w:val="20"/>
          <w:lang w:eastAsia="en-AU"/>
        </w:rPr>
        <w:instrText xml:space="preserve"> ADDIN EN.REFLIST </w:instrText>
      </w:r>
      <w:r>
        <w:rPr>
          <w:rFonts w:ascii="Arial Narrow" w:hAnsi="Arial Narrow"/>
          <w:color w:val="000000"/>
          <w:sz w:val="20"/>
          <w:szCs w:val="20"/>
          <w:lang w:eastAsia="en-AU"/>
        </w:rPr>
        <w:fldChar w:fldCharType="separate"/>
      </w:r>
      <w:r w:rsidRPr="00EB008C">
        <w:rPr>
          <w:noProof/>
        </w:rPr>
        <w:t xml:space="preserve">Ansell, S. M. (2015). Hodgkin Lymphoma: Diagnosis and Treatment. </w:t>
      </w:r>
      <w:r w:rsidRPr="00EB008C">
        <w:rPr>
          <w:i/>
          <w:noProof/>
        </w:rPr>
        <w:t>Mayo Clin Proc, 90</w:t>
      </w:r>
      <w:r w:rsidRPr="00EB008C">
        <w:rPr>
          <w:noProof/>
        </w:rPr>
        <w:t>(11), 1574-1583. doi:10.1016/j.mayocp.2015.07.005</w:t>
      </w:r>
    </w:p>
    <w:p w14:paraId="162472E1" w14:textId="77777777" w:rsidR="00406830" w:rsidRPr="00EB008C" w:rsidRDefault="00406830" w:rsidP="00406830">
      <w:pPr>
        <w:rPr>
          <w:noProof/>
        </w:rPr>
      </w:pPr>
      <w:r w:rsidRPr="00EB008C">
        <w:rPr>
          <w:noProof/>
        </w:rPr>
        <w:t xml:space="preserve">Arber, D. A., Orazi, A., Hasserjian, R., Thiele, J., Borowitz, M. J., Le Beau, M. M., . . . Vardiman, J. W. (2016). The 2016 revision to the World Health Organization classification of myeloid neoplasms and acute leukemia. </w:t>
      </w:r>
      <w:r w:rsidRPr="00EB008C">
        <w:rPr>
          <w:i/>
          <w:noProof/>
        </w:rPr>
        <w:t>Blood, 127</w:t>
      </w:r>
      <w:r w:rsidRPr="00EB008C">
        <w:rPr>
          <w:noProof/>
        </w:rPr>
        <w:t>(20), 2391-2405. doi:10.1182/blood-2016-03-643544</w:t>
      </w:r>
    </w:p>
    <w:p w14:paraId="0F57D5AB" w14:textId="77777777" w:rsidR="00406830" w:rsidRPr="00EB008C" w:rsidRDefault="00406830" w:rsidP="00406830">
      <w:pPr>
        <w:rPr>
          <w:noProof/>
        </w:rPr>
      </w:pPr>
      <w:r w:rsidRPr="00EB008C">
        <w:rPr>
          <w:noProof/>
        </w:rPr>
        <w:t xml:space="preserve">Australian Institute of Health and Welfare (AIHW). (2019). Cancer in Australia 2019. Retrieved from </w:t>
      </w:r>
      <w:hyperlink r:id="rId19" w:history="1">
        <w:r w:rsidRPr="00EB008C">
          <w:rPr>
            <w:rStyle w:val="Hyperlink"/>
            <w:rFonts w:ascii="Calibri" w:hAnsi="Calibri" w:cs="Calibri"/>
            <w:noProof/>
          </w:rPr>
          <w:t>https://www.aihw.gov.au/reports/cancer/cancer-in-australia-2019/contents/table-of-contents</w:t>
        </w:r>
      </w:hyperlink>
      <w:r w:rsidRPr="00EB008C">
        <w:rPr>
          <w:noProof/>
        </w:rPr>
        <w:t>.</w:t>
      </w:r>
    </w:p>
    <w:p w14:paraId="37ACAFE1" w14:textId="77777777" w:rsidR="00406830" w:rsidRPr="00EB008C" w:rsidRDefault="00406830" w:rsidP="00406830">
      <w:pPr>
        <w:rPr>
          <w:noProof/>
        </w:rPr>
      </w:pPr>
      <w:r w:rsidRPr="00EB008C">
        <w:rPr>
          <w:noProof/>
        </w:rPr>
        <w:t xml:space="preserve">Australian Institute of Health and Welfare (AIHW). (2021, 08 June 2021). Cancer data in Australia. Retrieved from </w:t>
      </w:r>
      <w:hyperlink r:id="rId20" w:history="1">
        <w:r w:rsidRPr="00EB008C">
          <w:rPr>
            <w:rStyle w:val="Hyperlink"/>
            <w:rFonts w:ascii="Calibri" w:hAnsi="Calibri" w:cs="Calibri"/>
            <w:noProof/>
          </w:rPr>
          <w:t>https://www.aihw.gov.au/reports/cancer/cancer-data-in-australia/contents/cancer-summary-data-visualisation</w:t>
        </w:r>
      </w:hyperlink>
    </w:p>
    <w:p w14:paraId="76E40B66" w14:textId="77777777" w:rsidR="00406830" w:rsidRPr="00EB008C" w:rsidRDefault="00406830" w:rsidP="00406830">
      <w:pPr>
        <w:rPr>
          <w:noProof/>
        </w:rPr>
      </w:pPr>
      <w:r w:rsidRPr="00EB008C">
        <w:rPr>
          <w:noProof/>
        </w:rPr>
        <w:t>Batista, J. L., Birmann, B. M., &amp; Epstein, M. M. (2017). Pathology and Epidemiology of Cancer. In M. Loda, L. A. Mucci, M. L. Mittelstadt, M. Van Hemelrijck, &amp; M. B. Cotter (Eds.), (pp. 543-569). Cham: Springer International Publishing.</w:t>
      </w:r>
    </w:p>
    <w:p w14:paraId="25963EE5" w14:textId="77777777" w:rsidR="00406830" w:rsidRPr="00EB008C" w:rsidRDefault="00406830" w:rsidP="00406830">
      <w:pPr>
        <w:rPr>
          <w:noProof/>
        </w:rPr>
      </w:pPr>
      <w:r w:rsidRPr="00EB008C">
        <w:rPr>
          <w:noProof/>
        </w:rPr>
        <w:t xml:space="preserve">Bowzyk Al-Naeeb, A., Ajithkumar, T., Behan, S., &amp; Hodson, D. J. (2018). Non-Hodgkin lymphoma. </w:t>
      </w:r>
      <w:r w:rsidRPr="00EB008C">
        <w:rPr>
          <w:i/>
          <w:noProof/>
        </w:rPr>
        <w:t>BMJ, 362</w:t>
      </w:r>
      <w:r w:rsidRPr="00EB008C">
        <w:rPr>
          <w:noProof/>
        </w:rPr>
        <w:t>, k3204. doi:10.1136/bmj.k3204</w:t>
      </w:r>
    </w:p>
    <w:p w14:paraId="0FF78DF8" w14:textId="77777777" w:rsidR="00406830" w:rsidRPr="00EB008C" w:rsidRDefault="00406830" w:rsidP="00406830">
      <w:pPr>
        <w:rPr>
          <w:noProof/>
        </w:rPr>
      </w:pPr>
      <w:r w:rsidRPr="00EB008C">
        <w:rPr>
          <w:noProof/>
        </w:rPr>
        <w:t xml:space="preserve">Brown, A. L., &amp; Hiwase, D. K. (2020). What's germane in the germline? Finding clinically relevant germline variants in myeloid neoplasms from tumor only screening. </w:t>
      </w:r>
      <w:r w:rsidRPr="00EB008C">
        <w:rPr>
          <w:i/>
          <w:noProof/>
        </w:rPr>
        <w:t>Leuk Res, 96</w:t>
      </w:r>
      <w:r w:rsidRPr="00EB008C">
        <w:rPr>
          <w:noProof/>
        </w:rPr>
        <w:t>, 106431. doi:10.1016/j.leukres.2020.106431</w:t>
      </w:r>
    </w:p>
    <w:p w14:paraId="270E0E1B" w14:textId="77777777" w:rsidR="00406830" w:rsidRPr="00EB008C" w:rsidRDefault="00406830" w:rsidP="00406830">
      <w:pPr>
        <w:rPr>
          <w:noProof/>
        </w:rPr>
      </w:pPr>
      <w:r w:rsidRPr="00EB008C">
        <w:rPr>
          <w:noProof/>
        </w:rPr>
        <w:t xml:space="preserve">Choi, J. K. (2018). Precursor Lymphoid Neoplasms. In Hsi E.D. (Ed.), </w:t>
      </w:r>
      <w:r w:rsidRPr="00EB008C">
        <w:rPr>
          <w:i/>
          <w:noProof/>
        </w:rPr>
        <w:t>Hematopathology (Third Edition)</w:t>
      </w:r>
      <w:r w:rsidRPr="00EB008C">
        <w:rPr>
          <w:noProof/>
        </w:rPr>
        <w:t xml:space="preserve"> (pp. 467-480). Philadelphia: Elsiever.</w:t>
      </w:r>
    </w:p>
    <w:p w14:paraId="613FDF53" w14:textId="77777777" w:rsidR="00406830" w:rsidRPr="00EB008C" w:rsidRDefault="00406830" w:rsidP="00406830">
      <w:pPr>
        <w:rPr>
          <w:noProof/>
        </w:rPr>
      </w:pPr>
      <w:r w:rsidRPr="00EB008C">
        <w:rPr>
          <w:noProof/>
        </w:rPr>
        <w:t xml:space="preserve">Docking, T. R., &amp; Karsan, A. (2019). Genomic testing in myeloid malignancy. </w:t>
      </w:r>
      <w:r w:rsidRPr="00EB008C">
        <w:rPr>
          <w:i/>
          <w:noProof/>
        </w:rPr>
        <w:t>Int J Lab Hematol, 41 Suppl 1</w:t>
      </w:r>
      <w:r w:rsidRPr="00EB008C">
        <w:rPr>
          <w:noProof/>
        </w:rPr>
        <w:t>, 117-125. doi:10.1111/ijlh.13022</w:t>
      </w:r>
    </w:p>
    <w:p w14:paraId="6A6751DC" w14:textId="77777777" w:rsidR="00406830" w:rsidRPr="00EB008C" w:rsidRDefault="00406830" w:rsidP="00406830">
      <w:pPr>
        <w:rPr>
          <w:noProof/>
        </w:rPr>
      </w:pPr>
      <w:r w:rsidRPr="00EB008C">
        <w:rPr>
          <w:noProof/>
        </w:rPr>
        <w:t xml:space="preserve">Freedman, A. S., Friedberg, J. W., &amp; Aster, J. C. (2020). Classification of the hematopoietic neoplasms,. Retrieved from </w:t>
      </w:r>
      <w:hyperlink r:id="rId21" w:history="1">
        <w:r w:rsidRPr="00EB008C">
          <w:rPr>
            <w:rStyle w:val="Hyperlink"/>
            <w:rFonts w:ascii="Calibri" w:hAnsi="Calibri" w:cs="Calibri"/>
            <w:noProof/>
          </w:rPr>
          <w:t>https://www.uptodate.com/contents/classification-of-the-hematopoietic-neoplasms</w:t>
        </w:r>
      </w:hyperlink>
    </w:p>
    <w:p w14:paraId="18BC558B" w14:textId="77777777" w:rsidR="00406830" w:rsidRPr="00EB008C" w:rsidRDefault="00406830" w:rsidP="00406830">
      <w:pPr>
        <w:rPr>
          <w:noProof/>
        </w:rPr>
      </w:pPr>
      <w:r w:rsidRPr="00EB008C">
        <w:rPr>
          <w:noProof/>
        </w:rPr>
        <w:t xml:space="preserve">Leukaemia Foundation. (2020). National Strategic Action Plan for Blood Cancer. Retrieved from </w:t>
      </w:r>
      <w:hyperlink r:id="rId22" w:history="1">
        <w:r w:rsidRPr="00EB008C">
          <w:rPr>
            <w:rStyle w:val="Hyperlink"/>
            <w:rFonts w:ascii="Calibri" w:hAnsi="Calibri" w:cs="Calibri"/>
            <w:noProof/>
          </w:rPr>
          <w:t>https://www.leukaemia.org.au/national-action-plan/</w:t>
        </w:r>
      </w:hyperlink>
    </w:p>
    <w:p w14:paraId="0C2A6933" w14:textId="77777777" w:rsidR="00406830" w:rsidRPr="00EB008C" w:rsidRDefault="00406830" w:rsidP="00406830">
      <w:pPr>
        <w:rPr>
          <w:noProof/>
        </w:rPr>
      </w:pPr>
      <w:r w:rsidRPr="00EB008C">
        <w:rPr>
          <w:noProof/>
        </w:rPr>
        <w:t xml:space="preserve">Mathas, S., Hartmann, S., &amp; Kuppers, R. (2016). Hodgkin lymphoma: Pathology and biology. </w:t>
      </w:r>
      <w:r w:rsidRPr="00EB008C">
        <w:rPr>
          <w:i/>
          <w:noProof/>
        </w:rPr>
        <w:t>Semin Hematol, 53</w:t>
      </w:r>
      <w:r w:rsidRPr="00EB008C">
        <w:rPr>
          <w:noProof/>
        </w:rPr>
        <w:t>(3), 139-147. doi:10.1053/j.seminhematol.2016.05.007</w:t>
      </w:r>
    </w:p>
    <w:p w14:paraId="521289BD" w14:textId="77777777" w:rsidR="00406830" w:rsidRPr="00EB008C" w:rsidRDefault="00406830" w:rsidP="00406830">
      <w:pPr>
        <w:rPr>
          <w:noProof/>
        </w:rPr>
      </w:pPr>
      <w:r w:rsidRPr="00EB008C">
        <w:rPr>
          <w:noProof/>
        </w:rPr>
        <w:t xml:space="preserve">Medical Services Advisory Committee (MSAC). (2019a). </w:t>
      </w:r>
      <w:r w:rsidRPr="00EB008C">
        <w:rPr>
          <w:i/>
          <w:noProof/>
        </w:rPr>
        <w:t>Public Summary Document - Application No. 1526 – Somatic gene testing of haematological malignancies</w:t>
      </w:r>
      <w:r w:rsidRPr="00EB008C">
        <w:rPr>
          <w:noProof/>
        </w:rPr>
        <w:t xml:space="preserve">. Canberra Retrieved from </w:t>
      </w:r>
      <w:hyperlink r:id="rId23" w:history="1">
        <w:r w:rsidRPr="00EB008C">
          <w:rPr>
            <w:rStyle w:val="Hyperlink"/>
            <w:rFonts w:ascii="Calibri" w:hAnsi="Calibri" w:cs="Calibri"/>
            <w:noProof/>
          </w:rPr>
          <w:t>http://www.msac.gov.au/internet/msac/publishing.nsf/Content/44A08BDC13521B3ACA2582260017FF4B/$File/1526%20-%20Final%20PSD.pdf</w:t>
        </w:r>
      </w:hyperlink>
    </w:p>
    <w:p w14:paraId="2C3B0B0D" w14:textId="77777777" w:rsidR="00406830" w:rsidRPr="00EB008C" w:rsidRDefault="00406830" w:rsidP="00406830">
      <w:pPr>
        <w:rPr>
          <w:noProof/>
        </w:rPr>
      </w:pPr>
      <w:r w:rsidRPr="00EB008C">
        <w:rPr>
          <w:noProof/>
        </w:rPr>
        <w:t xml:space="preserve">Medical Services Advisory Committee (MSAC). (2019b). </w:t>
      </w:r>
      <w:r w:rsidRPr="00EB008C">
        <w:rPr>
          <w:i/>
          <w:noProof/>
        </w:rPr>
        <w:t>Public Summary Document - Application No. 1528 – Somatic tumour gene testing for the diagnosis of renal cell carcinoma, hydatidiform moles, granulosa cell ovarian tumour, salivary gland tumours, and secretory carcinoma of the breast</w:t>
      </w:r>
      <w:r w:rsidRPr="00EB008C">
        <w:rPr>
          <w:noProof/>
        </w:rPr>
        <w:t xml:space="preserve">. Canberra Retrieved from </w:t>
      </w:r>
      <w:hyperlink r:id="rId24" w:history="1">
        <w:r w:rsidRPr="00EB008C">
          <w:rPr>
            <w:rStyle w:val="Hyperlink"/>
            <w:rFonts w:ascii="Calibri" w:hAnsi="Calibri" w:cs="Calibri"/>
            <w:noProof/>
          </w:rPr>
          <w:t>http://www.msac.gov.au/internet/msac/publishing.nsf/Content/9435966ED7D75835CA258227001F77F3/$File/1528%20-%20Final%20PSD.pdf</w:t>
        </w:r>
      </w:hyperlink>
    </w:p>
    <w:p w14:paraId="7023C112" w14:textId="77777777" w:rsidR="00406830" w:rsidRPr="00EB008C" w:rsidRDefault="00406830" w:rsidP="00406830">
      <w:pPr>
        <w:rPr>
          <w:noProof/>
        </w:rPr>
      </w:pPr>
      <w:r w:rsidRPr="00EB008C">
        <w:rPr>
          <w:noProof/>
        </w:rPr>
        <w:lastRenderedPageBreak/>
        <w:t xml:space="preserve">Medical Services Advisory Committee (MSAC). (2019c). </w:t>
      </w:r>
      <w:r w:rsidRPr="00EB008C">
        <w:rPr>
          <w:i/>
          <w:noProof/>
        </w:rPr>
        <w:t>Public Summary Document Application No. 1527 – somatic gene testing of central nervous system tumours and sarcomas</w:t>
      </w:r>
      <w:r w:rsidRPr="00EB008C">
        <w:rPr>
          <w:noProof/>
        </w:rPr>
        <w:t xml:space="preserve">. Canberra Retrieved from </w:t>
      </w:r>
      <w:hyperlink r:id="rId25" w:history="1">
        <w:r w:rsidRPr="00EB008C">
          <w:rPr>
            <w:rStyle w:val="Hyperlink"/>
            <w:rFonts w:ascii="Calibri" w:hAnsi="Calibri" w:cs="Calibri"/>
            <w:noProof/>
          </w:rPr>
          <w:t>http://www.msac.gov.au/internet/msac/publishing.nsf/Content/C676085C1BBC91D9CA258227001DA027/$File/1527%20-%20Final%20%20PSD.pdf</w:t>
        </w:r>
      </w:hyperlink>
    </w:p>
    <w:p w14:paraId="26B2B718" w14:textId="77777777" w:rsidR="00406830" w:rsidRPr="00EB008C" w:rsidRDefault="00406830" w:rsidP="00406830">
      <w:pPr>
        <w:rPr>
          <w:noProof/>
        </w:rPr>
      </w:pPr>
      <w:r w:rsidRPr="00EB008C">
        <w:rPr>
          <w:noProof/>
        </w:rPr>
        <w:t xml:space="preserve">Medical Services Advisory Committee (MSAC). (2020). </w:t>
      </w:r>
      <w:r w:rsidRPr="00EB008C">
        <w:rPr>
          <w:i/>
          <w:noProof/>
        </w:rPr>
        <w:t>Public Summary Document, Application No. 1532 – Expansion of genetic testing for myeloproliferative neoplasms under MBS item 73325</w:t>
      </w:r>
      <w:r w:rsidRPr="00EB008C">
        <w:rPr>
          <w:noProof/>
        </w:rPr>
        <w:t xml:space="preserve">. Canberra Retrieved from </w:t>
      </w:r>
      <w:hyperlink r:id="rId26" w:history="1">
        <w:r w:rsidRPr="00EB008C">
          <w:rPr>
            <w:rStyle w:val="Hyperlink"/>
            <w:rFonts w:ascii="Calibri" w:hAnsi="Calibri" w:cs="Calibri"/>
            <w:noProof/>
          </w:rPr>
          <w:t>http://www.msac.gov.au/internet/msac/publishing.nsf/Content/203361E9D7C61A2DCA2583B70004823F/$File/1532%20Final%20PSD_Nov2020.pdf</w:t>
        </w:r>
      </w:hyperlink>
    </w:p>
    <w:p w14:paraId="3126C865" w14:textId="77777777" w:rsidR="00406830" w:rsidRPr="00EB008C" w:rsidRDefault="00406830" w:rsidP="00406830">
      <w:pPr>
        <w:rPr>
          <w:noProof/>
        </w:rPr>
      </w:pPr>
      <w:r w:rsidRPr="00EB008C">
        <w:rPr>
          <w:noProof/>
        </w:rPr>
        <w:t xml:space="preserve">Nasr, M. R., Perry, A. M., &amp; Skrabek, P. (2019). </w:t>
      </w:r>
      <w:r w:rsidRPr="00EB008C">
        <w:rPr>
          <w:i/>
          <w:noProof/>
        </w:rPr>
        <w:t>Precursor Lymphoid Neoplasms.  Lymph Node Pathology for Clinicians</w:t>
      </w:r>
      <w:r w:rsidRPr="00EB008C">
        <w:rPr>
          <w:noProof/>
        </w:rPr>
        <w:t>. Cham: Springer International Publishing.</w:t>
      </w:r>
    </w:p>
    <w:p w14:paraId="37E298C4" w14:textId="77777777" w:rsidR="00406830" w:rsidRPr="00EB008C" w:rsidRDefault="00406830" w:rsidP="00406830">
      <w:pPr>
        <w:rPr>
          <w:noProof/>
        </w:rPr>
      </w:pPr>
      <w:r w:rsidRPr="00EB008C">
        <w:rPr>
          <w:noProof/>
        </w:rPr>
        <w:t xml:space="preserve">Northrup, V., Maybank, A., Carson, N., &amp; Rahmeh, T. (2020). The Value of Next-Generation Sequencing in the Screening and Evaluation of Hematologic Neoplasms in Clinical Practice. </w:t>
      </w:r>
      <w:r w:rsidRPr="00EB008C">
        <w:rPr>
          <w:i/>
          <w:noProof/>
        </w:rPr>
        <w:t>Am J Clin Pathol, 153</w:t>
      </w:r>
      <w:r w:rsidRPr="00EB008C">
        <w:rPr>
          <w:noProof/>
        </w:rPr>
        <w:t>(5), 639-645. doi:10.1093/ajcp/aqz203</w:t>
      </w:r>
    </w:p>
    <w:p w14:paraId="0B0B7B63" w14:textId="77777777" w:rsidR="00406830" w:rsidRPr="00EB008C" w:rsidRDefault="00406830" w:rsidP="00406830">
      <w:pPr>
        <w:rPr>
          <w:noProof/>
        </w:rPr>
      </w:pPr>
      <w:r w:rsidRPr="00EB008C">
        <w:rPr>
          <w:noProof/>
        </w:rPr>
        <w:t xml:space="preserve">Prakash, G., Kaur, A., Malhotra, P., Khadwal, A., Sharma, P., Suri, V., . . . Varma, S. (2016). Current Role of Genetics in Hematologic Malignancies. </w:t>
      </w:r>
      <w:r w:rsidRPr="00EB008C">
        <w:rPr>
          <w:i/>
          <w:noProof/>
        </w:rPr>
        <w:t>Indian J Hematol Blood Transfus, 32</w:t>
      </w:r>
      <w:r w:rsidRPr="00EB008C">
        <w:rPr>
          <w:noProof/>
        </w:rPr>
        <w:t>(1), 18-31. doi:10.1007/s12288-015-0584-4</w:t>
      </w:r>
    </w:p>
    <w:p w14:paraId="528932D2" w14:textId="77777777" w:rsidR="00406830" w:rsidRPr="00EB008C" w:rsidRDefault="00406830" w:rsidP="00406830">
      <w:pPr>
        <w:rPr>
          <w:noProof/>
        </w:rPr>
      </w:pPr>
      <w:r w:rsidRPr="00EB008C">
        <w:rPr>
          <w:noProof/>
        </w:rPr>
        <w:t xml:space="preserve">Schiffer, C. A., &amp; Gurbuxani, S. (2019). Clinical manifestations, pathologic features, and diagnosis of acute myeloid leukemia. Retrieved from </w:t>
      </w:r>
      <w:hyperlink r:id="rId27" w:history="1">
        <w:r w:rsidRPr="00EB008C">
          <w:rPr>
            <w:rStyle w:val="Hyperlink"/>
            <w:rFonts w:ascii="Calibri" w:hAnsi="Calibri" w:cs="Calibri"/>
            <w:noProof/>
          </w:rPr>
          <w:t>https://www.uptodate.com/contents/clinical-manifestations-pathologic-features-and-diagnosis-of-acute-myeloid-leukemia?search=Clinical%20manifestations,%20pathologic%20features,%20and%20diagnosis%20of%20acute%20myeloid%20leukemia&amp;source=search_result&amp;selectedTitle=1~150&amp;usage_type=default&amp;display_rank=1</w:t>
        </w:r>
      </w:hyperlink>
      <w:r w:rsidRPr="00EB008C">
        <w:rPr>
          <w:noProof/>
        </w:rPr>
        <w:t>.</w:t>
      </w:r>
    </w:p>
    <w:p w14:paraId="746F826B" w14:textId="77777777" w:rsidR="00406830" w:rsidRPr="00EB008C" w:rsidRDefault="00406830" w:rsidP="00406830">
      <w:pPr>
        <w:rPr>
          <w:noProof/>
        </w:rPr>
      </w:pPr>
      <w:r w:rsidRPr="00EB008C">
        <w:rPr>
          <w:noProof/>
        </w:rPr>
        <w:t xml:space="preserve">Schrijver, I., &amp; Zehnder, J. L. (2020). Genetic abnormalities in hematologic and lymphoid malignancies. Retrieved from </w:t>
      </w:r>
      <w:hyperlink r:id="rId28" w:history="1">
        <w:r w:rsidRPr="00EB008C">
          <w:rPr>
            <w:rStyle w:val="Hyperlink"/>
            <w:rFonts w:ascii="Calibri" w:hAnsi="Calibri" w:cs="Calibri"/>
            <w:noProof/>
          </w:rPr>
          <w:t>https://www.uptodate.com/contents/genetic-abnormalities-in-hematologic-and-lymphoid-malignancies</w:t>
        </w:r>
      </w:hyperlink>
    </w:p>
    <w:p w14:paraId="74EB44CB" w14:textId="77777777" w:rsidR="00406830" w:rsidRPr="00EB008C" w:rsidRDefault="00406830" w:rsidP="00406830">
      <w:pPr>
        <w:rPr>
          <w:noProof/>
        </w:rPr>
      </w:pPr>
      <w:r w:rsidRPr="00EB008C">
        <w:rPr>
          <w:noProof/>
        </w:rPr>
        <w:t xml:space="preserve">Shankland, K. R., Armitage, J. O., &amp; Hancock, B. W. (2012). Non-Hodgkin lymphoma. </w:t>
      </w:r>
      <w:r w:rsidRPr="00EB008C">
        <w:rPr>
          <w:i/>
          <w:noProof/>
        </w:rPr>
        <w:t>Lancet, 380</w:t>
      </w:r>
      <w:r w:rsidRPr="00EB008C">
        <w:rPr>
          <w:noProof/>
        </w:rPr>
        <w:t>(9844), 848-857. doi:10.1016/S0140-6736(12)60605-9</w:t>
      </w:r>
    </w:p>
    <w:p w14:paraId="00BB1EC1" w14:textId="77777777" w:rsidR="00406830" w:rsidRPr="00EB008C" w:rsidRDefault="00406830" w:rsidP="00406830">
      <w:pPr>
        <w:rPr>
          <w:noProof/>
        </w:rPr>
      </w:pPr>
      <w:r w:rsidRPr="00EB008C">
        <w:rPr>
          <w:noProof/>
        </w:rPr>
        <w:t xml:space="preserve">Swerdlow, S. H., Campo, E., Pileri, S. A., Harris, N. L., Stein, H., Siebert, R., . . . Jaffe, E. S. (2016). The 2016 revision of the World Health Organization classification of lymphoid neoplasms. </w:t>
      </w:r>
      <w:r w:rsidRPr="00EB008C">
        <w:rPr>
          <w:i/>
          <w:noProof/>
        </w:rPr>
        <w:t>Blood, 127</w:t>
      </w:r>
      <w:r w:rsidRPr="00EB008C">
        <w:rPr>
          <w:noProof/>
        </w:rPr>
        <w:t>(20), 2375-2390. doi:10.1182/blood-2016-01-643569</w:t>
      </w:r>
    </w:p>
    <w:p w14:paraId="3637F740" w14:textId="69B924C8" w:rsidR="000E2854" w:rsidRDefault="00406830" w:rsidP="00406830">
      <w:pPr>
        <w:pStyle w:val="EndNoteBibliography"/>
        <w:ind w:left="720" w:hanging="720"/>
        <w:rPr>
          <w:rFonts w:ascii="Franklin Gothic Medium" w:eastAsiaTheme="majorEastAsia" w:hAnsi="Franklin Gothic Medium" w:cstheme="majorBidi"/>
          <w:color w:val="000000" w:themeColor="text1"/>
          <w:sz w:val="32"/>
          <w:szCs w:val="26"/>
        </w:rPr>
      </w:pPr>
      <w:r w:rsidRPr="00EB008C">
        <w:t xml:space="preserve">Wang, H. W., Balakrishna, J. P., Pittaluga, S., &amp; Jaffe, E. S. (2019). Diagnosis of Hodgkin lymphoma in the modern era. </w:t>
      </w:r>
      <w:r w:rsidRPr="00EB008C">
        <w:rPr>
          <w:i/>
        </w:rPr>
        <w:t>Br J Haematol, 184</w:t>
      </w:r>
      <w:r w:rsidRPr="00EB008C">
        <w:t>(1), 45-59. doi:10.1111/bjh.15614</w:t>
      </w:r>
      <w:r>
        <w:rPr>
          <w:rFonts w:ascii="Arial Narrow" w:hAnsi="Arial Narrow"/>
          <w:color w:val="000000"/>
          <w:sz w:val="20"/>
          <w:szCs w:val="20"/>
          <w:lang w:eastAsia="en-AU"/>
        </w:rPr>
        <w:fldChar w:fldCharType="end"/>
      </w:r>
      <w:r w:rsidR="000E2854">
        <w:br w:type="page"/>
      </w:r>
    </w:p>
    <w:p w14:paraId="22205459" w14:textId="6A7F71A7" w:rsidR="001D2053" w:rsidRPr="00D37A3F" w:rsidRDefault="001D2053" w:rsidP="000E2854">
      <w:pPr>
        <w:pStyle w:val="Heading2"/>
      </w:pPr>
      <w:bookmarkStart w:id="19" w:name="_Ref87423786"/>
      <w:r>
        <w:lastRenderedPageBreak/>
        <w:t>Appendix A</w:t>
      </w:r>
      <w:bookmarkEnd w:id="19"/>
    </w:p>
    <w:p w14:paraId="050B5AF6" w14:textId="1595DB8E" w:rsidR="001D2053" w:rsidRDefault="001D2053" w:rsidP="00880A69">
      <w:pPr>
        <w:pStyle w:val="Caption"/>
      </w:pPr>
      <w:bookmarkStart w:id="20" w:name="_Ref85200276"/>
      <w:bookmarkStart w:id="21" w:name="_Ref85200271"/>
      <w:r>
        <w:t xml:space="preserve">Table </w:t>
      </w:r>
      <w:r>
        <w:fldChar w:fldCharType="begin"/>
      </w:r>
      <w:r>
        <w:instrText xml:space="preserve"> SEQ Table \* ARABIC </w:instrText>
      </w:r>
      <w:r>
        <w:fldChar w:fldCharType="separate"/>
      </w:r>
      <w:r w:rsidR="00CA44B7">
        <w:rPr>
          <w:noProof/>
        </w:rPr>
        <w:t>9</w:t>
      </w:r>
      <w:r>
        <w:fldChar w:fldCharType="end"/>
      </w:r>
      <w:bookmarkEnd w:id="20"/>
      <w:r w:rsidR="000E57E3">
        <w:tab/>
      </w:r>
      <w:r w:rsidRPr="009E1B63">
        <w:t>2016 WHO classification of mature lymphoid, histiocytic, and dendritic neoplasms</w:t>
      </w:r>
      <w:r>
        <w:t xml:space="preserve"> </w:t>
      </w:r>
      <w:bookmarkEnd w:id="21"/>
      <w:r w:rsidR="00EB008C">
        <w:fldChar w:fldCharType="begin">
          <w:fldData xml:space="preserve">PEVuZE5vdGU+PENpdGU+PEF1dGhvcj5Td2VyZGxvdzwvQXV0aG9yPjxZZWFyPjIwMTY8L1llYXI+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</w:fldData>
        </w:fldChar>
      </w:r>
      <w:r w:rsidR="00EB008C">
        <w:instrText xml:space="preserve"> ADDIN EN.CITE </w:instrText>
      </w:r>
      <w:r w:rsidR="00EB008C">
        <w:fldChar w:fldCharType="begin">
          <w:fldData xml:space="preserve">PEVuZE5vdGU+PENpdGU+PEF1dGhvcj5Td2VyZGxvdzwvQXV0aG9yPjxZZWFyPjIwMTY8L1llYXI+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</w:fldData>
        </w:fldChar>
      </w:r>
      <w:r w:rsidR="00EB008C">
        <w:instrText xml:space="preserve"> ADDIN EN.CITE.DATA </w:instrText>
      </w:r>
      <w:r w:rsidR="00EB008C">
        <w:fldChar w:fldCharType="end"/>
      </w:r>
      <w:r w:rsidR="00EB008C">
        <w:fldChar w:fldCharType="separate"/>
      </w:r>
      <w:r w:rsidR="00EB008C">
        <w:rPr>
          <w:noProof/>
        </w:rPr>
        <w:t>(Swerdlow et al., 2016)</w:t>
      </w:r>
      <w:r w:rsidR="00EB008C">
        <w:fldChar w:fldCharType="end"/>
      </w:r>
    </w:p>
    <w:tbl>
      <w:tblPr>
        <w:tblStyle w:val="TableGrid"/>
        <w:tblW w:w="9493" w:type="dxa"/>
        <w:tblInd w:w="0" w:type="dxa"/>
        <w:tblLook w:val="04A0" w:firstRow="1" w:lastRow="0" w:firstColumn="1" w:lastColumn="0" w:noHBand="0" w:noVBand="1"/>
      </w:tblPr>
      <w:tblGrid>
        <w:gridCol w:w="9493"/>
      </w:tblGrid>
      <w:tr w:rsidR="001D2053" w:rsidRPr="001D2053" w14:paraId="25D0A5A9" w14:textId="77777777" w:rsidTr="000E57E3">
        <w:tc>
          <w:tcPr>
            <w:tcW w:w="9493" w:type="dxa"/>
          </w:tcPr>
          <w:p w14:paraId="572FDCFE" w14:textId="493452D7" w:rsidR="001D2053" w:rsidRPr="000E57E3" w:rsidRDefault="001D2053" w:rsidP="000E57E3">
            <w:pPr>
              <w:pStyle w:val="TableHeading"/>
            </w:pPr>
            <w:r w:rsidRPr="000E57E3">
              <w:t>Mature B-cell neoplasms</w:t>
            </w:r>
          </w:p>
        </w:tc>
      </w:tr>
      <w:tr w:rsidR="001D2053" w:rsidRPr="001D2053" w14:paraId="729BF6A5" w14:textId="77777777" w:rsidTr="000E57E3">
        <w:tc>
          <w:tcPr>
            <w:tcW w:w="9493" w:type="dxa"/>
          </w:tcPr>
          <w:p w14:paraId="7820F5A7" w14:textId="775AE322" w:rsidR="001D2053" w:rsidRPr="000E57E3" w:rsidRDefault="001D2053" w:rsidP="000E57E3">
            <w:pPr>
              <w:pStyle w:val="TableText0"/>
            </w:pPr>
            <w:r w:rsidRPr="000E57E3">
              <w:t>Chronic lymphocytic leukemia/small lymphocytic lymphoma</w:t>
            </w:r>
          </w:p>
        </w:tc>
      </w:tr>
      <w:tr w:rsidR="001D2053" w:rsidRPr="001D2053" w14:paraId="4071D763" w14:textId="77777777" w:rsidTr="000E57E3">
        <w:tc>
          <w:tcPr>
            <w:tcW w:w="9493" w:type="dxa"/>
          </w:tcPr>
          <w:p w14:paraId="0F8F7D28" w14:textId="74C8982B" w:rsidR="001D2053" w:rsidRPr="000E57E3" w:rsidRDefault="001D2053" w:rsidP="000E57E3">
            <w:pPr>
              <w:pStyle w:val="TableText0"/>
            </w:pPr>
            <w:r w:rsidRPr="000E57E3">
              <w:t>Monoclonal B-cell lymphocytosis*</w:t>
            </w:r>
          </w:p>
        </w:tc>
      </w:tr>
      <w:tr w:rsidR="001D2053" w:rsidRPr="001D2053" w14:paraId="3D32CCA7" w14:textId="77777777" w:rsidTr="000E57E3">
        <w:tc>
          <w:tcPr>
            <w:tcW w:w="9493" w:type="dxa"/>
          </w:tcPr>
          <w:p w14:paraId="2349B57A" w14:textId="4E829D89" w:rsidR="001D2053" w:rsidRPr="000E57E3" w:rsidRDefault="001D2053" w:rsidP="000E57E3">
            <w:pPr>
              <w:pStyle w:val="TableText0"/>
            </w:pPr>
            <w:r w:rsidRPr="000E57E3">
              <w:t>B-cell prolymphocytic leukemia</w:t>
            </w:r>
          </w:p>
        </w:tc>
      </w:tr>
      <w:tr w:rsidR="001D2053" w:rsidRPr="001D2053" w14:paraId="5916B398" w14:textId="77777777" w:rsidTr="000E57E3">
        <w:tc>
          <w:tcPr>
            <w:tcW w:w="9493" w:type="dxa"/>
          </w:tcPr>
          <w:p w14:paraId="39D84827" w14:textId="03E26A9D" w:rsidR="001D2053" w:rsidRPr="000E57E3" w:rsidRDefault="001D2053" w:rsidP="000E57E3">
            <w:pPr>
              <w:pStyle w:val="TableText0"/>
            </w:pPr>
            <w:r w:rsidRPr="000E57E3">
              <w:t>Splenic marginal zone lymphoma</w:t>
            </w:r>
          </w:p>
        </w:tc>
      </w:tr>
      <w:tr w:rsidR="001D2053" w:rsidRPr="001D2053" w14:paraId="063B9275" w14:textId="77777777" w:rsidTr="000E57E3">
        <w:tc>
          <w:tcPr>
            <w:tcW w:w="9493" w:type="dxa"/>
          </w:tcPr>
          <w:p w14:paraId="0539C78D" w14:textId="2020B459" w:rsidR="001D2053" w:rsidRPr="000E57E3" w:rsidRDefault="001D2053" w:rsidP="000E57E3">
            <w:pPr>
              <w:pStyle w:val="TableText0"/>
            </w:pPr>
            <w:r w:rsidRPr="000E57E3">
              <w:t>Hairy cell leukemia</w:t>
            </w:r>
          </w:p>
        </w:tc>
      </w:tr>
      <w:tr w:rsidR="001D2053" w:rsidRPr="001D2053" w14:paraId="3EBEE885" w14:textId="77777777" w:rsidTr="000E57E3">
        <w:tc>
          <w:tcPr>
            <w:tcW w:w="9493" w:type="dxa"/>
          </w:tcPr>
          <w:p w14:paraId="3870F958" w14:textId="21B36D5C" w:rsidR="001D2053" w:rsidRPr="000E57E3" w:rsidRDefault="001D2053" w:rsidP="000E57E3">
            <w:pPr>
              <w:pStyle w:val="TableText0"/>
            </w:pPr>
            <w:r w:rsidRPr="000E57E3">
              <w:t>Splenic B-cell lymphoma/leukemia, unclassifiable</w:t>
            </w:r>
          </w:p>
        </w:tc>
      </w:tr>
      <w:tr w:rsidR="001D2053" w:rsidRPr="001D2053" w14:paraId="21E8B3EB" w14:textId="77777777" w:rsidTr="000E57E3">
        <w:tc>
          <w:tcPr>
            <w:tcW w:w="9493" w:type="dxa"/>
          </w:tcPr>
          <w:p w14:paraId="50DE789A" w14:textId="7B7730A5" w:rsidR="001D2053" w:rsidRPr="000E57E3" w:rsidRDefault="001D2053" w:rsidP="000E57E3">
            <w:pPr>
              <w:pStyle w:val="TableText0"/>
            </w:pPr>
            <w:r w:rsidRPr="000E57E3">
              <w:tab/>
              <w:t>Splenic diffuse red pulp small B-cell lymphoma</w:t>
            </w:r>
          </w:p>
        </w:tc>
      </w:tr>
      <w:tr w:rsidR="001D2053" w:rsidRPr="001D2053" w14:paraId="15AD8FA6" w14:textId="77777777" w:rsidTr="000E57E3">
        <w:tc>
          <w:tcPr>
            <w:tcW w:w="9493" w:type="dxa"/>
          </w:tcPr>
          <w:p w14:paraId="1436C456" w14:textId="26921C0F" w:rsidR="001D2053" w:rsidRPr="000E57E3" w:rsidRDefault="001D2053" w:rsidP="000E57E3">
            <w:pPr>
              <w:pStyle w:val="TableText0"/>
            </w:pPr>
            <w:r w:rsidRPr="000E57E3">
              <w:tab/>
              <w:t>Hairy cell leukemia-variant</w:t>
            </w:r>
          </w:p>
        </w:tc>
      </w:tr>
      <w:tr w:rsidR="001D2053" w:rsidRPr="001D2053" w14:paraId="7BA9D4B6" w14:textId="77777777" w:rsidTr="000E57E3">
        <w:tc>
          <w:tcPr>
            <w:tcW w:w="9493" w:type="dxa"/>
          </w:tcPr>
          <w:p w14:paraId="4CE4158E" w14:textId="4E4B3780" w:rsidR="001D2053" w:rsidRPr="000E57E3" w:rsidRDefault="001D2053" w:rsidP="000E57E3">
            <w:pPr>
              <w:pStyle w:val="TableText0"/>
            </w:pPr>
            <w:r w:rsidRPr="000E57E3">
              <w:t>Lymphoplasmacytic lymphoma</w:t>
            </w:r>
          </w:p>
        </w:tc>
      </w:tr>
      <w:tr w:rsidR="001D2053" w:rsidRPr="001D2053" w14:paraId="1A83CBBF" w14:textId="77777777" w:rsidTr="000E57E3">
        <w:tc>
          <w:tcPr>
            <w:tcW w:w="9493" w:type="dxa"/>
          </w:tcPr>
          <w:p w14:paraId="7834BC47" w14:textId="369D115A" w:rsidR="001D2053" w:rsidRPr="000E57E3" w:rsidRDefault="001D2053" w:rsidP="000E57E3">
            <w:pPr>
              <w:pStyle w:val="TableText0"/>
            </w:pPr>
            <w:r w:rsidRPr="000E57E3">
              <w:tab/>
            </w:r>
            <w:proofErr w:type="spellStart"/>
            <w:r w:rsidRPr="000E57E3">
              <w:t>Waldenstr</w:t>
            </w:r>
            <w:r w:rsidRPr="000E57E3">
              <w:rPr>
                <w:rFonts w:cstheme="minorHAnsi"/>
              </w:rPr>
              <w:t>ö</w:t>
            </w:r>
            <w:r w:rsidRPr="000E57E3">
              <w:t>m</w:t>
            </w:r>
            <w:proofErr w:type="spellEnd"/>
            <w:r w:rsidRPr="000E57E3">
              <w:t xml:space="preserve"> macroglobulinemia</w:t>
            </w:r>
          </w:p>
        </w:tc>
      </w:tr>
      <w:tr w:rsidR="001D2053" w:rsidRPr="001D2053" w14:paraId="3045AAFB" w14:textId="77777777" w:rsidTr="000E57E3">
        <w:tc>
          <w:tcPr>
            <w:tcW w:w="9493" w:type="dxa"/>
          </w:tcPr>
          <w:p w14:paraId="0AB5C9CC" w14:textId="42AF7A18" w:rsidR="001D2053" w:rsidRPr="000E57E3" w:rsidRDefault="001D2053" w:rsidP="000E57E3">
            <w:pPr>
              <w:pStyle w:val="TableText0"/>
            </w:pPr>
            <w:r w:rsidRPr="000E57E3">
              <w:t>Monoclonal gammopathy of undetermined significance (MGUS), IgM*</w:t>
            </w:r>
          </w:p>
        </w:tc>
      </w:tr>
      <w:tr w:rsidR="001D2053" w:rsidRPr="001D2053" w14:paraId="2594C91A" w14:textId="77777777" w:rsidTr="000E57E3">
        <w:tc>
          <w:tcPr>
            <w:tcW w:w="9493" w:type="dxa"/>
          </w:tcPr>
          <w:p w14:paraId="7E72290B" w14:textId="60EBC0BC" w:rsidR="001D2053" w:rsidRPr="000E57E3" w:rsidRDefault="001D2053" w:rsidP="000E57E3">
            <w:pPr>
              <w:pStyle w:val="TableText0"/>
            </w:pPr>
            <w:r w:rsidRPr="000E57E3">
              <w:rPr>
                <w:rFonts w:cstheme="minorHAnsi"/>
              </w:rPr>
              <w:t>μ</w:t>
            </w:r>
            <w:r w:rsidRPr="000E57E3">
              <w:t xml:space="preserve"> heavy-chain disease</w:t>
            </w:r>
          </w:p>
        </w:tc>
      </w:tr>
      <w:tr w:rsidR="001D2053" w:rsidRPr="001D2053" w14:paraId="3D05FE78" w14:textId="77777777" w:rsidTr="000E57E3">
        <w:tc>
          <w:tcPr>
            <w:tcW w:w="9493" w:type="dxa"/>
          </w:tcPr>
          <w:p w14:paraId="43DDAAAB" w14:textId="4F4DDA37" w:rsidR="001D2053" w:rsidRPr="000E57E3" w:rsidRDefault="001D2053" w:rsidP="000E57E3">
            <w:pPr>
              <w:pStyle w:val="TableText0"/>
            </w:pPr>
            <w:r w:rsidRPr="000E57E3">
              <w:rPr>
                <w:rFonts w:cstheme="minorHAnsi"/>
              </w:rPr>
              <w:t>γ</w:t>
            </w:r>
            <w:r w:rsidRPr="000E57E3">
              <w:t xml:space="preserve"> heavy-chain disease</w:t>
            </w:r>
          </w:p>
        </w:tc>
      </w:tr>
      <w:tr w:rsidR="001D2053" w:rsidRPr="001D2053" w14:paraId="60600C0C" w14:textId="77777777" w:rsidTr="000E57E3">
        <w:tc>
          <w:tcPr>
            <w:tcW w:w="9493" w:type="dxa"/>
          </w:tcPr>
          <w:p w14:paraId="75C4C5FB" w14:textId="78B95BB9" w:rsidR="001D2053" w:rsidRPr="000E57E3" w:rsidRDefault="001D2053" w:rsidP="000E57E3">
            <w:pPr>
              <w:pStyle w:val="TableText0"/>
            </w:pPr>
            <w:r w:rsidRPr="000E57E3">
              <w:rPr>
                <w:rFonts w:cstheme="minorHAnsi"/>
              </w:rPr>
              <w:t>α</w:t>
            </w:r>
            <w:r w:rsidRPr="000E57E3">
              <w:t xml:space="preserve"> heavy-chain disease</w:t>
            </w:r>
          </w:p>
        </w:tc>
      </w:tr>
      <w:tr w:rsidR="001D2053" w:rsidRPr="001D2053" w14:paraId="273B8E94" w14:textId="77777777" w:rsidTr="000E57E3">
        <w:tc>
          <w:tcPr>
            <w:tcW w:w="9493" w:type="dxa"/>
          </w:tcPr>
          <w:p w14:paraId="37C7DD32" w14:textId="7A00D00C" w:rsidR="001D2053" w:rsidRPr="000E57E3" w:rsidRDefault="001D2053" w:rsidP="000E57E3">
            <w:pPr>
              <w:pStyle w:val="TableText0"/>
            </w:pPr>
            <w:r w:rsidRPr="000E57E3">
              <w:t>Monoclonal gammopathy of undetermined significance (MGUS), IgG/A*</w:t>
            </w:r>
          </w:p>
        </w:tc>
      </w:tr>
      <w:tr w:rsidR="001D2053" w:rsidRPr="001D2053" w14:paraId="5C169350" w14:textId="77777777" w:rsidTr="000E57E3">
        <w:tc>
          <w:tcPr>
            <w:tcW w:w="9493" w:type="dxa"/>
          </w:tcPr>
          <w:p w14:paraId="3218263D" w14:textId="0C3A68B4" w:rsidR="001D2053" w:rsidRPr="000E57E3" w:rsidRDefault="001D2053" w:rsidP="000E57E3">
            <w:pPr>
              <w:pStyle w:val="TableText0"/>
            </w:pPr>
            <w:r w:rsidRPr="000E57E3">
              <w:t>Plasma cell myeloma</w:t>
            </w:r>
          </w:p>
        </w:tc>
      </w:tr>
      <w:tr w:rsidR="001D2053" w:rsidRPr="001D2053" w14:paraId="7A695B2E" w14:textId="77777777" w:rsidTr="000E57E3">
        <w:tc>
          <w:tcPr>
            <w:tcW w:w="9493" w:type="dxa"/>
          </w:tcPr>
          <w:p w14:paraId="34977DA7" w14:textId="37CF7D1C" w:rsidR="001D2053" w:rsidRPr="000E57E3" w:rsidRDefault="001D2053" w:rsidP="000E57E3">
            <w:pPr>
              <w:pStyle w:val="TableText0"/>
            </w:pPr>
            <w:r w:rsidRPr="000E57E3">
              <w:t>Solitary plasmacytoma of bone</w:t>
            </w:r>
          </w:p>
        </w:tc>
      </w:tr>
      <w:tr w:rsidR="001D2053" w:rsidRPr="001D2053" w14:paraId="3106544A" w14:textId="77777777" w:rsidTr="000E57E3">
        <w:tc>
          <w:tcPr>
            <w:tcW w:w="9493" w:type="dxa"/>
          </w:tcPr>
          <w:p w14:paraId="7B73FC5F" w14:textId="2DFF6C19" w:rsidR="001D2053" w:rsidRPr="000E57E3" w:rsidRDefault="001D2053" w:rsidP="000E57E3">
            <w:pPr>
              <w:pStyle w:val="TableText0"/>
            </w:pPr>
            <w:r w:rsidRPr="000E57E3">
              <w:t>Extraosseous plasmacytoma</w:t>
            </w:r>
          </w:p>
        </w:tc>
      </w:tr>
      <w:tr w:rsidR="001D2053" w:rsidRPr="001D2053" w14:paraId="52A83AB8" w14:textId="77777777" w:rsidTr="000E57E3">
        <w:tc>
          <w:tcPr>
            <w:tcW w:w="9493" w:type="dxa"/>
          </w:tcPr>
          <w:p w14:paraId="1048DAB8" w14:textId="3AE2B527" w:rsidR="001D2053" w:rsidRPr="000E57E3" w:rsidRDefault="001D2053" w:rsidP="000E57E3">
            <w:pPr>
              <w:pStyle w:val="TableText0"/>
            </w:pPr>
            <w:r w:rsidRPr="000E57E3">
              <w:t>Monoclonal immunoglobulin deposition diseases*</w:t>
            </w:r>
          </w:p>
        </w:tc>
      </w:tr>
      <w:tr w:rsidR="001D2053" w:rsidRPr="001D2053" w14:paraId="5A18D679" w14:textId="77777777" w:rsidTr="000E57E3">
        <w:tc>
          <w:tcPr>
            <w:tcW w:w="9493" w:type="dxa"/>
          </w:tcPr>
          <w:p w14:paraId="2BA84EF0" w14:textId="264C6A3E" w:rsidR="001D2053" w:rsidRPr="000E57E3" w:rsidRDefault="001D2053" w:rsidP="000E57E3">
            <w:pPr>
              <w:pStyle w:val="TableText0"/>
            </w:pPr>
            <w:proofErr w:type="spellStart"/>
            <w:r w:rsidRPr="000E57E3">
              <w:t>Extranodal</w:t>
            </w:r>
            <w:proofErr w:type="spellEnd"/>
            <w:r w:rsidRPr="000E57E3">
              <w:t xml:space="preserve"> marginal zone lymphoma of mucosa-associated lymphoid tissue (MALT lymphoma)</w:t>
            </w:r>
          </w:p>
        </w:tc>
      </w:tr>
      <w:tr w:rsidR="001D2053" w:rsidRPr="001D2053" w14:paraId="507F46FD" w14:textId="77777777" w:rsidTr="000E57E3">
        <w:tc>
          <w:tcPr>
            <w:tcW w:w="9493" w:type="dxa"/>
          </w:tcPr>
          <w:p w14:paraId="711B9C4C" w14:textId="5C949487" w:rsidR="001D2053" w:rsidRPr="000E57E3" w:rsidRDefault="001D2053" w:rsidP="000E57E3">
            <w:pPr>
              <w:pStyle w:val="TableText0"/>
            </w:pPr>
            <w:r w:rsidRPr="000E57E3">
              <w:t>Nodal marginal zone lymphoma</w:t>
            </w:r>
          </w:p>
        </w:tc>
      </w:tr>
      <w:tr w:rsidR="001D2053" w:rsidRPr="001D2053" w14:paraId="6DC8DAA6" w14:textId="77777777" w:rsidTr="000E57E3">
        <w:tc>
          <w:tcPr>
            <w:tcW w:w="9493" w:type="dxa"/>
          </w:tcPr>
          <w:p w14:paraId="23409698" w14:textId="4B12EE3C" w:rsidR="001D2053" w:rsidRPr="000E57E3" w:rsidRDefault="001D2053" w:rsidP="000E57E3">
            <w:pPr>
              <w:pStyle w:val="TableText0"/>
            </w:pPr>
            <w:r w:rsidRPr="000E57E3">
              <w:tab/>
              <w:t>Paediatric nodal marginal zone lymphoma</w:t>
            </w:r>
          </w:p>
        </w:tc>
      </w:tr>
      <w:tr w:rsidR="001D2053" w:rsidRPr="001D2053" w14:paraId="34B465D8" w14:textId="77777777" w:rsidTr="000E57E3">
        <w:tc>
          <w:tcPr>
            <w:tcW w:w="9493" w:type="dxa"/>
          </w:tcPr>
          <w:p w14:paraId="0169B88A" w14:textId="304A62EB" w:rsidR="001D2053" w:rsidRPr="000E57E3" w:rsidRDefault="001D2053" w:rsidP="000E57E3">
            <w:pPr>
              <w:pStyle w:val="TableText0"/>
            </w:pPr>
            <w:r w:rsidRPr="000E57E3">
              <w:t>Follicular lymphoma</w:t>
            </w:r>
          </w:p>
        </w:tc>
      </w:tr>
      <w:tr w:rsidR="001D2053" w:rsidRPr="001D2053" w14:paraId="1BF06E8A" w14:textId="77777777" w:rsidTr="000E57E3">
        <w:tc>
          <w:tcPr>
            <w:tcW w:w="9493" w:type="dxa"/>
          </w:tcPr>
          <w:p w14:paraId="5A75B380" w14:textId="30C19329" w:rsidR="001D2053" w:rsidRPr="000E57E3" w:rsidRDefault="001D2053" w:rsidP="000E57E3">
            <w:pPr>
              <w:pStyle w:val="TableText0"/>
            </w:pPr>
            <w:r w:rsidRPr="000E57E3">
              <w:tab/>
              <w:t>In situ follicular neoplasia*</w:t>
            </w:r>
          </w:p>
        </w:tc>
      </w:tr>
      <w:tr w:rsidR="001D2053" w:rsidRPr="001D2053" w14:paraId="6D64B051" w14:textId="77777777" w:rsidTr="000E57E3">
        <w:tc>
          <w:tcPr>
            <w:tcW w:w="9493" w:type="dxa"/>
          </w:tcPr>
          <w:p w14:paraId="31B394CD" w14:textId="0D3751CE" w:rsidR="001D2053" w:rsidRPr="000E57E3" w:rsidRDefault="001D2053" w:rsidP="000E57E3">
            <w:pPr>
              <w:pStyle w:val="TableText0"/>
            </w:pPr>
            <w:r w:rsidRPr="000E57E3">
              <w:tab/>
              <w:t>Duodenal-type follicular lymphoma*</w:t>
            </w:r>
          </w:p>
        </w:tc>
      </w:tr>
      <w:tr w:rsidR="001D2053" w:rsidRPr="001D2053" w14:paraId="355D7CEE" w14:textId="77777777" w:rsidTr="000E57E3">
        <w:tc>
          <w:tcPr>
            <w:tcW w:w="9493" w:type="dxa"/>
          </w:tcPr>
          <w:p w14:paraId="76DF181D" w14:textId="1E4A115F" w:rsidR="001D2053" w:rsidRPr="000E57E3" w:rsidRDefault="001D2053" w:rsidP="000E57E3">
            <w:pPr>
              <w:pStyle w:val="TableText0"/>
            </w:pPr>
            <w:r w:rsidRPr="000E57E3">
              <w:t>Paediatric-type follicular lymphoma*</w:t>
            </w:r>
          </w:p>
        </w:tc>
      </w:tr>
      <w:tr w:rsidR="001D2053" w:rsidRPr="001D2053" w14:paraId="1D3757AD" w14:textId="77777777" w:rsidTr="000E57E3">
        <w:tc>
          <w:tcPr>
            <w:tcW w:w="9493" w:type="dxa"/>
          </w:tcPr>
          <w:p w14:paraId="7231D964" w14:textId="1A893292" w:rsidR="001D2053" w:rsidRPr="000E57E3" w:rsidRDefault="001D2053" w:rsidP="000E57E3">
            <w:pPr>
              <w:pStyle w:val="TableText0"/>
            </w:pPr>
            <w:r w:rsidRPr="000E57E3">
              <w:t>Large B-cell lymphoma with IRF4 rearrangement*</w:t>
            </w:r>
          </w:p>
        </w:tc>
      </w:tr>
      <w:tr w:rsidR="001D2053" w:rsidRPr="001D2053" w14:paraId="6870123F" w14:textId="77777777" w:rsidTr="000E57E3">
        <w:tc>
          <w:tcPr>
            <w:tcW w:w="9493" w:type="dxa"/>
          </w:tcPr>
          <w:p w14:paraId="786E0730" w14:textId="1C65C257" w:rsidR="001D2053" w:rsidRPr="000E57E3" w:rsidRDefault="001D2053" w:rsidP="000E57E3">
            <w:pPr>
              <w:pStyle w:val="TableText0"/>
            </w:pPr>
            <w:r w:rsidRPr="000E57E3">
              <w:t>Primary cutaneous follicle centre lymphoma</w:t>
            </w:r>
          </w:p>
        </w:tc>
      </w:tr>
      <w:tr w:rsidR="001D2053" w:rsidRPr="001D2053" w14:paraId="6D82A9DC" w14:textId="77777777" w:rsidTr="000E57E3">
        <w:tc>
          <w:tcPr>
            <w:tcW w:w="9493" w:type="dxa"/>
          </w:tcPr>
          <w:p w14:paraId="72BA380C" w14:textId="06DD3908" w:rsidR="001D2053" w:rsidRPr="000E57E3" w:rsidRDefault="001D2053" w:rsidP="000E57E3">
            <w:pPr>
              <w:pStyle w:val="TableText0"/>
            </w:pPr>
            <w:r w:rsidRPr="000E57E3">
              <w:t>Mantle cell lymphoma</w:t>
            </w:r>
          </w:p>
        </w:tc>
      </w:tr>
      <w:tr w:rsidR="001D2053" w:rsidRPr="001D2053" w14:paraId="54444527" w14:textId="77777777" w:rsidTr="000E57E3">
        <w:tc>
          <w:tcPr>
            <w:tcW w:w="9493" w:type="dxa"/>
          </w:tcPr>
          <w:p w14:paraId="77F12A4C" w14:textId="6FE1AEF0" w:rsidR="001D2053" w:rsidRPr="000E57E3" w:rsidRDefault="001D2053" w:rsidP="000E57E3">
            <w:pPr>
              <w:pStyle w:val="TableText0"/>
            </w:pPr>
            <w:r w:rsidRPr="000E57E3">
              <w:tab/>
              <w:t>In situ mantle cell neoplasia*</w:t>
            </w:r>
          </w:p>
        </w:tc>
      </w:tr>
      <w:tr w:rsidR="001D2053" w:rsidRPr="001D2053" w14:paraId="414AE6DC" w14:textId="77777777" w:rsidTr="000E57E3">
        <w:tc>
          <w:tcPr>
            <w:tcW w:w="9493" w:type="dxa"/>
          </w:tcPr>
          <w:p w14:paraId="1ED3FCCC" w14:textId="40010E85" w:rsidR="001D2053" w:rsidRPr="000E57E3" w:rsidRDefault="001D2053" w:rsidP="000E57E3">
            <w:pPr>
              <w:pStyle w:val="TableText0"/>
            </w:pPr>
            <w:r w:rsidRPr="000E57E3">
              <w:t>Diffuse large B-cell lymphoma (DLBCL), NOS</w:t>
            </w:r>
          </w:p>
        </w:tc>
      </w:tr>
      <w:tr w:rsidR="001D2053" w:rsidRPr="001D2053" w14:paraId="6E834F43" w14:textId="77777777" w:rsidTr="000E57E3">
        <w:tc>
          <w:tcPr>
            <w:tcW w:w="9493" w:type="dxa"/>
          </w:tcPr>
          <w:p w14:paraId="20C12BB7" w14:textId="0396DC5C" w:rsidR="001D2053" w:rsidRPr="000E57E3" w:rsidRDefault="001D2053" w:rsidP="000E57E3">
            <w:pPr>
              <w:pStyle w:val="TableText0"/>
            </w:pPr>
            <w:r w:rsidRPr="000E57E3">
              <w:tab/>
              <w:t>Germinal centre B-cell type*</w:t>
            </w:r>
          </w:p>
        </w:tc>
      </w:tr>
      <w:tr w:rsidR="001D2053" w:rsidRPr="001D2053" w14:paraId="05908D70" w14:textId="77777777" w:rsidTr="000E57E3">
        <w:tc>
          <w:tcPr>
            <w:tcW w:w="9493" w:type="dxa"/>
          </w:tcPr>
          <w:p w14:paraId="5B7A189E" w14:textId="4D90794E" w:rsidR="001D2053" w:rsidRPr="000E57E3" w:rsidRDefault="001D2053" w:rsidP="000E57E3">
            <w:pPr>
              <w:pStyle w:val="TableText0"/>
            </w:pPr>
            <w:r w:rsidRPr="000E57E3">
              <w:tab/>
              <w:t>Activated B-cell type*</w:t>
            </w:r>
          </w:p>
        </w:tc>
      </w:tr>
      <w:tr w:rsidR="001D2053" w:rsidRPr="001D2053" w14:paraId="71EE118B" w14:textId="77777777" w:rsidTr="000E57E3">
        <w:tc>
          <w:tcPr>
            <w:tcW w:w="9493" w:type="dxa"/>
          </w:tcPr>
          <w:p w14:paraId="42785324" w14:textId="3A8A94E8" w:rsidR="001D2053" w:rsidRPr="000E57E3" w:rsidRDefault="001D2053" w:rsidP="000E57E3">
            <w:pPr>
              <w:pStyle w:val="TableText0"/>
            </w:pPr>
            <w:r w:rsidRPr="000E57E3">
              <w:t>T-cell/histiocyte-rich large B-cell lymphoma</w:t>
            </w:r>
          </w:p>
        </w:tc>
      </w:tr>
      <w:tr w:rsidR="001D2053" w:rsidRPr="001D2053" w14:paraId="618A3FF6" w14:textId="77777777" w:rsidTr="000E57E3">
        <w:tc>
          <w:tcPr>
            <w:tcW w:w="9493" w:type="dxa"/>
          </w:tcPr>
          <w:p w14:paraId="1A4BA875" w14:textId="717F4D83" w:rsidR="001D2053" w:rsidRPr="000E57E3" w:rsidRDefault="001D2053" w:rsidP="000E57E3">
            <w:pPr>
              <w:pStyle w:val="TableText0"/>
            </w:pPr>
            <w:r w:rsidRPr="000E57E3">
              <w:t>Primary DLBCL of the central nervous system (CNS)</w:t>
            </w:r>
          </w:p>
        </w:tc>
      </w:tr>
      <w:tr w:rsidR="001D2053" w:rsidRPr="001D2053" w14:paraId="0830E8D4" w14:textId="77777777" w:rsidTr="000E57E3">
        <w:tc>
          <w:tcPr>
            <w:tcW w:w="9493" w:type="dxa"/>
          </w:tcPr>
          <w:p w14:paraId="4C8C6CC4" w14:textId="3BCD9480" w:rsidR="001D2053" w:rsidRPr="000E57E3" w:rsidRDefault="001D2053" w:rsidP="000E57E3">
            <w:pPr>
              <w:pStyle w:val="TableText0"/>
            </w:pPr>
            <w:r w:rsidRPr="000E57E3">
              <w:t>Primary cutaneous DLBCL, leg type</w:t>
            </w:r>
          </w:p>
        </w:tc>
      </w:tr>
      <w:tr w:rsidR="001D2053" w:rsidRPr="001D2053" w14:paraId="37D37BC8" w14:textId="77777777" w:rsidTr="000E57E3">
        <w:tc>
          <w:tcPr>
            <w:tcW w:w="9493" w:type="dxa"/>
          </w:tcPr>
          <w:p w14:paraId="18B26ED8" w14:textId="58C6BA5B" w:rsidR="001D2053" w:rsidRPr="000E57E3" w:rsidRDefault="001D2053" w:rsidP="000E57E3">
            <w:pPr>
              <w:pStyle w:val="TableText0"/>
            </w:pPr>
            <w:r w:rsidRPr="000E57E3">
              <w:t>EBV</w:t>
            </w:r>
            <w:r w:rsidRPr="000E57E3">
              <w:rPr>
                <w:vertAlign w:val="superscript"/>
              </w:rPr>
              <w:t>+</w:t>
            </w:r>
            <w:r w:rsidRPr="000E57E3">
              <w:t xml:space="preserve"> DLBCL, NOS*</w:t>
            </w:r>
          </w:p>
        </w:tc>
      </w:tr>
      <w:tr w:rsidR="001D2053" w:rsidRPr="001D2053" w14:paraId="0CDAC32C" w14:textId="77777777" w:rsidTr="000E57E3">
        <w:tc>
          <w:tcPr>
            <w:tcW w:w="9493" w:type="dxa"/>
          </w:tcPr>
          <w:p w14:paraId="5B61EC39" w14:textId="5AE81650" w:rsidR="001D2053" w:rsidRPr="000E57E3" w:rsidRDefault="001D2053" w:rsidP="000E57E3">
            <w:pPr>
              <w:pStyle w:val="TableText0"/>
            </w:pPr>
            <w:r w:rsidRPr="000E57E3">
              <w:t>EBV</w:t>
            </w:r>
            <w:r w:rsidRPr="000E57E3">
              <w:rPr>
                <w:vertAlign w:val="superscript"/>
              </w:rPr>
              <w:t>+</w:t>
            </w:r>
            <w:r w:rsidRPr="000E57E3">
              <w:t xml:space="preserve"> mucocutaneous ulcer*</w:t>
            </w:r>
          </w:p>
        </w:tc>
      </w:tr>
      <w:tr w:rsidR="001D2053" w:rsidRPr="001D2053" w14:paraId="64088588" w14:textId="77777777" w:rsidTr="000E57E3">
        <w:tc>
          <w:tcPr>
            <w:tcW w:w="9493" w:type="dxa"/>
          </w:tcPr>
          <w:p w14:paraId="41A34114" w14:textId="14ACF26D" w:rsidR="001D2053" w:rsidRPr="000E57E3" w:rsidRDefault="001D2053" w:rsidP="000E57E3">
            <w:pPr>
              <w:pStyle w:val="TableText0"/>
            </w:pPr>
            <w:r w:rsidRPr="000E57E3">
              <w:t>DLBCL associated with chronic inflammation</w:t>
            </w:r>
          </w:p>
        </w:tc>
      </w:tr>
      <w:tr w:rsidR="001D2053" w:rsidRPr="001D2053" w14:paraId="757B76AB" w14:textId="77777777" w:rsidTr="000E57E3">
        <w:tc>
          <w:tcPr>
            <w:tcW w:w="9493" w:type="dxa"/>
          </w:tcPr>
          <w:p w14:paraId="58988276" w14:textId="49DD00A3" w:rsidR="001D2053" w:rsidRPr="000E57E3" w:rsidRDefault="001D2053" w:rsidP="000E57E3">
            <w:pPr>
              <w:pStyle w:val="TableText0"/>
            </w:pPr>
            <w:proofErr w:type="spellStart"/>
            <w:r w:rsidRPr="000E57E3">
              <w:t>Lymphomatoid</w:t>
            </w:r>
            <w:proofErr w:type="spellEnd"/>
            <w:r w:rsidRPr="000E57E3">
              <w:t xml:space="preserve"> granulomatosis</w:t>
            </w:r>
          </w:p>
        </w:tc>
      </w:tr>
      <w:tr w:rsidR="001D2053" w:rsidRPr="001D2053" w14:paraId="1EB04D5A" w14:textId="77777777" w:rsidTr="000E57E3">
        <w:tc>
          <w:tcPr>
            <w:tcW w:w="9493" w:type="dxa"/>
          </w:tcPr>
          <w:p w14:paraId="27B0B72E" w14:textId="3E6E3A2B" w:rsidR="001D2053" w:rsidRPr="000E57E3" w:rsidRDefault="001D2053" w:rsidP="000E57E3">
            <w:pPr>
              <w:pStyle w:val="TableText0"/>
            </w:pPr>
            <w:r w:rsidRPr="000E57E3">
              <w:t>Primary mediastinal (thymic) large B-cell lymphoma</w:t>
            </w:r>
          </w:p>
        </w:tc>
      </w:tr>
      <w:tr w:rsidR="001D2053" w:rsidRPr="001D2053" w14:paraId="0D43D468" w14:textId="77777777" w:rsidTr="000E57E3">
        <w:tc>
          <w:tcPr>
            <w:tcW w:w="9493" w:type="dxa"/>
          </w:tcPr>
          <w:p w14:paraId="0706C2CC" w14:textId="25BA4C01" w:rsidR="001D2053" w:rsidRPr="000E57E3" w:rsidRDefault="001D2053" w:rsidP="000E57E3">
            <w:pPr>
              <w:pStyle w:val="TableText0"/>
            </w:pPr>
            <w:r w:rsidRPr="000E57E3">
              <w:lastRenderedPageBreak/>
              <w:t>Intravascular large B-cell lymphoma</w:t>
            </w:r>
          </w:p>
        </w:tc>
      </w:tr>
      <w:tr w:rsidR="001D2053" w:rsidRPr="001D2053" w14:paraId="5206E27E" w14:textId="77777777" w:rsidTr="000E57E3">
        <w:tc>
          <w:tcPr>
            <w:tcW w:w="9493" w:type="dxa"/>
          </w:tcPr>
          <w:p w14:paraId="278A592E" w14:textId="770287AB" w:rsidR="001D2053" w:rsidRPr="000E57E3" w:rsidRDefault="001D2053" w:rsidP="000E57E3">
            <w:pPr>
              <w:pStyle w:val="TableText0"/>
            </w:pPr>
            <w:r w:rsidRPr="000E57E3">
              <w:t>ALK</w:t>
            </w:r>
            <w:r w:rsidRPr="000E57E3">
              <w:rPr>
                <w:vertAlign w:val="superscript"/>
              </w:rPr>
              <w:t>+</w:t>
            </w:r>
            <w:r w:rsidRPr="000E57E3">
              <w:t xml:space="preserve"> large B-cell lymphoma</w:t>
            </w:r>
          </w:p>
        </w:tc>
      </w:tr>
      <w:tr w:rsidR="001D2053" w:rsidRPr="001D2053" w14:paraId="450DC0F3" w14:textId="77777777" w:rsidTr="000E57E3">
        <w:tc>
          <w:tcPr>
            <w:tcW w:w="9493" w:type="dxa"/>
          </w:tcPr>
          <w:p w14:paraId="74446BFF" w14:textId="371BAC00" w:rsidR="001D2053" w:rsidRPr="000E57E3" w:rsidRDefault="001D2053" w:rsidP="000E57E3">
            <w:pPr>
              <w:pStyle w:val="TableText0"/>
            </w:pPr>
            <w:proofErr w:type="spellStart"/>
            <w:r w:rsidRPr="000E57E3">
              <w:t>Plasmablastic</w:t>
            </w:r>
            <w:proofErr w:type="spellEnd"/>
            <w:r w:rsidRPr="000E57E3">
              <w:t xml:space="preserve"> lymphoma</w:t>
            </w:r>
          </w:p>
        </w:tc>
      </w:tr>
      <w:tr w:rsidR="001D2053" w:rsidRPr="001D2053" w14:paraId="6AA6440D" w14:textId="77777777" w:rsidTr="000E57E3">
        <w:tc>
          <w:tcPr>
            <w:tcW w:w="9493" w:type="dxa"/>
          </w:tcPr>
          <w:p w14:paraId="38AAF495" w14:textId="3BA23FA9" w:rsidR="001D2053" w:rsidRPr="000E57E3" w:rsidRDefault="001D2053" w:rsidP="000E57E3">
            <w:pPr>
              <w:pStyle w:val="TableText0"/>
            </w:pPr>
            <w:r w:rsidRPr="000E57E3">
              <w:t>Primary effusion lymphoma</w:t>
            </w:r>
          </w:p>
        </w:tc>
      </w:tr>
      <w:tr w:rsidR="001D2053" w:rsidRPr="001D2053" w14:paraId="5DC000FF" w14:textId="77777777" w:rsidTr="000E57E3">
        <w:tc>
          <w:tcPr>
            <w:tcW w:w="9493" w:type="dxa"/>
          </w:tcPr>
          <w:p w14:paraId="6DF4008F" w14:textId="5A71110E" w:rsidR="001D2053" w:rsidRPr="000E57E3" w:rsidRDefault="001D2053" w:rsidP="000E57E3">
            <w:pPr>
              <w:pStyle w:val="TableText0"/>
            </w:pPr>
            <w:r w:rsidRPr="000E57E3">
              <w:t>HHV8</w:t>
            </w:r>
            <w:r w:rsidRPr="000E57E3">
              <w:rPr>
                <w:vertAlign w:val="superscript"/>
              </w:rPr>
              <w:t>+</w:t>
            </w:r>
            <w:r w:rsidRPr="000E57E3">
              <w:t xml:space="preserve"> DLBCL, NOS*</w:t>
            </w:r>
          </w:p>
        </w:tc>
      </w:tr>
      <w:tr w:rsidR="001D2053" w:rsidRPr="001D2053" w14:paraId="6E52D867" w14:textId="77777777" w:rsidTr="000E57E3">
        <w:tc>
          <w:tcPr>
            <w:tcW w:w="9493" w:type="dxa"/>
          </w:tcPr>
          <w:p w14:paraId="0A127037" w14:textId="3EA83E0C" w:rsidR="001D2053" w:rsidRPr="000E57E3" w:rsidRDefault="001D2053" w:rsidP="000E57E3">
            <w:pPr>
              <w:pStyle w:val="TableText0"/>
            </w:pPr>
            <w:r w:rsidRPr="000E57E3">
              <w:t>Burkitt lymphoma</w:t>
            </w:r>
          </w:p>
        </w:tc>
      </w:tr>
      <w:tr w:rsidR="001D2053" w:rsidRPr="001D2053" w14:paraId="19E479A3" w14:textId="77777777" w:rsidTr="000E57E3">
        <w:tc>
          <w:tcPr>
            <w:tcW w:w="9493" w:type="dxa"/>
          </w:tcPr>
          <w:p w14:paraId="20F7CAB5" w14:textId="576124C8" w:rsidR="001D2053" w:rsidRPr="000E57E3" w:rsidRDefault="001D2053" w:rsidP="000E57E3">
            <w:pPr>
              <w:pStyle w:val="TableText0"/>
            </w:pPr>
            <w:r w:rsidRPr="000E57E3">
              <w:t>Burkitt-like lymphoma with 11q aberration*</w:t>
            </w:r>
          </w:p>
        </w:tc>
      </w:tr>
      <w:tr w:rsidR="001D2053" w:rsidRPr="001D2053" w14:paraId="4504A2FD" w14:textId="77777777" w:rsidTr="000E57E3">
        <w:tc>
          <w:tcPr>
            <w:tcW w:w="9493" w:type="dxa"/>
          </w:tcPr>
          <w:p w14:paraId="6BC28AA7" w14:textId="44CCDF01" w:rsidR="001D2053" w:rsidRPr="000E57E3" w:rsidRDefault="001D2053" w:rsidP="000E57E3">
            <w:pPr>
              <w:pStyle w:val="TableText0"/>
            </w:pPr>
            <w:r w:rsidRPr="000E57E3">
              <w:t>High-grade B-cell lymphoma, with MYC and BCL2 and/or BCL6 rearrangements*</w:t>
            </w:r>
          </w:p>
        </w:tc>
      </w:tr>
      <w:tr w:rsidR="001D2053" w:rsidRPr="001D2053" w14:paraId="7E373286" w14:textId="77777777" w:rsidTr="000E57E3">
        <w:tc>
          <w:tcPr>
            <w:tcW w:w="9493" w:type="dxa"/>
          </w:tcPr>
          <w:p w14:paraId="4AE24E75" w14:textId="0293F4BF" w:rsidR="001D2053" w:rsidRPr="000E57E3" w:rsidRDefault="001D2053" w:rsidP="000E57E3">
            <w:pPr>
              <w:pStyle w:val="TableText0"/>
            </w:pPr>
            <w:r w:rsidRPr="000E57E3">
              <w:t>High-grade B-cell lymphoma, NOS*</w:t>
            </w:r>
          </w:p>
        </w:tc>
      </w:tr>
      <w:tr w:rsidR="001D2053" w:rsidRPr="001D2053" w14:paraId="61D770A8" w14:textId="77777777" w:rsidTr="000E57E3">
        <w:tc>
          <w:tcPr>
            <w:tcW w:w="9493" w:type="dxa"/>
          </w:tcPr>
          <w:p w14:paraId="07260E77" w14:textId="0120EC87" w:rsidR="001D2053" w:rsidRPr="000E57E3" w:rsidRDefault="001D2053" w:rsidP="000E57E3">
            <w:pPr>
              <w:pStyle w:val="TableText0"/>
            </w:pPr>
            <w:r w:rsidRPr="000E57E3">
              <w:t>B-cell lymphoma, unclassifiable, with features intermediate between DLBCL and classical Hodgkin lymphoma</w:t>
            </w:r>
          </w:p>
        </w:tc>
      </w:tr>
      <w:tr w:rsidR="001D2053" w:rsidRPr="001D2053" w14:paraId="10E6AA94" w14:textId="77777777" w:rsidTr="000E57E3">
        <w:tc>
          <w:tcPr>
            <w:tcW w:w="9493" w:type="dxa"/>
          </w:tcPr>
          <w:p w14:paraId="264724AD" w14:textId="671E9FCE" w:rsidR="001D2053" w:rsidRPr="000E57E3" w:rsidRDefault="001D2053" w:rsidP="000E57E3">
            <w:pPr>
              <w:pStyle w:val="TableText0"/>
              <w:rPr>
                <w:b/>
                <w:bCs/>
              </w:rPr>
            </w:pPr>
            <w:r w:rsidRPr="000E57E3">
              <w:rPr>
                <w:b/>
                <w:bCs/>
              </w:rPr>
              <w:t>Mature T and NK neoplasms</w:t>
            </w:r>
          </w:p>
        </w:tc>
      </w:tr>
      <w:tr w:rsidR="001D2053" w:rsidRPr="001D2053" w14:paraId="0AED9163" w14:textId="77777777" w:rsidTr="000E57E3">
        <w:tc>
          <w:tcPr>
            <w:tcW w:w="9493" w:type="dxa"/>
          </w:tcPr>
          <w:p w14:paraId="25AF2A8A" w14:textId="1CE58B7B" w:rsidR="001D2053" w:rsidRPr="000E57E3" w:rsidRDefault="001D2053" w:rsidP="000E57E3">
            <w:pPr>
              <w:pStyle w:val="TableText0"/>
            </w:pPr>
            <w:r w:rsidRPr="000E57E3">
              <w:t>T-cell prolymphocytic leukemia</w:t>
            </w:r>
          </w:p>
        </w:tc>
      </w:tr>
      <w:tr w:rsidR="001D2053" w:rsidRPr="001D2053" w14:paraId="34D13EA7" w14:textId="77777777" w:rsidTr="000E57E3">
        <w:tc>
          <w:tcPr>
            <w:tcW w:w="9493" w:type="dxa"/>
          </w:tcPr>
          <w:p w14:paraId="2B0EB402" w14:textId="2D24B8C3" w:rsidR="001D2053" w:rsidRPr="000E57E3" w:rsidRDefault="001D2053" w:rsidP="000E57E3">
            <w:pPr>
              <w:pStyle w:val="TableText0"/>
            </w:pPr>
            <w:r w:rsidRPr="000E57E3">
              <w:t>T-cell large granular lymphocytic leukemia</w:t>
            </w:r>
          </w:p>
        </w:tc>
      </w:tr>
      <w:tr w:rsidR="001D2053" w:rsidRPr="001D2053" w14:paraId="48724618" w14:textId="77777777" w:rsidTr="000E57E3">
        <w:tc>
          <w:tcPr>
            <w:tcW w:w="9493" w:type="dxa"/>
          </w:tcPr>
          <w:p w14:paraId="53C0FF1A" w14:textId="74D0EAD3" w:rsidR="001D2053" w:rsidRPr="000E57E3" w:rsidRDefault="001D2053" w:rsidP="000E57E3">
            <w:pPr>
              <w:pStyle w:val="TableText0"/>
            </w:pPr>
            <w:r w:rsidRPr="000E57E3">
              <w:t>Chronic lymphoproliferative disorder of NK cells</w:t>
            </w:r>
          </w:p>
        </w:tc>
      </w:tr>
      <w:tr w:rsidR="001D2053" w:rsidRPr="001D2053" w14:paraId="59AB286A" w14:textId="77777777" w:rsidTr="000E57E3">
        <w:tc>
          <w:tcPr>
            <w:tcW w:w="9493" w:type="dxa"/>
          </w:tcPr>
          <w:p w14:paraId="6F20FBDB" w14:textId="0DCDA6A1" w:rsidR="001D2053" w:rsidRPr="000E57E3" w:rsidRDefault="001D2053" w:rsidP="000E57E3">
            <w:pPr>
              <w:pStyle w:val="TableText0"/>
            </w:pPr>
            <w:r w:rsidRPr="000E57E3">
              <w:t>Aggressive NK-cell leukemia</w:t>
            </w:r>
          </w:p>
        </w:tc>
      </w:tr>
      <w:tr w:rsidR="001D2053" w:rsidRPr="001D2053" w14:paraId="560C089B" w14:textId="77777777" w:rsidTr="000E57E3">
        <w:tc>
          <w:tcPr>
            <w:tcW w:w="9493" w:type="dxa"/>
          </w:tcPr>
          <w:p w14:paraId="27CC81CB" w14:textId="257E1946" w:rsidR="001D2053" w:rsidRPr="000E57E3" w:rsidRDefault="001D2053" w:rsidP="000E57E3">
            <w:pPr>
              <w:pStyle w:val="TableText0"/>
            </w:pPr>
            <w:r w:rsidRPr="000E57E3">
              <w:t>Systemic EBV1 T-cell lymphoma of childhood*</w:t>
            </w:r>
          </w:p>
        </w:tc>
      </w:tr>
      <w:tr w:rsidR="001D2053" w:rsidRPr="001D2053" w14:paraId="3AC817C1" w14:textId="77777777" w:rsidTr="000E57E3">
        <w:tc>
          <w:tcPr>
            <w:tcW w:w="9493" w:type="dxa"/>
          </w:tcPr>
          <w:p w14:paraId="5F214F16" w14:textId="719C6167" w:rsidR="001D2053" w:rsidRPr="000E57E3" w:rsidRDefault="001D2053" w:rsidP="000E57E3">
            <w:pPr>
              <w:pStyle w:val="TableText0"/>
            </w:pPr>
            <w:proofErr w:type="spellStart"/>
            <w:r w:rsidRPr="000E57E3">
              <w:t>Hydroa</w:t>
            </w:r>
            <w:proofErr w:type="spellEnd"/>
            <w:r w:rsidRPr="000E57E3">
              <w:t xml:space="preserve"> </w:t>
            </w:r>
            <w:proofErr w:type="spellStart"/>
            <w:r w:rsidRPr="000E57E3">
              <w:t>vacciniforme</w:t>
            </w:r>
            <w:proofErr w:type="spellEnd"/>
            <w:r w:rsidRPr="000E57E3">
              <w:t>–like lymphoproliferative disorder*</w:t>
            </w:r>
          </w:p>
        </w:tc>
      </w:tr>
      <w:tr w:rsidR="001D2053" w:rsidRPr="001D2053" w14:paraId="34E7CB5E" w14:textId="77777777" w:rsidTr="000E57E3">
        <w:tc>
          <w:tcPr>
            <w:tcW w:w="9493" w:type="dxa"/>
          </w:tcPr>
          <w:p w14:paraId="11525A6A" w14:textId="1751977E" w:rsidR="001D2053" w:rsidRPr="000E57E3" w:rsidRDefault="001D2053" w:rsidP="000E57E3">
            <w:pPr>
              <w:pStyle w:val="TableText0"/>
            </w:pPr>
            <w:r w:rsidRPr="000E57E3">
              <w:t>Adult T-cell leukemia/lymphoma</w:t>
            </w:r>
          </w:p>
        </w:tc>
      </w:tr>
      <w:tr w:rsidR="001D2053" w:rsidRPr="001D2053" w14:paraId="107E922D" w14:textId="77777777" w:rsidTr="000E57E3">
        <w:tc>
          <w:tcPr>
            <w:tcW w:w="9493" w:type="dxa"/>
          </w:tcPr>
          <w:p w14:paraId="3DFE6988" w14:textId="302D85FB" w:rsidR="001D2053" w:rsidRPr="000E57E3" w:rsidRDefault="001D2053" w:rsidP="000E57E3">
            <w:pPr>
              <w:pStyle w:val="TableText0"/>
            </w:pPr>
            <w:proofErr w:type="spellStart"/>
            <w:r w:rsidRPr="000E57E3">
              <w:t>Extranodal</w:t>
            </w:r>
            <w:proofErr w:type="spellEnd"/>
            <w:r w:rsidRPr="000E57E3">
              <w:t xml:space="preserve"> NK-/T-cell lymphoma, nasal type</w:t>
            </w:r>
          </w:p>
        </w:tc>
      </w:tr>
      <w:tr w:rsidR="001D2053" w:rsidRPr="001D2053" w14:paraId="27835B72" w14:textId="77777777" w:rsidTr="000E57E3">
        <w:tc>
          <w:tcPr>
            <w:tcW w:w="9493" w:type="dxa"/>
          </w:tcPr>
          <w:p w14:paraId="3A97F4EC" w14:textId="5D79B36A" w:rsidR="001D2053" w:rsidRPr="000E57E3" w:rsidRDefault="001D2053" w:rsidP="000E57E3">
            <w:pPr>
              <w:pStyle w:val="TableText0"/>
            </w:pPr>
            <w:r w:rsidRPr="000E57E3">
              <w:t>Enteropathy-associated T-cell lymphoma</w:t>
            </w:r>
          </w:p>
        </w:tc>
      </w:tr>
      <w:tr w:rsidR="001D2053" w:rsidRPr="001D2053" w14:paraId="4A68E4CE" w14:textId="77777777" w:rsidTr="000E57E3">
        <w:tc>
          <w:tcPr>
            <w:tcW w:w="9493" w:type="dxa"/>
          </w:tcPr>
          <w:p w14:paraId="61A7D809" w14:textId="20E4E36B" w:rsidR="001D2053" w:rsidRPr="000E57E3" w:rsidRDefault="001D2053" w:rsidP="000E57E3">
            <w:pPr>
              <w:pStyle w:val="TableText0"/>
            </w:pPr>
            <w:r w:rsidRPr="000E57E3">
              <w:t>Monomorphic epitheliotropic intestinal T-cell lymphoma*</w:t>
            </w:r>
          </w:p>
        </w:tc>
      </w:tr>
      <w:tr w:rsidR="001D2053" w:rsidRPr="001D2053" w14:paraId="6F5B2247" w14:textId="77777777" w:rsidTr="000E57E3">
        <w:tc>
          <w:tcPr>
            <w:tcW w:w="9493" w:type="dxa"/>
          </w:tcPr>
          <w:p w14:paraId="4DE8F65B" w14:textId="07F547A8" w:rsidR="001D2053" w:rsidRPr="000E57E3" w:rsidRDefault="001D2053" w:rsidP="000E57E3">
            <w:pPr>
              <w:pStyle w:val="TableText0"/>
            </w:pPr>
            <w:r w:rsidRPr="000E57E3">
              <w:t>Indolent T-cell lymphoproliferative disorder of the GI tract*</w:t>
            </w:r>
          </w:p>
        </w:tc>
      </w:tr>
      <w:tr w:rsidR="001D2053" w:rsidRPr="001D2053" w14:paraId="066156E4" w14:textId="77777777" w:rsidTr="000E57E3">
        <w:tc>
          <w:tcPr>
            <w:tcW w:w="9493" w:type="dxa"/>
          </w:tcPr>
          <w:p w14:paraId="15F6F8A5" w14:textId="67CAABF4" w:rsidR="001D2053" w:rsidRPr="000E57E3" w:rsidRDefault="001D2053" w:rsidP="000E57E3">
            <w:pPr>
              <w:pStyle w:val="TableText0"/>
            </w:pPr>
            <w:r w:rsidRPr="000E57E3">
              <w:t>Hepatosplenic T-cell lymphoma</w:t>
            </w:r>
          </w:p>
        </w:tc>
      </w:tr>
      <w:tr w:rsidR="001D2053" w:rsidRPr="001D2053" w14:paraId="7AD7F8AA" w14:textId="77777777" w:rsidTr="000E57E3">
        <w:tc>
          <w:tcPr>
            <w:tcW w:w="9493" w:type="dxa"/>
          </w:tcPr>
          <w:p w14:paraId="20FE35E4" w14:textId="6533AB1F" w:rsidR="001D2053" w:rsidRPr="000E57E3" w:rsidRDefault="001D2053" w:rsidP="000E57E3">
            <w:pPr>
              <w:pStyle w:val="TableText0"/>
            </w:pPr>
            <w:r w:rsidRPr="000E57E3">
              <w:t>Subcutaneous panniculitis-like T-cell lymphoma</w:t>
            </w:r>
          </w:p>
        </w:tc>
      </w:tr>
      <w:tr w:rsidR="001D2053" w:rsidRPr="001D2053" w14:paraId="1D4F6ABB" w14:textId="77777777" w:rsidTr="000E57E3">
        <w:tc>
          <w:tcPr>
            <w:tcW w:w="9493" w:type="dxa"/>
          </w:tcPr>
          <w:p w14:paraId="13245E79" w14:textId="0A38AB4B" w:rsidR="001D2053" w:rsidRPr="000E57E3" w:rsidRDefault="001D2053" w:rsidP="000E57E3">
            <w:pPr>
              <w:pStyle w:val="TableText0"/>
            </w:pPr>
            <w:r w:rsidRPr="000E57E3">
              <w:t>Mycosis fungoides</w:t>
            </w:r>
          </w:p>
        </w:tc>
      </w:tr>
      <w:tr w:rsidR="001D2053" w:rsidRPr="001D2053" w14:paraId="43DC648F" w14:textId="77777777" w:rsidTr="000E57E3">
        <w:tc>
          <w:tcPr>
            <w:tcW w:w="9493" w:type="dxa"/>
          </w:tcPr>
          <w:p w14:paraId="0BC0248D" w14:textId="3B10065B" w:rsidR="001D2053" w:rsidRPr="000E57E3" w:rsidRDefault="001D2053" w:rsidP="000E57E3">
            <w:pPr>
              <w:pStyle w:val="TableText0"/>
            </w:pPr>
            <w:proofErr w:type="spellStart"/>
            <w:r w:rsidRPr="000E57E3">
              <w:t>S</w:t>
            </w:r>
            <w:r w:rsidRPr="000E57E3">
              <w:rPr>
                <w:rFonts w:cstheme="minorHAnsi"/>
              </w:rPr>
              <w:t>é</w:t>
            </w:r>
            <w:r w:rsidRPr="000E57E3">
              <w:t>zary</w:t>
            </w:r>
            <w:proofErr w:type="spellEnd"/>
            <w:r w:rsidRPr="000E57E3">
              <w:t xml:space="preserve"> syndrome</w:t>
            </w:r>
          </w:p>
        </w:tc>
      </w:tr>
      <w:tr w:rsidR="001D2053" w:rsidRPr="001D2053" w14:paraId="2595B3F9" w14:textId="77777777" w:rsidTr="000E57E3">
        <w:tc>
          <w:tcPr>
            <w:tcW w:w="9493" w:type="dxa"/>
          </w:tcPr>
          <w:p w14:paraId="0EFDE8DF" w14:textId="7B260E00" w:rsidR="001D2053" w:rsidRPr="000E57E3" w:rsidRDefault="001D2053" w:rsidP="000E57E3">
            <w:pPr>
              <w:pStyle w:val="TableText0"/>
            </w:pPr>
            <w:r w:rsidRPr="000E57E3">
              <w:t>Primary cutaneous CD30</w:t>
            </w:r>
            <w:r w:rsidRPr="000E57E3">
              <w:rPr>
                <w:vertAlign w:val="superscript"/>
              </w:rPr>
              <w:t>+</w:t>
            </w:r>
            <w:r w:rsidRPr="000E57E3">
              <w:t xml:space="preserve"> T-cell lymphoproliferative disorders</w:t>
            </w:r>
          </w:p>
        </w:tc>
      </w:tr>
      <w:tr w:rsidR="001D2053" w:rsidRPr="001D2053" w14:paraId="77010985" w14:textId="77777777" w:rsidTr="000E57E3">
        <w:tc>
          <w:tcPr>
            <w:tcW w:w="9493" w:type="dxa"/>
          </w:tcPr>
          <w:p w14:paraId="34AEE287" w14:textId="7DD7377D" w:rsidR="001D2053" w:rsidRPr="000E57E3" w:rsidRDefault="001D2053" w:rsidP="000E57E3">
            <w:pPr>
              <w:pStyle w:val="TableText0"/>
            </w:pPr>
            <w:r w:rsidRPr="000E57E3">
              <w:tab/>
            </w:r>
            <w:proofErr w:type="spellStart"/>
            <w:r w:rsidRPr="000E57E3">
              <w:t>Lymphomatoid</w:t>
            </w:r>
            <w:proofErr w:type="spellEnd"/>
            <w:r w:rsidRPr="000E57E3">
              <w:t xml:space="preserve"> papulosis</w:t>
            </w:r>
          </w:p>
        </w:tc>
      </w:tr>
      <w:tr w:rsidR="001D2053" w:rsidRPr="001D2053" w14:paraId="314A7D61" w14:textId="77777777" w:rsidTr="000E57E3">
        <w:tc>
          <w:tcPr>
            <w:tcW w:w="9493" w:type="dxa"/>
          </w:tcPr>
          <w:p w14:paraId="4D0F9FD1" w14:textId="11B8BFCB" w:rsidR="001D2053" w:rsidRPr="000E57E3" w:rsidRDefault="001D2053" w:rsidP="000E57E3">
            <w:pPr>
              <w:pStyle w:val="TableText0"/>
            </w:pPr>
            <w:r w:rsidRPr="000E57E3">
              <w:tab/>
              <w:t>Primary cutaneous anaplastic large cell lymphoma</w:t>
            </w:r>
          </w:p>
        </w:tc>
      </w:tr>
      <w:tr w:rsidR="001D2053" w:rsidRPr="001D2053" w14:paraId="51AB20C1" w14:textId="77777777" w:rsidTr="000E57E3">
        <w:tc>
          <w:tcPr>
            <w:tcW w:w="9493" w:type="dxa"/>
          </w:tcPr>
          <w:p w14:paraId="15D176D1" w14:textId="2D146D12" w:rsidR="001D2053" w:rsidRPr="000E57E3" w:rsidRDefault="001D2053" w:rsidP="000E57E3">
            <w:pPr>
              <w:pStyle w:val="TableText0"/>
            </w:pPr>
            <w:r w:rsidRPr="000E57E3">
              <w:t xml:space="preserve">Primary cutaneous </w:t>
            </w:r>
            <w:proofErr w:type="spellStart"/>
            <w:r w:rsidRPr="000E57E3">
              <w:rPr>
                <w:rFonts w:cstheme="minorHAnsi"/>
              </w:rPr>
              <w:t>γδ</w:t>
            </w:r>
            <w:proofErr w:type="spellEnd"/>
            <w:r w:rsidRPr="000E57E3">
              <w:t xml:space="preserve"> T-cell lymphoma</w:t>
            </w:r>
          </w:p>
        </w:tc>
      </w:tr>
      <w:tr w:rsidR="001D2053" w:rsidRPr="001D2053" w14:paraId="31E85C02" w14:textId="77777777" w:rsidTr="000E57E3">
        <w:tc>
          <w:tcPr>
            <w:tcW w:w="9493" w:type="dxa"/>
          </w:tcPr>
          <w:p w14:paraId="58A79CA1" w14:textId="3A1E8BBF" w:rsidR="001D2053" w:rsidRPr="000E57E3" w:rsidRDefault="001D2053" w:rsidP="000E57E3">
            <w:pPr>
              <w:pStyle w:val="TableText0"/>
            </w:pPr>
            <w:r w:rsidRPr="000E57E3">
              <w:t>Primary cutaneous CD8</w:t>
            </w:r>
            <w:r w:rsidRPr="000E57E3">
              <w:rPr>
                <w:vertAlign w:val="superscript"/>
              </w:rPr>
              <w:t>+</w:t>
            </w:r>
            <w:r w:rsidRPr="000E57E3">
              <w:t xml:space="preserve"> aggressive </w:t>
            </w:r>
            <w:proofErr w:type="spellStart"/>
            <w:r w:rsidRPr="000E57E3">
              <w:t>epidermotropic</w:t>
            </w:r>
            <w:proofErr w:type="spellEnd"/>
            <w:r w:rsidRPr="000E57E3">
              <w:t xml:space="preserve"> cytotoxic T-cell lymphoma</w:t>
            </w:r>
          </w:p>
        </w:tc>
      </w:tr>
      <w:tr w:rsidR="001D2053" w:rsidRPr="001D2053" w14:paraId="528058C2" w14:textId="77777777" w:rsidTr="000E57E3">
        <w:tc>
          <w:tcPr>
            <w:tcW w:w="9493" w:type="dxa"/>
          </w:tcPr>
          <w:p w14:paraId="48A9DDFB" w14:textId="20D9DA5A" w:rsidR="001D2053" w:rsidRPr="000E57E3" w:rsidRDefault="001D2053" w:rsidP="000E57E3">
            <w:pPr>
              <w:pStyle w:val="TableText0"/>
            </w:pPr>
            <w:r w:rsidRPr="000E57E3">
              <w:t>Primary cutaneous acral CD8</w:t>
            </w:r>
            <w:r w:rsidRPr="000E57E3">
              <w:rPr>
                <w:vertAlign w:val="superscript"/>
              </w:rPr>
              <w:t>+</w:t>
            </w:r>
            <w:r w:rsidRPr="000E57E3">
              <w:t xml:space="preserve"> T-cell lymphoma*</w:t>
            </w:r>
          </w:p>
        </w:tc>
      </w:tr>
      <w:tr w:rsidR="001D2053" w:rsidRPr="001D2053" w14:paraId="6DAD0D95" w14:textId="77777777" w:rsidTr="000E57E3">
        <w:tc>
          <w:tcPr>
            <w:tcW w:w="9493" w:type="dxa"/>
          </w:tcPr>
          <w:p w14:paraId="78EB4E36" w14:textId="22EF0F6E" w:rsidR="001D2053" w:rsidRPr="000E57E3" w:rsidRDefault="001D2053" w:rsidP="000E57E3">
            <w:pPr>
              <w:pStyle w:val="TableText0"/>
            </w:pPr>
            <w:r w:rsidRPr="000E57E3">
              <w:t>Primary cutaneous CD4</w:t>
            </w:r>
            <w:r w:rsidRPr="000E57E3">
              <w:rPr>
                <w:vertAlign w:val="superscript"/>
              </w:rPr>
              <w:t>+</w:t>
            </w:r>
            <w:r w:rsidRPr="000E57E3">
              <w:t xml:space="preserve"> small/medium T-cell lymphoproliferative disorder*</w:t>
            </w:r>
          </w:p>
        </w:tc>
      </w:tr>
      <w:tr w:rsidR="001D2053" w:rsidRPr="001D2053" w14:paraId="590EC151" w14:textId="77777777" w:rsidTr="000E57E3">
        <w:tc>
          <w:tcPr>
            <w:tcW w:w="9493" w:type="dxa"/>
          </w:tcPr>
          <w:p w14:paraId="0AF115D5" w14:textId="261B16AC" w:rsidR="001D2053" w:rsidRPr="000E57E3" w:rsidRDefault="001D2053" w:rsidP="000E57E3">
            <w:pPr>
              <w:pStyle w:val="TableText0"/>
            </w:pPr>
            <w:r w:rsidRPr="000E57E3">
              <w:t>Peripheral T-cell lymphoma, NOS</w:t>
            </w:r>
          </w:p>
        </w:tc>
      </w:tr>
      <w:tr w:rsidR="001D2053" w:rsidRPr="001D2053" w14:paraId="050F2B6C" w14:textId="77777777" w:rsidTr="000E57E3">
        <w:tc>
          <w:tcPr>
            <w:tcW w:w="9493" w:type="dxa"/>
          </w:tcPr>
          <w:p w14:paraId="78F6D544" w14:textId="320179D8" w:rsidR="001D2053" w:rsidRPr="000E57E3" w:rsidRDefault="001D2053" w:rsidP="000E57E3">
            <w:pPr>
              <w:pStyle w:val="TableText0"/>
            </w:pPr>
            <w:r w:rsidRPr="000E57E3">
              <w:t>Angioimmunoblastic T-cell lymphoma</w:t>
            </w:r>
          </w:p>
        </w:tc>
      </w:tr>
      <w:tr w:rsidR="001D2053" w:rsidRPr="001D2053" w14:paraId="71C54151" w14:textId="77777777" w:rsidTr="000E57E3">
        <w:tc>
          <w:tcPr>
            <w:tcW w:w="9493" w:type="dxa"/>
          </w:tcPr>
          <w:p w14:paraId="14400EDE" w14:textId="3767C2E0" w:rsidR="001D2053" w:rsidRPr="000E57E3" w:rsidRDefault="001D2053" w:rsidP="000E57E3">
            <w:pPr>
              <w:pStyle w:val="TableText0"/>
            </w:pPr>
            <w:r w:rsidRPr="000E57E3">
              <w:t>Follicular T-cell lymphoma*</w:t>
            </w:r>
          </w:p>
        </w:tc>
      </w:tr>
      <w:tr w:rsidR="001D2053" w:rsidRPr="001D2053" w14:paraId="2AEA349F" w14:textId="77777777" w:rsidTr="000E57E3">
        <w:tc>
          <w:tcPr>
            <w:tcW w:w="9493" w:type="dxa"/>
          </w:tcPr>
          <w:p w14:paraId="1B9C96B9" w14:textId="75F16F81" w:rsidR="001D2053" w:rsidRPr="000E57E3" w:rsidRDefault="001D2053" w:rsidP="000E57E3">
            <w:pPr>
              <w:pStyle w:val="TableText0"/>
            </w:pPr>
            <w:r w:rsidRPr="000E57E3">
              <w:t>Nodal peripheral T-cell lymphoma with TFH phenotype*</w:t>
            </w:r>
          </w:p>
        </w:tc>
      </w:tr>
      <w:tr w:rsidR="001D2053" w:rsidRPr="001D2053" w14:paraId="5B29FE16" w14:textId="77777777" w:rsidTr="000E57E3">
        <w:tc>
          <w:tcPr>
            <w:tcW w:w="9493" w:type="dxa"/>
          </w:tcPr>
          <w:p w14:paraId="3AF3B738" w14:textId="75058527" w:rsidR="001D2053" w:rsidRPr="000E57E3" w:rsidRDefault="001D2053" w:rsidP="000E57E3">
            <w:pPr>
              <w:pStyle w:val="TableText0"/>
            </w:pPr>
            <w:r w:rsidRPr="000E57E3">
              <w:t>Anaplastic large-cell lymphoma, ALK</w:t>
            </w:r>
            <w:r w:rsidRPr="000E57E3">
              <w:rPr>
                <w:vertAlign w:val="superscript"/>
              </w:rPr>
              <w:t>+</w:t>
            </w:r>
          </w:p>
        </w:tc>
      </w:tr>
      <w:tr w:rsidR="001D2053" w:rsidRPr="001D2053" w14:paraId="13A4D556" w14:textId="77777777" w:rsidTr="000E57E3">
        <w:tc>
          <w:tcPr>
            <w:tcW w:w="9493" w:type="dxa"/>
          </w:tcPr>
          <w:p w14:paraId="12D7A360" w14:textId="35990E7F" w:rsidR="001D2053" w:rsidRPr="000E57E3" w:rsidRDefault="001D2053" w:rsidP="000E57E3">
            <w:pPr>
              <w:pStyle w:val="TableText0"/>
            </w:pPr>
            <w:r w:rsidRPr="000E57E3">
              <w:t>Anaplastic large-cell lymphoma, ALK</w:t>
            </w:r>
            <w:r w:rsidRPr="000E57E3">
              <w:rPr>
                <w:vertAlign w:val="superscript"/>
              </w:rPr>
              <w:t>-</w:t>
            </w:r>
            <w:r w:rsidRPr="000E57E3">
              <w:t>*</w:t>
            </w:r>
          </w:p>
        </w:tc>
      </w:tr>
      <w:tr w:rsidR="001D2053" w:rsidRPr="001D2053" w14:paraId="6263DDE8" w14:textId="77777777" w:rsidTr="000E57E3">
        <w:tc>
          <w:tcPr>
            <w:tcW w:w="9493" w:type="dxa"/>
          </w:tcPr>
          <w:p w14:paraId="1AF90FD6" w14:textId="2C44E82C" w:rsidR="001D2053" w:rsidRPr="000E57E3" w:rsidRDefault="001D2053" w:rsidP="000E57E3">
            <w:pPr>
              <w:pStyle w:val="TableText0"/>
            </w:pPr>
            <w:r w:rsidRPr="000E57E3">
              <w:t>Breast implant–associated anaplastic large-cell lymphoma*</w:t>
            </w:r>
          </w:p>
        </w:tc>
      </w:tr>
      <w:tr w:rsidR="001D2053" w:rsidRPr="001D2053" w14:paraId="5E8A5964" w14:textId="77777777" w:rsidTr="000E57E3">
        <w:tc>
          <w:tcPr>
            <w:tcW w:w="9493" w:type="dxa"/>
          </w:tcPr>
          <w:p w14:paraId="28CF5A0C" w14:textId="7C944C6F" w:rsidR="001D2053" w:rsidRPr="000E57E3" w:rsidRDefault="001D2053" w:rsidP="000E57E3">
            <w:pPr>
              <w:pStyle w:val="TableText0"/>
              <w:rPr>
                <w:b/>
                <w:bCs/>
              </w:rPr>
            </w:pPr>
            <w:r w:rsidRPr="000E57E3">
              <w:rPr>
                <w:b/>
                <w:bCs/>
              </w:rPr>
              <w:t>Hodgkin lymphoma</w:t>
            </w:r>
          </w:p>
        </w:tc>
      </w:tr>
      <w:tr w:rsidR="001D2053" w:rsidRPr="001D2053" w14:paraId="5C6A2AAD" w14:textId="77777777" w:rsidTr="000E57E3">
        <w:tc>
          <w:tcPr>
            <w:tcW w:w="9493" w:type="dxa"/>
          </w:tcPr>
          <w:p w14:paraId="579D8535" w14:textId="6FF422C2" w:rsidR="001D2053" w:rsidRPr="000E57E3" w:rsidRDefault="001D2053" w:rsidP="000E57E3">
            <w:pPr>
              <w:pStyle w:val="TableText0"/>
            </w:pPr>
            <w:r w:rsidRPr="000E57E3">
              <w:t>Nodular lymphocyte predominant Hodgkin lymphoma</w:t>
            </w:r>
          </w:p>
        </w:tc>
      </w:tr>
      <w:tr w:rsidR="001D2053" w:rsidRPr="001D2053" w14:paraId="41E4D3CA" w14:textId="77777777" w:rsidTr="000E57E3">
        <w:tc>
          <w:tcPr>
            <w:tcW w:w="9493" w:type="dxa"/>
          </w:tcPr>
          <w:p w14:paraId="118DAD58" w14:textId="029DC5EE" w:rsidR="001D2053" w:rsidRPr="000E57E3" w:rsidRDefault="001D2053" w:rsidP="000E57E3">
            <w:pPr>
              <w:pStyle w:val="TableText0"/>
            </w:pPr>
            <w:r w:rsidRPr="000E57E3">
              <w:t>Classical Hodgkin lymphoma</w:t>
            </w:r>
          </w:p>
        </w:tc>
      </w:tr>
      <w:tr w:rsidR="001D2053" w:rsidRPr="001D2053" w14:paraId="58BCF4C1" w14:textId="77777777" w:rsidTr="000E57E3">
        <w:tc>
          <w:tcPr>
            <w:tcW w:w="9493" w:type="dxa"/>
          </w:tcPr>
          <w:p w14:paraId="64597569" w14:textId="64066DEC" w:rsidR="001D2053" w:rsidRPr="000E57E3" w:rsidRDefault="001D2053" w:rsidP="000E57E3">
            <w:pPr>
              <w:pStyle w:val="TableText0"/>
            </w:pPr>
            <w:r w:rsidRPr="000E57E3">
              <w:tab/>
              <w:t>Nodular sclerosis classical Hodgkin lymphoma</w:t>
            </w:r>
          </w:p>
        </w:tc>
      </w:tr>
      <w:tr w:rsidR="001D2053" w:rsidRPr="001D2053" w14:paraId="221F15F0" w14:textId="77777777" w:rsidTr="000E57E3">
        <w:tc>
          <w:tcPr>
            <w:tcW w:w="9493" w:type="dxa"/>
          </w:tcPr>
          <w:p w14:paraId="3FFC881D" w14:textId="1D996943" w:rsidR="001D2053" w:rsidRPr="000E57E3" w:rsidRDefault="001D2053" w:rsidP="000E57E3">
            <w:pPr>
              <w:pStyle w:val="TableText0"/>
            </w:pPr>
            <w:r w:rsidRPr="000E57E3">
              <w:tab/>
              <w:t>Lymphocyte-rich classical Hodgkin lymphoma</w:t>
            </w:r>
          </w:p>
        </w:tc>
      </w:tr>
      <w:tr w:rsidR="001D2053" w:rsidRPr="001D2053" w14:paraId="252D156F" w14:textId="77777777" w:rsidTr="000E57E3">
        <w:tc>
          <w:tcPr>
            <w:tcW w:w="9493" w:type="dxa"/>
          </w:tcPr>
          <w:p w14:paraId="19264604" w14:textId="4D9C08EF" w:rsidR="001D2053" w:rsidRPr="000E57E3" w:rsidRDefault="001D2053" w:rsidP="000E57E3">
            <w:pPr>
              <w:pStyle w:val="TableText0"/>
            </w:pPr>
            <w:r w:rsidRPr="000E57E3">
              <w:tab/>
              <w:t>Mixed cellularity classical Hodgkin lymphoma</w:t>
            </w:r>
          </w:p>
        </w:tc>
      </w:tr>
      <w:tr w:rsidR="001D2053" w:rsidRPr="001D2053" w14:paraId="6B45A609" w14:textId="77777777" w:rsidTr="000E57E3">
        <w:tc>
          <w:tcPr>
            <w:tcW w:w="9493" w:type="dxa"/>
          </w:tcPr>
          <w:p w14:paraId="582406BF" w14:textId="69FFA7EB" w:rsidR="001D2053" w:rsidRPr="000E57E3" w:rsidRDefault="001D2053" w:rsidP="000E57E3">
            <w:pPr>
              <w:pStyle w:val="TableText0"/>
            </w:pPr>
            <w:r w:rsidRPr="000E57E3">
              <w:lastRenderedPageBreak/>
              <w:tab/>
              <w:t>Lymphocyte-depleted classical Hodgkin lymphoma</w:t>
            </w:r>
          </w:p>
        </w:tc>
      </w:tr>
      <w:tr w:rsidR="001D2053" w:rsidRPr="001D2053" w14:paraId="044B44D6" w14:textId="77777777" w:rsidTr="000E57E3">
        <w:tc>
          <w:tcPr>
            <w:tcW w:w="9493" w:type="dxa"/>
          </w:tcPr>
          <w:p w14:paraId="59CD5412" w14:textId="569C76E5" w:rsidR="001D2053" w:rsidRPr="000E57E3" w:rsidRDefault="001D2053" w:rsidP="000E57E3">
            <w:pPr>
              <w:pStyle w:val="TableText0"/>
              <w:rPr>
                <w:b/>
                <w:bCs/>
              </w:rPr>
            </w:pPr>
            <w:r w:rsidRPr="000E57E3">
              <w:rPr>
                <w:b/>
                <w:bCs/>
              </w:rPr>
              <w:t>Post-transplant lymphoproliferative disorders (PTLD)</w:t>
            </w:r>
          </w:p>
        </w:tc>
      </w:tr>
      <w:tr w:rsidR="001D2053" w:rsidRPr="001D2053" w14:paraId="4CEB33C0" w14:textId="77777777" w:rsidTr="000E57E3">
        <w:tc>
          <w:tcPr>
            <w:tcW w:w="9493" w:type="dxa"/>
          </w:tcPr>
          <w:p w14:paraId="68D9A368" w14:textId="762D19ED" w:rsidR="001D2053" w:rsidRPr="000E57E3" w:rsidRDefault="001D2053" w:rsidP="000E57E3">
            <w:pPr>
              <w:pStyle w:val="TableText0"/>
            </w:pPr>
            <w:proofErr w:type="spellStart"/>
            <w:r w:rsidRPr="000E57E3">
              <w:t>Plasmacytic</w:t>
            </w:r>
            <w:proofErr w:type="spellEnd"/>
            <w:r w:rsidRPr="000E57E3">
              <w:t xml:space="preserve"> hyperplasia PTLD</w:t>
            </w:r>
          </w:p>
        </w:tc>
      </w:tr>
      <w:tr w:rsidR="001D2053" w:rsidRPr="001D2053" w14:paraId="2F8D3EA9" w14:textId="77777777" w:rsidTr="000E57E3">
        <w:tc>
          <w:tcPr>
            <w:tcW w:w="9493" w:type="dxa"/>
          </w:tcPr>
          <w:p w14:paraId="551B4D29" w14:textId="58A9A84B" w:rsidR="001D2053" w:rsidRPr="000E57E3" w:rsidRDefault="001D2053" w:rsidP="000E57E3">
            <w:pPr>
              <w:pStyle w:val="TableText0"/>
            </w:pPr>
            <w:r w:rsidRPr="000E57E3">
              <w:t>Infectious mononucleosis PTLD</w:t>
            </w:r>
          </w:p>
        </w:tc>
      </w:tr>
      <w:tr w:rsidR="001D2053" w:rsidRPr="001D2053" w14:paraId="44D3351A" w14:textId="77777777" w:rsidTr="000E57E3">
        <w:tc>
          <w:tcPr>
            <w:tcW w:w="9493" w:type="dxa"/>
          </w:tcPr>
          <w:p w14:paraId="4E72DE3E" w14:textId="75A902C1" w:rsidR="001D2053" w:rsidRPr="000E57E3" w:rsidRDefault="001D2053" w:rsidP="000E57E3">
            <w:pPr>
              <w:pStyle w:val="TableText0"/>
            </w:pPr>
            <w:r w:rsidRPr="000E57E3">
              <w:t>Florid follicular hyperplasia PTLD*</w:t>
            </w:r>
          </w:p>
        </w:tc>
      </w:tr>
      <w:tr w:rsidR="001D2053" w:rsidRPr="001D2053" w14:paraId="68662E97" w14:textId="77777777" w:rsidTr="000E57E3">
        <w:tc>
          <w:tcPr>
            <w:tcW w:w="9493" w:type="dxa"/>
          </w:tcPr>
          <w:p w14:paraId="3FB77BAA" w14:textId="33164C1F" w:rsidR="001D2053" w:rsidRPr="000E57E3" w:rsidRDefault="001D2053" w:rsidP="000E57E3">
            <w:pPr>
              <w:pStyle w:val="TableText0"/>
            </w:pPr>
            <w:r w:rsidRPr="000E57E3">
              <w:t>Polymorphic PTLD</w:t>
            </w:r>
          </w:p>
        </w:tc>
      </w:tr>
      <w:tr w:rsidR="001D2053" w:rsidRPr="001D2053" w14:paraId="301FD371" w14:textId="77777777" w:rsidTr="000E57E3">
        <w:tc>
          <w:tcPr>
            <w:tcW w:w="9493" w:type="dxa"/>
          </w:tcPr>
          <w:p w14:paraId="5D77E95D" w14:textId="4FFF725D" w:rsidR="001D2053" w:rsidRPr="000E57E3" w:rsidRDefault="001D2053" w:rsidP="000E57E3">
            <w:pPr>
              <w:pStyle w:val="TableText0"/>
            </w:pPr>
            <w:r w:rsidRPr="000E57E3">
              <w:t>Monomorphic PTLD (B- and T-/NK-cell types)</w:t>
            </w:r>
          </w:p>
        </w:tc>
      </w:tr>
      <w:tr w:rsidR="001D2053" w:rsidRPr="001D2053" w14:paraId="49289AFF" w14:textId="77777777" w:rsidTr="000E57E3">
        <w:tc>
          <w:tcPr>
            <w:tcW w:w="9493" w:type="dxa"/>
          </w:tcPr>
          <w:p w14:paraId="4B56E1BF" w14:textId="35CEFA9C" w:rsidR="001D2053" w:rsidRPr="000E57E3" w:rsidRDefault="001D2053" w:rsidP="000E57E3">
            <w:pPr>
              <w:pStyle w:val="TableText0"/>
            </w:pPr>
            <w:r w:rsidRPr="000E57E3">
              <w:t>Classical Hodgkin lymphoma PTLD</w:t>
            </w:r>
          </w:p>
        </w:tc>
      </w:tr>
      <w:tr w:rsidR="001D2053" w:rsidRPr="001D2053" w14:paraId="2ACD66C6" w14:textId="77777777" w:rsidTr="000E57E3">
        <w:tc>
          <w:tcPr>
            <w:tcW w:w="9493" w:type="dxa"/>
          </w:tcPr>
          <w:p w14:paraId="0568B2B2" w14:textId="24EC95F2" w:rsidR="001D2053" w:rsidRPr="000E57E3" w:rsidRDefault="001D2053" w:rsidP="000E57E3">
            <w:pPr>
              <w:pStyle w:val="TableText0"/>
              <w:rPr>
                <w:b/>
                <w:bCs/>
              </w:rPr>
            </w:pPr>
            <w:r w:rsidRPr="000E57E3">
              <w:rPr>
                <w:b/>
                <w:bCs/>
              </w:rPr>
              <w:t>Histiocytic and dendritic cell neoplasms</w:t>
            </w:r>
          </w:p>
        </w:tc>
      </w:tr>
      <w:tr w:rsidR="001D2053" w:rsidRPr="001D2053" w14:paraId="716102AB" w14:textId="77777777" w:rsidTr="000E57E3">
        <w:tc>
          <w:tcPr>
            <w:tcW w:w="9493" w:type="dxa"/>
          </w:tcPr>
          <w:p w14:paraId="49421C54" w14:textId="31B04AF7" w:rsidR="001D2053" w:rsidRPr="000E57E3" w:rsidRDefault="001D2053" w:rsidP="000E57E3">
            <w:pPr>
              <w:pStyle w:val="TableText0"/>
            </w:pPr>
            <w:r w:rsidRPr="000E57E3">
              <w:t>Histiocytic sarcoma</w:t>
            </w:r>
          </w:p>
        </w:tc>
      </w:tr>
      <w:tr w:rsidR="001D2053" w:rsidRPr="001D2053" w14:paraId="6ABCA2C3" w14:textId="77777777" w:rsidTr="000E57E3">
        <w:tc>
          <w:tcPr>
            <w:tcW w:w="9493" w:type="dxa"/>
          </w:tcPr>
          <w:p w14:paraId="24097170" w14:textId="61BCF080" w:rsidR="001D2053" w:rsidRPr="000E57E3" w:rsidRDefault="001D2053" w:rsidP="000E57E3">
            <w:pPr>
              <w:pStyle w:val="TableText0"/>
            </w:pPr>
            <w:r w:rsidRPr="000E57E3">
              <w:t>Langerhans cell histiocytosis</w:t>
            </w:r>
          </w:p>
        </w:tc>
      </w:tr>
      <w:tr w:rsidR="001D2053" w:rsidRPr="001D2053" w14:paraId="0FB64553" w14:textId="77777777" w:rsidTr="000E57E3">
        <w:tc>
          <w:tcPr>
            <w:tcW w:w="9493" w:type="dxa"/>
          </w:tcPr>
          <w:p w14:paraId="3B63C557" w14:textId="5E8E4569" w:rsidR="001D2053" w:rsidRPr="000E57E3" w:rsidRDefault="001D2053" w:rsidP="000E57E3">
            <w:pPr>
              <w:pStyle w:val="TableText0"/>
            </w:pPr>
            <w:r w:rsidRPr="000E57E3">
              <w:t>Langerhans cell sarcoma</w:t>
            </w:r>
          </w:p>
        </w:tc>
      </w:tr>
      <w:tr w:rsidR="001D2053" w:rsidRPr="001D2053" w14:paraId="55917519" w14:textId="77777777" w:rsidTr="000E57E3">
        <w:tc>
          <w:tcPr>
            <w:tcW w:w="9493" w:type="dxa"/>
          </w:tcPr>
          <w:p w14:paraId="178B382B" w14:textId="48461E91" w:rsidR="001D2053" w:rsidRPr="000E57E3" w:rsidRDefault="001D2053" w:rsidP="000E57E3">
            <w:pPr>
              <w:pStyle w:val="TableText0"/>
            </w:pPr>
            <w:r w:rsidRPr="000E57E3">
              <w:t>Indeterminate dendritic cell tumour</w:t>
            </w:r>
          </w:p>
        </w:tc>
      </w:tr>
      <w:tr w:rsidR="001D2053" w:rsidRPr="001D2053" w14:paraId="547D386E" w14:textId="77777777" w:rsidTr="000E57E3">
        <w:tc>
          <w:tcPr>
            <w:tcW w:w="9493" w:type="dxa"/>
          </w:tcPr>
          <w:p w14:paraId="3DCB89C8" w14:textId="62EAADA6" w:rsidR="001D2053" w:rsidRPr="000E57E3" w:rsidRDefault="001D2053" w:rsidP="000E57E3">
            <w:pPr>
              <w:pStyle w:val="TableText0"/>
            </w:pPr>
            <w:r w:rsidRPr="000E57E3">
              <w:t>Interdigitating dendritic cell sarcoma</w:t>
            </w:r>
          </w:p>
        </w:tc>
      </w:tr>
      <w:tr w:rsidR="001D2053" w:rsidRPr="001D2053" w14:paraId="65CAE20D" w14:textId="77777777" w:rsidTr="000E57E3">
        <w:tc>
          <w:tcPr>
            <w:tcW w:w="9493" w:type="dxa"/>
          </w:tcPr>
          <w:p w14:paraId="71E92832" w14:textId="334EF0D4" w:rsidR="001D2053" w:rsidRPr="000E57E3" w:rsidRDefault="001D2053" w:rsidP="000E57E3">
            <w:pPr>
              <w:pStyle w:val="TableText0"/>
            </w:pPr>
            <w:r w:rsidRPr="000E57E3">
              <w:t>Follicular dendritic cell sarcoma</w:t>
            </w:r>
          </w:p>
        </w:tc>
      </w:tr>
      <w:tr w:rsidR="001D2053" w:rsidRPr="001D2053" w14:paraId="2FDFCA48" w14:textId="77777777" w:rsidTr="000E57E3">
        <w:tc>
          <w:tcPr>
            <w:tcW w:w="9493" w:type="dxa"/>
          </w:tcPr>
          <w:p w14:paraId="075F2858" w14:textId="376001E0" w:rsidR="001D2053" w:rsidRPr="000E57E3" w:rsidRDefault="001D2053" w:rsidP="000E57E3">
            <w:pPr>
              <w:pStyle w:val="TableText0"/>
            </w:pPr>
            <w:r w:rsidRPr="000E57E3">
              <w:t>Fibroblastic reticular cell tumour</w:t>
            </w:r>
          </w:p>
        </w:tc>
      </w:tr>
      <w:tr w:rsidR="001D2053" w:rsidRPr="001D2053" w14:paraId="469219E0" w14:textId="77777777" w:rsidTr="000E57E3">
        <w:tc>
          <w:tcPr>
            <w:tcW w:w="9493" w:type="dxa"/>
          </w:tcPr>
          <w:p w14:paraId="1F845695" w14:textId="6DF78FF2" w:rsidR="001D2053" w:rsidRPr="000E57E3" w:rsidRDefault="001D2053" w:rsidP="000E57E3">
            <w:pPr>
              <w:pStyle w:val="TableText0"/>
            </w:pPr>
            <w:r w:rsidRPr="000E57E3">
              <w:t xml:space="preserve">Disseminated juvenile </w:t>
            </w:r>
            <w:proofErr w:type="spellStart"/>
            <w:r w:rsidRPr="000E57E3">
              <w:t>xanthogranuloma</w:t>
            </w:r>
            <w:proofErr w:type="spellEnd"/>
          </w:p>
        </w:tc>
      </w:tr>
      <w:tr w:rsidR="001D2053" w:rsidRPr="001D2053" w14:paraId="6DEAEE46" w14:textId="77777777" w:rsidTr="000E57E3">
        <w:tc>
          <w:tcPr>
            <w:tcW w:w="9493" w:type="dxa"/>
          </w:tcPr>
          <w:p w14:paraId="4E1C7F41" w14:textId="68C3DE0D" w:rsidR="001D2053" w:rsidRPr="000E57E3" w:rsidRDefault="001D2053" w:rsidP="000E57E3">
            <w:pPr>
              <w:pStyle w:val="TableText0"/>
            </w:pPr>
            <w:proofErr w:type="spellStart"/>
            <w:r w:rsidRPr="000E57E3">
              <w:t>Erdheim</w:t>
            </w:r>
            <w:proofErr w:type="spellEnd"/>
            <w:r w:rsidRPr="000E57E3">
              <w:t>-Chester disease*</w:t>
            </w:r>
          </w:p>
        </w:tc>
      </w:tr>
    </w:tbl>
    <w:p w14:paraId="5E294CC0" w14:textId="33E8AFBA" w:rsidR="001D2053" w:rsidRPr="000E57E3" w:rsidRDefault="001D2053" w:rsidP="00880A69">
      <w:pPr>
        <w:pStyle w:val="Tablenotes"/>
      </w:pPr>
      <w:r w:rsidRPr="000E57E3">
        <w:t>Provisional entities are listed in italics, *Changes from the 2008 classification.</w:t>
      </w:r>
    </w:p>
    <w:p w14:paraId="506C5715" w14:textId="41C85494" w:rsidR="008A6844" w:rsidRDefault="008A6844" w:rsidP="000E57E3">
      <w:pPr>
        <w:pStyle w:val="Caption"/>
      </w:pPr>
      <w:bookmarkStart w:id="22" w:name="_Ref85200599"/>
      <w:r>
        <w:t xml:space="preserve">Table </w:t>
      </w:r>
      <w:r>
        <w:fldChar w:fldCharType="begin"/>
      </w:r>
      <w:r>
        <w:instrText xml:space="preserve"> SEQ Table \* ARABIC </w:instrText>
      </w:r>
      <w:r>
        <w:fldChar w:fldCharType="separate"/>
      </w:r>
      <w:r w:rsidR="00CA44B7">
        <w:rPr>
          <w:noProof/>
        </w:rPr>
        <w:t>10</w:t>
      </w:r>
      <w:r>
        <w:fldChar w:fldCharType="end"/>
      </w:r>
      <w:bookmarkEnd w:id="22"/>
      <w:r w:rsidR="000E57E3">
        <w:tab/>
      </w:r>
      <w:r w:rsidRPr="00C51B09">
        <w:t>2016 WHO classification of myeloid neoplasms and acute leukaemia</w:t>
      </w:r>
      <w:r>
        <w:t xml:space="preserve"> </w:t>
      </w:r>
      <w:r w:rsidR="00EB008C">
        <w:fldChar w:fldCharType="begin">
          <w:fldData xml:space="preserve">PEVuZE5vdGU+PENpdGU+PEF1dGhvcj5BcmJlcjwvQXV0aG9yPjxZZWFyPjIwMTY8L1llYXI+PFJl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</w:fldData>
        </w:fldChar>
      </w:r>
      <w:r w:rsidR="00EB008C">
        <w:instrText xml:space="preserve"> ADDIN EN.CITE </w:instrText>
      </w:r>
      <w:r w:rsidR="00EB008C">
        <w:fldChar w:fldCharType="begin">
          <w:fldData xml:space="preserve">PEVuZE5vdGU+PENpdGU+PEF1dGhvcj5BcmJlcjwvQXV0aG9yPjxZZWFyPjIwMTY8L1llYXI+PFJl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</w:fldData>
        </w:fldChar>
      </w:r>
      <w:r w:rsidR="00EB008C">
        <w:instrText xml:space="preserve"> ADDIN EN.CITE.DATA </w:instrText>
      </w:r>
      <w:r w:rsidR="00EB008C">
        <w:fldChar w:fldCharType="end"/>
      </w:r>
      <w:r w:rsidR="00EB008C">
        <w:fldChar w:fldCharType="separate"/>
      </w:r>
      <w:r w:rsidR="00EB008C">
        <w:rPr>
          <w:noProof/>
        </w:rPr>
        <w:t>(Arber et al., 2016)</w:t>
      </w:r>
      <w:r w:rsidR="00EB008C">
        <w:fldChar w:fldCharType="end"/>
      </w:r>
    </w:p>
    <w:tbl>
      <w:tblPr>
        <w:tblStyle w:val="TableGrid"/>
        <w:tblW w:w="9493" w:type="dxa"/>
        <w:tblInd w:w="0" w:type="dxa"/>
        <w:tblLook w:val="04A0" w:firstRow="1" w:lastRow="0" w:firstColumn="1" w:lastColumn="0" w:noHBand="0" w:noVBand="1"/>
      </w:tblPr>
      <w:tblGrid>
        <w:gridCol w:w="9493"/>
      </w:tblGrid>
      <w:tr w:rsidR="008A6844" w:rsidRPr="008A6844" w14:paraId="58E08657" w14:textId="77777777" w:rsidTr="000E57E3">
        <w:tc>
          <w:tcPr>
            <w:tcW w:w="9493" w:type="dxa"/>
          </w:tcPr>
          <w:p w14:paraId="2FCCC2D2" w14:textId="2A87B045" w:rsidR="008A6844" w:rsidRPr="008A6844" w:rsidRDefault="008A6844" w:rsidP="000E57E3">
            <w:pPr>
              <w:pStyle w:val="TableText0"/>
            </w:pPr>
            <w:r w:rsidRPr="000E57E3">
              <w:t>Myeloproliferative neoplasms (MPN)</w:t>
            </w:r>
          </w:p>
        </w:tc>
      </w:tr>
      <w:tr w:rsidR="008A6844" w:rsidRPr="008A6844" w14:paraId="5273FCCE" w14:textId="77777777" w:rsidTr="000E57E3">
        <w:tc>
          <w:tcPr>
            <w:tcW w:w="9493" w:type="dxa"/>
          </w:tcPr>
          <w:p w14:paraId="7C84601E" w14:textId="32820C87" w:rsidR="008A6844" w:rsidRPr="008A6844" w:rsidRDefault="008A6844" w:rsidP="000E57E3">
            <w:pPr>
              <w:pStyle w:val="TableText0"/>
            </w:pPr>
            <w:r w:rsidRPr="000E57E3">
              <w:t xml:space="preserve">Chronic myeloid leukaemia (CML), </w:t>
            </w:r>
            <w:r w:rsidRPr="000E57E3">
              <w:rPr>
                <w:i/>
                <w:iCs/>
              </w:rPr>
              <w:t>BCR-ABL1</w:t>
            </w:r>
            <w:r w:rsidRPr="000E57E3">
              <w:rPr>
                <w:i/>
                <w:iCs/>
                <w:vertAlign w:val="superscript"/>
              </w:rPr>
              <w:t>+</w:t>
            </w:r>
          </w:p>
        </w:tc>
      </w:tr>
      <w:tr w:rsidR="008A6844" w:rsidRPr="008A6844" w14:paraId="5D358753" w14:textId="77777777" w:rsidTr="000E57E3">
        <w:tc>
          <w:tcPr>
            <w:tcW w:w="9493" w:type="dxa"/>
          </w:tcPr>
          <w:p w14:paraId="27CD5D81" w14:textId="42275921" w:rsidR="008A6844" w:rsidRPr="008A6844" w:rsidRDefault="008A6844" w:rsidP="000E57E3">
            <w:pPr>
              <w:pStyle w:val="TableText0"/>
            </w:pPr>
            <w:r w:rsidRPr="000E57E3">
              <w:t>Chronic neutrophilic leukaemia (CNL)</w:t>
            </w:r>
          </w:p>
        </w:tc>
      </w:tr>
      <w:tr w:rsidR="008A6844" w:rsidRPr="008A6844" w14:paraId="218B5EB5" w14:textId="77777777" w:rsidTr="000E57E3">
        <w:tc>
          <w:tcPr>
            <w:tcW w:w="9493" w:type="dxa"/>
          </w:tcPr>
          <w:p w14:paraId="780D45B0" w14:textId="7A9328C4" w:rsidR="008A6844" w:rsidRPr="008A6844" w:rsidRDefault="008A6844" w:rsidP="000E57E3">
            <w:pPr>
              <w:pStyle w:val="TableText0"/>
            </w:pPr>
            <w:r w:rsidRPr="000E57E3">
              <w:t>Polycythaemia vera (PV)</w:t>
            </w:r>
          </w:p>
        </w:tc>
      </w:tr>
      <w:tr w:rsidR="008A6844" w:rsidRPr="008A6844" w14:paraId="3E89DFEB" w14:textId="77777777" w:rsidTr="000E57E3">
        <w:tc>
          <w:tcPr>
            <w:tcW w:w="9493" w:type="dxa"/>
          </w:tcPr>
          <w:p w14:paraId="59108E6E" w14:textId="7A8FE8FA" w:rsidR="008A6844" w:rsidRPr="008A6844" w:rsidRDefault="008A6844" w:rsidP="000E57E3">
            <w:pPr>
              <w:pStyle w:val="TableText0"/>
            </w:pPr>
            <w:r w:rsidRPr="000E57E3">
              <w:t>Primary myelofibrosis (PMF)</w:t>
            </w:r>
          </w:p>
        </w:tc>
      </w:tr>
      <w:tr w:rsidR="008A6844" w:rsidRPr="008A6844" w14:paraId="6008CEEA" w14:textId="77777777" w:rsidTr="000E57E3">
        <w:tc>
          <w:tcPr>
            <w:tcW w:w="9493" w:type="dxa"/>
          </w:tcPr>
          <w:p w14:paraId="68274A91" w14:textId="7DE9AFBC" w:rsidR="008A6844" w:rsidRPr="008A6844" w:rsidRDefault="008A6844" w:rsidP="000E57E3">
            <w:pPr>
              <w:pStyle w:val="TableText0"/>
            </w:pPr>
            <w:r w:rsidRPr="000E57E3">
              <w:tab/>
              <w:t>PMF, pre-fibrotic/early stage</w:t>
            </w:r>
          </w:p>
        </w:tc>
      </w:tr>
      <w:tr w:rsidR="008A6844" w:rsidRPr="008A6844" w14:paraId="30D85BF0" w14:textId="77777777" w:rsidTr="000E57E3">
        <w:tc>
          <w:tcPr>
            <w:tcW w:w="9493" w:type="dxa"/>
          </w:tcPr>
          <w:p w14:paraId="18206C3F" w14:textId="0907B550" w:rsidR="008A6844" w:rsidRPr="008A6844" w:rsidRDefault="008A6844" w:rsidP="000E57E3">
            <w:pPr>
              <w:pStyle w:val="TableText0"/>
            </w:pPr>
            <w:r w:rsidRPr="000E57E3">
              <w:tab/>
              <w:t>PMF, overt fibrotic stage</w:t>
            </w:r>
          </w:p>
        </w:tc>
      </w:tr>
      <w:tr w:rsidR="008A6844" w:rsidRPr="008A6844" w14:paraId="31FE5F53" w14:textId="77777777" w:rsidTr="000E57E3">
        <w:tc>
          <w:tcPr>
            <w:tcW w:w="9493" w:type="dxa"/>
          </w:tcPr>
          <w:p w14:paraId="33C23E06" w14:textId="07C374D7" w:rsidR="008A6844" w:rsidRPr="008A6844" w:rsidRDefault="008A6844" w:rsidP="000E57E3">
            <w:pPr>
              <w:pStyle w:val="TableText0"/>
            </w:pPr>
            <w:r w:rsidRPr="000E57E3">
              <w:t xml:space="preserve">Essential </w:t>
            </w:r>
            <w:proofErr w:type="spellStart"/>
            <w:r w:rsidRPr="000E57E3">
              <w:t>thrombocythaemia</w:t>
            </w:r>
            <w:proofErr w:type="spellEnd"/>
            <w:r w:rsidRPr="000E57E3">
              <w:t xml:space="preserve"> (ET)</w:t>
            </w:r>
          </w:p>
        </w:tc>
      </w:tr>
      <w:tr w:rsidR="008A6844" w:rsidRPr="008A6844" w14:paraId="1F289F93" w14:textId="77777777" w:rsidTr="000E57E3">
        <w:tc>
          <w:tcPr>
            <w:tcW w:w="9493" w:type="dxa"/>
          </w:tcPr>
          <w:p w14:paraId="44459CF9" w14:textId="7066071D" w:rsidR="008A6844" w:rsidRPr="008A6844" w:rsidRDefault="008A6844" w:rsidP="000E57E3">
            <w:pPr>
              <w:pStyle w:val="TableText0"/>
            </w:pPr>
            <w:r w:rsidRPr="000E57E3">
              <w:t>Chronic eosinophilic leukaemia, NOS</w:t>
            </w:r>
          </w:p>
        </w:tc>
      </w:tr>
      <w:tr w:rsidR="008A6844" w:rsidRPr="008A6844" w14:paraId="333737D8" w14:textId="77777777" w:rsidTr="000E57E3">
        <w:tc>
          <w:tcPr>
            <w:tcW w:w="9493" w:type="dxa"/>
          </w:tcPr>
          <w:p w14:paraId="54241377" w14:textId="152BC76B" w:rsidR="008A6844" w:rsidRPr="008A6844" w:rsidRDefault="008A6844" w:rsidP="000E57E3">
            <w:pPr>
              <w:pStyle w:val="TableText0"/>
            </w:pPr>
            <w:r w:rsidRPr="000E57E3">
              <w:t>MPN, unclassifiable</w:t>
            </w:r>
          </w:p>
        </w:tc>
      </w:tr>
      <w:tr w:rsidR="008A6844" w:rsidRPr="008A6844" w14:paraId="30EB507B" w14:textId="77777777" w:rsidTr="000E57E3">
        <w:tc>
          <w:tcPr>
            <w:tcW w:w="9493" w:type="dxa"/>
          </w:tcPr>
          <w:p w14:paraId="65C4DCF7" w14:textId="4B8E0C4B" w:rsidR="008A6844" w:rsidRPr="008A6844" w:rsidRDefault="008A6844" w:rsidP="000E57E3">
            <w:pPr>
              <w:pStyle w:val="TableText0"/>
            </w:pPr>
            <w:proofErr w:type="spellStart"/>
            <w:r w:rsidRPr="000E57E3">
              <w:t>Mastocytosis</w:t>
            </w:r>
            <w:proofErr w:type="spellEnd"/>
          </w:p>
        </w:tc>
      </w:tr>
      <w:tr w:rsidR="008A6844" w:rsidRPr="008A6844" w14:paraId="6A0EC03C" w14:textId="77777777" w:rsidTr="000E57E3">
        <w:tc>
          <w:tcPr>
            <w:tcW w:w="9493" w:type="dxa"/>
          </w:tcPr>
          <w:p w14:paraId="45557459" w14:textId="237A6A78" w:rsidR="008A6844" w:rsidRPr="008A6844" w:rsidRDefault="008A6844" w:rsidP="000E57E3">
            <w:pPr>
              <w:pStyle w:val="TableText0"/>
            </w:pPr>
            <w:r w:rsidRPr="000E57E3">
              <w:t xml:space="preserve">Myeloid/lymphoid neoplasms with eosinophilia and rearrangement of </w:t>
            </w:r>
            <w:r w:rsidRPr="000E57E3">
              <w:rPr>
                <w:i/>
                <w:iCs/>
              </w:rPr>
              <w:t>PDGFRA</w:t>
            </w:r>
            <w:r w:rsidRPr="000E57E3">
              <w:t xml:space="preserve">, </w:t>
            </w:r>
            <w:r w:rsidRPr="000E57E3">
              <w:rPr>
                <w:i/>
                <w:iCs/>
              </w:rPr>
              <w:t>PDGFRB</w:t>
            </w:r>
            <w:r w:rsidRPr="000E57E3">
              <w:t xml:space="preserve">, or </w:t>
            </w:r>
            <w:r w:rsidRPr="000E57E3">
              <w:rPr>
                <w:i/>
                <w:iCs/>
              </w:rPr>
              <w:t>FGFR1</w:t>
            </w:r>
            <w:r w:rsidRPr="000E57E3">
              <w:t xml:space="preserve">, or with </w:t>
            </w:r>
            <w:r w:rsidRPr="000E57E3">
              <w:rPr>
                <w:i/>
                <w:iCs/>
              </w:rPr>
              <w:t>PCM1-JAK2</w:t>
            </w:r>
          </w:p>
        </w:tc>
      </w:tr>
      <w:tr w:rsidR="008A6844" w:rsidRPr="008A6844" w14:paraId="1A169118" w14:textId="77777777" w:rsidTr="000E57E3">
        <w:tc>
          <w:tcPr>
            <w:tcW w:w="9493" w:type="dxa"/>
          </w:tcPr>
          <w:p w14:paraId="6A9260B9" w14:textId="2A53538A" w:rsidR="008A6844" w:rsidRPr="008A6844" w:rsidRDefault="008A6844" w:rsidP="000E57E3">
            <w:pPr>
              <w:pStyle w:val="TableText0"/>
            </w:pPr>
            <w:r w:rsidRPr="000E57E3">
              <w:t xml:space="preserve">Myeloid/lymphoid neoplasms with </w:t>
            </w:r>
            <w:r w:rsidRPr="000E57E3">
              <w:rPr>
                <w:i/>
                <w:iCs/>
              </w:rPr>
              <w:t>PDGFRA</w:t>
            </w:r>
            <w:r w:rsidRPr="000E57E3">
              <w:t xml:space="preserve"> rearrangement</w:t>
            </w:r>
          </w:p>
        </w:tc>
      </w:tr>
      <w:tr w:rsidR="008A6844" w:rsidRPr="008A6844" w14:paraId="32FAD793" w14:textId="77777777" w:rsidTr="000E57E3">
        <w:tc>
          <w:tcPr>
            <w:tcW w:w="9493" w:type="dxa"/>
          </w:tcPr>
          <w:p w14:paraId="5DDB547A" w14:textId="59B895B8" w:rsidR="008A6844" w:rsidRPr="008A6844" w:rsidRDefault="008A6844" w:rsidP="000E57E3">
            <w:pPr>
              <w:pStyle w:val="TableText0"/>
            </w:pPr>
            <w:r w:rsidRPr="000E57E3">
              <w:t xml:space="preserve">Myeloid/lymphoid neoplasms with </w:t>
            </w:r>
            <w:r w:rsidRPr="000E57E3">
              <w:rPr>
                <w:i/>
                <w:iCs/>
              </w:rPr>
              <w:t>PDGFRB</w:t>
            </w:r>
            <w:r w:rsidRPr="000E57E3">
              <w:t xml:space="preserve"> rearrangement</w:t>
            </w:r>
          </w:p>
        </w:tc>
      </w:tr>
      <w:tr w:rsidR="008A6844" w:rsidRPr="008A6844" w14:paraId="4154D08C" w14:textId="77777777" w:rsidTr="000E57E3">
        <w:tc>
          <w:tcPr>
            <w:tcW w:w="9493" w:type="dxa"/>
          </w:tcPr>
          <w:p w14:paraId="6005F4C9" w14:textId="1954A3B7" w:rsidR="008A6844" w:rsidRPr="008A6844" w:rsidRDefault="008A6844" w:rsidP="000E57E3">
            <w:pPr>
              <w:pStyle w:val="TableText0"/>
            </w:pPr>
            <w:r w:rsidRPr="000E57E3">
              <w:t xml:space="preserve">Myeloid/lymphoid neoplasms with </w:t>
            </w:r>
            <w:r w:rsidRPr="000E57E3">
              <w:rPr>
                <w:i/>
                <w:iCs/>
              </w:rPr>
              <w:t>FGFR1</w:t>
            </w:r>
            <w:r w:rsidRPr="000E57E3">
              <w:t xml:space="preserve"> rearrangement</w:t>
            </w:r>
          </w:p>
        </w:tc>
      </w:tr>
      <w:tr w:rsidR="008A6844" w:rsidRPr="008A6844" w14:paraId="1236D98D" w14:textId="77777777" w:rsidTr="000E57E3">
        <w:tc>
          <w:tcPr>
            <w:tcW w:w="9493" w:type="dxa"/>
          </w:tcPr>
          <w:p w14:paraId="357DBB24" w14:textId="5F195E39" w:rsidR="008A6844" w:rsidRPr="008A6844" w:rsidRDefault="008A6844" w:rsidP="000E57E3">
            <w:pPr>
              <w:pStyle w:val="TableText0"/>
            </w:pPr>
            <w:r w:rsidRPr="000E57E3">
              <w:rPr>
                <w:i/>
                <w:iCs/>
              </w:rPr>
              <w:t>Myeloid/lymphoid neoplasms with PCM1-JAK2</w:t>
            </w:r>
          </w:p>
        </w:tc>
      </w:tr>
      <w:tr w:rsidR="008A6844" w:rsidRPr="008A6844" w14:paraId="2FC17798" w14:textId="77777777" w:rsidTr="000E57E3">
        <w:tc>
          <w:tcPr>
            <w:tcW w:w="9493" w:type="dxa"/>
          </w:tcPr>
          <w:p w14:paraId="7A89C78B" w14:textId="6B409A21" w:rsidR="008A6844" w:rsidRPr="008A6844" w:rsidRDefault="008A6844" w:rsidP="000E57E3">
            <w:pPr>
              <w:pStyle w:val="TableText0"/>
            </w:pPr>
            <w:r w:rsidRPr="000E57E3">
              <w:t>Myelodysplastic/myeloproliferative neoplasms (MDS/MPN)</w:t>
            </w:r>
          </w:p>
        </w:tc>
      </w:tr>
      <w:tr w:rsidR="008A6844" w:rsidRPr="008A6844" w14:paraId="5D5D407B" w14:textId="77777777" w:rsidTr="000E57E3">
        <w:tc>
          <w:tcPr>
            <w:tcW w:w="9493" w:type="dxa"/>
          </w:tcPr>
          <w:p w14:paraId="63D0DE76" w14:textId="2865D3A2" w:rsidR="008A6844" w:rsidRPr="008A6844" w:rsidRDefault="008A6844" w:rsidP="000E57E3">
            <w:pPr>
              <w:pStyle w:val="TableText0"/>
            </w:pPr>
            <w:r w:rsidRPr="000E57E3">
              <w:t>Chronic myelomonocytic leukaemia (CMML)</w:t>
            </w:r>
          </w:p>
        </w:tc>
      </w:tr>
      <w:tr w:rsidR="008A6844" w:rsidRPr="008A6844" w14:paraId="05231AA0" w14:textId="77777777" w:rsidTr="000E57E3">
        <w:tc>
          <w:tcPr>
            <w:tcW w:w="9493" w:type="dxa"/>
          </w:tcPr>
          <w:p w14:paraId="34D4AA96" w14:textId="6574BA34" w:rsidR="008A6844" w:rsidRPr="008A6844" w:rsidRDefault="008A6844" w:rsidP="000E57E3">
            <w:pPr>
              <w:pStyle w:val="TableText0"/>
            </w:pPr>
            <w:r w:rsidRPr="000E57E3">
              <w:t>Atypical chronic myeloid leukaemia (</w:t>
            </w:r>
            <w:proofErr w:type="spellStart"/>
            <w:r w:rsidRPr="000E57E3">
              <w:t>aCML</w:t>
            </w:r>
            <w:proofErr w:type="spellEnd"/>
            <w:r w:rsidRPr="000E57E3">
              <w:t xml:space="preserve">), </w:t>
            </w:r>
            <w:r w:rsidRPr="000E57E3">
              <w:rPr>
                <w:i/>
                <w:iCs/>
              </w:rPr>
              <w:t>BCR-ABL1</w:t>
            </w:r>
            <w:r w:rsidRPr="000E57E3">
              <w:rPr>
                <w:vertAlign w:val="superscript"/>
              </w:rPr>
              <w:t>-</w:t>
            </w:r>
          </w:p>
        </w:tc>
      </w:tr>
      <w:tr w:rsidR="008A6844" w:rsidRPr="008A6844" w14:paraId="4202E753" w14:textId="77777777" w:rsidTr="000E57E3">
        <w:tc>
          <w:tcPr>
            <w:tcW w:w="9493" w:type="dxa"/>
          </w:tcPr>
          <w:p w14:paraId="08136A5B" w14:textId="4A183A40" w:rsidR="008A6844" w:rsidRPr="008A6844" w:rsidRDefault="008A6844" w:rsidP="000E57E3">
            <w:pPr>
              <w:pStyle w:val="TableText0"/>
            </w:pPr>
            <w:r w:rsidRPr="000E57E3">
              <w:t>Juvenile myelomonocytic leukemia (JMML)</w:t>
            </w:r>
          </w:p>
        </w:tc>
      </w:tr>
      <w:tr w:rsidR="008A6844" w:rsidRPr="008A6844" w14:paraId="058C4BA4" w14:textId="77777777" w:rsidTr="000E57E3">
        <w:tc>
          <w:tcPr>
            <w:tcW w:w="9493" w:type="dxa"/>
          </w:tcPr>
          <w:p w14:paraId="1FE566B6" w14:textId="1E7F8F88" w:rsidR="008A6844" w:rsidRPr="008A6844" w:rsidRDefault="008A6844" w:rsidP="000E57E3">
            <w:pPr>
              <w:pStyle w:val="TableText0"/>
            </w:pPr>
            <w:r w:rsidRPr="000E57E3">
              <w:t xml:space="preserve">MDS/MPN with ring </w:t>
            </w:r>
            <w:proofErr w:type="spellStart"/>
            <w:r w:rsidRPr="000E57E3">
              <w:t>sideroblasts</w:t>
            </w:r>
            <w:proofErr w:type="spellEnd"/>
            <w:r w:rsidRPr="000E57E3">
              <w:t xml:space="preserve"> and thrombocytosis (MDS/MPN-RS-T)</w:t>
            </w:r>
          </w:p>
        </w:tc>
      </w:tr>
      <w:tr w:rsidR="008A6844" w:rsidRPr="008A6844" w14:paraId="6205EBA3" w14:textId="77777777" w:rsidTr="000E57E3">
        <w:tc>
          <w:tcPr>
            <w:tcW w:w="9493" w:type="dxa"/>
          </w:tcPr>
          <w:p w14:paraId="69775EF9" w14:textId="1EB20590" w:rsidR="008A6844" w:rsidRPr="008A6844" w:rsidRDefault="008A6844" w:rsidP="000E57E3">
            <w:pPr>
              <w:pStyle w:val="TableText0"/>
            </w:pPr>
            <w:r w:rsidRPr="000E57E3">
              <w:t>MDS/MPN, unclassifiable</w:t>
            </w:r>
          </w:p>
        </w:tc>
      </w:tr>
      <w:tr w:rsidR="008A6844" w:rsidRPr="008A6844" w14:paraId="2E250C45" w14:textId="77777777" w:rsidTr="000E57E3">
        <w:tc>
          <w:tcPr>
            <w:tcW w:w="9493" w:type="dxa"/>
          </w:tcPr>
          <w:p w14:paraId="04E20947" w14:textId="2E8C1EC9" w:rsidR="008A6844" w:rsidRPr="008A6844" w:rsidRDefault="008A6844" w:rsidP="000E57E3">
            <w:pPr>
              <w:pStyle w:val="TableText0"/>
            </w:pPr>
            <w:r w:rsidRPr="000E57E3">
              <w:t>Myelodysplastic syndromes (MDS)</w:t>
            </w:r>
          </w:p>
        </w:tc>
      </w:tr>
      <w:tr w:rsidR="008A6844" w:rsidRPr="008A6844" w14:paraId="6CE22F9F" w14:textId="77777777" w:rsidTr="000E57E3">
        <w:tc>
          <w:tcPr>
            <w:tcW w:w="9493" w:type="dxa"/>
          </w:tcPr>
          <w:p w14:paraId="576E8B2B" w14:textId="5085C4B5" w:rsidR="008A6844" w:rsidRPr="008A6844" w:rsidRDefault="008A6844" w:rsidP="000E57E3">
            <w:pPr>
              <w:pStyle w:val="TableText0"/>
            </w:pPr>
            <w:r w:rsidRPr="000E57E3">
              <w:t>MDS with single lineage dysplasia</w:t>
            </w:r>
          </w:p>
        </w:tc>
      </w:tr>
      <w:tr w:rsidR="008A6844" w:rsidRPr="008A6844" w14:paraId="7A7EDFDA" w14:textId="77777777" w:rsidTr="000E57E3">
        <w:tc>
          <w:tcPr>
            <w:tcW w:w="9493" w:type="dxa"/>
          </w:tcPr>
          <w:p w14:paraId="45E65FF4" w14:textId="36D83CBB" w:rsidR="008A6844" w:rsidRPr="008A6844" w:rsidRDefault="008A6844" w:rsidP="000E57E3">
            <w:pPr>
              <w:pStyle w:val="TableText0"/>
            </w:pPr>
            <w:r w:rsidRPr="000E57E3">
              <w:t xml:space="preserve">MDS with ring </w:t>
            </w:r>
            <w:proofErr w:type="spellStart"/>
            <w:r w:rsidRPr="000E57E3">
              <w:t>sideroblasts</w:t>
            </w:r>
            <w:proofErr w:type="spellEnd"/>
            <w:r w:rsidRPr="000E57E3">
              <w:t xml:space="preserve"> (MDS-RS)</w:t>
            </w:r>
          </w:p>
        </w:tc>
      </w:tr>
      <w:tr w:rsidR="008A6844" w:rsidRPr="008A6844" w14:paraId="7C43E624" w14:textId="77777777" w:rsidTr="000E57E3">
        <w:tc>
          <w:tcPr>
            <w:tcW w:w="9493" w:type="dxa"/>
          </w:tcPr>
          <w:p w14:paraId="27E6A3F6" w14:textId="209E97C5" w:rsidR="008A6844" w:rsidRPr="008A6844" w:rsidRDefault="008A6844" w:rsidP="000E57E3">
            <w:pPr>
              <w:pStyle w:val="TableText0"/>
            </w:pPr>
            <w:r w:rsidRPr="000E57E3">
              <w:lastRenderedPageBreak/>
              <w:tab/>
              <w:t>MDS-RS and single lineage dysplasia</w:t>
            </w:r>
          </w:p>
        </w:tc>
      </w:tr>
      <w:tr w:rsidR="008A6844" w:rsidRPr="008A6844" w14:paraId="74A60825" w14:textId="77777777" w:rsidTr="000E57E3">
        <w:tc>
          <w:tcPr>
            <w:tcW w:w="9493" w:type="dxa"/>
          </w:tcPr>
          <w:p w14:paraId="13904661" w14:textId="7F311F21" w:rsidR="008A6844" w:rsidRPr="008A6844" w:rsidRDefault="008A6844" w:rsidP="000E57E3">
            <w:pPr>
              <w:pStyle w:val="TableText0"/>
            </w:pPr>
            <w:r w:rsidRPr="000E57E3">
              <w:tab/>
              <w:t>MDS-RS and multilineage dysplasia</w:t>
            </w:r>
          </w:p>
        </w:tc>
      </w:tr>
      <w:tr w:rsidR="008A6844" w:rsidRPr="008A6844" w14:paraId="54666BA6" w14:textId="77777777" w:rsidTr="000E57E3">
        <w:tc>
          <w:tcPr>
            <w:tcW w:w="9493" w:type="dxa"/>
          </w:tcPr>
          <w:p w14:paraId="19D5B58D" w14:textId="1A842888" w:rsidR="008A6844" w:rsidRPr="008A6844" w:rsidRDefault="008A6844" w:rsidP="000E57E3">
            <w:pPr>
              <w:pStyle w:val="TableText0"/>
            </w:pPr>
            <w:r w:rsidRPr="000E57E3">
              <w:t>MDS with multilineage dysplasia</w:t>
            </w:r>
          </w:p>
        </w:tc>
      </w:tr>
      <w:tr w:rsidR="008A6844" w:rsidRPr="008A6844" w14:paraId="4A5874C2" w14:textId="77777777" w:rsidTr="000E57E3">
        <w:tc>
          <w:tcPr>
            <w:tcW w:w="9493" w:type="dxa"/>
          </w:tcPr>
          <w:p w14:paraId="175E39CE" w14:textId="5B13A07A" w:rsidR="008A6844" w:rsidRPr="008A6844" w:rsidRDefault="008A6844" w:rsidP="000E57E3">
            <w:pPr>
              <w:pStyle w:val="TableText0"/>
            </w:pPr>
            <w:r w:rsidRPr="000E57E3">
              <w:t>MDS with excess blasts</w:t>
            </w:r>
          </w:p>
        </w:tc>
      </w:tr>
      <w:tr w:rsidR="008A6844" w:rsidRPr="008A6844" w14:paraId="692E1F38" w14:textId="77777777" w:rsidTr="000E57E3">
        <w:tc>
          <w:tcPr>
            <w:tcW w:w="9493" w:type="dxa"/>
          </w:tcPr>
          <w:p w14:paraId="6243D2C0" w14:textId="1B005591" w:rsidR="008A6844" w:rsidRPr="008A6844" w:rsidRDefault="008A6844" w:rsidP="000E57E3">
            <w:pPr>
              <w:pStyle w:val="TableText0"/>
            </w:pPr>
            <w:r w:rsidRPr="000E57E3">
              <w:t>MDS with isolated del(5q)</w:t>
            </w:r>
          </w:p>
        </w:tc>
      </w:tr>
      <w:tr w:rsidR="008A6844" w:rsidRPr="008A6844" w14:paraId="600C8C39" w14:textId="77777777" w:rsidTr="000E57E3">
        <w:tc>
          <w:tcPr>
            <w:tcW w:w="9493" w:type="dxa"/>
          </w:tcPr>
          <w:p w14:paraId="0F3A0B1E" w14:textId="76DF6F11" w:rsidR="008A6844" w:rsidRPr="008A6844" w:rsidRDefault="008A6844" w:rsidP="000E57E3">
            <w:pPr>
              <w:pStyle w:val="TableText0"/>
            </w:pPr>
            <w:r w:rsidRPr="000E57E3">
              <w:t>MDS, unclassifiable</w:t>
            </w:r>
          </w:p>
        </w:tc>
      </w:tr>
      <w:tr w:rsidR="008A6844" w:rsidRPr="008A6844" w14:paraId="40F7C0E4" w14:textId="77777777" w:rsidTr="000E57E3">
        <w:tc>
          <w:tcPr>
            <w:tcW w:w="9493" w:type="dxa"/>
          </w:tcPr>
          <w:p w14:paraId="7F9AD703" w14:textId="74B4E5BE" w:rsidR="008A6844" w:rsidRPr="008A6844" w:rsidRDefault="008A6844" w:rsidP="000E57E3">
            <w:pPr>
              <w:pStyle w:val="TableText0"/>
            </w:pPr>
            <w:r w:rsidRPr="000E57E3">
              <w:rPr>
                <w:i/>
                <w:iCs/>
              </w:rPr>
              <w:t>Refractory cytopenia of childhood</w:t>
            </w:r>
          </w:p>
        </w:tc>
      </w:tr>
      <w:tr w:rsidR="008A6844" w:rsidRPr="008A6844" w14:paraId="22F01096" w14:textId="77777777" w:rsidTr="000E57E3">
        <w:tc>
          <w:tcPr>
            <w:tcW w:w="9493" w:type="dxa"/>
          </w:tcPr>
          <w:p w14:paraId="575230E4" w14:textId="5ADEB2EB" w:rsidR="008A6844" w:rsidRPr="008A6844" w:rsidRDefault="008A6844" w:rsidP="000E57E3">
            <w:pPr>
              <w:pStyle w:val="TableText0"/>
            </w:pPr>
            <w:r w:rsidRPr="000E57E3">
              <w:t>Acute myeloid leukaemia (AML) and related neoplasms</w:t>
            </w:r>
          </w:p>
        </w:tc>
      </w:tr>
      <w:tr w:rsidR="008A6844" w:rsidRPr="008A6844" w14:paraId="4C1BCBEF" w14:textId="77777777" w:rsidTr="000E57E3">
        <w:tc>
          <w:tcPr>
            <w:tcW w:w="9493" w:type="dxa"/>
          </w:tcPr>
          <w:p w14:paraId="031B122D" w14:textId="2C82B5D1" w:rsidR="008A6844" w:rsidRPr="008A6844" w:rsidRDefault="008A6844" w:rsidP="000E57E3">
            <w:pPr>
              <w:pStyle w:val="TableText0"/>
            </w:pPr>
            <w:r w:rsidRPr="000E57E3">
              <w:t>AML with recurrent genetic abnormalities</w:t>
            </w:r>
          </w:p>
        </w:tc>
      </w:tr>
      <w:tr w:rsidR="008A6844" w:rsidRPr="008A6844" w14:paraId="72DDD81D" w14:textId="77777777" w:rsidTr="000E57E3">
        <w:tc>
          <w:tcPr>
            <w:tcW w:w="9493" w:type="dxa"/>
          </w:tcPr>
          <w:p w14:paraId="2E70E09F" w14:textId="2D85E19A" w:rsidR="008A6844" w:rsidRPr="008A6844" w:rsidRDefault="008A6844" w:rsidP="000E57E3">
            <w:pPr>
              <w:pStyle w:val="TableText0"/>
            </w:pPr>
            <w:r w:rsidRPr="000E57E3">
              <w:tab/>
              <w:t>AML with t(8;21)(q22;q22.1);</w:t>
            </w:r>
            <w:r w:rsidRPr="000E57E3">
              <w:rPr>
                <w:i/>
                <w:iCs/>
              </w:rPr>
              <w:t>RUNX1-RUNX1T1</w:t>
            </w:r>
          </w:p>
        </w:tc>
      </w:tr>
      <w:tr w:rsidR="008A6844" w:rsidRPr="008A6844" w14:paraId="22FC021E" w14:textId="77777777" w:rsidTr="000E57E3">
        <w:tc>
          <w:tcPr>
            <w:tcW w:w="9493" w:type="dxa"/>
          </w:tcPr>
          <w:p w14:paraId="533354FD" w14:textId="042CA026" w:rsidR="008A6844" w:rsidRPr="008A6844" w:rsidRDefault="008A6844" w:rsidP="000E57E3">
            <w:pPr>
              <w:pStyle w:val="TableText0"/>
            </w:pPr>
            <w:r w:rsidRPr="000E57E3">
              <w:tab/>
              <w:t>AML with inv(16)(p13.1q22) or t(16;16)(p13.1;q22);</w:t>
            </w:r>
            <w:r w:rsidRPr="000E57E3">
              <w:rPr>
                <w:i/>
                <w:iCs/>
              </w:rPr>
              <w:t>CBFB-MYH11</w:t>
            </w:r>
          </w:p>
        </w:tc>
      </w:tr>
      <w:tr w:rsidR="008A6844" w:rsidRPr="008A6844" w14:paraId="04512BB1" w14:textId="77777777" w:rsidTr="000E57E3">
        <w:tc>
          <w:tcPr>
            <w:tcW w:w="9493" w:type="dxa"/>
          </w:tcPr>
          <w:p w14:paraId="6D279C87" w14:textId="3F08850E" w:rsidR="008A6844" w:rsidRPr="008A6844" w:rsidRDefault="008A6844" w:rsidP="000E57E3">
            <w:pPr>
              <w:pStyle w:val="TableText0"/>
            </w:pPr>
            <w:r w:rsidRPr="000E57E3">
              <w:tab/>
              <w:t xml:space="preserve">AML with </w:t>
            </w:r>
            <w:r w:rsidRPr="000E57E3">
              <w:rPr>
                <w:i/>
                <w:iCs/>
              </w:rPr>
              <w:t>PML-RARA</w:t>
            </w:r>
          </w:p>
        </w:tc>
      </w:tr>
      <w:tr w:rsidR="008A6844" w:rsidRPr="008A6844" w14:paraId="327F2344" w14:textId="77777777" w:rsidTr="000E57E3">
        <w:tc>
          <w:tcPr>
            <w:tcW w:w="9493" w:type="dxa"/>
          </w:tcPr>
          <w:p w14:paraId="38674DB5" w14:textId="44E54D37" w:rsidR="008A6844" w:rsidRPr="008A6844" w:rsidRDefault="008A6844" w:rsidP="000E57E3">
            <w:pPr>
              <w:pStyle w:val="TableText0"/>
            </w:pPr>
            <w:r w:rsidRPr="000E57E3">
              <w:tab/>
              <w:t>AML with t(9;11)(p21.3;q23.3);</w:t>
            </w:r>
            <w:r w:rsidRPr="000E57E3">
              <w:rPr>
                <w:i/>
                <w:iCs/>
              </w:rPr>
              <w:t>MLLT3-KMT2A</w:t>
            </w:r>
          </w:p>
        </w:tc>
      </w:tr>
      <w:tr w:rsidR="008A6844" w:rsidRPr="008A6844" w14:paraId="7A9AC636" w14:textId="77777777" w:rsidTr="000E57E3">
        <w:tc>
          <w:tcPr>
            <w:tcW w:w="9493" w:type="dxa"/>
          </w:tcPr>
          <w:p w14:paraId="667CAF6F" w14:textId="2BD01CBC" w:rsidR="008A6844" w:rsidRPr="008A6844" w:rsidRDefault="008A6844" w:rsidP="000E57E3">
            <w:pPr>
              <w:pStyle w:val="TableText0"/>
            </w:pPr>
            <w:r w:rsidRPr="000E57E3">
              <w:tab/>
              <w:t>AML with t(6;9)(p23;q34.1);</w:t>
            </w:r>
            <w:r w:rsidRPr="000E57E3">
              <w:rPr>
                <w:i/>
                <w:iCs/>
              </w:rPr>
              <w:t>DEK-NUP214</w:t>
            </w:r>
          </w:p>
        </w:tc>
      </w:tr>
      <w:tr w:rsidR="008A6844" w:rsidRPr="008A6844" w14:paraId="5585B484" w14:textId="77777777" w:rsidTr="000E57E3">
        <w:tc>
          <w:tcPr>
            <w:tcW w:w="9493" w:type="dxa"/>
          </w:tcPr>
          <w:p w14:paraId="6DA534C5" w14:textId="69EB2565" w:rsidR="008A6844" w:rsidRPr="008A6844" w:rsidRDefault="008A6844" w:rsidP="000E57E3">
            <w:pPr>
              <w:pStyle w:val="TableText0"/>
            </w:pPr>
            <w:r w:rsidRPr="000E57E3">
              <w:tab/>
              <w:t xml:space="preserve">AML with inv(3)(q21.3q26.2) or t(3;3)(q21.3;q26.2); </w:t>
            </w:r>
            <w:r w:rsidRPr="000E57E3">
              <w:rPr>
                <w:i/>
                <w:iCs/>
              </w:rPr>
              <w:t>GATA2, MECOM</w:t>
            </w:r>
          </w:p>
        </w:tc>
      </w:tr>
      <w:tr w:rsidR="008A6844" w:rsidRPr="008A6844" w14:paraId="750F36D2" w14:textId="77777777" w:rsidTr="000E57E3">
        <w:tc>
          <w:tcPr>
            <w:tcW w:w="9493" w:type="dxa"/>
          </w:tcPr>
          <w:p w14:paraId="202D2214" w14:textId="7D06905E" w:rsidR="008A6844" w:rsidRPr="008A6844" w:rsidRDefault="008A6844" w:rsidP="000E57E3">
            <w:pPr>
              <w:pStyle w:val="TableText0"/>
            </w:pPr>
            <w:r w:rsidRPr="000E57E3">
              <w:tab/>
              <w:t>AML (</w:t>
            </w:r>
            <w:proofErr w:type="spellStart"/>
            <w:r w:rsidRPr="000E57E3">
              <w:t>megakaryoblastic</w:t>
            </w:r>
            <w:proofErr w:type="spellEnd"/>
            <w:r w:rsidRPr="000E57E3">
              <w:t>) with t(1;22)(p13.3;q13.3);</w:t>
            </w:r>
            <w:r w:rsidRPr="000E57E3">
              <w:rPr>
                <w:i/>
                <w:iCs/>
              </w:rPr>
              <w:t>RBM15-MKL1</w:t>
            </w:r>
          </w:p>
        </w:tc>
      </w:tr>
      <w:tr w:rsidR="008A6844" w:rsidRPr="008A6844" w14:paraId="01BB9364" w14:textId="77777777" w:rsidTr="000E57E3">
        <w:tc>
          <w:tcPr>
            <w:tcW w:w="9493" w:type="dxa"/>
          </w:tcPr>
          <w:p w14:paraId="3AEC0301" w14:textId="7FDD6FF0" w:rsidR="008A6844" w:rsidRPr="008A6844" w:rsidRDefault="008A6844" w:rsidP="000E57E3">
            <w:pPr>
              <w:pStyle w:val="TableText0"/>
            </w:pPr>
            <w:r w:rsidRPr="000E57E3">
              <w:tab/>
            </w:r>
            <w:r w:rsidRPr="000E57E3">
              <w:rPr>
                <w:i/>
                <w:iCs/>
              </w:rPr>
              <w:t>AML with BCR-ABL1</w:t>
            </w:r>
          </w:p>
        </w:tc>
      </w:tr>
      <w:tr w:rsidR="008A6844" w:rsidRPr="008A6844" w14:paraId="12B46906" w14:textId="77777777" w:rsidTr="000E57E3">
        <w:tc>
          <w:tcPr>
            <w:tcW w:w="9493" w:type="dxa"/>
          </w:tcPr>
          <w:p w14:paraId="178D2305" w14:textId="6D1C4BE3" w:rsidR="008A6844" w:rsidRPr="008A6844" w:rsidRDefault="008A6844" w:rsidP="000E57E3">
            <w:pPr>
              <w:pStyle w:val="TableText0"/>
            </w:pPr>
            <w:r w:rsidRPr="000E57E3">
              <w:tab/>
              <w:t>AML with mutated NPM1</w:t>
            </w:r>
          </w:p>
        </w:tc>
      </w:tr>
      <w:tr w:rsidR="008A6844" w:rsidRPr="008A6844" w14:paraId="2F78DC5B" w14:textId="77777777" w:rsidTr="000E57E3">
        <w:tc>
          <w:tcPr>
            <w:tcW w:w="9493" w:type="dxa"/>
          </w:tcPr>
          <w:p w14:paraId="3C2D0B7D" w14:textId="71982D7C" w:rsidR="008A6844" w:rsidRPr="008A6844" w:rsidRDefault="008A6844" w:rsidP="000E57E3">
            <w:pPr>
              <w:pStyle w:val="TableText0"/>
            </w:pPr>
            <w:r w:rsidRPr="000E57E3">
              <w:tab/>
              <w:t xml:space="preserve">AML with biallelic mutations of </w:t>
            </w:r>
            <w:r w:rsidRPr="000E57E3">
              <w:rPr>
                <w:i/>
                <w:iCs/>
              </w:rPr>
              <w:t>CEBPA</w:t>
            </w:r>
          </w:p>
        </w:tc>
      </w:tr>
      <w:tr w:rsidR="008A6844" w:rsidRPr="008A6844" w14:paraId="037EF426" w14:textId="77777777" w:rsidTr="000E57E3">
        <w:tc>
          <w:tcPr>
            <w:tcW w:w="9493" w:type="dxa"/>
          </w:tcPr>
          <w:p w14:paraId="5827CF94" w14:textId="7615EF25" w:rsidR="008A6844" w:rsidRPr="008A6844" w:rsidRDefault="008A6844" w:rsidP="000E57E3">
            <w:pPr>
              <w:pStyle w:val="TableText0"/>
            </w:pPr>
            <w:r w:rsidRPr="000E57E3">
              <w:tab/>
            </w:r>
            <w:r w:rsidRPr="000E57E3">
              <w:rPr>
                <w:i/>
                <w:iCs/>
              </w:rPr>
              <w:t>AML with mutated RUNX1</w:t>
            </w:r>
          </w:p>
        </w:tc>
      </w:tr>
      <w:tr w:rsidR="008A6844" w:rsidRPr="008A6844" w14:paraId="308A6159" w14:textId="77777777" w:rsidTr="000E57E3">
        <w:tc>
          <w:tcPr>
            <w:tcW w:w="9493" w:type="dxa"/>
          </w:tcPr>
          <w:p w14:paraId="3A742A82" w14:textId="42845D72" w:rsidR="008A6844" w:rsidRPr="008A6844" w:rsidRDefault="008A6844" w:rsidP="000E57E3">
            <w:pPr>
              <w:pStyle w:val="TableText0"/>
            </w:pPr>
            <w:r w:rsidRPr="000E57E3">
              <w:t>AML with myelodysplasia-related changes</w:t>
            </w:r>
          </w:p>
        </w:tc>
      </w:tr>
      <w:tr w:rsidR="008A6844" w:rsidRPr="008A6844" w14:paraId="78A16931" w14:textId="77777777" w:rsidTr="000E57E3">
        <w:tc>
          <w:tcPr>
            <w:tcW w:w="9493" w:type="dxa"/>
          </w:tcPr>
          <w:p w14:paraId="41FC2954" w14:textId="6B01B3C1" w:rsidR="008A6844" w:rsidRPr="008A6844" w:rsidRDefault="008A6844" w:rsidP="000E57E3">
            <w:pPr>
              <w:pStyle w:val="TableText0"/>
            </w:pPr>
            <w:r w:rsidRPr="000E57E3">
              <w:t>Therapy-related myeloid neoplasms</w:t>
            </w:r>
          </w:p>
        </w:tc>
      </w:tr>
      <w:tr w:rsidR="008A6844" w:rsidRPr="008A6844" w14:paraId="2EC1611D" w14:textId="77777777" w:rsidTr="000E57E3">
        <w:tc>
          <w:tcPr>
            <w:tcW w:w="9493" w:type="dxa"/>
          </w:tcPr>
          <w:p w14:paraId="4AC90F44" w14:textId="3B59EF0C" w:rsidR="008A6844" w:rsidRPr="008A6844" w:rsidRDefault="008A6844" w:rsidP="000E57E3">
            <w:pPr>
              <w:pStyle w:val="TableText0"/>
            </w:pPr>
            <w:r w:rsidRPr="000E57E3">
              <w:t>AML, NOS</w:t>
            </w:r>
          </w:p>
        </w:tc>
      </w:tr>
      <w:tr w:rsidR="008A6844" w:rsidRPr="008A6844" w14:paraId="5272DE82" w14:textId="77777777" w:rsidTr="000E57E3">
        <w:tc>
          <w:tcPr>
            <w:tcW w:w="9493" w:type="dxa"/>
          </w:tcPr>
          <w:p w14:paraId="34B8BF85" w14:textId="0434639F" w:rsidR="008A6844" w:rsidRPr="008A6844" w:rsidRDefault="008A6844" w:rsidP="000E57E3">
            <w:pPr>
              <w:pStyle w:val="TableText0"/>
            </w:pPr>
            <w:r w:rsidRPr="000E57E3">
              <w:tab/>
              <w:t>AML with minimal differentiation</w:t>
            </w:r>
          </w:p>
        </w:tc>
      </w:tr>
      <w:tr w:rsidR="008A6844" w:rsidRPr="008A6844" w14:paraId="7234424C" w14:textId="77777777" w:rsidTr="000E57E3">
        <w:tc>
          <w:tcPr>
            <w:tcW w:w="9493" w:type="dxa"/>
          </w:tcPr>
          <w:p w14:paraId="1D9FDC02" w14:textId="68DE9071" w:rsidR="008A6844" w:rsidRPr="008A6844" w:rsidRDefault="008A6844" w:rsidP="000E57E3">
            <w:pPr>
              <w:pStyle w:val="TableText0"/>
            </w:pPr>
            <w:r w:rsidRPr="000E57E3">
              <w:tab/>
              <w:t>AML without maturation</w:t>
            </w:r>
          </w:p>
        </w:tc>
      </w:tr>
      <w:tr w:rsidR="008A6844" w:rsidRPr="008A6844" w14:paraId="0D737DCC" w14:textId="77777777" w:rsidTr="000E57E3">
        <w:tc>
          <w:tcPr>
            <w:tcW w:w="9493" w:type="dxa"/>
          </w:tcPr>
          <w:p w14:paraId="4C524F4F" w14:textId="3D583C68" w:rsidR="008A6844" w:rsidRPr="008A6844" w:rsidRDefault="008A6844" w:rsidP="000E57E3">
            <w:pPr>
              <w:pStyle w:val="TableText0"/>
            </w:pPr>
            <w:r w:rsidRPr="000E57E3">
              <w:tab/>
              <w:t>AML with maturation</w:t>
            </w:r>
          </w:p>
        </w:tc>
      </w:tr>
      <w:tr w:rsidR="008A6844" w:rsidRPr="008A6844" w14:paraId="7AE1AFBD" w14:textId="77777777" w:rsidTr="000E57E3">
        <w:tc>
          <w:tcPr>
            <w:tcW w:w="9493" w:type="dxa"/>
          </w:tcPr>
          <w:p w14:paraId="3D91694C" w14:textId="7D123732" w:rsidR="008A6844" w:rsidRPr="008A6844" w:rsidRDefault="008A6844" w:rsidP="000E57E3">
            <w:pPr>
              <w:pStyle w:val="TableText0"/>
            </w:pPr>
            <w:r w:rsidRPr="000E57E3">
              <w:tab/>
              <w:t>Acute myelomonocytic leukaemia</w:t>
            </w:r>
          </w:p>
        </w:tc>
      </w:tr>
      <w:tr w:rsidR="008A6844" w:rsidRPr="008A6844" w14:paraId="474BEF3D" w14:textId="77777777" w:rsidTr="000E57E3">
        <w:tc>
          <w:tcPr>
            <w:tcW w:w="9493" w:type="dxa"/>
          </w:tcPr>
          <w:p w14:paraId="16AD304D" w14:textId="3EDC7C10" w:rsidR="008A6844" w:rsidRPr="008A6844" w:rsidRDefault="008A6844" w:rsidP="000E57E3">
            <w:pPr>
              <w:pStyle w:val="TableText0"/>
            </w:pPr>
            <w:r w:rsidRPr="000E57E3">
              <w:tab/>
              <w:t>Acute monoblastic/monocytic leukaemia</w:t>
            </w:r>
          </w:p>
        </w:tc>
      </w:tr>
      <w:tr w:rsidR="008A6844" w:rsidRPr="008A6844" w14:paraId="125F4CB3" w14:textId="77777777" w:rsidTr="000E57E3">
        <w:tc>
          <w:tcPr>
            <w:tcW w:w="9493" w:type="dxa"/>
          </w:tcPr>
          <w:p w14:paraId="0AC31425" w14:textId="2B90583E" w:rsidR="008A6844" w:rsidRPr="008A6844" w:rsidRDefault="008A6844" w:rsidP="000E57E3">
            <w:pPr>
              <w:pStyle w:val="TableText0"/>
            </w:pPr>
            <w:r w:rsidRPr="000E57E3">
              <w:tab/>
              <w:t>Pure erythroid leukaemia</w:t>
            </w:r>
          </w:p>
        </w:tc>
      </w:tr>
      <w:tr w:rsidR="008A6844" w:rsidRPr="008A6844" w14:paraId="52A1DCC9" w14:textId="77777777" w:rsidTr="000E57E3">
        <w:tc>
          <w:tcPr>
            <w:tcW w:w="9493" w:type="dxa"/>
          </w:tcPr>
          <w:p w14:paraId="0C1B55BA" w14:textId="5B96019D" w:rsidR="008A6844" w:rsidRPr="008A6844" w:rsidRDefault="008A6844" w:rsidP="000E57E3">
            <w:pPr>
              <w:pStyle w:val="TableText0"/>
            </w:pPr>
            <w:r w:rsidRPr="000E57E3">
              <w:tab/>
              <w:t xml:space="preserve">Acute </w:t>
            </w:r>
            <w:proofErr w:type="spellStart"/>
            <w:r w:rsidRPr="000E57E3">
              <w:t>megakaryoblastic</w:t>
            </w:r>
            <w:proofErr w:type="spellEnd"/>
            <w:r w:rsidRPr="000E57E3">
              <w:t xml:space="preserve"> leukaemia</w:t>
            </w:r>
          </w:p>
        </w:tc>
      </w:tr>
      <w:tr w:rsidR="008A6844" w:rsidRPr="008A6844" w14:paraId="5E63A5DE" w14:textId="77777777" w:rsidTr="000E57E3">
        <w:tc>
          <w:tcPr>
            <w:tcW w:w="9493" w:type="dxa"/>
          </w:tcPr>
          <w:p w14:paraId="186786F3" w14:textId="24C8BBA1" w:rsidR="008A6844" w:rsidRPr="008A6844" w:rsidRDefault="008A6844" w:rsidP="000E57E3">
            <w:pPr>
              <w:pStyle w:val="TableText0"/>
            </w:pPr>
            <w:r w:rsidRPr="000E57E3">
              <w:tab/>
              <w:t>Acute basophilic leukaemia</w:t>
            </w:r>
          </w:p>
        </w:tc>
      </w:tr>
      <w:tr w:rsidR="008A6844" w:rsidRPr="008A6844" w14:paraId="205886EC" w14:textId="77777777" w:rsidTr="000E57E3">
        <w:tc>
          <w:tcPr>
            <w:tcW w:w="9493" w:type="dxa"/>
          </w:tcPr>
          <w:p w14:paraId="57ECF821" w14:textId="43D2CFED" w:rsidR="008A6844" w:rsidRPr="008A6844" w:rsidRDefault="008A6844" w:rsidP="000E57E3">
            <w:pPr>
              <w:pStyle w:val="TableText0"/>
            </w:pPr>
            <w:r w:rsidRPr="000E57E3">
              <w:tab/>
              <w:t xml:space="preserve">Acute </w:t>
            </w:r>
            <w:proofErr w:type="spellStart"/>
            <w:r w:rsidRPr="000E57E3">
              <w:t>panmyelosis</w:t>
            </w:r>
            <w:proofErr w:type="spellEnd"/>
            <w:r w:rsidRPr="000E57E3">
              <w:t xml:space="preserve"> with myelofibrosis</w:t>
            </w:r>
          </w:p>
        </w:tc>
      </w:tr>
      <w:tr w:rsidR="008A6844" w:rsidRPr="008A6844" w14:paraId="5B6BAAAA" w14:textId="77777777" w:rsidTr="000E57E3">
        <w:tc>
          <w:tcPr>
            <w:tcW w:w="9493" w:type="dxa"/>
          </w:tcPr>
          <w:p w14:paraId="199E45AC" w14:textId="097F9908" w:rsidR="008A6844" w:rsidRPr="008A6844" w:rsidRDefault="008A6844" w:rsidP="000E57E3">
            <w:pPr>
              <w:pStyle w:val="TableText0"/>
            </w:pPr>
            <w:r w:rsidRPr="000E57E3">
              <w:t>Myeloid sarcoma</w:t>
            </w:r>
          </w:p>
        </w:tc>
      </w:tr>
      <w:tr w:rsidR="008A6844" w:rsidRPr="008A6844" w14:paraId="42C85C1E" w14:textId="77777777" w:rsidTr="000E57E3">
        <w:tc>
          <w:tcPr>
            <w:tcW w:w="9493" w:type="dxa"/>
          </w:tcPr>
          <w:p w14:paraId="2139BB51" w14:textId="7F1E8AE3" w:rsidR="008A6844" w:rsidRPr="008A6844" w:rsidRDefault="008A6844" w:rsidP="000E57E3">
            <w:pPr>
              <w:pStyle w:val="TableText0"/>
            </w:pPr>
            <w:r w:rsidRPr="000E57E3">
              <w:t>Myeloid proliferations related to Down syndrome</w:t>
            </w:r>
          </w:p>
        </w:tc>
      </w:tr>
      <w:tr w:rsidR="008A6844" w:rsidRPr="008A6844" w14:paraId="002D3615" w14:textId="77777777" w:rsidTr="000E57E3">
        <w:tc>
          <w:tcPr>
            <w:tcW w:w="9493" w:type="dxa"/>
          </w:tcPr>
          <w:p w14:paraId="5D05C478" w14:textId="51C33581" w:rsidR="008A6844" w:rsidRPr="008A6844" w:rsidRDefault="008A6844" w:rsidP="000E57E3">
            <w:pPr>
              <w:pStyle w:val="TableText0"/>
            </w:pPr>
            <w:r w:rsidRPr="000E57E3">
              <w:tab/>
              <w:t>Transient abnormal myelopoiesis (TAM)</w:t>
            </w:r>
          </w:p>
        </w:tc>
      </w:tr>
      <w:tr w:rsidR="008A6844" w:rsidRPr="008A6844" w14:paraId="16A5ACA9" w14:textId="77777777" w:rsidTr="000E57E3">
        <w:tc>
          <w:tcPr>
            <w:tcW w:w="9493" w:type="dxa"/>
          </w:tcPr>
          <w:p w14:paraId="11602B08" w14:textId="48E86643" w:rsidR="008A6844" w:rsidRPr="008A6844" w:rsidRDefault="008A6844" w:rsidP="000E57E3">
            <w:pPr>
              <w:pStyle w:val="TableText0"/>
            </w:pPr>
            <w:r w:rsidRPr="000E57E3">
              <w:tab/>
              <w:t>Myeloid leukemia associated with Down syndrome</w:t>
            </w:r>
          </w:p>
        </w:tc>
      </w:tr>
      <w:tr w:rsidR="008A6844" w:rsidRPr="008A6844" w14:paraId="09A4AEAB" w14:textId="77777777" w:rsidTr="000E57E3">
        <w:tc>
          <w:tcPr>
            <w:tcW w:w="9493" w:type="dxa"/>
          </w:tcPr>
          <w:p w14:paraId="3AC5F8AB" w14:textId="16A7EE5C" w:rsidR="008A6844" w:rsidRPr="008A6844" w:rsidRDefault="008A6844" w:rsidP="000E57E3">
            <w:pPr>
              <w:pStyle w:val="TableText0"/>
            </w:pPr>
            <w:proofErr w:type="spellStart"/>
            <w:r w:rsidRPr="000E57E3">
              <w:t>Blastic</w:t>
            </w:r>
            <w:proofErr w:type="spellEnd"/>
            <w:r w:rsidRPr="000E57E3">
              <w:t xml:space="preserve"> plasmacytoid dendritic cell neoplasm</w:t>
            </w:r>
          </w:p>
        </w:tc>
      </w:tr>
      <w:tr w:rsidR="008A6844" w:rsidRPr="008A6844" w14:paraId="23076E87" w14:textId="77777777" w:rsidTr="000E57E3">
        <w:tc>
          <w:tcPr>
            <w:tcW w:w="9493" w:type="dxa"/>
          </w:tcPr>
          <w:p w14:paraId="020B6EAB" w14:textId="437006FA" w:rsidR="008A6844" w:rsidRPr="008A6844" w:rsidRDefault="008A6844" w:rsidP="000E57E3">
            <w:pPr>
              <w:pStyle w:val="TableText0"/>
            </w:pPr>
            <w:r w:rsidRPr="000E57E3">
              <w:t>Acute leukaemias of ambiguous lineage</w:t>
            </w:r>
          </w:p>
        </w:tc>
      </w:tr>
      <w:tr w:rsidR="008A6844" w:rsidRPr="008A6844" w14:paraId="6DE015A7" w14:textId="77777777" w:rsidTr="000E57E3">
        <w:tc>
          <w:tcPr>
            <w:tcW w:w="9493" w:type="dxa"/>
          </w:tcPr>
          <w:p w14:paraId="42722835" w14:textId="3BC89091" w:rsidR="008A6844" w:rsidRPr="008A6844" w:rsidRDefault="008A6844" w:rsidP="000E57E3">
            <w:pPr>
              <w:pStyle w:val="TableText0"/>
            </w:pPr>
            <w:r w:rsidRPr="000E57E3">
              <w:t>Acute undifferentiated leukaemia</w:t>
            </w:r>
          </w:p>
        </w:tc>
      </w:tr>
      <w:tr w:rsidR="008A6844" w:rsidRPr="008A6844" w14:paraId="77CA9C01" w14:textId="77777777" w:rsidTr="000E57E3">
        <w:tc>
          <w:tcPr>
            <w:tcW w:w="9493" w:type="dxa"/>
          </w:tcPr>
          <w:p w14:paraId="55813781" w14:textId="185EEC29" w:rsidR="008A6844" w:rsidRPr="008A6844" w:rsidRDefault="008A6844" w:rsidP="000E57E3">
            <w:pPr>
              <w:pStyle w:val="TableText0"/>
            </w:pPr>
            <w:r w:rsidRPr="000E57E3">
              <w:t xml:space="preserve">Mixed phenotype acute leukaemia (MPAL) with t(9;22)(q34.1;q11.2); </w:t>
            </w:r>
            <w:r w:rsidRPr="000E57E3">
              <w:rPr>
                <w:i/>
                <w:iCs/>
              </w:rPr>
              <w:t>BCR-ABL1</w:t>
            </w:r>
          </w:p>
        </w:tc>
      </w:tr>
      <w:tr w:rsidR="008A6844" w:rsidRPr="008A6844" w14:paraId="67529314" w14:textId="77777777" w:rsidTr="000E57E3">
        <w:tc>
          <w:tcPr>
            <w:tcW w:w="9493" w:type="dxa"/>
          </w:tcPr>
          <w:p w14:paraId="4E6B082C" w14:textId="0C96A070" w:rsidR="008A6844" w:rsidRPr="008A6844" w:rsidRDefault="008A6844" w:rsidP="000E57E3">
            <w:pPr>
              <w:pStyle w:val="TableText0"/>
            </w:pPr>
            <w:r w:rsidRPr="000E57E3">
              <w:t xml:space="preserve">MPAL with t(v;11q23.3); </w:t>
            </w:r>
            <w:r w:rsidRPr="000E57E3">
              <w:rPr>
                <w:i/>
                <w:iCs/>
              </w:rPr>
              <w:t>KMT2A</w:t>
            </w:r>
            <w:r w:rsidRPr="000E57E3">
              <w:t xml:space="preserve"> rearranged</w:t>
            </w:r>
          </w:p>
        </w:tc>
      </w:tr>
      <w:tr w:rsidR="008A6844" w:rsidRPr="008A6844" w14:paraId="0DEC3768" w14:textId="77777777" w:rsidTr="000E57E3">
        <w:tc>
          <w:tcPr>
            <w:tcW w:w="9493" w:type="dxa"/>
          </w:tcPr>
          <w:p w14:paraId="6574C87C" w14:textId="09959D5E" w:rsidR="008A6844" w:rsidRPr="008A6844" w:rsidRDefault="008A6844" w:rsidP="000E57E3">
            <w:pPr>
              <w:pStyle w:val="TableText0"/>
            </w:pPr>
            <w:r w:rsidRPr="000E57E3">
              <w:t>MPAL, B/myeloid, NOS</w:t>
            </w:r>
          </w:p>
        </w:tc>
      </w:tr>
      <w:tr w:rsidR="008A6844" w:rsidRPr="008A6844" w14:paraId="02EC4DA9" w14:textId="77777777" w:rsidTr="000E57E3">
        <w:tc>
          <w:tcPr>
            <w:tcW w:w="9493" w:type="dxa"/>
          </w:tcPr>
          <w:p w14:paraId="387A91CF" w14:textId="4BC2C6DC" w:rsidR="008A6844" w:rsidRPr="008A6844" w:rsidRDefault="008A6844" w:rsidP="000E57E3">
            <w:pPr>
              <w:pStyle w:val="TableText0"/>
            </w:pPr>
            <w:r w:rsidRPr="000E57E3">
              <w:t>MPAL, T/myeloid, NOS</w:t>
            </w:r>
          </w:p>
        </w:tc>
      </w:tr>
      <w:tr w:rsidR="008A6844" w:rsidRPr="008A6844" w14:paraId="52186A9B" w14:textId="77777777" w:rsidTr="000E57E3">
        <w:tc>
          <w:tcPr>
            <w:tcW w:w="9493" w:type="dxa"/>
          </w:tcPr>
          <w:p w14:paraId="01B1A9B0" w14:textId="0A53CA1B" w:rsidR="008A6844" w:rsidRPr="008A6844" w:rsidRDefault="008A6844" w:rsidP="000E57E3">
            <w:pPr>
              <w:pStyle w:val="TableText0"/>
            </w:pPr>
            <w:r w:rsidRPr="000E57E3">
              <w:t>B-lymphoblastic leukaemia/lymphoma</w:t>
            </w:r>
          </w:p>
        </w:tc>
      </w:tr>
      <w:tr w:rsidR="008A6844" w:rsidRPr="00001532" w14:paraId="6405FC4D" w14:textId="77777777" w:rsidTr="000E57E3">
        <w:tc>
          <w:tcPr>
            <w:tcW w:w="9493" w:type="dxa"/>
          </w:tcPr>
          <w:p w14:paraId="5A468D79" w14:textId="4B7D1BAA" w:rsidR="008A6844" w:rsidRPr="00CB5711" w:rsidRDefault="008A6844" w:rsidP="000E57E3">
            <w:pPr>
              <w:pStyle w:val="TableText0"/>
              <w:rPr>
                <w:lang w:val="es-ES"/>
              </w:rPr>
            </w:pPr>
            <w:r w:rsidRPr="00CB5711">
              <w:rPr>
                <w:lang w:val="es-ES"/>
              </w:rPr>
              <w:t>B-</w:t>
            </w:r>
            <w:proofErr w:type="spellStart"/>
            <w:r w:rsidRPr="00CB5711">
              <w:rPr>
                <w:lang w:val="es-ES"/>
              </w:rPr>
              <w:t>lymphoblastic</w:t>
            </w:r>
            <w:proofErr w:type="spellEnd"/>
            <w:r w:rsidRPr="00CB5711">
              <w:rPr>
                <w:lang w:val="es-ES"/>
              </w:rPr>
              <w:t xml:space="preserve"> </w:t>
            </w:r>
            <w:proofErr w:type="spellStart"/>
            <w:r w:rsidRPr="00CB5711">
              <w:rPr>
                <w:lang w:val="es-ES"/>
              </w:rPr>
              <w:t>leukaemia</w:t>
            </w:r>
            <w:proofErr w:type="spellEnd"/>
            <w:r w:rsidRPr="00CB5711">
              <w:rPr>
                <w:lang w:val="es-ES"/>
              </w:rPr>
              <w:t>/</w:t>
            </w:r>
            <w:proofErr w:type="spellStart"/>
            <w:r w:rsidRPr="00CB5711">
              <w:rPr>
                <w:lang w:val="es-ES"/>
              </w:rPr>
              <w:t>lymphoma</w:t>
            </w:r>
            <w:proofErr w:type="spellEnd"/>
            <w:r w:rsidRPr="00CB5711">
              <w:rPr>
                <w:lang w:val="es-ES"/>
              </w:rPr>
              <w:t>, NOS</w:t>
            </w:r>
          </w:p>
        </w:tc>
      </w:tr>
      <w:tr w:rsidR="008A6844" w:rsidRPr="008A6844" w14:paraId="0D726275" w14:textId="77777777" w:rsidTr="000E57E3">
        <w:tc>
          <w:tcPr>
            <w:tcW w:w="9493" w:type="dxa"/>
          </w:tcPr>
          <w:p w14:paraId="3CFABBF1" w14:textId="199B28E5" w:rsidR="008A6844" w:rsidRPr="008A6844" w:rsidRDefault="008A6844" w:rsidP="000E57E3">
            <w:pPr>
              <w:pStyle w:val="TableText0"/>
            </w:pPr>
            <w:r w:rsidRPr="000E57E3">
              <w:t>B-lymphoblastic leukaemia/lymphoma with recurrent genetic abnormalities</w:t>
            </w:r>
          </w:p>
        </w:tc>
      </w:tr>
      <w:tr w:rsidR="008A6844" w:rsidRPr="008A6844" w14:paraId="10DF5272" w14:textId="77777777" w:rsidTr="000E57E3">
        <w:tc>
          <w:tcPr>
            <w:tcW w:w="9493" w:type="dxa"/>
          </w:tcPr>
          <w:p w14:paraId="4005D853" w14:textId="707C8E63" w:rsidR="008A6844" w:rsidRPr="008A6844" w:rsidRDefault="008A6844" w:rsidP="000E57E3">
            <w:pPr>
              <w:pStyle w:val="TableText0"/>
            </w:pPr>
            <w:r w:rsidRPr="000E57E3">
              <w:lastRenderedPageBreak/>
              <w:t>B-lymphoblastic leukaemia/lymphoma with t(9;22)(q34.1;q11.2);</w:t>
            </w:r>
            <w:r w:rsidRPr="000E57E3">
              <w:rPr>
                <w:i/>
                <w:iCs/>
              </w:rPr>
              <w:t>BCR-ABL1</w:t>
            </w:r>
          </w:p>
        </w:tc>
      </w:tr>
      <w:tr w:rsidR="008A6844" w:rsidRPr="008A6844" w14:paraId="2E60FD31" w14:textId="77777777" w:rsidTr="000E57E3">
        <w:tc>
          <w:tcPr>
            <w:tcW w:w="9493" w:type="dxa"/>
          </w:tcPr>
          <w:p w14:paraId="6E7E1F04" w14:textId="756F6AD1" w:rsidR="008A6844" w:rsidRPr="008A6844" w:rsidRDefault="008A6844" w:rsidP="000E57E3">
            <w:pPr>
              <w:pStyle w:val="TableText0"/>
            </w:pPr>
            <w:r w:rsidRPr="000E57E3">
              <w:t>B-lymphoblastic leukaemia/lymphoma with t(v;11q23.3);</w:t>
            </w:r>
            <w:r w:rsidRPr="000E57E3">
              <w:rPr>
                <w:i/>
                <w:iCs/>
              </w:rPr>
              <w:t>KMT2A</w:t>
            </w:r>
            <w:r w:rsidRPr="000E57E3">
              <w:t xml:space="preserve"> rearranged</w:t>
            </w:r>
          </w:p>
        </w:tc>
      </w:tr>
      <w:tr w:rsidR="008A6844" w:rsidRPr="008A6844" w14:paraId="3466C8A7" w14:textId="77777777" w:rsidTr="000E57E3">
        <w:tc>
          <w:tcPr>
            <w:tcW w:w="9493" w:type="dxa"/>
          </w:tcPr>
          <w:p w14:paraId="7093C359" w14:textId="4E61C1B2" w:rsidR="008A6844" w:rsidRPr="008A6844" w:rsidRDefault="008A6844" w:rsidP="000E57E3">
            <w:pPr>
              <w:pStyle w:val="TableText0"/>
            </w:pPr>
            <w:r w:rsidRPr="000E57E3">
              <w:t xml:space="preserve">B-lymphoblastic leukaemia/lymphoma with t(12;21)(p13.2;q22.1); </w:t>
            </w:r>
            <w:r w:rsidRPr="000E57E3">
              <w:rPr>
                <w:i/>
                <w:iCs/>
              </w:rPr>
              <w:t>ETV6-RUNX1</w:t>
            </w:r>
          </w:p>
        </w:tc>
      </w:tr>
      <w:tr w:rsidR="008A6844" w:rsidRPr="008A6844" w14:paraId="55A03358" w14:textId="77777777" w:rsidTr="000E57E3">
        <w:tc>
          <w:tcPr>
            <w:tcW w:w="9493" w:type="dxa"/>
          </w:tcPr>
          <w:p w14:paraId="520A8E31" w14:textId="1750A78D" w:rsidR="008A6844" w:rsidRPr="008A6844" w:rsidRDefault="008A6844" w:rsidP="000E57E3">
            <w:pPr>
              <w:pStyle w:val="TableText0"/>
            </w:pPr>
            <w:r w:rsidRPr="000E57E3">
              <w:t xml:space="preserve">B-lymphoblastic leukaemia/lymphoma with </w:t>
            </w:r>
            <w:proofErr w:type="spellStart"/>
            <w:r w:rsidRPr="000E57E3">
              <w:t>hyperdiploidy</w:t>
            </w:r>
            <w:proofErr w:type="spellEnd"/>
          </w:p>
        </w:tc>
      </w:tr>
      <w:tr w:rsidR="008A6844" w:rsidRPr="008A6844" w14:paraId="626B3892" w14:textId="77777777" w:rsidTr="000E57E3">
        <w:tc>
          <w:tcPr>
            <w:tcW w:w="9493" w:type="dxa"/>
          </w:tcPr>
          <w:p w14:paraId="18CC65A6" w14:textId="0C38968E" w:rsidR="008A6844" w:rsidRPr="008A6844" w:rsidRDefault="008A6844" w:rsidP="000E57E3">
            <w:pPr>
              <w:pStyle w:val="TableText0"/>
            </w:pPr>
            <w:r w:rsidRPr="000E57E3">
              <w:t>B-lymphoblastic leukaemia/lymphoma with hypodiploidy</w:t>
            </w:r>
          </w:p>
        </w:tc>
      </w:tr>
      <w:tr w:rsidR="008A6844" w:rsidRPr="008A6844" w14:paraId="57FCF03B" w14:textId="77777777" w:rsidTr="000E57E3">
        <w:tc>
          <w:tcPr>
            <w:tcW w:w="9493" w:type="dxa"/>
          </w:tcPr>
          <w:p w14:paraId="46B7F26E" w14:textId="71F48041" w:rsidR="008A6844" w:rsidRPr="008A6844" w:rsidRDefault="008A6844" w:rsidP="000E57E3">
            <w:pPr>
              <w:pStyle w:val="TableText0"/>
            </w:pPr>
            <w:r w:rsidRPr="000E57E3">
              <w:t xml:space="preserve">B-lymphoblastic leukaemia/lymphoma with t(5;14)(q31.1;q32.3) </w:t>
            </w:r>
            <w:r w:rsidRPr="000E57E3">
              <w:rPr>
                <w:i/>
                <w:iCs/>
              </w:rPr>
              <w:t>IL3-IGH</w:t>
            </w:r>
          </w:p>
        </w:tc>
      </w:tr>
      <w:tr w:rsidR="008A6844" w:rsidRPr="008A6844" w14:paraId="11739926" w14:textId="77777777" w:rsidTr="000E57E3">
        <w:tc>
          <w:tcPr>
            <w:tcW w:w="9493" w:type="dxa"/>
          </w:tcPr>
          <w:p w14:paraId="322965E7" w14:textId="4BE92012" w:rsidR="008A6844" w:rsidRPr="008A6844" w:rsidRDefault="008A6844" w:rsidP="000E57E3">
            <w:pPr>
              <w:pStyle w:val="TableText0"/>
            </w:pPr>
            <w:r w:rsidRPr="000E57E3">
              <w:t>B-lymphoblastic leukaemia/lymphoma with t(1;19)(q23;p13.3);</w:t>
            </w:r>
            <w:r w:rsidRPr="000E57E3">
              <w:rPr>
                <w:i/>
                <w:iCs/>
              </w:rPr>
              <w:t>TCF3-PBX1</w:t>
            </w:r>
          </w:p>
        </w:tc>
      </w:tr>
      <w:tr w:rsidR="008A6844" w:rsidRPr="008A6844" w14:paraId="624DC1DB" w14:textId="77777777" w:rsidTr="000E57E3">
        <w:tc>
          <w:tcPr>
            <w:tcW w:w="9493" w:type="dxa"/>
          </w:tcPr>
          <w:p w14:paraId="53FB2DF5" w14:textId="49802017" w:rsidR="008A6844" w:rsidRPr="008A6844" w:rsidRDefault="008A6844" w:rsidP="000E57E3">
            <w:pPr>
              <w:pStyle w:val="TableText0"/>
            </w:pPr>
            <w:r w:rsidRPr="000E57E3">
              <w:rPr>
                <w:i/>
                <w:iCs/>
              </w:rPr>
              <w:t>B-lymphoblastic leukaemia/lymphoma, BCR-ABL1–like</w:t>
            </w:r>
          </w:p>
        </w:tc>
      </w:tr>
      <w:tr w:rsidR="008A6844" w:rsidRPr="008A6844" w14:paraId="5A4AE3F2" w14:textId="77777777" w:rsidTr="000E57E3">
        <w:tc>
          <w:tcPr>
            <w:tcW w:w="9493" w:type="dxa"/>
          </w:tcPr>
          <w:p w14:paraId="4DD2348D" w14:textId="535BEC1E" w:rsidR="008A6844" w:rsidRPr="008A6844" w:rsidRDefault="008A6844" w:rsidP="000E57E3">
            <w:pPr>
              <w:pStyle w:val="TableText0"/>
            </w:pPr>
            <w:r w:rsidRPr="000E57E3">
              <w:rPr>
                <w:i/>
                <w:iCs/>
              </w:rPr>
              <w:t>B-lymphoblastic leukaemia/lymphoma with iAMP21</w:t>
            </w:r>
          </w:p>
        </w:tc>
      </w:tr>
      <w:tr w:rsidR="008A6844" w:rsidRPr="008A6844" w14:paraId="541F65DA" w14:textId="77777777" w:rsidTr="000E57E3">
        <w:tc>
          <w:tcPr>
            <w:tcW w:w="9493" w:type="dxa"/>
          </w:tcPr>
          <w:p w14:paraId="179F7FEB" w14:textId="087E2BF8" w:rsidR="008A6844" w:rsidRPr="008A6844" w:rsidRDefault="008A6844" w:rsidP="000E57E3">
            <w:pPr>
              <w:pStyle w:val="TableText0"/>
            </w:pPr>
            <w:r w:rsidRPr="000E57E3">
              <w:t>T-lymphoblastic leukaemia/lymphoma</w:t>
            </w:r>
          </w:p>
        </w:tc>
      </w:tr>
      <w:tr w:rsidR="008A6844" w:rsidRPr="008A6844" w14:paraId="5050972B" w14:textId="77777777" w:rsidTr="000E57E3">
        <w:tc>
          <w:tcPr>
            <w:tcW w:w="9493" w:type="dxa"/>
          </w:tcPr>
          <w:p w14:paraId="292EEE66" w14:textId="6B69803D" w:rsidR="008A6844" w:rsidRPr="008A6844" w:rsidRDefault="008A6844" w:rsidP="000E57E3">
            <w:pPr>
              <w:pStyle w:val="TableText0"/>
            </w:pPr>
            <w:r w:rsidRPr="000E57E3">
              <w:rPr>
                <w:i/>
                <w:iCs/>
              </w:rPr>
              <w:t>Early T-cell precursor lymphoblastic leukaemia</w:t>
            </w:r>
          </w:p>
        </w:tc>
      </w:tr>
      <w:tr w:rsidR="008A6844" w:rsidRPr="008A6844" w14:paraId="04E4DB7A" w14:textId="77777777" w:rsidTr="000E57E3">
        <w:tc>
          <w:tcPr>
            <w:tcW w:w="9493" w:type="dxa"/>
          </w:tcPr>
          <w:p w14:paraId="2C113CC0" w14:textId="49699860" w:rsidR="008A6844" w:rsidRPr="008A6844" w:rsidRDefault="008A6844" w:rsidP="000E57E3">
            <w:pPr>
              <w:pStyle w:val="TableText0"/>
            </w:pPr>
            <w:r w:rsidRPr="000E57E3">
              <w:rPr>
                <w:i/>
                <w:iCs/>
              </w:rPr>
              <w:t>Natural killer (NK) cell lymphoblastic leukaemia/lymphoma</w:t>
            </w:r>
          </w:p>
        </w:tc>
      </w:tr>
    </w:tbl>
    <w:p w14:paraId="3E21ACAD" w14:textId="28EFFB03" w:rsidR="008A6844" w:rsidRDefault="008A6844" w:rsidP="000E57E3">
      <w:pPr>
        <w:pStyle w:val="Tablenotes"/>
        <w:rPr>
          <w:sz w:val="20"/>
        </w:rPr>
      </w:pPr>
      <w:r w:rsidRPr="000E57E3">
        <w:t>Provisional entities are listed in italics, NOS = not otherwise specified</w:t>
      </w:r>
      <w:r>
        <w:rPr>
          <w:sz w:val="20"/>
        </w:rPr>
        <w:br w:type="page"/>
      </w:r>
    </w:p>
    <w:p w14:paraId="2CEA3ECB" w14:textId="580156BF" w:rsidR="008A6844" w:rsidRPr="00D37A3F" w:rsidRDefault="008A6844" w:rsidP="008A6844">
      <w:pPr>
        <w:pStyle w:val="Heading2"/>
      </w:pPr>
      <w:r>
        <w:lastRenderedPageBreak/>
        <w:t>Appendix B</w:t>
      </w:r>
    </w:p>
    <w:p w14:paraId="00FD8F68" w14:textId="77777777" w:rsidR="008A6844" w:rsidRDefault="008A6844" w:rsidP="000E57E3">
      <w:pPr>
        <w:keepNext/>
      </w:pPr>
      <w:r>
        <w:rPr>
          <w:noProof/>
          <w:lang w:eastAsia="en-AU"/>
        </w:rPr>
        <w:drawing>
          <wp:inline distT="0" distB="0" distL="0" distR="0" wp14:anchorId="1C8CD5D8" wp14:editId="5D7D025D">
            <wp:extent cx="6083935" cy="4187190"/>
            <wp:effectExtent l="0" t="0" r="0" b="381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6083935" cy="4187190"/>
                    </a:xfrm>
                    <a:prstGeom prst="rect">
                      <a:avLst/>
                    </a:prstGeom>
                  </pic:spPr>
                </pic:pic>
              </a:graphicData>
            </a:graphic>
          </wp:inline>
        </w:drawing>
      </w:r>
    </w:p>
    <w:p w14:paraId="75E42FF9" w14:textId="3E0A8BDC" w:rsidR="008A6844" w:rsidRDefault="008A6844" w:rsidP="000E57E3">
      <w:pPr>
        <w:pStyle w:val="Caption"/>
        <w:rPr>
          <w:rFonts w:ascii="Franklin Gothic Medium" w:eastAsiaTheme="majorEastAsia" w:hAnsi="Franklin Gothic Medium" w:cstheme="majorBidi"/>
          <w:color w:val="000000" w:themeColor="text1"/>
        </w:rPr>
      </w:pPr>
      <w:bookmarkStart w:id="23" w:name="_Ref85200329"/>
      <w:r>
        <w:t xml:space="preserve">Figure </w:t>
      </w:r>
      <w:r>
        <w:fldChar w:fldCharType="begin"/>
      </w:r>
      <w:r>
        <w:instrText xml:space="preserve"> SEQ Figure \* ARABIC </w:instrText>
      </w:r>
      <w:r>
        <w:fldChar w:fldCharType="separate"/>
      </w:r>
      <w:r>
        <w:rPr>
          <w:noProof/>
        </w:rPr>
        <w:t>7</w:t>
      </w:r>
      <w:r>
        <w:fldChar w:fldCharType="end"/>
      </w:r>
      <w:bookmarkEnd w:id="23"/>
      <w:r w:rsidR="000E57E3">
        <w:tab/>
      </w:r>
      <w:r>
        <w:t xml:space="preserve">Haematopoiesis </w:t>
      </w:r>
      <w:r w:rsidR="00EB008C">
        <w:fldChar w:fldCharType="begin"/>
      </w:r>
      <w:r w:rsidR="00EB008C">
        <w:instrText xml:space="preserve"> ADDIN EN.CITE &lt;EndNote&gt;&lt;Cite&gt;&lt;Author&gt;Northrup&lt;/Author&gt;&lt;Year&gt;2020&lt;/Year&gt;&lt;RecNum&gt;64&lt;/RecNum&gt;&lt;DisplayText&gt;(Northrup, Maybank, Carson, &amp;amp; Rahmeh, 2020)&lt;/DisplayText&gt;&lt;record&gt;&lt;rec-number&gt;64&lt;/rec-number&gt;&lt;foreign-keys&gt;&lt;key app="EN" db-id="rpxx2texi59tzqewr09xxp96wtzx9a9wr0rv" timestamp="1636520386"&gt;64&lt;/key&gt;&lt;/foreign-keys&gt;&lt;ref-type name="Journal Article"&gt;17&lt;/ref-type&gt;&lt;contributors&gt;&lt;authors&gt;&lt;author&gt;Northrup, V.&lt;/author&gt;&lt;author&gt;Maybank, A.&lt;/author&gt;&lt;author&gt;Carson, N.&lt;/author&gt;&lt;author&gt;Rahmeh, T.&lt;/author&gt;&lt;/authors&gt;&lt;/contributors&gt;&lt;auth-address&gt;Dalhousie Medicine New Brunswick, Saint John, Canada.&amp;#xD;Departments of Laboratory Medicine, Saint John Regional Hospital, Saint John, Canada.&amp;#xD;Research Services, Saint John Regional Hospital, Saint John, Canada.&lt;/auth-address&gt;&lt;titles&gt;&lt;title&gt;The Value of Next-Generation Sequencing in the Screening and Evaluation of Hematologic Neoplasms in Clinical Practice&lt;/title&gt;&lt;secondary-title&gt;Am J Clin Pathol&lt;/secondary-title&gt;&lt;/titles&gt;&lt;periodical&gt;&lt;full-title&gt;Am J Clin Pathol&lt;/full-title&gt;&lt;/periodical&gt;&lt;pages&gt;639-645&lt;/pages&gt;&lt;volume&gt;153&lt;/volume&gt;&lt;number&gt;5&lt;/number&gt;&lt;edition&gt;2019/12/27&lt;/edition&gt;&lt;keywords&gt;&lt;keyword&gt;Hematologic Neoplasms/*diagnosis/genetics/pathology&lt;/keyword&gt;&lt;keyword&gt;High-Throughput Nucleotide Sequencing&lt;/keyword&gt;&lt;keyword&gt;Humans&lt;/keyword&gt;&lt;keyword&gt;Myeloproliferative Disorders/*diagnosis/genetics/pathology&lt;/keyword&gt;&lt;keyword&gt;Retrospective Studies&lt;/keyword&gt;&lt;keyword&gt;* Hematology&lt;/keyword&gt;&lt;keyword&gt;*Acute myeloid leukemia&lt;/keyword&gt;&lt;keyword&gt;*Molecular diagnostics&lt;/keyword&gt;&lt;keyword&gt;*Myeloid neoplasm&lt;/keyword&gt;&lt;keyword&gt;*Next-generation sequencing&lt;/keyword&gt;&lt;/keywords&gt;&lt;dates&gt;&lt;year&gt;2020&lt;/year&gt;&lt;pub-dates&gt;&lt;date&gt;Apr 15&lt;/date&gt;&lt;/pub-dates&gt;&lt;/dates&gt;&lt;isbn&gt;0002-9173&lt;/isbn&gt;&lt;accession-num&gt;31875888&lt;/accession-num&gt;&lt;urls&gt;&lt;/urls&gt;&lt;electronic-resource-num&gt;10.1093/ajcp/aqz203&lt;/electronic-resource-num&gt;&lt;remote-database-provider&gt;NLM&lt;/remote-database-provider&gt;&lt;language&gt;eng&lt;/language&gt;&lt;/record&gt;&lt;/Cite&gt;&lt;/EndNote&gt;</w:instrText>
      </w:r>
      <w:r w:rsidR="00EB008C">
        <w:fldChar w:fldCharType="separate"/>
      </w:r>
      <w:r w:rsidR="00EB008C">
        <w:rPr>
          <w:noProof/>
        </w:rPr>
        <w:t>(Northrup, Maybank, Carson, &amp; Rahmeh, 2020)</w:t>
      </w:r>
      <w:r w:rsidR="00EB008C">
        <w:fldChar w:fldCharType="end"/>
      </w:r>
      <w:r>
        <w:br w:type="page"/>
      </w:r>
    </w:p>
    <w:p w14:paraId="57DD0A81" w14:textId="49D00CA5" w:rsidR="008A6844" w:rsidRDefault="008A6844" w:rsidP="008A6844">
      <w:pPr>
        <w:pStyle w:val="Heading2"/>
      </w:pPr>
      <w:bookmarkStart w:id="24" w:name="_Ref87363625"/>
      <w:r>
        <w:lastRenderedPageBreak/>
        <w:t>Appendix C</w:t>
      </w:r>
      <w:bookmarkEnd w:id="24"/>
    </w:p>
    <w:p w14:paraId="0FE95A06" w14:textId="07AACE8A" w:rsidR="008A6844" w:rsidRPr="00C722D1" w:rsidRDefault="008A6844" w:rsidP="008A6844">
      <w:pPr>
        <w:rPr>
          <w:szCs w:val="20"/>
        </w:rPr>
      </w:pPr>
      <w:r w:rsidRPr="00C722D1">
        <w:rPr>
          <w:szCs w:val="20"/>
        </w:rPr>
        <w:t xml:space="preserve">Exemplar and facilitated genes are </w:t>
      </w:r>
      <w:r>
        <w:rPr>
          <w:szCs w:val="20"/>
        </w:rPr>
        <w:t xml:space="preserve">presented as a </w:t>
      </w:r>
      <w:r w:rsidRPr="00C722D1">
        <w:rPr>
          <w:szCs w:val="20"/>
        </w:rPr>
        <w:t>list and tabulated</w:t>
      </w:r>
      <w:r w:rsidR="00CA44B7">
        <w:rPr>
          <w:szCs w:val="20"/>
        </w:rPr>
        <w:t xml:space="preserve"> (</w:t>
      </w:r>
      <w:r w:rsidR="00CA44B7">
        <w:rPr>
          <w:szCs w:val="20"/>
        </w:rPr>
        <w:fldChar w:fldCharType="begin"/>
      </w:r>
      <w:r w:rsidR="00CA44B7">
        <w:rPr>
          <w:szCs w:val="20"/>
        </w:rPr>
        <w:instrText xml:space="preserve"> REF _Ref86326834 \h </w:instrText>
      </w:r>
      <w:r w:rsidR="00CA44B7">
        <w:rPr>
          <w:szCs w:val="20"/>
        </w:rPr>
      </w:r>
      <w:r w:rsidR="00CA44B7">
        <w:rPr>
          <w:szCs w:val="20"/>
        </w:rPr>
        <w:fldChar w:fldCharType="separate"/>
      </w:r>
      <w:r w:rsidR="00CA44B7">
        <w:t xml:space="preserve">Table </w:t>
      </w:r>
      <w:r w:rsidR="00CA44B7">
        <w:rPr>
          <w:noProof/>
        </w:rPr>
        <w:t>11</w:t>
      </w:r>
      <w:r w:rsidR="00CA44B7">
        <w:rPr>
          <w:szCs w:val="20"/>
        </w:rPr>
        <w:fldChar w:fldCharType="end"/>
      </w:r>
      <w:r w:rsidR="00CA44B7">
        <w:rPr>
          <w:szCs w:val="20"/>
        </w:rPr>
        <w:t>)</w:t>
      </w:r>
      <w:r>
        <w:rPr>
          <w:szCs w:val="20"/>
        </w:rPr>
        <w:t>,</w:t>
      </w:r>
      <w:r w:rsidRPr="00C722D1">
        <w:rPr>
          <w:szCs w:val="20"/>
        </w:rPr>
        <w:t xml:space="preserve"> indicating the source where genes are currently recommended for use (clinical advice, Peter MacCallum Cancer Centre)</w:t>
      </w:r>
      <w:r>
        <w:rPr>
          <w:szCs w:val="20"/>
        </w:rPr>
        <w:t>.</w:t>
      </w:r>
    </w:p>
    <w:p w14:paraId="062F650F" w14:textId="7BE2390C" w:rsidR="008A6844" w:rsidRDefault="008A6844" w:rsidP="008A6844">
      <w:r w:rsidRPr="006752C4">
        <w:rPr>
          <w:rStyle w:val="Strong"/>
        </w:rPr>
        <w:t>Exemplar genes (n=105)</w:t>
      </w:r>
      <w:r>
        <w:t xml:space="preserve"> – </w:t>
      </w:r>
      <w:r w:rsidRPr="00124947">
        <w:rPr>
          <w:i/>
        </w:rPr>
        <w:t>ALK, ANKRD26, ASXL1, BCR-ABL1, BCR-JAK2, BIRC3-MALT1 (t(11;18)), BRAF, BRCA2, BRIP1, CALR, CBFB-MYH11, CBL, CD274, CEBPA, CSF3R, CTC1, DDX41, DEK-NUP214, DKC1, DNMT3A, ELANE, ETNK1, ETV6, ETV6-JAK2, ETV6-RUNX1, EZH2, FANCA, FANCB, FANCC, FANCD2, FANCE, FANCF, FANCG, FANCI, FANCL, FANCM, FGFR1, FLT3, G6PC3, GATA1, GATA2, GATA2-MECOM, GFI1, HAVCR2, HAX1, IDH1, IDH2, IGH-BCL10 (t(1;14)), IGH-BCL2 (t(14;18)), IGH-BCL6 (t(3;14)), IGH-CCND1 (t(11;14)), IGH-MYC (t(8;14)), IKZF1, JAK1, JAK2, JAK3, KIT, KMT2A, KMT2A-MLLT3, KRAS, MPL, MYD88, NF1, NHP2, NOP10, NOTCH1, NPM1, NRAS, PALB2, PCM1-JAK2, PDCD1LG2, PDGFRA, PDGFRA, PDGFRB, PML-RARA, PTPN11, RAD51C, RBM15-MKL1, RPL11, RPL35A, RPL5, RPS10, RPS17, RPS19, RPS24, RPS26, RPS7, RTEL1, RUNX1, RUNX1-RUNX1T1, SBDS, SETBP1, SF3B1, SLX4, SRSF2, STAT3, STAT5B, STAT6, TCF3-PBX1, TERC, TERT, TET2, TINF2, WAS, WRAP53</w:t>
      </w:r>
    </w:p>
    <w:p w14:paraId="4D82043C" w14:textId="70956D9B" w:rsidR="008A6844" w:rsidRDefault="008A6844" w:rsidP="008A6844">
      <w:pPr>
        <w:spacing w:after="360"/>
        <w:rPr>
          <w:i/>
        </w:rPr>
      </w:pPr>
      <w:r w:rsidRPr="006752C4">
        <w:rPr>
          <w:rStyle w:val="Strong"/>
        </w:rPr>
        <w:t>Facilitated genes (n=130)</w:t>
      </w:r>
      <w:r>
        <w:t xml:space="preserve"> – </w:t>
      </w:r>
      <w:r w:rsidRPr="0027666B">
        <w:rPr>
          <w:i/>
        </w:rPr>
        <w:t>ABL1, ACD, ADA2, ARAF, ARID1A, ATM, ATR, ATRX, B2M, BCL2, BCL6, BCOR, BCORL1, BIRC3, BTK, CARD11, CBLB, CBLC, CCND1, CCND2, CCND3, CD58, CD79A, CD79B, CDC25C, CDKN2A, CDKN2B, CHD2, CIITA, CRBN, CREBBP, CUX1, CXCR4, DCK, DDX3X, DHX15, DIS3, DNAJC21, EFL1 , EGFR, EGR2, EP300, ERBB2, ERCC6L2, ETV6, FAM46C, FBXW7, FGFR2, FGFR3, FOXO1, FUS, FYN, GNA13, GNAS, HIST1H1E, HMGA2, HRAS, ID3, IRF4, IRF8, JAGN1, KDM6A, KLF2, KMT2D, LUC7L2, MAL, MAP2K1, MECOM, MEF2B, MET, MLL, MLLT10, MLLT3, MTOR, MYBL1, MYC, MYH11, NFKBIE, NOTCH2, NTRK3, NUP214, PARN, PAX5, PHF6, PIGA, PIM1, PLCG1, PLCG2, POT1, PPM1D, PRDM1, PRPF8, PTEN, RAD21, RARA, RB1, RBBP6, RBM15, REL, RHOA, RPL15, RPL26, RPS14, RPS15, RPS29, RRAGC, SAMD9, SAMD9L, SH2B3, SLC29A1, SMARCD2, SMC1A, SMC3, SOCS1, SRP54, SRP72, STAG2, TCF3, TFE3, TNFAIP3, TNFRSF14, TP53, TRAF2, TRAF3, U2AF1, U2AF2, VPS45, WT1, XPO1, ZRSR2</w:t>
      </w:r>
    </w:p>
    <w:p w14:paraId="14A70B52" w14:textId="48B69B9C" w:rsidR="00CA44B7" w:rsidRDefault="00CA44B7" w:rsidP="00CA44B7">
      <w:pPr>
        <w:pStyle w:val="Caption"/>
      </w:pPr>
      <w:bookmarkStart w:id="25" w:name="_Ref86326834"/>
      <w:r>
        <w:t xml:space="preserve">Table </w:t>
      </w:r>
      <w:r>
        <w:fldChar w:fldCharType="begin"/>
      </w:r>
      <w:r>
        <w:instrText xml:space="preserve"> SEQ Table \* ARABIC </w:instrText>
      </w:r>
      <w:r>
        <w:fldChar w:fldCharType="separate"/>
      </w:r>
      <w:r>
        <w:rPr>
          <w:noProof/>
        </w:rPr>
        <w:t>11</w:t>
      </w:r>
      <w:r>
        <w:fldChar w:fldCharType="end"/>
      </w:r>
      <w:bookmarkEnd w:id="25"/>
      <w:r>
        <w:tab/>
        <w:t>Exemplar and facilitated genes associated with haematological malignancies</w:t>
      </w:r>
    </w:p>
    <w:tbl>
      <w:tblPr>
        <w:tblStyle w:val="TableGrid"/>
        <w:tblW w:w="0" w:type="auto"/>
        <w:tblInd w:w="0" w:type="dxa"/>
        <w:tblLook w:val="04A0" w:firstRow="1" w:lastRow="0" w:firstColumn="1" w:lastColumn="0" w:noHBand="0" w:noVBand="1"/>
      </w:tblPr>
      <w:tblGrid>
        <w:gridCol w:w="2003"/>
        <w:gridCol w:w="538"/>
        <w:gridCol w:w="538"/>
        <w:gridCol w:w="538"/>
        <w:gridCol w:w="538"/>
        <w:gridCol w:w="538"/>
        <w:gridCol w:w="538"/>
        <w:gridCol w:w="538"/>
        <w:gridCol w:w="538"/>
        <w:gridCol w:w="538"/>
        <w:gridCol w:w="538"/>
        <w:gridCol w:w="538"/>
        <w:gridCol w:w="964"/>
      </w:tblGrid>
      <w:tr w:rsidR="00776CCE" w:rsidRPr="008A6844" w14:paraId="24D2CE72" w14:textId="77777777" w:rsidTr="00CA44B7">
        <w:trPr>
          <w:trHeight w:val="1723"/>
          <w:tblHeader/>
        </w:trPr>
        <w:tc>
          <w:tcPr>
            <w:tcW w:w="0" w:type="auto"/>
            <w:vAlign w:val="bottom"/>
          </w:tcPr>
          <w:p w14:paraId="67A33F8A" w14:textId="30919288" w:rsidR="008A6844" w:rsidRPr="000E57E3" w:rsidRDefault="00CA44B7" w:rsidP="000E57E3">
            <w:pPr>
              <w:pStyle w:val="TableHeading"/>
            </w:pPr>
            <w:r>
              <w:t>Gene</w:t>
            </w:r>
          </w:p>
        </w:tc>
        <w:tc>
          <w:tcPr>
            <w:tcW w:w="0" w:type="auto"/>
            <w:textDirection w:val="btLr"/>
            <w:vAlign w:val="bottom"/>
          </w:tcPr>
          <w:p w14:paraId="7CC9795B" w14:textId="6AEC5013" w:rsidR="008A6844" w:rsidRPr="000E57E3" w:rsidRDefault="008A6844" w:rsidP="000E57E3">
            <w:pPr>
              <w:pStyle w:val="TableHeading"/>
            </w:pPr>
            <w:r w:rsidRPr="000E57E3">
              <w:t xml:space="preserve">WHO*- </w:t>
            </w:r>
          </w:p>
        </w:tc>
        <w:tc>
          <w:tcPr>
            <w:tcW w:w="0" w:type="auto"/>
            <w:textDirection w:val="btLr"/>
            <w:vAlign w:val="bottom"/>
          </w:tcPr>
          <w:p w14:paraId="58418B4C" w14:textId="06C8E8E2" w:rsidR="008A6844" w:rsidRPr="000E57E3" w:rsidRDefault="008A6844" w:rsidP="000E57E3">
            <w:pPr>
              <w:pStyle w:val="TableHeading"/>
            </w:pPr>
            <w:r w:rsidRPr="000E57E3">
              <w:t>WHO**</w:t>
            </w:r>
          </w:p>
        </w:tc>
        <w:tc>
          <w:tcPr>
            <w:tcW w:w="0" w:type="auto"/>
            <w:textDirection w:val="btLr"/>
            <w:vAlign w:val="bottom"/>
          </w:tcPr>
          <w:p w14:paraId="6589CA88" w14:textId="649AE2DE" w:rsidR="008A6844" w:rsidRPr="000E57E3" w:rsidRDefault="008A6844" w:rsidP="000E57E3">
            <w:pPr>
              <w:pStyle w:val="TableHeading"/>
            </w:pPr>
            <w:r w:rsidRPr="000E57E3">
              <w:t xml:space="preserve">ARCHER </w:t>
            </w:r>
            <w:r w:rsidRPr="000E57E3">
              <w:rPr>
                <w:rFonts w:cs="Calibri"/>
              </w:rPr>
              <w:t>†</w:t>
            </w:r>
          </w:p>
        </w:tc>
        <w:tc>
          <w:tcPr>
            <w:tcW w:w="0" w:type="auto"/>
            <w:textDirection w:val="btLr"/>
            <w:vAlign w:val="bottom"/>
          </w:tcPr>
          <w:p w14:paraId="722BC122" w14:textId="24FE4467" w:rsidR="008A6844" w:rsidRPr="000E57E3" w:rsidRDefault="008A6844" w:rsidP="000E57E3">
            <w:pPr>
              <w:pStyle w:val="TableHeading"/>
            </w:pPr>
            <w:proofErr w:type="spellStart"/>
            <w:r w:rsidRPr="000E57E3">
              <w:t>Oncomine</w:t>
            </w:r>
            <w:proofErr w:type="spellEnd"/>
            <w:r w:rsidRPr="000E57E3">
              <w:t xml:space="preserve"> ‡</w:t>
            </w:r>
          </w:p>
        </w:tc>
        <w:tc>
          <w:tcPr>
            <w:tcW w:w="0" w:type="auto"/>
            <w:textDirection w:val="btLr"/>
            <w:vAlign w:val="bottom"/>
          </w:tcPr>
          <w:p w14:paraId="139D2D9D" w14:textId="4992F085" w:rsidR="008A6844" w:rsidRPr="000E57E3" w:rsidRDefault="008A6844" w:rsidP="000E57E3">
            <w:pPr>
              <w:pStyle w:val="TableHeading"/>
            </w:pPr>
            <w:proofErr w:type="spellStart"/>
            <w:r w:rsidRPr="000E57E3">
              <w:t>Oncomine</w:t>
            </w:r>
            <w:proofErr w:type="spellEnd"/>
            <w:r w:rsidRPr="000E57E3">
              <w:t xml:space="preserve"> #</w:t>
            </w:r>
          </w:p>
        </w:tc>
        <w:tc>
          <w:tcPr>
            <w:tcW w:w="0" w:type="auto"/>
            <w:textDirection w:val="btLr"/>
            <w:vAlign w:val="bottom"/>
          </w:tcPr>
          <w:p w14:paraId="0FEBA80B" w14:textId="2521F4A3" w:rsidR="008A6844" w:rsidRPr="000E57E3" w:rsidRDefault="008A6844" w:rsidP="000E57E3">
            <w:pPr>
              <w:pStyle w:val="TableHeading"/>
            </w:pPr>
            <w:proofErr w:type="spellStart"/>
            <w:r w:rsidRPr="000E57E3">
              <w:t>PeterMac</w:t>
            </w:r>
            <w:proofErr w:type="spellEnd"/>
            <w:r w:rsidRPr="000E57E3">
              <w:t xml:space="preserve"> $</w:t>
            </w:r>
          </w:p>
        </w:tc>
        <w:tc>
          <w:tcPr>
            <w:tcW w:w="0" w:type="auto"/>
            <w:textDirection w:val="btLr"/>
            <w:vAlign w:val="bottom"/>
          </w:tcPr>
          <w:p w14:paraId="5E9A76D3" w14:textId="22B2CE49" w:rsidR="008A6844" w:rsidRPr="000E57E3" w:rsidRDefault="008A6844" w:rsidP="000E57E3">
            <w:pPr>
              <w:pStyle w:val="TableHeading"/>
            </w:pPr>
            <w:proofErr w:type="spellStart"/>
            <w:r w:rsidRPr="000E57E3">
              <w:t>PeterMac</w:t>
            </w:r>
            <w:proofErr w:type="spellEnd"/>
            <w:r w:rsidRPr="000E57E3">
              <w:t xml:space="preserve"> §</w:t>
            </w:r>
          </w:p>
        </w:tc>
        <w:tc>
          <w:tcPr>
            <w:tcW w:w="0" w:type="auto"/>
            <w:textDirection w:val="btLr"/>
            <w:vAlign w:val="bottom"/>
          </w:tcPr>
          <w:p w14:paraId="66CD6BC5" w14:textId="40A07B6B" w:rsidR="008A6844" w:rsidRPr="000E57E3" w:rsidRDefault="008A6844" w:rsidP="000E57E3">
            <w:pPr>
              <w:pStyle w:val="TableHeading"/>
            </w:pPr>
            <w:proofErr w:type="spellStart"/>
            <w:r w:rsidRPr="000E57E3">
              <w:t>SOPHiA</w:t>
            </w:r>
            <w:proofErr w:type="spellEnd"/>
            <w:r w:rsidRPr="000E57E3">
              <w:t xml:space="preserve"> ¶</w:t>
            </w:r>
          </w:p>
        </w:tc>
        <w:tc>
          <w:tcPr>
            <w:tcW w:w="0" w:type="auto"/>
            <w:textDirection w:val="btLr"/>
            <w:vAlign w:val="bottom"/>
          </w:tcPr>
          <w:p w14:paraId="71AC4CB7" w14:textId="67AB9AD9" w:rsidR="008A6844" w:rsidRPr="000E57E3" w:rsidRDefault="008A6844" w:rsidP="000E57E3">
            <w:pPr>
              <w:pStyle w:val="TableHeading"/>
            </w:pPr>
            <w:proofErr w:type="spellStart"/>
            <w:r w:rsidRPr="000E57E3">
              <w:t>SOPHiA</w:t>
            </w:r>
            <w:proofErr w:type="spellEnd"/>
            <w:r w:rsidRPr="000E57E3">
              <w:t xml:space="preserve"> ¥</w:t>
            </w:r>
          </w:p>
        </w:tc>
        <w:tc>
          <w:tcPr>
            <w:tcW w:w="0" w:type="auto"/>
            <w:textDirection w:val="btLr"/>
            <w:vAlign w:val="bottom"/>
          </w:tcPr>
          <w:p w14:paraId="7A07F4C0" w14:textId="3D607503" w:rsidR="008A6844" w:rsidRPr="000E57E3" w:rsidRDefault="008A6844" w:rsidP="000E57E3">
            <w:pPr>
              <w:pStyle w:val="TableHeading"/>
            </w:pPr>
            <w:proofErr w:type="spellStart"/>
            <w:r w:rsidRPr="000E57E3">
              <w:t>TruSight</w:t>
            </w:r>
            <w:proofErr w:type="spellEnd"/>
            <w:r w:rsidRPr="000E57E3">
              <w:t xml:space="preserve"> ††</w:t>
            </w:r>
          </w:p>
        </w:tc>
        <w:tc>
          <w:tcPr>
            <w:tcW w:w="0" w:type="auto"/>
            <w:textDirection w:val="btLr"/>
            <w:vAlign w:val="bottom"/>
          </w:tcPr>
          <w:p w14:paraId="1E4555B9" w14:textId="3875C96F" w:rsidR="008A6844" w:rsidRPr="000E57E3" w:rsidRDefault="008A6844" w:rsidP="000E57E3">
            <w:pPr>
              <w:pStyle w:val="TableHeading"/>
            </w:pPr>
            <w:proofErr w:type="spellStart"/>
            <w:r w:rsidRPr="000E57E3">
              <w:t>TruSight</w:t>
            </w:r>
            <w:proofErr w:type="spellEnd"/>
            <w:r w:rsidRPr="000E57E3">
              <w:t xml:space="preserve"> §§</w:t>
            </w:r>
          </w:p>
        </w:tc>
        <w:tc>
          <w:tcPr>
            <w:tcW w:w="0" w:type="auto"/>
            <w:vAlign w:val="bottom"/>
          </w:tcPr>
          <w:p w14:paraId="64F66A4E" w14:textId="19BD7CE5" w:rsidR="008A6844" w:rsidRPr="000E57E3" w:rsidRDefault="008A6844" w:rsidP="000E57E3">
            <w:pPr>
              <w:pStyle w:val="TableHeading"/>
            </w:pPr>
            <w:r w:rsidRPr="000E57E3">
              <w:t>Category</w:t>
            </w:r>
          </w:p>
        </w:tc>
      </w:tr>
      <w:tr w:rsidR="00776CCE" w:rsidRPr="008A6844" w14:paraId="44BFDE8C" w14:textId="77777777" w:rsidTr="00CA44B7">
        <w:tc>
          <w:tcPr>
            <w:tcW w:w="0" w:type="auto"/>
            <w:vAlign w:val="bottom"/>
          </w:tcPr>
          <w:p w14:paraId="6034C082" w14:textId="156D214E" w:rsidR="008A6844" w:rsidRPr="000E57E3" w:rsidRDefault="008A6844" w:rsidP="000E57E3">
            <w:pPr>
              <w:pStyle w:val="Tabletext"/>
            </w:pPr>
            <w:r w:rsidRPr="000E57E3">
              <w:t>ALK</w:t>
            </w:r>
          </w:p>
        </w:tc>
        <w:tc>
          <w:tcPr>
            <w:tcW w:w="0" w:type="auto"/>
            <w:vAlign w:val="bottom"/>
          </w:tcPr>
          <w:p w14:paraId="62CA2579" w14:textId="16A36516" w:rsidR="008A6844" w:rsidRPr="000E57E3" w:rsidRDefault="008A6844" w:rsidP="000E57E3">
            <w:pPr>
              <w:pStyle w:val="Tabletext"/>
            </w:pPr>
            <w:r w:rsidRPr="000E57E3">
              <w:t> </w:t>
            </w:r>
          </w:p>
        </w:tc>
        <w:tc>
          <w:tcPr>
            <w:tcW w:w="0" w:type="auto"/>
            <w:vAlign w:val="bottom"/>
          </w:tcPr>
          <w:p w14:paraId="000C8288" w14:textId="1569B5DE" w:rsidR="008A6844" w:rsidRPr="000E57E3" w:rsidRDefault="008A6844" w:rsidP="000E57E3">
            <w:pPr>
              <w:pStyle w:val="Tabletext"/>
            </w:pPr>
            <w:r w:rsidRPr="000E57E3">
              <w:t>Y</w:t>
            </w:r>
          </w:p>
        </w:tc>
        <w:tc>
          <w:tcPr>
            <w:tcW w:w="0" w:type="auto"/>
            <w:vAlign w:val="bottom"/>
          </w:tcPr>
          <w:p w14:paraId="7AF83A46" w14:textId="1372B3F5" w:rsidR="008A6844" w:rsidRPr="000E57E3" w:rsidRDefault="008A6844" w:rsidP="000E57E3">
            <w:pPr>
              <w:pStyle w:val="Tabletext"/>
            </w:pPr>
            <w:r w:rsidRPr="000E57E3">
              <w:t> </w:t>
            </w:r>
          </w:p>
        </w:tc>
        <w:tc>
          <w:tcPr>
            <w:tcW w:w="0" w:type="auto"/>
            <w:vAlign w:val="bottom"/>
          </w:tcPr>
          <w:p w14:paraId="1FE08957" w14:textId="326E7B39" w:rsidR="008A6844" w:rsidRPr="000E57E3" w:rsidRDefault="008A6844" w:rsidP="000E57E3">
            <w:pPr>
              <w:pStyle w:val="Tabletext"/>
            </w:pPr>
            <w:r w:rsidRPr="000E57E3">
              <w:t> </w:t>
            </w:r>
          </w:p>
        </w:tc>
        <w:tc>
          <w:tcPr>
            <w:tcW w:w="0" w:type="auto"/>
            <w:vAlign w:val="bottom"/>
          </w:tcPr>
          <w:p w14:paraId="0401A41A" w14:textId="5379FC8B" w:rsidR="008A6844" w:rsidRPr="000E57E3" w:rsidRDefault="008A6844" w:rsidP="000E57E3">
            <w:pPr>
              <w:pStyle w:val="Tabletext"/>
            </w:pPr>
            <w:r w:rsidRPr="000E57E3">
              <w:t>Y</w:t>
            </w:r>
          </w:p>
        </w:tc>
        <w:tc>
          <w:tcPr>
            <w:tcW w:w="0" w:type="auto"/>
            <w:vAlign w:val="bottom"/>
          </w:tcPr>
          <w:p w14:paraId="4E013696" w14:textId="09DA3B3D" w:rsidR="008A6844" w:rsidRPr="000E57E3" w:rsidRDefault="008A6844" w:rsidP="000E57E3">
            <w:pPr>
              <w:pStyle w:val="Tabletext"/>
            </w:pPr>
            <w:r w:rsidRPr="000E57E3">
              <w:t> </w:t>
            </w:r>
          </w:p>
        </w:tc>
        <w:tc>
          <w:tcPr>
            <w:tcW w:w="0" w:type="auto"/>
            <w:vAlign w:val="bottom"/>
          </w:tcPr>
          <w:p w14:paraId="1F97FABA" w14:textId="141F455D" w:rsidR="008A6844" w:rsidRPr="000E57E3" w:rsidRDefault="008A6844" w:rsidP="000E57E3">
            <w:pPr>
              <w:pStyle w:val="Tabletext"/>
            </w:pPr>
            <w:r w:rsidRPr="000E57E3">
              <w:t> </w:t>
            </w:r>
          </w:p>
        </w:tc>
        <w:tc>
          <w:tcPr>
            <w:tcW w:w="0" w:type="auto"/>
            <w:vAlign w:val="bottom"/>
          </w:tcPr>
          <w:p w14:paraId="247A6A11" w14:textId="0EB4CF17" w:rsidR="008A6844" w:rsidRPr="000E57E3" w:rsidRDefault="008A6844" w:rsidP="000E57E3">
            <w:pPr>
              <w:pStyle w:val="Tabletext"/>
            </w:pPr>
            <w:r w:rsidRPr="000E57E3">
              <w:t> </w:t>
            </w:r>
          </w:p>
        </w:tc>
        <w:tc>
          <w:tcPr>
            <w:tcW w:w="0" w:type="auto"/>
            <w:vAlign w:val="bottom"/>
          </w:tcPr>
          <w:p w14:paraId="0743E65F" w14:textId="497951B6" w:rsidR="008A6844" w:rsidRPr="000E57E3" w:rsidRDefault="008A6844" w:rsidP="000E57E3">
            <w:pPr>
              <w:pStyle w:val="Tabletext"/>
            </w:pPr>
            <w:r w:rsidRPr="000E57E3">
              <w:t> </w:t>
            </w:r>
          </w:p>
        </w:tc>
        <w:tc>
          <w:tcPr>
            <w:tcW w:w="0" w:type="auto"/>
            <w:vAlign w:val="bottom"/>
          </w:tcPr>
          <w:p w14:paraId="52E975F8" w14:textId="4E40A156" w:rsidR="008A6844" w:rsidRPr="000E57E3" w:rsidRDefault="008A6844" w:rsidP="000E57E3">
            <w:pPr>
              <w:pStyle w:val="Tabletext"/>
            </w:pPr>
            <w:r w:rsidRPr="000E57E3">
              <w:t> </w:t>
            </w:r>
          </w:p>
        </w:tc>
        <w:tc>
          <w:tcPr>
            <w:tcW w:w="0" w:type="auto"/>
            <w:vAlign w:val="bottom"/>
          </w:tcPr>
          <w:p w14:paraId="615F926B" w14:textId="207A4180" w:rsidR="008A6844" w:rsidRPr="000E57E3" w:rsidRDefault="008A6844" w:rsidP="000E57E3">
            <w:pPr>
              <w:pStyle w:val="Tabletext"/>
            </w:pPr>
            <w:r w:rsidRPr="000E57E3">
              <w:t> </w:t>
            </w:r>
          </w:p>
        </w:tc>
        <w:tc>
          <w:tcPr>
            <w:tcW w:w="0" w:type="auto"/>
            <w:vAlign w:val="bottom"/>
          </w:tcPr>
          <w:p w14:paraId="2A80FF38" w14:textId="0D2F9C80" w:rsidR="008A6844" w:rsidRPr="000E57E3" w:rsidRDefault="008A6844" w:rsidP="000E57E3">
            <w:pPr>
              <w:pStyle w:val="Tabletext"/>
            </w:pPr>
            <w:r w:rsidRPr="000E57E3">
              <w:t>Exemplar</w:t>
            </w:r>
          </w:p>
        </w:tc>
      </w:tr>
      <w:tr w:rsidR="00776CCE" w:rsidRPr="008A6844" w14:paraId="2A826F9A" w14:textId="77777777" w:rsidTr="00CA44B7">
        <w:tc>
          <w:tcPr>
            <w:tcW w:w="0" w:type="auto"/>
            <w:vAlign w:val="bottom"/>
          </w:tcPr>
          <w:p w14:paraId="738AF0C3" w14:textId="76939B89" w:rsidR="008A6844" w:rsidRPr="000E57E3" w:rsidRDefault="008A6844" w:rsidP="000E57E3">
            <w:pPr>
              <w:pStyle w:val="Tabletext"/>
            </w:pPr>
            <w:r w:rsidRPr="000E57E3">
              <w:t>ANKRD26</w:t>
            </w:r>
          </w:p>
        </w:tc>
        <w:tc>
          <w:tcPr>
            <w:tcW w:w="0" w:type="auto"/>
            <w:vAlign w:val="bottom"/>
          </w:tcPr>
          <w:p w14:paraId="34436D3D" w14:textId="17C2CA16" w:rsidR="008A6844" w:rsidRPr="000E57E3" w:rsidRDefault="008A6844" w:rsidP="000E57E3">
            <w:pPr>
              <w:pStyle w:val="Tabletext"/>
            </w:pPr>
            <w:r w:rsidRPr="000E57E3">
              <w:t>Y</w:t>
            </w:r>
          </w:p>
        </w:tc>
        <w:tc>
          <w:tcPr>
            <w:tcW w:w="0" w:type="auto"/>
            <w:vAlign w:val="bottom"/>
          </w:tcPr>
          <w:p w14:paraId="19C29581" w14:textId="26CF7673" w:rsidR="008A6844" w:rsidRPr="000E57E3" w:rsidRDefault="008A6844" w:rsidP="000E57E3">
            <w:pPr>
              <w:pStyle w:val="Tabletext"/>
            </w:pPr>
            <w:r w:rsidRPr="000E57E3">
              <w:t> </w:t>
            </w:r>
          </w:p>
        </w:tc>
        <w:tc>
          <w:tcPr>
            <w:tcW w:w="0" w:type="auto"/>
            <w:vAlign w:val="bottom"/>
          </w:tcPr>
          <w:p w14:paraId="58EE2F42" w14:textId="7FFFE60D" w:rsidR="008A6844" w:rsidRPr="000E57E3" w:rsidRDefault="008A6844" w:rsidP="000E57E3">
            <w:pPr>
              <w:pStyle w:val="Tabletext"/>
            </w:pPr>
            <w:r w:rsidRPr="000E57E3">
              <w:t>Y</w:t>
            </w:r>
          </w:p>
        </w:tc>
        <w:tc>
          <w:tcPr>
            <w:tcW w:w="0" w:type="auto"/>
            <w:vAlign w:val="bottom"/>
          </w:tcPr>
          <w:p w14:paraId="4497D610" w14:textId="17297D7B" w:rsidR="008A6844" w:rsidRPr="000E57E3" w:rsidRDefault="008A6844" w:rsidP="000E57E3">
            <w:pPr>
              <w:pStyle w:val="Tabletext"/>
            </w:pPr>
            <w:r w:rsidRPr="000E57E3">
              <w:t> </w:t>
            </w:r>
          </w:p>
        </w:tc>
        <w:tc>
          <w:tcPr>
            <w:tcW w:w="0" w:type="auto"/>
            <w:vAlign w:val="bottom"/>
          </w:tcPr>
          <w:p w14:paraId="0FFBEA8C" w14:textId="2DBF9BCB" w:rsidR="008A6844" w:rsidRPr="000E57E3" w:rsidRDefault="008A6844" w:rsidP="000E57E3">
            <w:pPr>
              <w:pStyle w:val="Tabletext"/>
            </w:pPr>
            <w:r w:rsidRPr="000E57E3">
              <w:t> </w:t>
            </w:r>
          </w:p>
        </w:tc>
        <w:tc>
          <w:tcPr>
            <w:tcW w:w="0" w:type="auto"/>
            <w:vAlign w:val="bottom"/>
          </w:tcPr>
          <w:p w14:paraId="4E61C251" w14:textId="2AC898DC" w:rsidR="008A6844" w:rsidRPr="000E57E3" w:rsidRDefault="008A6844" w:rsidP="000E57E3">
            <w:pPr>
              <w:pStyle w:val="Tabletext"/>
            </w:pPr>
            <w:r w:rsidRPr="000E57E3">
              <w:t>Y</w:t>
            </w:r>
          </w:p>
        </w:tc>
        <w:tc>
          <w:tcPr>
            <w:tcW w:w="0" w:type="auto"/>
            <w:vAlign w:val="bottom"/>
          </w:tcPr>
          <w:p w14:paraId="176885E1" w14:textId="6C9CE8CA" w:rsidR="008A6844" w:rsidRPr="000E57E3" w:rsidRDefault="008A6844" w:rsidP="000E57E3">
            <w:pPr>
              <w:pStyle w:val="Tabletext"/>
            </w:pPr>
            <w:r w:rsidRPr="000E57E3">
              <w:t>Y</w:t>
            </w:r>
          </w:p>
        </w:tc>
        <w:tc>
          <w:tcPr>
            <w:tcW w:w="0" w:type="auto"/>
            <w:vAlign w:val="bottom"/>
          </w:tcPr>
          <w:p w14:paraId="1FE4C429" w14:textId="5A9B886A" w:rsidR="008A6844" w:rsidRPr="000E57E3" w:rsidRDefault="008A6844" w:rsidP="000E57E3">
            <w:pPr>
              <w:pStyle w:val="Tabletext"/>
            </w:pPr>
            <w:r w:rsidRPr="000E57E3">
              <w:t> </w:t>
            </w:r>
          </w:p>
        </w:tc>
        <w:tc>
          <w:tcPr>
            <w:tcW w:w="0" w:type="auto"/>
            <w:vAlign w:val="bottom"/>
          </w:tcPr>
          <w:p w14:paraId="26460DF2" w14:textId="1BCD2E3D" w:rsidR="008A6844" w:rsidRPr="000E57E3" w:rsidRDefault="008A6844" w:rsidP="000E57E3">
            <w:pPr>
              <w:pStyle w:val="Tabletext"/>
            </w:pPr>
            <w:r w:rsidRPr="000E57E3">
              <w:t> </w:t>
            </w:r>
          </w:p>
        </w:tc>
        <w:tc>
          <w:tcPr>
            <w:tcW w:w="0" w:type="auto"/>
            <w:vAlign w:val="bottom"/>
          </w:tcPr>
          <w:p w14:paraId="6891C777" w14:textId="2973AAEF" w:rsidR="008A6844" w:rsidRPr="000E57E3" w:rsidRDefault="008A6844" w:rsidP="000E57E3">
            <w:pPr>
              <w:pStyle w:val="Tabletext"/>
            </w:pPr>
            <w:r w:rsidRPr="000E57E3">
              <w:t> </w:t>
            </w:r>
          </w:p>
        </w:tc>
        <w:tc>
          <w:tcPr>
            <w:tcW w:w="0" w:type="auto"/>
            <w:vAlign w:val="bottom"/>
          </w:tcPr>
          <w:p w14:paraId="3B9E162B" w14:textId="55716552" w:rsidR="008A6844" w:rsidRPr="000E57E3" w:rsidRDefault="008A6844" w:rsidP="000E57E3">
            <w:pPr>
              <w:pStyle w:val="Tabletext"/>
            </w:pPr>
            <w:r w:rsidRPr="000E57E3">
              <w:t> </w:t>
            </w:r>
          </w:p>
        </w:tc>
        <w:tc>
          <w:tcPr>
            <w:tcW w:w="0" w:type="auto"/>
            <w:vAlign w:val="bottom"/>
          </w:tcPr>
          <w:p w14:paraId="3AC545B7" w14:textId="7A48D41A" w:rsidR="008A6844" w:rsidRPr="000E57E3" w:rsidRDefault="008A6844" w:rsidP="000E57E3">
            <w:pPr>
              <w:pStyle w:val="Tabletext"/>
            </w:pPr>
            <w:r w:rsidRPr="000E57E3">
              <w:t>Exemplar</w:t>
            </w:r>
          </w:p>
        </w:tc>
      </w:tr>
      <w:tr w:rsidR="00776CCE" w:rsidRPr="008A6844" w14:paraId="154E6F23" w14:textId="77777777" w:rsidTr="00CA44B7">
        <w:tc>
          <w:tcPr>
            <w:tcW w:w="0" w:type="auto"/>
            <w:vAlign w:val="bottom"/>
          </w:tcPr>
          <w:p w14:paraId="3540A9FD" w14:textId="56FDD710" w:rsidR="008A6844" w:rsidRPr="000E57E3" w:rsidRDefault="008A6844" w:rsidP="000E57E3">
            <w:pPr>
              <w:pStyle w:val="Tabletext"/>
            </w:pPr>
            <w:r w:rsidRPr="000E57E3">
              <w:t>ASXL1</w:t>
            </w:r>
          </w:p>
        </w:tc>
        <w:tc>
          <w:tcPr>
            <w:tcW w:w="0" w:type="auto"/>
            <w:vAlign w:val="bottom"/>
          </w:tcPr>
          <w:p w14:paraId="0CC630C5" w14:textId="6330771F" w:rsidR="008A6844" w:rsidRPr="000E57E3" w:rsidRDefault="008A6844" w:rsidP="000E57E3">
            <w:pPr>
              <w:pStyle w:val="Tabletext"/>
            </w:pPr>
            <w:r w:rsidRPr="000E57E3">
              <w:t>Y</w:t>
            </w:r>
          </w:p>
        </w:tc>
        <w:tc>
          <w:tcPr>
            <w:tcW w:w="0" w:type="auto"/>
            <w:vAlign w:val="bottom"/>
          </w:tcPr>
          <w:p w14:paraId="2A49B196" w14:textId="5556D932" w:rsidR="008A6844" w:rsidRPr="000E57E3" w:rsidRDefault="008A6844" w:rsidP="000E57E3">
            <w:pPr>
              <w:pStyle w:val="Tabletext"/>
            </w:pPr>
            <w:r w:rsidRPr="000E57E3">
              <w:t> </w:t>
            </w:r>
          </w:p>
        </w:tc>
        <w:tc>
          <w:tcPr>
            <w:tcW w:w="0" w:type="auto"/>
            <w:vAlign w:val="bottom"/>
          </w:tcPr>
          <w:p w14:paraId="682E8DEC" w14:textId="7FD73371" w:rsidR="008A6844" w:rsidRPr="000E57E3" w:rsidRDefault="008A6844" w:rsidP="000E57E3">
            <w:pPr>
              <w:pStyle w:val="Tabletext"/>
            </w:pPr>
            <w:r w:rsidRPr="000E57E3">
              <w:t>Y</w:t>
            </w:r>
          </w:p>
        </w:tc>
        <w:tc>
          <w:tcPr>
            <w:tcW w:w="0" w:type="auto"/>
            <w:vAlign w:val="bottom"/>
          </w:tcPr>
          <w:p w14:paraId="5D078D0B" w14:textId="7DDD85E9" w:rsidR="008A6844" w:rsidRPr="000E57E3" w:rsidRDefault="008A6844" w:rsidP="000E57E3">
            <w:pPr>
              <w:pStyle w:val="Tabletext"/>
            </w:pPr>
            <w:r w:rsidRPr="000E57E3">
              <w:t> </w:t>
            </w:r>
          </w:p>
        </w:tc>
        <w:tc>
          <w:tcPr>
            <w:tcW w:w="0" w:type="auto"/>
            <w:vAlign w:val="bottom"/>
          </w:tcPr>
          <w:p w14:paraId="05BAD7EF" w14:textId="36673242" w:rsidR="008A6844" w:rsidRPr="000E57E3" w:rsidRDefault="008A6844" w:rsidP="000E57E3">
            <w:pPr>
              <w:pStyle w:val="Tabletext"/>
            </w:pPr>
            <w:r w:rsidRPr="000E57E3">
              <w:t>Y</w:t>
            </w:r>
          </w:p>
        </w:tc>
        <w:tc>
          <w:tcPr>
            <w:tcW w:w="0" w:type="auto"/>
            <w:vAlign w:val="bottom"/>
          </w:tcPr>
          <w:p w14:paraId="6BFAA5BE" w14:textId="2FFFD622" w:rsidR="008A6844" w:rsidRPr="000E57E3" w:rsidRDefault="008A6844" w:rsidP="000E57E3">
            <w:pPr>
              <w:pStyle w:val="Tabletext"/>
            </w:pPr>
            <w:r w:rsidRPr="000E57E3">
              <w:t> </w:t>
            </w:r>
          </w:p>
        </w:tc>
        <w:tc>
          <w:tcPr>
            <w:tcW w:w="0" w:type="auto"/>
            <w:vAlign w:val="bottom"/>
          </w:tcPr>
          <w:p w14:paraId="09B55387" w14:textId="04C6AD1F" w:rsidR="008A6844" w:rsidRPr="000E57E3" w:rsidRDefault="008A6844" w:rsidP="000E57E3">
            <w:pPr>
              <w:pStyle w:val="Tabletext"/>
            </w:pPr>
            <w:r w:rsidRPr="000E57E3">
              <w:t>Y</w:t>
            </w:r>
          </w:p>
        </w:tc>
        <w:tc>
          <w:tcPr>
            <w:tcW w:w="0" w:type="auto"/>
            <w:vAlign w:val="bottom"/>
          </w:tcPr>
          <w:p w14:paraId="0C520BEE" w14:textId="54EC3EC6" w:rsidR="008A6844" w:rsidRPr="000E57E3" w:rsidRDefault="008A6844" w:rsidP="000E57E3">
            <w:pPr>
              <w:pStyle w:val="Tabletext"/>
            </w:pPr>
            <w:r w:rsidRPr="000E57E3">
              <w:t> </w:t>
            </w:r>
          </w:p>
        </w:tc>
        <w:tc>
          <w:tcPr>
            <w:tcW w:w="0" w:type="auto"/>
            <w:vAlign w:val="bottom"/>
          </w:tcPr>
          <w:p w14:paraId="42A0718B" w14:textId="06311AD5" w:rsidR="008A6844" w:rsidRPr="000E57E3" w:rsidRDefault="008A6844" w:rsidP="000E57E3">
            <w:pPr>
              <w:pStyle w:val="Tabletext"/>
            </w:pPr>
            <w:r w:rsidRPr="000E57E3">
              <w:t>Y</w:t>
            </w:r>
          </w:p>
        </w:tc>
        <w:tc>
          <w:tcPr>
            <w:tcW w:w="0" w:type="auto"/>
            <w:vAlign w:val="bottom"/>
          </w:tcPr>
          <w:p w14:paraId="2030B14C" w14:textId="24DF1C3F" w:rsidR="008A6844" w:rsidRPr="000E57E3" w:rsidRDefault="008A6844" w:rsidP="000E57E3">
            <w:pPr>
              <w:pStyle w:val="Tabletext"/>
            </w:pPr>
            <w:r w:rsidRPr="000E57E3">
              <w:t> </w:t>
            </w:r>
          </w:p>
        </w:tc>
        <w:tc>
          <w:tcPr>
            <w:tcW w:w="0" w:type="auto"/>
            <w:vAlign w:val="bottom"/>
          </w:tcPr>
          <w:p w14:paraId="070E753F" w14:textId="1E4B5F93" w:rsidR="008A6844" w:rsidRPr="000E57E3" w:rsidRDefault="008A6844" w:rsidP="000E57E3">
            <w:pPr>
              <w:pStyle w:val="Tabletext"/>
            </w:pPr>
            <w:r w:rsidRPr="000E57E3">
              <w:t>Y</w:t>
            </w:r>
          </w:p>
        </w:tc>
        <w:tc>
          <w:tcPr>
            <w:tcW w:w="0" w:type="auto"/>
            <w:vAlign w:val="bottom"/>
          </w:tcPr>
          <w:p w14:paraId="50B4B40C" w14:textId="4C9E5734" w:rsidR="008A6844" w:rsidRPr="000E57E3" w:rsidRDefault="008A6844" w:rsidP="000E57E3">
            <w:pPr>
              <w:pStyle w:val="Tabletext"/>
            </w:pPr>
            <w:r w:rsidRPr="000E57E3">
              <w:t>Exemplar</w:t>
            </w:r>
          </w:p>
        </w:tc>
      </w:tr>
      <w:tr w:rsidR="00776CCE" w:rsidRPr="008A6844" w14:paraId="421829C4" w14:textId="77777777" w:rsidTr="00CA44B7">
        <w:tc>
          <w:tcPr>
            <w:tcW w:w="0" w:type="auto"/>
            <w:vAlign w:val="bottom"/>
          </w:tcPr>
          <w:p w14:paraId="310C1E77" w14:textId="718446B2" w:rsidR="008A6844" w:rsidRPr="000E57E3" w:rsidRDefault="008A6844" w:rsidP="000E57E3">
            <w:pPr>
              <w:pStyle w:val="Tabletext"/>
            </w:pPr>
            <w:r w:rsidRPr="000E57E3">
              <w:t>BCR-ABL1</w:t>
            </w:r>
          </w:p>
        </w:tc>
        <w:tc>
          <w:tcPr>
            <w:tcW w:w="0" w:type="auto"/>
            <w:vAlign w:val="bottom"/>
          </w:tcPr>
          <w:p w14:paraId="38F98629" w14:textId="7A990E93" w:rsidR="008A6844" w:rsidRPr="000E57E3" w:rsidRDefault="008A6844" w:rsidP="000E57E3">
            <w:pPr>
              <w:pStyle w:val="Tabletext"/>
            </w:pPr>
            <w:r w:rsidRPr="000E57E3">
              <w:t> </w:t>
            </w:r>
          </w:p>
        </w:tc>
        <w:tc>
          <w:tcPr>
            <w:tcW w:w="0" w:type="auto"/>
            <w:vAlign w:val="bottom"/>
          </w:tcPr>
          <w:p w14:paraId="579C9EF2" w14:textId="5CD11D9A" w:rsidR="008A6844" w:rsidRPr="000E57E3" w:rsidRDefault="008A6844" w:rsidP="000E57E3">
            <w:pPr>
              <w:pStyle w:val="Tabletext"/>
            </w:pPr>
            <w:r w:rsidRPr="000E57E3">
              <w:t>Y</w:t>
            </w:r>
          </w:p>
        </w:tc>
        <w:tc>
          <w:tcPr>
            <w:tcW w:w="0" w:type="auto"/>
            <w:vAlign w:val="bottom"/>
          </w:tcPr>
          <w:p w14:paraId="2E8A91C4" w14:textId="5D69950E" w:rsidR="008A6844" w:rsidRPr="000E57E3" w:rsidRDefault="008A6844" w:rsidP="000E57E3">
            <w:pPr>
              <w:pStyle w:val="Tabletext"/>
            </w:pPr>
            <w:r w:rsidRPr="000E57E3">
              <w:t> </w:t>
            </w:r>
          </w:p>
        </w:tc>
        <w:tc>
          <w:tcPr>
            <w:tcW w:w="0" w:type="auto"/>
            <w:vAlign w:val="bottom"/>
          </w:tcPr>
          <w:p w14:paraId="1506DC9B" w14:textId="36881A72" w:rsidR="008A6844" w:rsidRPr="000E57E3" w:rsidRDefault="008A6844" w:rsidP="000E57E3">
            <w:pPr>
              <w:pStyle w:val="Tabletext"/>
            </w:pPr>
            <w:r w:rsidRPr="000E57E3">
              <w:t> </w:t>
            </w:r>
          </w:p>
        </w:tc>
        <w:tc>
          <w:tcPr>
            <w:tcW w:w="0" w:type="auto"/>
            <w:vAlign w:val="bottom"/>
          </w:tcPr>
          <w:p w14:paraId="4349D5F7" w14:textId="1E6B5185" w:rsidR="008A6844" w:rsidRPr="000E57E3" w:rsidRDefault="008A6844" w:rsidP="000E57E3">
            <w:pPr>
              <w:pStyle w:val="Tabletext"/>
            </w:pPr>
            <w:r w:rsidRPr="000E57E3">
              <w:t> </w:t>
            </w:r>
          </w:p>
        </w:tc>
        <w:tc>
          <w:tcPr>
            <w:tcW w:w="0" w:type="auto"/>
            <w:vAlign w:val="bottom"/>
          </w:tcPr>
          <w:p w14:paraId="02A22C4B" w14:textId="16232772" w:rsidR="008A6844" w:rsidRPr="000E57E3" w:rsidRDefault="008A6844" w:rsidP="000E57E3">
            <w:pPr>
              <w:pStyle w:val="Tabletext"/>
            </w:pPr>
            <w:r w:rsidRPr="000E57E3">
              <w:t> </w:t>
            </w:r>
          </w:p>
        </w:tc>
        <w:tc>
          <w:tcPr>
            <w:tcW w:w="0" w:type="auto"/>
            <w:vAlign w:val="bottom"/>
          </w:tcPr>
          <w:p w14:paraId="2289D845" w14:textId="5DAD08DE" w:rsidR="008A6844" w:rsidRPr="000E57E3" w:rsidRDefault="008A6844" w:rsidP="000E57E3">
            <w:pPr>
              <w:pStyle w:val="Tabletext"/>
            </w:pPr>
            <w:r w:rsidRPr="000E57E3">
              <w:t> </w:t>
            </w:r>
          </w:p>
        </w:tc>
        <w:tc>
          <w:tcPr>
            <w:tcW w:w="0" w:type="auto"/>
            <w:vAlign w:val="bottom"/>
          </w:tcPr>
          <w:p w14:paraId="1D3A8A31" w14:textId="523A1F4A" w:rsidR="008A6844" w:rsidRPr="000E57E3" w:rsidRDefault="008A6844" w:rsidP="000E57E3">
            <w:pPr>
              <w:pStyle w:val="Tabletext"/>
            </w:pPr>
            <w:r w:rsidRPr="000E57E3">
              <w:t> </w:t>
            </w:r>
          </w:p>
        </w:tc>
        <w:tc>
          <w:tcPr>
            <w:tcW w:w="0" w:type="auto"/>
            <w:vAlign w:val="bottom"/>
          </w:tcPr>
          <w:p w14:paraId="69D429FA" w14:textId="1ACF3047" w:rsidR="008A6844" w:rsidRPr="000E57E3" w:rsidRDefault="008A6844" w:rsidP="000E57E3">
            <w:pPr>
              <w:pStyle w:val="Tabletext"/>
            </w:pPr>
            <w:r w:rsidRPr="000E57E3">
              <w:t> </w:t>
            </w:r>
          </w:p>
        </w:tc>
        <w:tc>
          <w:tcPr>
            <w:tcW w:w="0" w:type="auto"/>
            <w:vAlign w:val="bottom"/>
          </w:tcPr>
          <w:p w14:paraId="0B5B5429" w14:textId="197BD7D5" w:rsidR="008A6844" w:rsidRPr="000E57E3" w:rsidRDefault="008A6844" w:rsidP="000E57E3">
            <w:pPr>
              <w:pStyle w:val="Tabletext"/>
            </w:pPr>
            <w:r w:rsidRPr="000E57E3">
              <w:t> </w:t>
            </w:r>
          </w:p>
        </w:tc>
        <w:tc>
          <w:tcPr>
            <w:tcW w:w="0" w:type="auto"/>
            <w:vAlign w:val="bottom"/>
          </w:tcPr>
          <w:p w14:paraId="49B8516E" w14:textId="3F13B728" w:rsidR="008A6844" w:rsidRPr="000E57E3" w:rsidRDefault="008A6844" w:rsidP="000E57E3">
            <w:pPr>
              <w:pStyle w:val="Tabletext"/>
            </w:pPr>
            <w:r w:rsidRPr="000E57E3">
              <w:t> </w:t>
            </w:r>
          </w:p>
        </w:tc>
        <w:tc>
          <w:tcPr>
            <w:tcW w:w="0" w:type="auto"/>
            <w:vAlign w:val="bottom"/>
          </w:tcPr>
          <w:p w14:paraId="3F18CD11" w14:textId="72665CE2" w:rsidR="008A6844" w:rsidRPr="000E57E3" w:rsidRDefault="008A6844" w:rsidP="000E57E3">
            <w:pPr>
              <w:pStyle w:val="Tabletext"/>
            </w:pPr>
            <w:r w:rsidRPr="000E57E3">
              <w:t>Exemplar</w:t>
            </w:r>
          </w:p>
        </w:tc>
      </w:tr>
      <w:tr w:rsidR="00776CCE" w:rsidRPr="008A6844" w14:paraId="5846A969" w14:textId="77777777" w:rsidTr="00CA44B7">
        <w:tc>
          <w:tcPr>
            <w:tcW w:w="0" w:type="auto"/>
            <w:vAlign w:val="bottom"/>
          </w:tcPr>
          <w:p w14:paraId="03B883DB" w14:textId="5C0644C2" w:rsidR="008A6844" w:rsidRPr="000E57E3" w:rsidRDefault="008A6844" w:rsidP="000E57E3">
            <w:pPr>
              <w:pStyle w:val="Tabletext"/>
            </w:pPr>
            <w:r w:rsidRPr="000E57E3">
              <w:t>BCR-JAK2</w:t>
            </w:r>
          </w:p>
        </w:tc>
        <w:tc>
          <w:tcPr>
            <w:tcW w:w="0" w:type="auto"/>
            <w:vAlign w:val="bottom"/>
          </w:tcPr>
          <w:p w14:paraId="58A71D62" w14:textId="7788ADA6" w:rsidR="008A6844" w:rsidRPr="000E57E3" w:rsidRDefault="008A6844" w:rsidP="000E57E3">
            <w:pPr>
              <w:pStyle w:val="Tabletext"/>
            </w:pPr>
            <w:r w:rsidRPr="000E57E3">
              <w:t> </w:t>
            </w:r>
          </w:p>
        </w:tc>
        <w:tc>
          <w:tcPr>
            <w:tcW w:w="0" w:type="auto"/>
            <w:vAlign w:val="bottom"/>
          </w:tcPr>
          <w:p w14:paraId="1E1F149E" w14:textId="517ABE14" w:rsidR="008A6844" w:rsidRPr="000E57E3" w:rsidRDefault="008A6844" w:rsidP="000E57E3">
            <w:pPr>
              <w:pStyle w:val="Tabletext"/>
            </w:pPr>
            <w:r w:rsidRPr="000E57E3">
              <w:t>Y</w:t>
            </w:r>
          </w:p>
        </w:tc>
        <w:tc>
          <w:tcPr>
            <w:tcW w:w="0" w:type="auto"/>
            <w:vAlign w:val="bottom"/>
          </w:tcPr>
          <w:p w14:paraId="2966A6F9" w14:textId="6CDADA02" w:rsidR="008A6844" w:rsidRPr="000E57E3" w:rsidRDefault="008A6844" w:rsidP="000E57E3">
            <w:pPr>
              <w:pStyle w:val="Tabletext"/>
            </w:pPr>
            <w:r w:rsidRPr="000E57E3">
              <w:t> </w:t>
            </w:r>
          </w:p>
        </w:tc>
        <w:tc>
          <w:tcPr>
            <w:tcW w:w="0" w:type="auto"/>
            <w:vAlign w:val="bottom"/>
          </w:tcPr>
          <w:p w14:paraId="6220736D" w14:textId="22EA6947" w:rsidR="008A6844" w:rsidRPr="000E57E3" w:rsidRDefault="008A6844" w:rsidP="000E57E3">
            <w:pPr>
              <w:pStyle w:val="Tabletext"/>
            </w:pPr>
            <w:r w:rsidRPr="000E57E3">
              <w:t> </w:t>
            </w:r>
          </w:p>
        </w:tc>
        <w:tc>
          <w:tcPr>
            <w:tcW w:w="0" w:type="auto"/>
            <w:vAlign w:val="bottom"/>
          </w:tcPr>
          <w:p w14:paraId="11F8F5B1" w14:textId="15D587A9" w:rsidR="008A6844" w:rsidRPr="000E57E3" w:rsidRDefault="008A6844" w:rsidP="000E57E3">
            <w:pPr>
              <w:pStyle w:val="Tabletext"/>
            </w:pPr>
            <w:r w:rsidRPr="000E57E3">
              <w:t> </w:t>
            </w:r>
          </w:p>
        </w:tc>
        <w:tc>
          <w:tcPr>
            <w:tcW w:w="0" w:type="auto"/>
            <w:vAlign w:val="bottom"/>
          </w:tcPr>
          <w:p w14:paraId="16F639A8" w14:textId="3BC22115" w:rsidR="008A6844" w:rsidRPr="000E57E3" w:rsidRDefault="008A6844" w:rsidP="000E57E3">
            <w:pPr>
              <w:pStyle w:val="Tabletext"/>
            </w:pPr>
            <w:r w:rsidRPr="000E57E3">
              <w:t> </w:t>
            </w:r>
          </w:p>
        </w:tc>
        <w:tc>
          <w:tcPr>
            <w:tcW w:w="0" w:type="auto"/>
            <w:vAlign w:val="bottom"/>
          </w:tcPr>
          <w:p w14:paraId="7F0E97E7" w14:textId="217BEF6F" w:rsidR="008A6844" w:rsidRPr="000E57E3" w:rsidRDefault="008A6844" w:rsidP="000E57E3">
            <w:pPr>
              <w:pStyle w:val="Tabletext"/>
            </w:pPr>
            <w:r w:rsidRPr="000E57E3">
              <w:t> </w:t>
            </w:r>
          </w:p>
        </w:tc>
        <w:tc>
          <w:tcPr>
            <w:tcW w:w="0" w:type="auto"/>
            <w:vAlign w:val="bottom"/>
          </w:tcPr>
          <w:p w14:paraId="6DE669C2" w14:textId="2A9D2FC5" w:rsidR="008A6844" w:rsidRPr="000E57E3" w:rsidRDefault="008A6844" w:rsidP="000E57E3">
            <w:pPr>
              <w:pStyle w:val="Tabletext"/>
            </w:pPr>
            <w:r w:rsidRPr="000E57E3">
              <w:t> </w:t>
            </w:r>
          </w:p>
        </w:tc>
        <w:tc>
          <w:tcPr>
            <w:tcW w:w="0" w:type="auto"/>
            <w:vAlign w:val="bottom"/>
          </w:tcPr>
          <w:p w14:paraId="3B742699" w14:textId="6B3E661D" w:rsidR="008A6844" w:rsidRPr="000E57E3" w:rsidRDefault="008A6844" w:rsidP="000E57E3">
            <w:pPr>
              <w:pStyle w:val="Tabletext"/>
            </w:pPr>
            <w:r w:rsidRPr="000E57E3">
              <w:t> </w:t>
            </w:r>
          </w:p>
        </w:tc>
        <w:tc>
          <w:tcPr>
            <w:tcW w:w="0" w:type="auto"/>
            <w:vAlign w:val="bottom"/>
          </w:tcPr>
          <w:p w14:paraId="71F97D71" w14:textId="53E066A9" w:rsidR="008A6844" w:rsidRPr="000E57E3" w:rsidRDefault="008A6844" w:rsidP="000E57E3">
            <w:pPr>
              <w:pStyle w:val="Tabletext"/>
            </w:pPr>
            <w:r w:rsidRPr="000E57E3">
              <w:t> </w:t>
            </w:r>
          </w:p>
        </w:tc>
        <w:tc>
          <w:tcPr>
            <w:tcW w:w="0" w:type="auto"/>
            <w:vAlign w:val="bottom"/>
          </w:tcPr>
          <w:p w14:paraId="0B4E4B4B" w14:textId="62CF529C" w:rsidR="008A6844" w:rsidRPr="000E57E3" w:rsidRDefault="008A6844" w:rsidP="000E57E3">
            <w:pPr>
              <w:pStyle w:val="Tabletext"/>
            </w:pPr>
            <w:r w:rsidRPr="000E57E3">
              <w:t> </w:t>
            </w:r>
          </w:p>
        </w:tc>
        <w:tc>
          <w:tcPr>
            <w:tcW w:w="0" w:type="auto"/>
            <w:vAlign w:val="bottom"/>
          </w:tcPr>
          <w:p w14:paraId="55AB3DCF" w14:textId="46A1161E" w:rsidR="008A6844" w:rsidRPr="000E57E3" w:rsidRDefault="008A6844" w:rsidP="000E57E3">
            <w:pPr>
              <w:pStyle w:val="Tabletext"/>
            </w:pPr>
            <w:r w:rsidRPr="000E57E3">
              <w:t>Exemplar</w:t>
            </w:r>
          </w:p>
        </w:tc>
      </w:tr>
      <w:tr w:rsidR="00776CCE" w:rsidRPr="008A6844" w14:paraId="73A072BE" w14:textId="77777777" w:rsidTr="00CA44B7">
        <w:tc>
          <w:tcPr>
            <w:tcW w:w="0" w:type="auto"/>
            <w:vAlign w:val="bottom"/>
          </w:tcPr>
          <w:p w14:paraId="2F355D93" w14:textId="2CDA68DF" w:rsidR="008A6844" w:rsidRPr="000E57E3" w:rsidRDefault="008A6844" w:rsidP="000E57E3">
            <w:pPr>
              <w:pStyle w:val="Tabletext"/>
            </w:pPr>
            <w:r w:rsidRPr="000E57E3">
              <w:t>BIRC3-MALT1 (t(11;18))</w:t>
            </w:r>
          </w:p>
        </w:tc>
        <w:tc>
          <w:tcPr>
            <w:tcW w:w="0" w:type="auto"/>
            <w:vAlign w:val="bottom"/>
          </w:tcPr>
          <w:p w14:paraId="2D539856" w14:textId="51F60309" w:rsidR="008A6844" w:rsidRPr="000E57E3" w:rsidRDefault="008A6844" w:rsidP="000E57E3">
            <w:pPr>
              <w:pStyle w:val="Tabletext"/>
            </w:pPr>
            <w:r w:rsidRPr="000E57E3">
              <w:t> </w:t>
            </w:r>
          </w:p>
        </w:tc>
        <w:tc>
          <w:tcPr>
            <w:tcW w:w="0" w:type="auto"/>
            <w:vAlign w:val="bottom"/>
          </w:tcPr>
          <w:p w14:paraId="7B07DD1A" w14:textId="65DF49CF" w:rsidR="008A6844" w:rsidRPr="000E57E3" w:rsidRDefault="008A6844" w:rsidP="000E57E3">
            <w:pPr>
              <w:pStyle w:val="Tabletext"/>
            </w:pPr>
            <w:r w:rsidRPr="000E57E3">
              <w:t>Y</w:t>
            </w:r>
          </w:p>
        </w:tc>
        <w:tc>
          <w:tcPr>
            <w:tcW w:w="0" w:type="auto"/>
            <w:vAlign w:val="bottom"/>
          </w:tcPr>
          <w:p w14:paraId="77BA21AF" w14:textId="421F665C" w:rsidR="008A6844" w:rsidRPr="000E57E3" w:rsidRDefault="008A6844" w:rsidP="000E57E3">
            <w:pPr>
              <w:pStyle w:val="Tabletext"/>
            </w:pPr>
            <w:r w:rsidRPr="000E57E3">
              <w:t> </w:t>
            </w:r>
          </w:p>
        </w:tc>
        <w:tc>
          <w:tcPr>
            <w:tcW w:w="0" w:type="auto"/>
            <w:vAlign w:val="bottom"/>
          </w:tcPr>
          <w:p w14:paraId="3AAB1E80" w14:textId="49A6C14C" w:rsidR="008A6844" w:rsidRPr="000E57E3" w:rsidRDefault="008A6844" w:rsidP="000E57E3">
            <w:pPr>
              <w:pStyle w:val="Tabletext"/>
            </w:pPr>
            <w:r w:rsidRPr="000E57E3">
              <w:t> </w:t>
            </w:r>
          </w:p>
        </w:tc>
        <w:tc>
          <w:tcPr>
            <w:tcW w:w="0" w:type="auto"/>
            <w:vAlign w:val="bottom"/>
          </w:tcPr>
          <w:p w14:paraId="51BDEBF1" w14:textId="1D524D57" w:rsidR="008A6844" w:rsidRPr="000E57E3" w:rsidRDefault="008A6844" w:rsidP="000E57E3">
            <w:pPr>
              <w:pStyle w:val="Tabletext"/>
            </w:pPr>
            <w:r w:rsidRPr="000E57E3">
              <w:t> </w:t>
            </w:r>
          </w:p>
        </w:tc>
        <w:tc>
          <w:tcPr>
            <w:tcW w:w="0" w:type="auto"/>
            <w:vAlign w:val="bottom"/>
          </w:tcPr>
          <w:p w14:paraId="7E11556A" w14:textId="796DB614" w:rsidR="008A6844" w:rsidRPr="000E57E3" w:rsidRDefault="008A6844" w:rsidP="000E57E3">
            <w:pPr>
              <w:pStyle w:val="Tabletext"/>
            </w:pPr>
            <w:r w:rsidRPr="000E57E3">
              <w:t> </w:t>
            </w:r>
          </w:p>
        </w:tc>
        <w:tc>
          <w:tcPr>
            <w:tcW w:w="0" w:type="auto"/>
            <w:vAlign w:val="bottom"/>
          </w:tcPr>
          <w:p w14:paraId="7A06ADAE" w14:textId="00EF154E" w:rsidR="008A6844" w:rsidRPr="000E57E3" w:rsidRDefault="008A6844" w:rsidP="000E57E3">
            <w:pPr>
              <w:pStyle w:val="Tabletext"/>
            </w:pPr>
            <w:r w:rsidRPr="000E57E3">
              <w:t> </w:t>
            </w:r>
          </w:p>
        </w:tc>
        <w:tc>
          <w:tcPr>
            <w:tcW w:w="0" w:type="auto"/>
            <w:vAlign w:val="bottom"/>
          </w:tcPr>
          <w:p w14:paraId="6D41D4E2" w14:textId="6F110482" w:rsidR="008A6844" w:rsidRPr="000E57E3" w:rsidRDefault="008A6844" w:rsidP="000E57E3">
            <w:pPr>
              <w:pStyle w:val="Tabletext"/>
            </w:pPr>
            <w:r w:rsidRPr="000E57E3">
              <w:t> </w:t>
            </w:r>
          </w:p>
        </w:tc>
        <w:tc>
          <w:tcPr>
            <w:tcW w:w="0" w:type="auto"/>
            <w:vAlign w:val="bottom"/>
          </w:tcPr>
          <w:p w14:paraId="1190D8DE" w14:textId="7AE6F1C0" w:rsidR="008A6844" w:rsidRPr="000E57E3" w:rsidRDefault="008A6844" w:rsidP="000E57E3">
            <w:pPr>
              <w:pStyle w:val="Tabletext"/>
            </w:pPr>
            <w:r w:rsidRPr="000E57E3">
              <w:t> </w:t>
            </w:r>
          </w:p>
        </w:tc>
        <w:tc>
          <w:tcPr>
            <w:tcW w:w="0" w:type="auto"/>
            <w:vAlign w:val="bottom"/>
          </w:tcPr>
          <w:p w14:paraId="7CDC6C60" w14:textId="08D5482B" w:rsidR="008A6844" w:rsidRPr="000E57E3" w:rsidRDefault="008A6844" w:rsidP="000E57E3">
            <w:pPr>
              <w:pStyle w:val="Tabletext"/>
            </w:pPr>
            <w:r w:rsidRPr="000E57E3">
              <w:t> </w:t>
            </w:r>
          </w:p>
        </w:tc>
        <w:tc>
          <w:tcPr>
            <w:tcW w:w="0" w:type="auto"/>
            <w:vAlign w:val="bottom"/>
          </w:tcPr>
          <w:p w14:paraId="2F3693C4" w14:textId="793E3F02" w:rsidR="008A6844" w:rsidRPr="000E57E3" w:rsidRDefault="008A6844" w:rsidP="000E57E3">
            <w:pPr>
              <w:pStyle w:val="Tabletext"/>
            </w:pPr>
            <w:r w:rsidRPr="000E57E3">
              <w:t> </w:t>
            </w:r>
          </w:p>
        </w:tc>
        <w:tc>
          <w:tcPr>
            <w:tcW w:w="0" w:type="auto"/>
            <w:vAlign w:val="bottom"/>
          </w:tcPr>
          <w:p w14:paraId="5BCF8777" w14:textId="64042211" w:rsidR="008A6844" w:rsidRPr="000E57E3" w:rsidRDefault="008A6844" w:rsidP="000E57E3">
            <w:pPr>
              <w:pStyle w:val="Tabletext"/>
            </w:pPr>
            <w:r w:rsidRPr="000E57E3">
              <w:t>Exemplar</w:t>
            </w:r>
          </w:p>
        </w:tc>
      </w:tr>
      <w:tr w:rsidR="00776CCE" w:rsidRPr="008A6844" w14:paraId="219D4DB2" w14:textId="77777777" w:rsidTr="00CA44B7">
        <w:tc>
          <w:tcPr>
            <w:tcW w:w="0" w:type="auto"/>
            <w:vAlign w:val="bottom"/>
          </w:tcPr>
          <w:p w14:paraId="09FEA860" w14:textId="0D9BC736" w:rsidR="008A6844" w:rsidRPr="000E57E3" w:rsidRDefault="008A6844" w:rsidP="000E57E3">
            <w:pPr>
              <w:pStyle w:val="Tabletext"/>
            </w:pPr>
            <w:r w:rsidRPr="000E57E3">
              <w:t>BRAF</w:t>
            </w:r>
          </w:p>
        </w:tc>
        <w:tc>
          <w:tcPr>
            <w:tcW w:w="0" w:type="auto"/>
            <w:vAlign w:val="bottom"/>
          </w:tcPr>
          <w:p w14:paraId="098E3150" w14:textId="2C361EB6" w:rsidR="008A6844" w:rsidRPr="000E57E3" w:rsidRDefault="008A6844" w:rsidP="000E57E3">
            <w:pPr>
              <w:pStyle w:val="Tabletext"/>
            </w:pPr>
            <w:r w:rsidRPr="000E57E3">
              <w:t>Y</w:t>
            </w:r>
          </w:p>
        </w:tc>
        <w:tc>
          <w:tcPr>
            <w:tcW w:w="0" w:type="auto"/>
            <w:vAlign w:val="bottom"/>
          </w:tcPr>
          <w:p w14:paraId="2F0673A6" w14:textId="3344F985" w:rsidR="008A6844" w:rsidRPr="000E57E3" w:rsidRDefault="008A6844" w:rsidP="000E57E3">
            <w:pPr>
              <w:pStyle w:val="Tabletext"/>
            </w:pPr>
            <w:r w:rsidRPr="000E57E3">
              <w:t> </w:t>
            </w:r>
          </w:p>
        </w:tc>
        <w:tc>
          <w:tcPr>
            <w:tcW w:w="0" w:type="auto"/>
            <w:vAlign w:val="bottom"/>
          </w:tcPr>
          <w:p w14:paraId="258F79E1" w14:textId="78252F24" w:rsidR="008A6844" w:rsidRPr="000E57E3" w:rsidRDefault="008A6844" w:rsidP="000E57E3">
            <w:pPr>
              <w:pStyle w:val="Tabletext"/>
            </w:pPr>
            <w:r w:rsidRPr="000E57E3">
              <w:t>Y</w:t>
            </w:r>
          </w:p>
        </w:tc>
        <w:tc>
          <w:tcPr>
            <w:tcW w:w="0" w:type="auto"/>
            <w:vAlign w:val="bottom"/>
          </w:tcPr>
          <w:p w14:paraId="0C4366A9" w14:textId="458E7163" w:rsidR="008A6844" w:rsidRPr="000E57E3" w:rsidRDefault="008A6844" w:rsidP="000E57E3">
            <w:pPr>
              <w:pStyle w:val="Tabletext"/>
            </w:pPr>
            <w:r w:rsidRPr="000E57E3">
              <w:t>Y</w:t>
            </w:r>
          </w:p>
        </w:tc>
        <w:tc>
          <w:tcPr>
            <w:tcW w:w="0" w:type="auto"/>
            <w:vAlign w:val="bottom"/>
          </w:tcPr>
          <w:p w14:paraId="10C62489" w14:textId="04A0BFCE" w:rsidR="008A6844" w:rsidRPr="000E57E3" w:rsidRDefault="008A6844" w:rsidP="000E57E3">
            <w:pPr>
              <w:pStyle w:val="Tabletext"/>
            </w:pPr>
            <w:r w:rsidRPr="000E57E3">
              <w:t>Y</w:t>
            </w:r>
          </w:p>
        </w:tc>
        <w:tc>
          <w:tcPr>
            <w:tcW w:w="0" w:type="auto"/>
            <w:vAlign w:val="bottom"/>
          </w:tcPr>
          <w:p w14:paraId="1C7445A8" w14:textId="25EAF756" w:rsidR="008A6844" w:rsidRPr="000E57E3" w:rsidRDefault="008A6844" w:rsidP="000E57E3">
            <w:pPr>
              <w:pStyle w:val="Tabletext"/>
            </w:pPr>
            <w:r w:rsidRPr="000E57E3">
              <w:t> </w:t>
            </w:r>
          </w:p>
        </w:tc>
        <w:tc>
          <w:tcPr>
            <w:tcW w:w="0" w:type="auto"/>
            <w:vAlign w:val="bottom"/>
          </w:tcPr>
          <w:p w14:paraId="33A1061D" w14:textId="421F6C3E" w:rsidR="008A6844" w:rsidRPr="000E57E3" w:rsidRDefault="008A6844" w:rsidP="000E57E3">
            <w:pPr>
              <w:pStyle w:val="Tabletext"/>
            </w:pPr>
            <w:r w:rsidRPr="000E57E3">
              <w:t>Y</w:t>
            </w:r>
          </w:p>
        </w:tc>
        <w:tc>
          <w:tcPr>
            <w:tcW w:w="0" w:type="auto"/>
            <w:vAlign w:val="bottom"/>
          </w:tcPr>
          <w:p w14:paraId="43745655" w14:textId="4A8863BC" w:rsidR="008A6844" w:rsidRPr="000E57E3" w:rsidRDefault="008A6844" w:rsidP="000E57E3">
            <w:pPr>
              <w:pStyle w:val="Tabletext"/>
            </w:pPr>
            <w:r w:rsidRPr="000E57E3">
              <w:t>Y</w:t>
            </w:r>
          </w:p>
        </w:tc>
        <w:tc>
          <w:tcPr>
            <w:tcW w:w="0" w:type="auto"/>
            <w:vAlign w:val="bottom"/>
          </w:tcPr>
          <w:p w14:paraId="6120E5E0" w14:textId="6D66FBA3" w:rsidR="008A6844" w:rsidRPr="000E57E3" w:rsidRDefault="008A6844" w:rsidP="000E57E3">
            <w:pPr>
              <w:pStyle w:val="Tabletext"/>
            </w:pPr>
            <w:r w:rsidRPr="000E57E3">
              <w:t>Y</w:t>
            </w:r>
          </w:p>
        </w:tc>
        <w:tc>
          <w:tcPr>
            <w:tcW w:w="0" w:type="auto"/>
            <w:vAlign w:val="bottom"/>
          </w:tcPr>
          <w:p w14:paraId="461FAAE6" w14:textId="22D07BFA" w:rsidR="008A6844" w:rsidRPr="000E57E3" w:rsidRDefault="008A6844" w:rsidP="000E57E3">
            <w:pPr>
              <w:pStyle w:val="Tabletext"/>
            </w:pPr>
            <w:r w:rsidRPr="000E57E3">
              <w:t>Y</w:t>
            </w:r>
          </w:p>
        </w:tc>
        <w:tc>
          <w:tcPr>
            <w:tcW w:w="0" w:type="auto"/>
            <w:vAlign w:val="bottom"/>
          </w:tcPr>
          <w:p w14:paraId="47EC224E" w14:textId="3330DEB1" w:rsidR="008A6844" w:rsidRPr="000E57E3" w:rsidRDefault="008A6844" w:rsidP="000E57E3">
            <w:pPr>
              <w:pStyle w:val="Tabletext"/>
            </w:pPr>
            <w:r w:rsidRPr="000E57E3">
              <w:t>Y</w:t>
            </w:r>
          </w:p>
        </w:tc>
        <w:tc>
          <w:tcPr>
            <w:tcW w:w="0" w:type="auto"/>
            <w:vAlign w:val="bottom"/>
          </w:tcPr>
          <w:p w14:paraId="48ECE1A1" w14:textId="74DC00F8" w:rsidR="008A6844" w:rsidRPr="000E57E3" w:rsidRDefault="008A6844" w:rsidP="000E57E3">
            <w:pPr>
              <w:pStyle w:val="Tabletext"/>
            </w:pPr>
            <w:r w:rsidRPr="000E57E3">
              <w:t>Exemplar</w:t>
            </w:r>
          </w:p>
        </w:tc>
      </w:tr>
      <w:tr w:rsidR="00776CCE" w:rsidRPr="008A6844" w14:paraId="213B9BA4" w14:textId="77777777" w:rsidTr="00CA44B7">
        <w:tc>
          <w:tcPr>
            <w:tcW w:w="0" w:type="auto"/>
            <w:vAlign w:val="bottom"/>
          </w:tcPr>
          <w:p w14:paraId="7581DCEC" w14:textId="371E0DAD" w:rsidR="008A6844" w:rsidRPr="000E57E3" w:rsidRDefault="008A6844" w:rsidP="000E57E3">
            <w:pPr>
              <w:pStyle w:val="Tabletext"/>
            </w:pPr>
            <w:r w:rsidRPr="000E57E3">
              <w:t>BRCA2</w:t>
            </w:r>
          </w:p>
        </w:tc>
        <w:tc>
          <w:tcPr>
            <w:tcW w:w="0" w:type="auto"/>
            <w:vAlign w:val="bottom"/>
          </w:tcPr>
          <w:p w14:paraId="12053197" w14:textId="16FF68C3" w:rsidR="008A6844" w:rsidRPr="000E57E3" w:rsidRDefault="008A6844" w:rsidP="000E57E3">
            <w:pPr>
              <w:pStyle w:val="Tabletext"/>
            </w:pPr>
            <w:r w:rsidRPr="000E57E3">
              <w:t>Y</w:t>
            </w:r>
          </w:p>
        </w:tc>
        <w:tc>
          <w:tcPr>
            <w:tcW w:w="0" w:type="auto"/>
            <w:vAlign w:val="bottom"/>
          </w:tcPr>
          <w:p w14:paraId="6C4C180A" w14:textId="5F62BC2E" w:rsidR="008A6844" w:rsidRPr="000E57E3" w:rsidRDefault="008A6844" w:rsidP="000E57E3">
            <w:pPr>
              <w:pStyle w:val="Tabletext"/>
            </w:pPr>
            <w:r w:rsidRPr="000E57E3">
              <w:t> </w:t>
            </w:r>
          </w:p>
        </w:tc>
        <w:tc>
          <w:tcPr>
            <w:tcW w:w="0" w:type="auto"/>
            <w:vAlign w:val="bottom"/>
          </w:tcPr>
          <w:p w14:paraId="3E431B96" w14:textId="69DA2B84" w:rsidR="008A6844" w:rsidRPr="000E57E3" w:rsidRDefault="008A6844" w:rsidP="000E57E3">
            <w:pPr>
              <w:pStyle w:val="Tabletext"/>
            </w:pPr>
            <w:r w:rsidRPr="000E57E3">
              <w:t> </w:t>
            </w:r>
          </w:p>
        </w:tc>
        <w:tc>
          <w:tcPr>
            <w:tcW w:w="0" w:type="auto"/>
            <w:vAlign w:val="bottom"/>
          </w:tcPr>
          <w:p w14:paraId="2F862F52" w14:textId="71C45BFD" w:rsidR="008A6844" w:rsidRPr="000E57E3" w:rsidRDefault="008A6844" w:rsidP="000E57E3">
            <w:pPr>
              <w:pStyle w:val="Tabletext"/>
            </w:pPr>
            <w:r w:rsidRPr="000E57E3">
              <w:t> </w:t>
            </w:r>
          </w:p>
        </w:tc>
        <w:tc>
          <w:tcPr>
            <w:tcW w:w="0" w:type="auto"/>
            <w:vAlign w:val="bottom"/>
          </w:tcPr>
          <w:p w14:paraId="49D230DC" w14:textId="1509EE7A" w:rsidR="008A6844" w:rsidRPr="000E57E3" w:rsidRDefault="008A6844" w:rsidP="000E57E3">
            <w:pPr>
              <w:pStyle w:val="Tabletext"/>
            </w:pPr>
            <w:r w:rsidRPr="000E57E3">
              <w:t> </w:t>
            </w:r>
          </w:p>
        </w:tc>
        <w:tc>
          <w:tcPr>
            <w:tcW w:w="0" w:type="auto"/>
            <w:vAlign w:val="bottom"/>
          </w:tcPr>
          <w:p w14:paraId="1FA93A1F" w14:textId="390E71A6" w:rsidR="008A6844" w:rsidRPr="000E57E3" w:rsidRDefault="008A6844" w:rsidP="000E57E3">
            <w:pPr>
              <w:pStyle w:val="Tabletext"/>
            </w:pPr>
            <w:r w:rsidRPr="000E57E3">
              <w:t> </w:t>
            </w:r>
          </w:p>
        </w:tc>
        <w:tc>
          <w:tcPr>
            <w:tcW w:w="0" w:type="auto"/>
            <w:vAlign w:val="bottom"/>
          </w:tcPr>
          <w:p w14:paraId="3A2774B4" w14:textId="7A2AB109" w:rsidR="008A6844" w:rsidRPr="000E57E3" w:rsidRDefault="008A6844" w:rsidP="000E57E3">
            <w:pPr>
              <w:pStyle w:val="Tabletext"/>
            </w:pPr>
            <w:r w:rsidRPr="000E57E3">
              <w:t> </w:t>
            </w:r>
          </w:p>
        </w:tc>
        <w:tc>
          <w:tcPr>
            <w:tcW w:w="0" w:type="auto"/>
            <w:vAlign w:val="bottom"/>
          </w:tcPr>
          <w:p w14:paraId="16B4F522" w14:textId="52D6AE43" w:rsidR="008A6844" w:rsidRPr="000E57E3" w:rsidRDefault="008A6844" w:rsidP="000E57E3">
            <w:pPr>
              <w:pStyle w:val="Tabletext"/>
            </w:pPr>
            <w:r w:rsidRPr="000E57E3">
              <w:t> </w:t>
            </w:r>
          </w:p>
        </w:tc>
        <w:tc>
          <w:tcPr>
            <w:tcW w:w="0" w:type="auto"/>
            <w:vAlign w:val="bottom"/>
          </w:tcPr>
          <w:p w14:paraId="372CE7BA" w14:textId="10E83442" w:rsidR="008A6844" w:rsidRPr="000E57E3" w:rsidRDefault="008A6844" w:rsidP="000E57E3">
            <w:pPr>
              <w:pStyle w:val="Tabletext"/>
            </w:pPr>
            <w:r w:rsidRPr="000E57E3">
              <w:t> </w:t>
            </w:r>
          </w:p>
        </w:tc>
        <w:tc>
          <w:tcPr>
            <w:tcW w:w="0" w:type="auto"/>
            <w:vAlign w:val="bottom"/>
          </w:tcPr>
          <w:p w14:paraId="50C2A442" w14:textId="37297B61" w:rsidR="008A6844" w:rsidRPr="000E57E3" w:rsidRDefault="008A6844" w:rsidP="000E57E3">
            <w:pPr>
              <w:pStyle w:val="Tabletext"/>
            </w:pPr>
            <w:r w:rsidRPr="000E57E3">
              <w:t> </w:t>
            </w:r>
          </w:p>
        </w:tc>
        <w:tc>
          <w:tcPr>
            <w:tcW w:w="0" w:type="auto"/>
            <w:vAlign w:val="bottom"/>
          </w:tcPr>
          <w:p w14:paraId="56246213" w14:textId="4D6F02F1" w:rsidR="008A6844" w:rsidRPr="000E57E3" w:rsidRDefault="008A6844" w:rsidP="000E57E3">
            <w:pPr>
              <w:pStyle w:val="Tabletext"/>
            </w:pPr>
            <w:r w:rsidRPr="000E57E3">
              <w:t> </w:t>
            </w:r>
          </w:p>
        </w:tc>
        <w:tc>
          <w:tcPr>
            <w:tcW w:w="0" w:type="auto"/>
            <w:vAlign w:val="bottom"/>
          </w:tcPr>
          <w:p w14:paraId="4CD35489" w14:textId="36D0B510" w:rsidR="008A6844" w:rsidRPr="000E57E3" w:rsidRDefault="008A6844" w:rsidP="000E57E3">
            <w:pPr>
              <w:pStyle w:val="Tabletext"/>
            </w:pPr>
            <w:r w:rsidRPr="000E57E3">
              <w:t>Exemplar</w:t>
            </w:r>
          </w:p>
        </w:tc>
      </w:tr>
      <w:tr w:rsidR="00776CCE" w:rsidRPr="008A6844" w14:paraId="6DF6AD1C" w14:textId="77777777" w:rsidTr="00CA44B7">
        <w:tc>
          <w:tcPr>
            <w:tcW w:w="0" w:type="auto"/>
            <w:vAlign w:val="bottom"/>
          </w:tcPr>
          <w:p w14:paraId="6BC118AE" w14:textId="7FBEF4A9" w:rsidR="008A6844" w:rsidRPr="000E57E3" w:rsidRDefault="008A6844" w:rsidP="000E57E3">
            <w:pPr>
              <w:pStyle w:val="Tabletext"/>
            </w:pPr>
            <w:r w:rsidRPr="000E57E3">
              <w:t>BRIP1</w:t>
            </w:r>
          </w:p>
        </w:tc>
        <w:tc>
          <w:tcPr>
            <w:tcW w:w="0" w:type="auto"/>
            <w:vAlign w:val="bottom"/>
          </w:tcPr>
          <w:p w14:paraId="69DCC066" w14:textId="5BBCED08" w:rsidR="008A6844" w:rsidRPr="000E57E3" w:rsidRDefault="008A6844" w:rsidP="000E57E3">
            <w:pPr>
              <w:pStyle w:val="Tabletext"/>
            </w:pPr>
            <w:r w:rsidRPr="000E57E3">
              <w:t>Y</w:t>
            </w:r>
          </w:p>
        </w:tc>
        <w:tc>
          <w:tcPr>
            <w:tcW w:w="0" w:type="auto"/>
            <w:vAlign w:val="bottom"/>
          </w:tcPr>
          <w:p w14:paraId="54CDE631" w14:textId="79DE2CA3" w:rsidR="008A6844" w:rsidRPr="000E57E3" w:rsidRDefault="008A6844" w:rsidP="000E57E3">
            <w:pPr>
              <w:pStyle w:val="Tabletext"/>
            </w:pPr>
            <w:r w:rsidRPr="000E57E3">
              <w:t> </w:t>
            </w:r>
          </w:p>
        </w:tc>
        <w:tc>
          <w:tcPr>
            <w:tcW w:w="0" w:type="auto"/>
            <w:vAlign w:val="bottom"/>
          </w:tcPr>
          <w:p w14:paraId="7A04B72B" w14:textId="5B635629" w:rsidR="008A6844" w:rsidRPr="000E57E3" w:rsidRDefault="008A6844" w:rsidP="000E57E3">
            <w:pPr>
              <w:pStyle w:val="Tabletext"/>
            </w:pPr>
            <w:r w:rsidRPr="000E57E3">
              <w:t> </w:t>
            </w:r>
          </w:p>
        </w:tc>
        <w:tc>
          <w:tcPr>
            <w:tcW w:w="0" w:type="auto"/>
            <w:vAlign w:val="bottom"/>
          </w:tcPr>
          <w:p w14:paraId="21F3F6DE" w14:textId="0CED40EF" w:rsidR="008A6844" w:rsidRPr="000E57E3" w:rsidRDefault="008A6844" w:rsidP="000E57E3">
            <w:pPr>
              <w:pStyle w:val="Tabletext"/>
            </w:pPr>
            <w:r w:rsidRPr="000E57E3">
              <w:t> </w:t>
            </w:r>
          </w:p>
        </w:tc>
        <w:tc>
          <w:tcPr>
            <w:tcW w:w="0" w:type="auto"/>
            <w:vAlign w:val="bottom"/>
          </w:tcPr>
          <w:p w14:paraId="27525B12" w14:textId="04E0C2BB" w:rsidR="008A6844" w:rsidRPr="000E57E3" w:rsidRDefault="008A6844" w:rsidP="000E57E3">
            <w:pPr>
              <w:pStyle w:val="Tabletext"/>
            </w:pPr>
            <w:r w:rsidRPr="000E57E3">
              <w:t> </w:t>
            </w:r>
          </w:p>
        </w:tc>
        <w:tc>
          <w:tcPr>
            <w:tcW w:w="0" w:type="auto"/>
            <w:vAlign w:val="bottom"/>
          </w:tcPr>
          <w:p w14:paraId="1D7C92C4" w14:textId="3D9B325C" w:rsidR="008A6844" w:rsidRPr="000E57E3" w:rsidRDefault="008A6844" w:rsidP="000E57E3">
            <w:pPr>
              <w:pStyle w:val="Tabletext"/>
            </w:pPr>
            <w:r w:rsidRPr="000E57E3">
              <w:t> </w:t>
            </w:r>
          </w:p>
        </w:tc>
        <w:tc>
          <w:tcPr>
            <w:tcW w:w="0" w:type="auto"/>
            <w:vAlign w:val="bottom"/>
          </w:tcPr>
          <w:p w14:paraId="4F1718C8" w14:textId="05E7D6A1" w:rsidR="008A6844" w:rsidRPr="000E57E3" w:rsidRDefault="008A6844" w:rsidP="000E57E3">
            <w:pPr>
              <w:pStyle w:val="Tabletext"/>
            </w:pPr>
            <w:r w:rsidRPr="000E57E3">
              <w:t> </w:t>
            </w:r>
          </w:p>
        </w:tc>
        <w:tc>
          <w:tcPr>
            <w:tcW w:w="0" w:type="auto"/>
            <w:vAlign w:val="bottom"/>
          </w:tcPr>
          <w:p w14:paraId="441E979C" w14:textId="2A21A4D9" w:rsidR="008A6844" w:rsidRPr="000E57E3" w:rsidRDefault="008A6844" w:rsidP="000E57E3">
            <w:pPr>
              <w:pStyle w:val="Tabletext"/>
            </w:pPr>
            <w:r w:rsidRPr="000E57E3">
              <w:t> </w:t>
            </w:r>
          </w:p>
        </w:tc>
        <w:tc>
          <w:tcPr>
            <w:tcW w:w="0" w:type="auto"/>
            <w:vAlign w:val="bottom"/>
          </w:tcPr>
          <w:p w14:paraId="64AB052D" w14:textId="67BDE1CF" w:rsidR="008A6844" w:rsidRPr="000E57E3" w:rsidRDefault="008A6844" w:rsidP="000E57E3">
            <w:pPr>
              <w:pStyle w:val="Tabletext"/>
            </w:pPr>
            <w:r w:rsidRPr="000E57E3">
              <w:t> </w:t>
            </w:r>
          </w:p>
        </w:tc>
        <w:tc>
          <w:tcPr>
            <w:tcW w:w="0" w:type="auto"/>
            <w:vAlign w:val="bottom"/>
          </w:tcPr>
          <w:p w14:paraId="0FF27075" w14:textId="7A8CBF40" w:rsidR="008A6844" w:rsidRPr="000E57E3" w:rsidRDefault="008A6844" w:rsidP="000E57E3">
            <w:pPr>
              <w:pStyle w:val="Tabletext"/>
            </w:pPr>
            <w:r w:rsidRPr="000E57E3">
              <w:t> </w:t>
            </w:r>
          </w:p>
        </w:tc>
        <w:tc>
          <w:tcPr>
            <w:tcW w:w="0" w:type="auto"/>
            <w:vAlign w:val="bottom"/>
          </w:tcPr>
          <w:p w14:paraId="62D0FB90" w14:textId="04920087" w:rsidR="008A6844" w:rsidRPr="000E57E3" w:rsidRDefault="008A6844" w:rsidP="000E57E3">
            <w:pPr>
              <w:pStyle w:val="Tabletext"/>
            </w:pPr>
            <w:r w:rsidRPr="000E57E3">
              <w:t> </w:t>
            </w:r>
          </w:p>
        </w:tc>
        <w:tc>
          <w:tcPr>
            <w:tcW w:w="0" w:type="auto"/>
            <w:vAlign w:val="bottom"/>
          </w:tcPr>
          <w:p w14:paraId="064FB2F6" w14:textId="702ADB56" w:rsidR="008A6844" w:rsidRPr="000E57E3" w:rsidRDefault="008A6844" w:rsidP="000E57E3">
            <w:pPr>
              <w:pStyle w:val="Tabletext"/>
            </w:pPr>
            <w:r w:rsidRPr="000E57E3">
              <w:t>Exemplar</w:t>
            </w:r>
          </w:p>
        </w:tc>
      </w:tr>
      <w:tr w:rsidR="00776CCE" w:rsidRPr="008A6844" w14:paraId="063C58BF" w14:textId="77777777" w:rsidTr="00CA44B7">
        <w:tc>
          <w:tcPr>
            <w:tcW w:w="0" w:type="auto"/>
            <w:vAlign w:val="bottom"/>
          </w:tcPr>
          <w:p w14:paraId="6E8019AD" w14:textId="372D5719" w:rsidR="008A6844" w:rsidRPr="000E57E3" w:rsidRDefault="008A6844" w:rsidP="000E57E3">
            <w:pPr>
              <w:pStyle w:val="Tabletext"/>
            </w:pPr>
            <w:r w:rsidRPr="000E57E3">
              <w:t>CALR</w:t>
            </w:r>
          </w:p>
        </w:tc>
        <w:tc>
          <w:tcPr>
            <w:tcW w:w="0" w:type="auto"/>
            <w:vAlign w:val="bottom"/>
          </w:tcPr>
          <w:p w14:paraId="4365F05E" w14:textId="61732070" w:rsidR="008A6844" w:rsidRPr="000E57E3" w:rsidRDefault="008A6844" w:rsidP="000E57E3">
            <w:pPr>
              <w:pStyle w:val="Tabletext"/>
            </w:pPr>
            <w:r w:rsidRPr="000E57E3">
              <w:t>Y</w:t>
            </w:r>
          </w:p>
        </w:tc>
        <w:tc>
          <w:tcPr>
            <w:tcW w:w="0" w:type="auto"/>
            <w:vAlign w:val="bottom"/>
          </w:tcPr>
          <w:p w14:paraId="38C31CFE" w14:textId="18B05809" w:rsidR="008A6844" w:rsidRPr="000E57E3" w:rsidRDefault="008A6844" w:rsidP="000E57E3">
            <w:pPr>
              <w:pStyle w:val="Tabletext"/>
            </w:pPr>
            <w:r w:rsidRPr="000E57E3">
              <w:t> </w:t>
            </w:r>
          </w:p>
        </w:tc>
        <w:tc>
          <w:tcPr>
            <w:tcW w:w="0" w:type="auto"/>
            <w:vAlign w:val="bottom"/>
          </w:tcPr>
          <w:p w14:paraId="303C03C2" w14:textId="402E0199" w:rsidR="008A6844" w:rsidRPr="000E57E3" w:rsidRDefault="008A6844" w:rsidP="000E57E3">
            <w:pPr>
              <w:pStyle w:val="Tabletext"/>
            </w:pPr>
            <w:r w:rsidRPr="000E57E3">
              <w:t>Y</w:t>
            </w:r>
          </w:p>
        </w:tc>
        <w:tc>
          <w:tcPr>
            <w:tcW w:w="0" w:type="auto"/>
            <w:vAlign w:val="bottom"/>
          </w:tcPr>
          <w:p w14:paraId="0968E7E5" w14:textId="40002A7E" w:rsidR="008A6844" w:rsidRPr="000E57E3" w:rsidRDefault="008A6844" w:rsidP="000E57E3">
            <w:pPr>
              <w:pStyle w:val="Tabletext"/>
            </w:pPr>
            <w:r w:rsidRPr="000E57E3">
              <w:t> </w:t>
            </w:r>
          </w:p>
        </w:tc>
        <w:tc>
          <w:tcPr>
            <w:tcW w:w="0" w:type="auto"/>
            <w:vAlign w:val="bottom"/>
          </w:tcPr>
          <w:p w14:paraId="1894FB6F" w14:textId="616AEA6E" w:rsidR="008A6844" w:rsidRPr="000E57E3" w:rsidRDefault="008A6844" w:rsidP="000E57E3">
            <w:pPr>
              <w:pStyle w:val="Tabletext"/>
            </w:pPr>
            <w:r w:rsidRPr="000E57E3">
              <w:t>Y</w:t>
            </w:r>
          </w:p>
        </w:tc>
        <w:tc>
          <w:tcPr>
            <w:tcW w:w="0" w:type="auto"/>
            <w:vAlign w:val="bottom"/>
          </w:tcPr>
          <w:p w14:paraId="267E907E" w14:textId="5DB062D0" w:rsidR="008A6844" w:rsidRPr="000E57E3" w:rsidRDefault="008A6844" w:rsidP="000E57E3">
            <w:pPr>
              <w:pStyle w:val="Tabletext"/>
            </w:pPr>
            <w:r w:rsidRPr="000E57E3">
              <w:t> </w:t>
            </w:r>
          </w:p>
        </w:tc>
        <w:tc>
          <w:tcPr>
            <w:tcW w:w="0" w:type="auto"/>
            <w:vAlign w:val="bottom"/>
          </w:tcPr>
          <w:p w14:paraId="6079E9F8" w14:textId="52CBB222" w:rsidR="008A6844" w:rsidRPr="000E57E3" w:rsidRDefault="008A6844" w:rsidP="000E57E3">
            <w:pPr>
              <w:pStyle w:val="Tabletext"/>
            </w:pPr>
            <w:r w:rsidRPr="000E57E3">
              <w:t>Y</w:t>
            </w:r>
          </w:p>
        </w:tc>
        <w:tc>
          <w:tcPr>
            <w:tcW w:w="0" w:type="auto"/>
            <w:vAlign w:val="bottom"/>
          </w:tcPr>
          <w:p w14:paraId="4011B1C6" w14:textId="6B7DA3C2" w:rsidR="008A6844" w:rsidRPr="000E57E3" w:rsidRDefault="008A6844" w:rsidP="000E57E3">
            <w:pPr>
              <w:pStyle w:val="Tabletext"/>
            </w:pPr>
            <w:r w:rsidRPr="000E57E3">
              <w:t> </w:t>
            </w:r>
          </w:p>
        </w:tc>
        <w:tc>
          <w:tcPr>
            <w:tcW w:w="0" w:type="auto"/>
            <w:vAlign w:val="bottom"/>
          </w:tcPr>
          <w:p w14:paraId="01DDDB3D" w14:textId="4E002869" w:rsidR="008A6844" w:rsidRPr="000E57E3" w:rsidRDefault="008A6844" w:rsidP="000E57E3">
            <w:pPr>
              <w:pStyle w:val="Tabletext"/>
            </w:pPr>
            <w:r w:rsidRPr="000E57E3">
              <w:t>Y</w:t>
            </w:r>
          </w:p>
        </w:tc>
        <w:tc>
          <w:tcPr>
            <w:tcW w:w="0" w:type="auto"/>
            <w:vAlign w:val="bottom"/>
          </w:tcPr>
          <w:p w14:paraId="373072A0" w14:textId="771B2360" w:rsidR="008A6844" w:rsidRPr="000E57E3" w:rsidRDefault="008A6844" w:rsidP="000E57E3">
            <w:pPr>
              <w:pStyle w:val="Tabletext"/>
            </w:pPr>
            <w:r w:rsidRPr="000E57E3">
              <w:t> </w:t>
            </w:r>
          </w:p>
        </w:tc>
        <w:tc>
          <w:tcPr>
            <w:tcW w:w="0" w:type="auto"/>
            <w:vAlign w:val="bottom"/>
          </w:tcPr>
          <w:p w14:paraId="58AA3832" w14:textId="672914E8" w:rsidR="008A6844" w:rsidRPr="000E57E3" w:rsidRDefault="008A6844" w:rsidP="000E57E3">
            <w:pPr>
              <w:pStyle w:val="Tabletext"/>
            </w:pPr>
            <w:r w:rsidRPr="000E57E3">
              <w:t>Y</w:t>
            </w:r>
          </w:p>
        </w:tc>
        <w:tc>
          <w:tcPr>
            <w:tcW w:w="0" w:type="auto"/>
            <w:vAlign w:val="bottom"/>
          </w:tcPr>
          <w:p w14:paraId="153ABF5E" w14:textId="2E13EC03" w:rsidR="008A6844" w:rsidRPr="000E57E3" w:rsidRDefault="008A6844" w:rsidP="000E57E3">
            <w:pPr>
              <w:pStyle w:val="Tabletext"/>
            </w:pPr>
            <w:r w:rsidRPr="000E57E3">
              <w:t>Exemplar</w:t>
            </w:r>
          </w:p>
        </w:tc>
      </w:tr>
      <w:tr w:rsidR="00776CCE" w:rsidRPr="008A6844" w14:paraId="77BC58DC" w14:textId="77777777" w:rsidTr="00CA44B7">
        <w:tc>
          <w:tcPr>
            <w:tcW w:w="0" w:type="auto"/>
            <w:vAlign w:val="bottom"/>
          </w:tcPr>
          <w:p w14:paraId="78FB463E" w14:textId="4D51FFDD" w:rsidR="008A6844" w:rsidRPr="000E57E3" w:rsidRDefault="008A6844" w:rsidP="000E57E3">
            <w:pPr>
              <w:pStyle w:val="Tabletext"/>
            </w:pPr>
            <w:r w:rsidRPr="000E57E3">
              <w:t>CBFB-MYH11</w:t>
            </w:r>
          </w:p>
        </w:tc>
        <w:tc>
          <w:tcPr>
            <w:tcW w:w="0" w:type="auto"/>
            <w:vAlign w:val="bottom"/>
          </w:tcPr>
          <w:p w14:paraId="5AC2AD2F" w14:textId="5DD193C8" w:rsidR="008A6844" w:rsidRPr="000E57E3" w:rsidRDefault="008A6844" w:rsidP="000E57E3">
            <w:pPr>
              <w:pStyle w:val="Tabletext"/>
            </w:pPr>
            <w:r w:rsidRPr="000E57E3">
              <w:t> </w:t>
            </w:r>
          </w:p>
        </w:tc>
        <w:tc>
          <w:tcPr>
            <w:tcW w:w="0" w:type="auto"/>
            <w:vAlign w:val="bottom"/>
          </w:tcPr>
          <w:p w14:paraId="797ADD3B" w14:textId="4C1F38F8" w:rsidR="008A6844" w:rsidRPr="000E57E3" w:rsidRDefault="008A6844" w:rsidP="000E57E3">
            <w:pPr>
              <w:pStyle w:val="Tabletext"/>
            </w:pPr>
            <w:r w:rsidRPr="000E57E3">
              <w:t>Y</w:t>
            </w:r>
          </w:p>
        </w:tc>
        <w:tc>
          <w:tcPr>
            <w:tcW w:w="0" w:type="auto"/>
            <w:vAlign w:val="bottom"/>
          </w:tcPr>
          <w:p w14:paraId="7986159E" w14:textId="64D96FB6" w:rsidR="008A6844" w:rsidRPr="000E57E3" w:rsidRDefault="008A6844" w:rsidP="000E57E3">
            <w:pPr>
              <w:pStyle w:val="Tabletext"/>
            </w:pPr>
            <w:r w:rsidRPr="000E57E3">
              <w:t> </w:t>
            </w:r>
          </w:p>
        </w:tc>
        <w:tc>
          <w:tcPr>
            <w:tcW w:w="0" w:type="auto"/>
            <w:vAlign w:val="bottom"/>
          </w:tcPr>
          <w:p w14:paraId="27F851E6" w14:textId="049F8F5C" w:rsidR="008A6844" w:rsidRPr="000E57E3" w:rsidRDefault="008A6844" w:rsidP="000E57E3">
            <w:pPr>
              <w:pStyle w:val="Tabletext"/>
            </w:pPr>
            <w:r w:rsidRPr="000E57E3">
              <w:t> </w:t>
            </w:r>
          </w:p>
        </w:tc>
        <w:tc>
          <w:tcPr>
            <w:tcW w:w="0" w:type="auto"/>
            <w:vAlign w:val="bottom"/>
          </w:tcPr>
          <w:p w14:paraId="7C6AB600" w14:textId="784B61A8" w:rsidR="008A6844" w:rsidRPr="000E57E3" w:rsidRDefault="008A6844" w:rsidP="000E57E3">
            <w:pPr>
              <w:pStyle w:val="Tabletext"/>
            </w:pPr>
            <w:r w:rsidRPr="000E57E3">
              <w:t> </w:t>
            </w:r>
          </w:p>
        </w:tc>
        <w:tc>
          <w:tcPr>
            <w:tcW w:w="0" w:type="auto"/>
            <w:vAlign w:val="bottom"/>
          </w:tcPr>
          <w:p w14:paraId="24D508DA" w14:textId="7EEE74CC" w:rsidR="008A6844" w:rsidRPr="000E57E3" w:rsidRDefault="008A6844" w:rsidP="000E57E3">
            <w:pPr>
              <w:pStyle w:val="Tabletext"/>
            </w:pPr>
            <w:r w:rsidRPr="000E57E3">
              <w:t> </w:t>
            </w:r>
          </w:p>
        </w:tc>
        <w:tc>
          <w:tcPr>
            <w:tcW w:w="0" w:type="auto"/>
            <w:vAlign w:val="bottom"/>
          </w:tcPr>
          <w:p w14:paraId="1BC14793" w14:textId="1D039F3C" w:rsidR="008A6844" w:rsidRPr="000E57E3" w:rsidRDefault="008A6844" w:rsidP="000E57E3">
            <w:pPr>
              <w:pStyle w:val="Tabletext"/>
            </w:pPr>
            <w:r w:rsidRPr="000E57E3">
              <w:t> </w:t>
            </w:r>
          </w:p>
        </w:tc>
        <w:tc>
          <w:tcPr>
            <w:tcW w:w="0" w:type="auto"/>
            <w:vAlign w:val="bottom"/>
          </w:tcPr>
          <w:p w14:paraId="60E3849A" w14:textId="2F0094A5" w:rsidR="008A6844" w:rsidRPr="000E57E3" w:rsidRDefault="008A6844" w:rsidP="000E57E3">
            <w:pPr>
              <w:pStyle w:val="Tabletext"/>
            </w:pPr>
            <w:r w:rsidRPr="000E57E3">
              <w:t> </w:t>
            </w:r>
          </w:p>
        </w:tc>
        <w:tc>
          <w:tcPr>
            <w:tcW w:w="0" w:type="auto"/>
            <w:vAlign w:val="bottom"/>
          </w:tcPr>
          <w:p w14:paraId="1362FC9D" w14:textId="44533B3C" w:rsidR="008A6844" w:rsidRPr="000E57E3" w:rsidRDefault="008A6844" w:rsidP="000E57E3">
            <w:pPr>
              <w:pStyle w:val="Tabletext"/>
            </w:pPr>
            <w:r w:rsidRPr="000E57E3">
              <w:t> </w:t>
            </w:r>
          </w:p>
        </w:tc>
        <w:tc>
          <w:tcPr>
            <w:tcW w:w="0" w:type="auto"/>
            <w:vAlign w:val="bottom"/>
          </w:tcPr>
          <w:p w14:paraId="5781BF64" w14:textId="4814369A" w:rsidR="008A6844" w:rsidRPr="000E57E3" w:rsidRDefault="008A6844" w:rsidP="000E57E3">
            <w:pPr>
              <w:pStyle w:val="Tabletext"/>
            </w:pPr>
            <w:r w:rsidRPr="000E57E3">
              <w:t> </w:t>
            </w:r>
          </w:p>
        </w:tc>
        <w:tc>
          <w:tcPr>
            <w:tcW w:w="0" w:type="auto"/>
            <w:vAlign w:val="bottom"/>
          </w:tcPr>
          <w:p w14:paraId="27984D8D" w14:textId="4A7F8890" w:rsidR="008A6844" w:rsidRPr="000E57E3" w:rsidRDefault="008A6844" w:rsidP="000E57E3">
            <w:pPr>
              <w:pStyle w:val="Tabletext"/>
            </w:pPr>
            <w:r w:rsidRPr="000E57E3">
              <w:t> </w:t>
            </w:r>
          </w:p>
        </w:tc>
        <w:tc>
          <w:tcPr>
            <w:tcW w:w="0" w:type="auto"/>
            <w:vAlign w:val="bottom"/>
          </w:tcPr>
          <w:p w14:paraId="18E3D51E" w14:textId="19A6D541" w:rsidR="008A6844" w:rsidRPr="000E57E3" w:rsidRDefault="008A6844" w:rsidP="000E57E3">
            <w:pPr>
              <w:pStyle w:val="Tabletext"/>
            </w:pPr>
            <w:r w:rsidRPr="000E57E3">
              <w:t>Exemplar</w:t>
            </w:r>
          </w:p>
        </w:tc>
      </w:tr>
      <w:tr w:rsidR="00776CCE" w:rsidRPr="008A6844" w14:paraId="37B4A6BB" w14:textId="77777777" w:rsidTr="00CA44B7">
        <w:tc>
          <w:tcPr>
            <w:tcW w:w="0" w:type="auto"/>
            <w:vAlign w:val="bottom"/>
          </w:tcPr>
          <w:p w14:paraId="2C562898" w14:textId="304FE965" w:rsidR="008A6844" w:rsidRPr="000E57E3" w:rsidRDefault="008A6844" w:rsidP="000E57E3">
            <w:pPr>
              <w:pStyle w:val="Tabletext"/>
            </w:pPr>
            <w:r w:rsidRPr="000E57E3">
              <w:t>CBL</w:t>
            </w:r>
          </w:p>
        </w:tc>
        <w:tc>
          <w:tcPr>
            <w:tcW w:w="0" w:type="auto"/>
            <w:vAlign w:val="bottom"/>
          </w:tcPr>
          <w:p w14:paraId="00601C2D" w14:textId="04B985D0" w:rsidR="008A6844" w:rsidRPr="000E57E3" w:rsidRDefault="008A6844" w:rsidP="000E57E3">
            <w:pPr>
              <w:pStyle w:val="Tabletext"/>
            </w:pPr>
            <w:r w:rsidRPr="000E57E3">
              <w:t>Y</w:t>
            </w:r>
          </w:p>
        </w:tc>
        <w:tc>
          <w:tcPr>
            <w:tcW w:w="0" w:type="auto"/>
            <w:vAlign w:val="bottom"/>
          </w:tcPr>
          <w:p w14:paraId="02258C5F" w14:textId="5C4F1FED" w:rsidR="008A6844" w:rsidRPr="000E57E3" w:rsidRDefault="008A6844" w:rsidP="000E57E3">
            <w:pPr>
              <w:pStyle w:val="Tabletext"/>
            </w:pPr>
            <w:r w:rsidRPr="000E57E3">
              <w:t> </w:t>
            </w:r>
          </w:p>
        </w:tc>
        <w:tc>
          <w:tcPr>
            <w:tcW w:w="0" w:type="auto"/>
            <w:vAlign w:val="bottom"/>
          </w:tcPr>
          <w:p w14:paraId="7586B775" w14:textId="6288BD1C" w:rsidR="008A6844" w:rsidRPr="000E57E3" w:rsidRDefault="008A6844" w:rsidP="000E57E3">
            <w:pPr>
              <w:pStyle w:val="Tabletext"/>
            </w:pPr>
            <w:r w:rsidRPr="000E57E3">
              <w:t>Y</w:t>
            </w:r>
          </w:p>
        </w:tc>
        <w:tc>
          <w:tcPr>
            <w:tcW w:w="0" w:type="auto"/>
            <w:vAlign w:val="bottom"/>
          </w:tcPr>
          <w:p w14:paraId="4C38EC64" w14:textId="32CBB83C" w:rsidR="008A6844" w:rsidRPr="000E57E3" w:rsidRDefault="008A6844" w:rsidP="000E57E3">
            <w:pPr>
              <w:pStyle w:val="Tabletext"/>
            </w:pPr>
            <w:r w:rsidRPr="000E57E3">
              <w:t> </w:t>
            </w:r>
          </w:p>
        </w:tc>
        <w:tc>
          <w:tcPr>
            <w:tcW w:w="0" w:type="auto"/>
            <w:vAlign w:val="bottom"/>
          </w:tcPr>
          <w:p w14:paraId="3ED19DB5" w14:textId="4C67A033" w:rsidR="008A6844" w:rsidRPr="000E57E3" w:rsidRDefault="008A6844" w:rsidP="000E57E3">
            <w:pPr>
              <w:pStyle w:val="Tabletext"/>
            </w:pPr>
            <w:r w:rsidRPr="000E57E3">
              <w:t>Y</w:t>
            </w:r>
          </w:p>
        </w:tc>
        <w:tc>
          <w:tcPr>
            <w:tcW w:w="0" w:type="auto"/>
            <w:vAlign w:val="bottom"/>
          </w:tcPr>
          <w:p w14:paraId="0A9BF961" w14:textId="3E79AC87" w:rsidR="008A6844" w:rsidRPr="000E57E3" w:rsidRDefault="008A6844" w:rsidP="000E57E3">
            <w:pPr>
              <w:pStyle w:val="Tabletext"/>
            </w:pPr>
            <w:r w:rsidRPr="000E57E3">
              <w:t> </w:t>
            </w:r>
          </w:p>
        </w:tc>
        <w:tc>
          <w:tcPr>
            <w:tcW w:w="0" w:type="auto"/>
            <w:vAlign w:val="bottom"/>
          </w:tcPr>
          <w:p w14:paraId="1CBAC2CD" w14:textId="5CDC9560" w:rsidR="008A6844" w:rsidRPr="000E57E3" w:rsidRDefault="008A6844" w:rsidP="000E57E3">
            <w:pPr>
              <w:pStyle w:val="Tabletext"/>
            </w:pPr>
            <w:r w:rsidRPr="000E57E3">
              <w:t>Y</w:t>
            </w:r>
          </w:p>
        </w:tc>
        <w:tc>
          <w:tcPr>
            <w:tcW w:w="0" w:type="auto"/>
            <w:vAlign w:val="bottom"/>
          </w:tcPr>
          <w:p w14:paraId="43CFEDAB" w14:textId="155B7804" w:rsidR="008A6844" w:rsidRPr="000E57E3" w:rsidRDefault="008A6844" w:rsidP="000E57E3">
            <w:pPr>
              <w:pStyle w:val="Tabletext"/>
            </w:pPr>
            <w:r w:rsidRPr="000E57E3">
              <w:t> </w:t>
            </w:r>
          </w:p>
        </w:tc>
        <w:tc>
          <w:tcPr>
            <w:tcW w:w="0" w:type="auto"/>
            <w:vAlign w:val="bottom"/>
          </w:tcPr>
          <w:p w14:paraId="1ADD7FA2" w14:textId="7117F9C2" w:rsidR="008A6844" w:rsidRPr="000E57E3" w:rsidRDefault="008A6844" w:rsidP="000E57E3">
            <w:pPr>
              <w:pStyle w:val="Tabletext"/>
            </w:pPr>
            <w:r w:rsidRPr="000E57E3">
              <w:t>Y</w:t>
            </w:r>
          </w:p>
        </w:tc>
        <w:tc>
          <w:tcPr>
            <w:tcW w:w="0" w:type="auto"/>
            <w:vAlign w:val="bottom"/>
          </w:tcPr>
          <w:p w14:paraId="3E761A68" w14:textId="3FD56C2E" w:rsidR="008A6844" w:rsidRPr="000E57E3" w:rsidRDefault="008A6844" w:rsidP="000E57E3">
            <w:pPr>
              <w:pStyle w:val="Tabletext"/>
            </w:pPr>
            <w:r w:rsidRPr="000E57E3">
              <w:t> </w:t>
            </w:r>
          </w:p>
        </w:tc>
        <w:tc>
          <w:tcPr>
            <w:tcW w:w="0" w:type="auto"/>
            <w:vAlign w:val="bottom"/>
          </w:tcPr>
          <w:p w14:paraId="53DFD63B" w14:textId="79A3FF58" w:rsidR="008A6844" w:rsidRPr="000E57E3" w:rsidRDefault="008A6844" w:rsidP="000E57E3">
            <w:pPr>
              <w:pStyle w:val="Tabletext"/>
            </w:pPr>
            <w:r w:rsidRPr="000E57E3">
              <w:t>Y</w:t>
            </w:r>
          </w:p>
        </w:tc>
        <w:tc>
          <w:tcPr>
            <w:tcW w:w="0" w:type="auto"/>
            <w:vAlign w:val="bottom"/>
          </w:tcPr>
          <w:p w14:paraId="4D2A7617" w14:textId="2387BC9F" w:rsidR="008A6844" w:rsidRPr="000E57E3" w:rsidRDefault="008A6844" w:rsidP="000E57E3">
            <w:pPr>
              <w:pStyle w:val="Tabletext"/>
            </w:pPr>
            <w:r w:rsidRPr="000E57E3">
              <w:t>Exemplar</w:t>
            </w:r>
          </w:p>
        </w:tc>
      </w:tr>
      <w:tr w:rsidR="00776CCE" w:rsidRPr="008A6844" w14:paraId="064C8024" w14:textId="77777777" w:rsidTr="00CA44B7">
        <w:tc>
          <w:tcPr>
            <w:tcW w:w="0" w:type="auto"/>
            <w:vAlign w:val="bottom"/>
          </w:tcPr>
          <w:p w14:paraId="568E3CE2" w14:textId="295BD7BC" w:rsidR="008A6844" w:rsidRPr="000E57E3" w:rsidRDefault="008A6844" w:rsidP="000E57E3">
            <w:pPr>
              <w:pStyle w:val="Tabletext"/>
            </w:pPr>
            <w:r w:rsidRPr="000E57E3">
              <w:t>CD274</w:t>
            </w:r>
          </w:p>
        </w:tc>
        <w:tc>
          <w:tcPr>
            <w:tcW w:w="0" w:type="auto"/>
            <w:vAlign w:val="bottom"/>
          </w:tcPr>
          <w:p w14:paraId="29C29A6C" w14:textId="43701513" w:rsidR="008A6844" w:rsidRPr="000E57E3" w:rsidRDefault="008A6844" w:rsidP="000E57E3">
            <w:pPr>
              <w:pStyle w:val="Tabletext"/>
            </w:pPr>
            <w:r w:rsidRPr="000E57E3">
              <w:t>Y</w:t>
            </w:r>
          </w:p>
        </w:tc>
        <w:tc>
          <w:tcPr>
            <w:tcW w:w="0" w:type="auto"/>
            <w:vAlign w:val="bottom"/>
          </w:tcPr>
          <w:p w14:paraId="29AADF6D" w14:textId="3DE54235" w:rsidR="008A6844" w:rsidRPr="000E57E3" w:rsidRDefault="008A6844" w:rsidP="000E57E3">
            <w:pPr>
              <w:pStyle w:val="Tabletext"/>
            </w:pPr>
            <w:r w:rsidRPr="000E57E3">
              <w:t> </w:t>
            </w:r>
          </w:p>
        </w:tc>
        <w:tc>
          <w:tcPr>
            <w:tcW w:w="0" w:type="auto"/>
            <w:vAlign w:val="bottom"/>
          </w:tcPr>
          <w:p w14:paraId="1B4A294C" w14:textId="1F29CFF6" w:rsidR="008A6844" w:rsidRPr="000E57E3" w:rsidRDefault="008A6844" w:rsidP="000E57E3">
            <w:pPr>
              <w:pStyle w:val="Tabletext"/>
            </w:pPr>
            <w:r w:rsidRPr="000E57E3">
              <w:t> </w:t>
            </w:r>
          </w:p>
        </w:tc>
        <w:tc>
          <w:tcPr>
            <w:tcW w:w="0" w:type="auto"/>
            <w:vAlign w:val="bottom"/>
          </w:tcPr>
          <w:p w14:paraId="071F1424" w14:textId="221BC8A4" w:rsidR="008A6844" w:rsidRPr="000E57E3" w:rsidRDefault="008A6844" w:rsidP="000E57E3">
            <w:pPr>
              <w:pStyle w:val="Tabletext"/>
            </w:pPr>
            <w:r w:rsidRPr="000E57E3">
              <w:t> </w:t>
            </w:r>
          </w:p>
        </w:tc>
        <w:tc>
          <w:tcPr>
            <w:tcW w:w="0" w:type="auto"/>
            <w:vAlign w:val="bottom"/>
          </w:tcPr>
          <w:p w14:paraId="4E546026" w14:textId="1EECFEDE" w:rsidR="008A6844" w:rsidRPr="000E57E3" w:rsidRDefault="008A6844" w:rsidP="000E57E3">
            <w:pPr>
              <w:pStyle w:val="Tabletext"/>
            </w:pPr>
            <w:r w:rsidRPr="000E57E3">
              <w:t> </w:t>
            </w:r>
          </w:p>
        </w:tc>
        <w:tc>
          <w:tcPr>
            <w:tcW w:w="0" w:type="auto"/>
            <w:vAlign w:val="bottom"/>
          </w:tcPr>
          <w:p w14:paraId="15F97F0E" w14:textId="04FA4279" w:rsidR="008A6844" w:rsidRPr="000E57E3" w:rsidRDefault="008A6844" w:rsidP="000E57E3">
            <w:pPr>
              <w:pStyle w:val="Tabletext"/>
            </w:pPr>
            <w:r w:rsidRPr="000E57E3">
              <w:t> </w:t>
            </w:r>
          </w:p>
        </w:tc>
        <w:tc>
          <w:tcPr>
            <w:tcW w:w="0" w:type="auto"/>
            <w:vAlign w:val="bottom"/>
          </w:tcPr>
          <w:p w14:paraId="1F8BE91F" w14:textId="0FD4DBCD" w:rsidR="008A6844" w:rsidRPr="000E57E3" w:rsidRDefault="008A6844" w:rsidP="000E57E3">
            <w:pPr>
              <w:pStyle w:val="Tabletext"/>
            </w:pPr>
            <w:r w:rsidRPr="000E57E3">
              <w:t>Y</w:t>
            </w:r>
          </w:p>
        </w:tc>
        <w:tc>
          <w:tcPr>
            <w:tcW w:w="0" w:type="auto"/>
            <w:vAlign w:val="bottom"/>
          </w:tcPr>
          <w:p w14:paraId="557B041B" w14:textId="7400F1A8" w:rsidR="008A6844" w:rsidRPr="000E57E3" w:rsidRDefault="008A6844" w:rsidP="000E57E3">
            <w:pPr>
              <w:pStyle w:val="Tabletext"/>
            </w:pPr>
            <w:r w:rsidRPr="000E57E3">
              <w:t> </w:t>
            </w:r>
          </w:p>
        </w:tc>
        <w:tc>
          <w:tcPr>
            <w:tcW w:w="0" w:type="auto"/>
            <w:vAlign w:val="bottom"/>
          </w:tcPr>
          <w:p w14:paraId="6B596256" w14:textId="63439DFC" w:rsidR="008A6844" w:rsidRPr="000E57E3" w:rsidRDefault="008A6844" w:rsidP="000E57E3">
            <w:pPr>
              <w:pStyle w:val="Tabletext"/>
            </w:pPr>
            <w:r w:rsidRPr="000E57E3">
              <w:t> </w:t>
            </w:r>
          </w:p>
        </w:tc>
        <w:tc>
          <w:tcPr>
            <w:tcW w:w="0" w:type="auto"/>
            <w:vAlign w:val="bottom"/>
          </w:tcPr>
          <w:p w14:paraId="5F1E77F9" w14:textId="3410B260" w:rsidR="008A6844" w:rsidRPr="000E57E3" w:rsidRDefault="008A6844" w:rsidP="000E57E3">
            <w:pPr>
              <w:pStyle w:val="Tabletext"/>
            </w:pPr>
            <w:r w:rsidRPr="000E57E3">
              <w:t> </w:t>
            </w:r>
          </w:p>
        </w:tc>
        <w:tc>
          <w:tcPr>
            <w:tcW w:w="0" w:type="auto"/>
            <w:vAlign w:val="bottom"/>
          </w:tcPr>
          <w:p w14:paraId="2EED79AE" w14:textId="7F97E0F1" w:rsidR="008A6844" w:rsidRPr="000E57E3" w:rsidRDefault="008A6844" w:rsidP="000E57E3">
            <w:pPr>
              <w:pStyle w:val="Tabletext"/>
            </w:pPr>
            <w:r w:rsidRPr="000E57E3">
              <w:t> </w:t>
            </w:r>
          </w:p>
        </w:tc>
        <w:tc>
          <w:tcPr>
            <w:tcW w:w="0" w:type="auto"/>
            <w:vAlign w:val="bottom"/>
          </w:tcPr>
          <w:p w14:paraId="6761C31A" w14:textId="009D761D" w:rsidR="008A6844" w:rsidRPr="000E57E3" w:rsidRDefault="008A6844" w:rsidP="000E57E3">
            <w:pPr>
              <w:pStyle w:val="Tabletext"/>
            </w:pPr>
            <w:r w:rsidRPr="000E57E3">
              <w:t>Exemplar</w:t>
            </w:r>
          </w:p>
        </w:tc>
      </w:tr>
      <w:tr w:rsidR="00776CCE" w:rsidRPr="008A6844" w14:paraId="05FAD415" w14:textId="77777777" w:rsidTr="00CA44B7">
        <w:tc>
          <w:tcPr>
            <w:tcW w:w="0" w:type="auto"/>
            <w:vAlign w:val="bottom"/>
          </w:tcPr>
          <w:p w14:paraId="46ACCD3D" w14:textId="33C8F40D" w:rsidR="008A6844" w:rsidRPr="000E57E3" w:rsidRDefault="008A6844" w:rsidP="000E57E3">
            <w:pPr>
              <w:pStyle w:val="Tabletext"/>
            </w:pPr>
            <w:r w:rsidRPr="000E57E3">
              <w:t>CEBPA</w:t>
            </w:r>
          </w:p>
        </w:tc>
        <w:tc>
          <w:tcPr>
            <w:tcW w:w="0" w:type="auto"/>
            <w:vAlign w:val="bottom"/>
          </w:tcPr>
          <w:p w14:paraId="6E4A6A1C" w14:textId="3F47756F" w:rsidR="008A6844" w:rsidRPr="000E57E3" w:rsidRDefault="008A6844" w:rsidP="000E57E3">
            <w:pPr>
              <w:pStyle w:val="Tabletext"/>
            </w:pPr>
            <w:r w:rsidRPr="000E57E3">
              <w:t>Y</w:t>
            </w:r>
          </w:p>
        </w:tc>
        <w:tc>
          <w:tcPr>
            <w:tcW w:w="0" w:type="auto"/>
            <w:vAlign w:val="bottom"/>
          </w:tcPr>
          <w:p w14:paraId="37D5A2EB" w14:textId="3370F915" w:rsidR="008A6844" w:rsidRPr="000E57E3" w:rsidRDefault="008A6844" w:rsidP="000E57E3">
            <w:pPr>
              <w:pStyle w:val="Tabletext"/>
            </w:pPr>
            <w:r w:rsidRPr="000E57E3">
              <w:t> </w:t>
            </w:r>
          </w:p>
        </w:tc>
        <w:tc>
          <w:tcPr>
            <w:tcW w:w="0" w:type="auto"/>
            <w:vAlign w:val="bottom"/>
          </w:tcPr>
          <w:p w14:paraId="19D7D6D5" w14:textId="10105D05" w:rsidR="008A6844" w:rsidRPr="000E57E3" w:rsidRDefault="008A6844" w:rsidP="000E57E3">
            <w:pPr>
              <w:pStyle w:val="Tabletext"/>
            </w:pPr>
            <w:r w:rsidRPr="000E57E3">
              <w:t>Y</w:t>
            </w:r>
          </w:p>
        </w:tc>
        <w:tc>
          <w:tcPr>
            <w:tcW w:w="0" w:type="auto"/>
            <w:vAlign w:val="bottom"/>
          </w:tcPr>
          <w:p w14:paraId="08596B78" w14:textId="5ECD39BE" w:rsidR="008A6844" w:rsidRPr="000E57E3" w:rsidRDefault="008A6844" w:rsidP="000E57E3">
            <w:pPr>
              <w:pStyle w:val="Tabletext"/>
            </w:pPr>
            <w:r w:rsidRPr="000E57E3">
              <w:t> </w:t>
            </w:r>
          </w:p>
        </w:tc>
        <w:tc>
          <w:tcPr>
            <w:tcW w:w="0" w:type="auto"/>
            <w:vAlign w:val="bottom"/>
          </w:tcPr>
          <w:p w14:paraId="697C9602" w14:textId="022D1F52" w:rsidR="008A6844" w:rsidRPr="000E57E3" w:rsidRDefault="008A6844" w:rsidP="000E57E3">
            <w:pPr>
              <w:pStyle w:val="Tabletext"/>
            </w:pPr>
            <w:r w:rsidRPr="000E57E3">
              <w:t>Y</w:t>
            </w:r>
          </w:p>
        </w:tc>
        <w:tc>
          <w:tcPr>
            <w:tcW w:w="0" w:type="auto"/>
            <w:vAlign w:val="bottom"/>
          </w:tcPr>
          <w:p w14:paraId="6B93CC80" w14:textId="1817327B" w:rsidR="008A6844" w:rsidRPr="000E57E3" w:rsidRDefault="008A6844" w:rsidP="000E57E3">
            <w:pPr>
              <w:pStyle w:val="Tabletext"/>
            </w:pPr>
            <w:r w:rsidRPr="000E57E3">
              <w:t> </w:t>
            </w:r>
          </w:p>
        </w:tc>
        <w:tc>
          <w:tcPr>
            <w:tcW w:w="0" w:type="auto"/>
            <w:vAlign w:val="bottom"/>
          </w:tcPr>
          <w:p w14:paraId="20193B6B" w14:textId="4CF85A2C" w:rsidR="008A6844" w:rsidRPr="000E57E3" w:rsidRDefault="008A6844" w:rsidP="000E57E3">
            <w:pPr>
              <w:pStyle w:val="Tabletext"/>
            </w:pPr>
            <w:r w:rsidRPr="000E57E3">
              <w:t>Y</w:t>
            </w:r>
          </w:p>
        </w:tc>
        <w:tc>
          <w:tcPr>
            <w:tcW w:w="0" w:type="auto"/>
            <w:vAlign w:val="bottom"/>
          </w:tcPr>
          <w:p w14:paraId="03094786" w14:textId="6EA83162" w:rsidR="008A6844" w:rsidRPr="000E57E3" w:rsidRDefault="008A6844" w:rsidP="000E57E3">
            <w:pPr>
              <w:pStyle w:val="Tabletext"/>
            </w:pPr>
            <w:r w:rsidRPr="000E57E3">
              <w:t> </w:t>
            </w:r>
          </w:p>
        </w:tc>
        <w:tc>
          <w:tcPr>
            <w:tcW w:w="0" w:type="auto"/>
            <w:vAlign w:val="bottom"/>
          </w:tcPr>
          <w:p w14:paraId="16099661" w14:textId="457B6FEB" w:rsidR="008A6844" w:rsidRPr="000E57E3" w:rsidRDefault="008A6844" w:rsidP="000E57E3">
            <w:pPr>
              <w:pStyle w:val="Tabletext"/>
            </w:pPr>
            <w:r w:rsidRPr="000E57E3">
              <w:t>Y</w:t>
            </w:r>
          </w:p>
        </w:tc>
        <w:tc>
          <w:tcPr>
            <w:tcW w:w="0" w:type="auto"/>
            <w:vAlign w:val="bottom"/>
          </w:tcPr>
          <w:p w14:paraId="08DAD1A6" w14:textId="2B8152D4" w:rsidR="008A6844" w:rsidRPr="000E57E3" w:rsidRDefault="008A6844" w:rsidP="000E57E3">
            <w:pPr>
              <w:pStyle w:val="Tabletext"/>
            </w:pPr>
            <w:r w:rsidRPr="000E57E3">
              <w:t> </w:t>
            </w:r>
          </w:p>
        </w:tc>
        <w:tc>
          <w:tcPr>
            <w:tcW w:w="0" w:type="auto"/>
            <w:vAlign w:val="bottom"/>
          </w:tcPr>
          <w:p w14:paraId="4DA97F95" w14:textId="1B535B4C" w:rsidR="008A6844" w:rsidRPr="000E57E3" w:rsidRDefault="008A6844" w:rsidP="000E57E3">
            <w:pPr>
              <w:pStyle w:val="Tabletext"/>
            </w:pPr>
            <w:r w:rsidRPr="000E57E3">
              <w:t>Y</w:t>
            </w:r>
          </w:p>
        </w:tc>
        <w:tc>
          <w:tcPr>
            <w:tcW w:w="0" w:type="auto"/>
            <w:vAlign w:val="bottom"/>
          </w:tcPr>
          <w:p w14:paraId="7A904C65" w14:textId="67E222A3" w:rsidR="008A6844" w:rsidRPr="000E57E3" w:rsidRDefault="008A6844" w:rsidP="000E57E3">
            <w:pPr>
              <w:pStyle w:val="Tabletext"/>
            </w:pPr>
            <w:r w:rsidRPr="000E57E3">
              <w:t>Exemplar</w:t>
            </w:r>
          </w:p>
        </w:tc>
      </w:tr>
      <w:tr w:rsidR="00776CCE" w:rsidRPr="008A6844" w14:paraId="570C4E78" w14:textId="77777777" w:rsidTr="00CA44B7">
        <w:tc>
          <w:tcPr>
            <w:tcW w:w="0" w:type="auto"/>
            <w:vAlign w:val="bottom"/>
          </w:tcPr>
          <w:p w14:paraId="172BFC57" w14:textId="6957B19C" w:rsidR="008A6844" w:rsidRPr="000E57E3" w:rsidRDefault="008A6844" w:rsidP="000E57E3">
            <w:pPr>
              <w:pStyle w:val="Tabletext"/>
            </w:pPr>
            <w:r w:rsidRPr="000E57E3">
              <w:lastRenderedPageBreak/>
              <w:t>CSF3R</w:t>
            </w:r>
          </w:p>
        </w:tc>
        <w:tc>
          <w:tcPr>
            <w:tcW w:w="0" w:type="auto"/>
            <w:vAlign w:val="bottom"/>
          </w:tcPr>
          <w:p w14:paraId="0D7C53F3" w14:textId="6445AB2D" w:rsidR="008A6844" w:rsidRPr="000E57E3" w:rsidRDefault="008A6844" w:rsidP="000E57E3">
            <w:pPr>
              <w:pStyle w:val="Tabletext"/>
            </w:pPr>
            <w:r w:rsidRPr="000E57E3">
              <w:t>Y</w:t>
            </w:r>
          </w:p>
        </w:tc>
        <w:tc>
          <w:tcPr>
            <w:tcW w:w="0" w:type="auto"/>
            <w:vAlign w:val="bottom"/>
          </w:tcPr>
          <w:p w14:paraId="75AD498C" w14:textId="5FC4C0B3" w:rsidR="008A6844" w:rsidRPr="000E57E3" w:rsidRDefault="008A6844" w:rsidP="000E57E3">
            <w:pPr>
              <w:pStyle w:val="Tabletext"/>
            </w:pPr>
            <w:r w:rsidRPr="000E57E3">
              <w:t> </w:t>
            </w:r>
          </w:p>
        </w:tc>
        <w:tc>
          <w:tcPr>
            <w:tcW w:w="0" w:type="auto"/>
            <w:vAlign w:val="bottom"/>
          </w:tcPr>
          <w:p w14:paraId="13EB6983" w14:textId="1A218DB0" w:rsidR="008A6844" w:rsidRPr="000E57E3" w:rsidRDefault="008A6844" w:rsidP="000E57E3">
            <w:pPr>
              <w:pStyle w:val="Tabletext"/>
            </w:pPr>
            <w:r w:rsidRPr="000E57E3">
              <w:t>Y</w:t>
            </w:r>
          </w:p>
        </w:tc>
        <w:tc>
          <w:tcPr>
            <w:tcW w:w="0" w:type="auto"/>
            <w:vAlign w:val="bottom"/>
          </w:tcPr>
          <w:p w14:paraId="493B7E90" w14:textId="144559AE" w:rsidR="008A6844" w:rsidRPr="000E57E3" w:rsidRDefault="008A6844" w:rsidP="000E57E3">
            <w:pPr>
              <w:pStyle w:val="Tabletext"/>
            </w:pPr>
            <w:r w:rsidRPr="000E57E3">
              <w:t> </w:t>
            </w:r>
          </w:p>
        </w:tc>
        <w:tc>
          <w:tcPr>
            <w:tcW w:w="0" w:type="auto"/>
            <w:vAlign w:val="bottom"/>
          </w:tcPr>
          <w:p w14:paraId="0A732817" w14:textId="438E194A" w:rsidR="008A6844" w:rsidRPr="000E57E3" w:rsidRDefault="008A6844" w:rsidP="000E57E3">
            <w:pPr>
              <w:pStyle w:val="Tabletext"/>
            </w:pPr>
            <w:r w:rsidRPr="000E57E3">
              <w:t>Y</w:t>
            </w:r>
          </w:p>
        </w:tc>
        <w:tc>
          <w:tcPr>
            <w:tcW w:w="0" w:type="auto"/>
            <w:vAlign w:val="bottom"/>
          </w:tcPr>
          <w:p w14:paraId="7ED5C2A8" w14:textId="3D6D04C0" w:rsidR="008A6844" w:rsidRPr="000E57E3" w:rsidRDefault="008A6844" w:rsidP="000E57E3">
            <w:pPr>
              <w:pStyle w:val="Tabletext"/>
            </w:pPr>
            <w:r w:rsidRPr="000E57E3">
              <w:t>Y</w:t>
            </w:r>
          </w:p>
        </w:tc>
        <w:tc>
          <w:tcPr>
            <w:tcW w:w="0" w:type="auto"/>
            <w:vAlign w:val="bottom"/>
          </w:tcPr>
          <w:p w14:paraId="6999B219" w14:textId="1A5BFD90" w:rsidR="008A6844" w:rsidRPr="000E57E3" w:rsidRDefault="008A6844" w:rsidP="000E57E3">
            <w:pPr>
              <w:pStyle w:val="Tabletext"/>
            </w:pPr>
            <w:r w:rsidRPr="000E57E3">
              <w:t>Y</w:t>
            </w:r>
          </w:p>
        </w:tc>
        <w:tc>
          <w:tcPr>
            <w:tcW w:w="0" w:type="auto"/>
            <w:vAlign w:val="bottom"/>
          </w:tcPr>
          <w:p w14:paraId="485247B7" w14:textId="561B3F8C" w:rsidR="008A6844" w:rsidRPr="000E57E3" w:rsidRDefault="008A6844" w:rsidP="000E57E3">
            <w:pPr>
              <w:pStyle w:val="Tabletext"/>
            </w:pPr>
            <w:r w:rsidRPr="000E57E3">
              <w:t> </w:t>
            </w:r>
          </w:p>
        </w:tc>
        <w:tc>
          <w:tcPr>
            <w:tcW w:w="0" w:type="auto"/>
            <w:vAlign w:val="bottom"/>
          </w:tcPr>
          <w:p w14:paraId="17962122" w14:textId="6E61CD93" w:rsidR="008A6844" w:rsidRPr="000E57E3" w:rsidRDefault="008A6844" w:rsidP="000E57E3">
            <w:pPr>
              <w:pStyle w:val="Tabletext"/>
            </w:pPr>
            <w:r w:rsidRPr="000E57E3">
              <w:t>Y</w:t>
            </w:r>
          </w:p>
        </w:tc>
        <w:tc>
          <w:tcPr>
            <w:tcW w:w="0" w:type="auto"/>
            <w:vAlign w:val="bottom"/>
          </w:tcPr>
          <w:p w14:paraId="7581CD2C" w14:textId="391879F0" w:rsidR="008A6844" w:rsidRPr="000E57E3" w:rsidRDefault="008A6844" w:rsidP="000E57E3">
            <w:pPr>
              <w:pStyle w:val="Tabletext"/>
            </w:pPr>
            <w:r w:rsidRPr="000E57E3">
              <w:t> </w:t>
            </w:r>
          </w:p>
        </w:tc>
        <w:tc>
          <w:tcPr>
            <w:tcW w:w="0" w:type="auto"/>
            <w:vAlign w:val="bottom"/>
          </w:tcPr>
          <w:p w14:paraId="0FA8F731" w14:textId="7B0AB7A3" w:rsidR="008A6844" w:rsidRPr="000E57E3" w:rsidRDefault="008A6844" w:rsidP="000E57E3">
            <w:pPr>
              <w:pStyle w:val="Tabletext"/>
            </w:pPr>
            <w:r w:rsidRPr="000E57E3">
              <w:t>Y</w:t>
            </w:r>
          </w:p>
        </w:tc>
        <w:tc>
          <w:tcPr>
            <w:tcW w:w="0" w:type="auto"/>
            <w:vAlign w:val="bottom"/>
          </w:tcPr>
          <w:p w14:paraId="601FBCFC" w14:textId="6533E50B" w:rsidR="008A6844" w:rsidRPr="000E57E3" w:rsidRDefault="008A6844" w:rsidP="000E57E3">
            <w:pPr>
              <w:pStyle w:val="Tabletext"/>
            </w:pPr>
            <w:r w:rsidRPr="000E57E3">
              <w:t>Exemplar</w:t>
            </w:r>
          </w:p>
        </w:tc>
      </w:tr>
      <w:tr w:rsidR="00776CCE" w:rsidRPr="008A6844" w14:paraId="2EA99E92" w14:textId="77777777" w:rsidTr="00CA44B7">
        <w:tc>
          <w:tcPr>
            <w:tcW w:w="0" w:type="auto"/>
            <w:vAlign w:val="bottom"/>
          </w:tcPr>
          <w:p w14:paraId="2C075B2E" w14:textId="12E6C884" w:rsidR="008A6844" w:rsidRPr="000E57E3" w:rsidRDefault="008A6844" w:rsidP="000E57E3">
            <w:pPr>
              <w:pStyle w:val="Tabletext"/>
            </w:pPr>
            <w:r w:rsidRPr="000E57E3">
              <w:t>CTC1</w:t>
            </w:r>
          </w:p>
        </w:tc>
        <w:tc>
          <w:tcPr>
            <w:tcW w:w="0" w:type="auto"/>
            <w:vAlign w:val="bottom"/>
          </w:tcPr>
          <w:p w14:paraId="3141B9D8" w14:textId="3AA72A8C" w:rsidR="008A6844" w:rsidRPr="000E57E3" w:rsidRDefault="008A6844" w:rsidP="000E57E3">
            <w:pPr>
              <w:pStyle w:val="Tabletext"/>
            </w:pPr>
            <w:r w:rsidRPr="000E57E3">
              <w:t>Y</w:t>
            </w:r>
          </w:p>
        </w:tc>
        <w:tc>
          <w:tcPr>
            <w:tcW w:w="0" w:type="auto"/>
            <w:vAlign w:val="bottom"/>
          </w:tcPr>
          <w:p w14:paraId="41836DE8" w14:textId="3A181859" w:rsidR="008A6844" w:rsidRPr="000E57E3" w:rsidRDefault="008A6844" w:rsidP="000E57E3">
            <w:pPr>
              <w:pStyle w:val="Tabletext"/>
            </w:pPr>
            <w:r w:rsidRPr="000E57E3">
              <w:t> </w:t>
            </w:r>
          </w:p>
        </w:tc>
        <w:tc>
          <w:tcPr>
            <w:tcW w:w="0" w:type="auto"/>
            <w:vAlign w:val="bottom"/>
          </w:tcPr>
          <w:p w14:paraId="6A1C4056" w14:textId="496ADFDB" w:rsidR="008A6844" w:rsidRPr="000E57E3" w:rsidRDefault="008A6844" w:rsidP="000E57E3">
            <w:pPr>
              <w:pStyle w:val="Tabletext"/>
            </w:pPr>
            <w:r w:rsidRPr="000E57E3">
              <w:t> </w:t>
            </w:r>
          </w:p>
        </w:tc>
        <w:tc>
          <w:tcPr>
            <w:tcW w:w="0" w:type="auto"/>
            <w:vAlign w:val="bottom"/>
          </w:tcPr>
          <w:p w14:paraId="58DD0206" w14:textId="241AA003" w:rsidR="008A6844" w:rsidRPr="000E57E3" w:rsidRDefault="008A6844" w:rsidP="000E57E3">
            <w:pPr>
              <w:pStyle w:val="Tabletext"/>
            </w:pPr>
            <w:r w:rsidRPr="000E57E3">
              <w:t> </w:t>
            </w:r>
          </w:p>
        </w:tc>
        <w:tc>
          <w:tcPr>
            <w:tcW w:w="0" w:type="auto"/>
            <w:vAlign w:val="bottom"/>
          </w:tcPr>
          <w:p w14:paraId="31A397C4" w14:textId="2C79698F" w:rsidR="008A6844" w:rsidRPr="000E57E3" w:rsidRDefault="008A6844" w:rsidP="000E57E3">
            <w:pPr>
              <w:pStyle w:val="Tabletext"/>
            </w:pPr>
            <w:r w:rsidRPr="000E57E3">
              <w:t> </w:t>
            </w:r>
          </w:p>
        </w:tc>
        <w:tc>
          <w:tcPr>
            <w:tcW w:w="0" w:type="auto"/>
            <w:vAlign w:val="bottom"/>
          </w:tcPr>
          <w:p w14:paraId="6C021025" w14:textId="48D35DF4" w:rsidR="008A6844" w:rsidRPr="000E57E3" w:rsidRDefault="008A6844" w:rsidP="000E57E3">
            <w:pPr>
              <w:pStyle w:val="Tabletext"/>
            </w:pPr>
            <w:r w:rsidRPr="000E57E3">
              <w:t>Y</w:t>
            </w:r>
          </w:p>
        </w:tc>
        <w:tc>
          <w:tcPr>
            <w:tcW w:w="0" w:type="auto"/>
            <w:vAlign w:val="bottom"/>
          </w:tcPr>
          <w:p w14:paraId="26324265" w14:textId="6FC82CA9" w:rsidR="008A6844" w:rsidRPr="000E57E3" w:rsidRDefault="008A6844" w:rsidP="000E57E3">
            <w:pPr>
              <w:pStyle w:val="Tabletext"/>
            </w:pPr>
            <w:r w:rsidRPr="000E57E3">
              <w:t> </w:t>
            </w:r>
          </w:p>
        </w:tc>
        <w:tc>
          <w:tcPr>
            <w:tcW w:w="0" w:type="auto"/>
            <w:vAlign w:val="bottom"/>
          </w:tcPr>
          <w:p w14:paraId="7129E658" w14:textId="6D66331F" w:rsidR="008A6844" w:rsidRPr="000E57E3" w:rsidRDefault="008A6844" w:rsidP="000E57E3">
            <w:pPr>
              <w:pStyle w:val="Tabletext"/>
            </w:pPr>
            <w:r w:rsidRPr="000E57E3">
              <w:t> </w:t>
            </w:r>
          </w:p>
        </w:tc>
        <w:tc>
          <w:tcPr>
            <w:tcW w:w="0" w:type="auto"/>
            <w:vAlign w:val="bottom"/>
          </w:tcPr>
          <w:p w14:paraId="6F76AD03" w14:textId="04C4237A" w:rsidR="008A6844" w:rsidRPr="000E57E3" w:rsidRDefault="008A6844" w:rsidP="000E57E3">
            <w:pPr>
              <w:pStyle w:val="Tabletext"/>
            </w:pPr>
            <w:r w:rsidRPr="000E57E3">
              <w:t> </w:t>
            </w:r>
          </w:p>
        </w:tc>
        <w:tc>
          <w:tcPr>
            <w:tcW w:w="0" w:type="auto"/>
            <w:vAlign w:val="bottom"/>
          </w:tcPr>
          <w:p w14:paraId="36D82D6C" w14:textId="7391B27E" w:rsidR="008A6844" w:rsidRPr="000E57E3" w:rsidRDefault="008A6844" w:rsidP="000E57E3">
            <w:pPr>
              <w:pStyle w:val="Tabletext"/>
            </w:pPr>
            <w:r w:rsidRPr="000E57E3">
              <w:t> </w:t>
            </w:r>
          </w:p>
        </w:tc>
        <w:tc>
          <w:tcPr>
            <w:tcW w:w="0" w:type="auto"/>
            <w:vAlign w:val="bottom"/>
          </w:tcPr>
          <w:p w14:paraId="1E536047" w14:textId="37798E4D" w:rsidR="008A6844" w:rsidRPr="000E57E3" w:rsidRDefault="008A6844" w:rsidP="000E57E3">
            <w:pPr>
              <w:pStyle w:val="Tabletext"/>
            </w:pPr>
            <w:r w:rsidRPr="000E57E3">
              <w:t> </w:t>
            </w:r>
          </w:p>
        </w:tc>
        <w:tc>
          <w:tcPr>
            <w:tcW w:w="0" w:type="auto"/>
            <w:vAlign w:val="bottom"/>
          </w:tcPr>
          <w:p w14:paraId="7FA147AD" w14:textId="4D54E3A2" w:rsidR="008A6844" w:rsidRPr="000E57E3" w:rsidRDefault="008A6844" w:rsidP="000E57E3">
            <w:pPr>
              <w:pStyle w:val="Tabletext"/>
            </w:pPr>
            <w:r w:rsidRPr="000E57E3">
              <w:t>Exemplar</w:t>
            </w:r>
          </w:p>
        </w:tc>
      </w:tr>
      <w:tr w:rsidR="00776CCE" w:rsidRPr="008A6844" w14:paraId="174AC58B" w14:textId="77777777" w:rsidTr="00CA44B7">
        <w:tc>
          <w:tcPr>
            <w:tcW w:w="0" w:type="auto"/>
            <w:vAlign w:val="bottom"/>
          </w:tcPr>
          <w:p w14:paraId="7CEE792D" w14:textId="4CAD9884" w:rsidR="008A6844" w:rsidRPr="000E57E3" w:rsidRDefault="008A6844" w:rsidP="000E57E3">
            <w:pPr>
              <w:pStyle w:val="Tabletext"/>
            </w:pPr>
            <w:r w:rsidRPr="000E57E3">
              <w:t>DDX41</w:t>
            </w:r>
          </w:p>
        </w:tc>
        <w:tc>
          <w:tcPr>
            <w:tcW w:w="0" w:type="auto"/>
            <w:vAlign w:val="bottom"/>
          </w:tcPr>
          <w:p w14:paraId="63ABB439" w14:textId="3AC0D18D" w:rsidR="008A6844" w:rsidRPr="000E57E3" w:rsidRDefault="008A6844" w:rsidP="000E57E3">
            <w:pPr>
              <w:pStyle w:val="Tabletext"/>
            </w:pPr>
            <w:r w:rsidRPr="000E57E3">
              <w:t>Y</w:t>
            </w:r>
          </w:p>
        </w:tc>
        <w:tc>
          <w:tcPr>
            <w:tcW w:w="0" w:type="auto"/>
            <w:vAlign w:val="bottom"/>
          </w:tcPr>
          <w:p w14:paraId="4D2DD8BB" w14:textId="1233E0A6" w:rsidR="008A6844" w:rsidRPr="000E57E3" w:rsidRDefault="008A6844" w:rsidP="000E57E3">
            <w:pPr>
              <w:pStyle w:val="Tabletext"/>
            </w:pPr>
            <w:r w:rsidRPr="000E57E3">
              <w:t> </w:t>
            </w:r>
          </w:p>
        </w:tc>
        <w:tc>
          <w:tcPr>
            <w:tcW w:w="0" w:type="auto"/>
            <w:vAlign w:val="bottom"/>
          </w:tcPr>
          <w:p w14:paraId="72E05898" w14:textId="6B3DEC49" w:rsidR="008A6844" w:rsidRPr="000E57E3" w:rsidRDefault="008A6844" w:rsidP="000E57E3">
            <w:pPr>
              <w:pStyle w:val="Tabletext"/>
            </w:pPr>
            <w:r w:rsidRPr="000E57E3">
              <w:t>Y</w:t>
            </w:r>
          </w:p>
        </w:tc>
        <w:tc>
          <w:tcPr>
            <w:tcW w:w="0" w:type="auto"/>
            <w:vAlign w:val="bottom"/>
          </w:tcPr>
          <w:p w14:paraId="23B3B72E" w14:textId="419E9E43" w:rsidR="008A6844" w:rsidRPr="000E57E3" w:rsidRDefault="008A6844" w:rsidP="000E57E3">
            <w:pPr>
              <w:pStyle w:val="Tabletext"/>
            </w:pPr>
            <w:r w:rsidRPr="000E57E3">
              <w:t> </w:t>
            </w:r>
          </w:p>
        </w:tc>
        <w:tc>
          <w:tcPr>
            <w:tcW w:w="0" w:type="auto"/>
            <w:vAlign w:val="bottom"/>
          </w:tcPr>
          <w:p w14:paraId="40873235" w14:textId="7D2A3FFC" w:rsidR="008A6844" w:rsidRPr="000E57E3" w:rsidRDefault="008A6844" w:rsidP="000E57E3">
            <w:pPr>
              <w:pStyle w:val="Tabletext"/>
            </w:pPr>
            <w:r w:rsidRPr="000E57E3">
              <w:t> </w:t>
            </w:r>
          </w:p>
        </w:tc>
        <w:tc>
          <w:tcPr>
            <w:tcW w:w="0" w:type="auto"/>
            <w:vAlign w:val="bottom"/>
          </w:tcPr>
          <w:p w14:paraId="1D9DF492" w14:textId="58E5A9F8" w:rsidR="008A6844" w:rsidRPr="000E57E3" w:rsidRDefault="008A6844" w:rsidP="000E57E3">
            <w:pPr>
              <w:pStyle w:val="Tabletext"/>
            </w:pPr>
            <w:r w:rsidRPr="000E57E3">
              <w:t>Y</w:t>
            </w:r>
          </w:p>
        </w:tc>
        <w:tc>
          <w:tcPr>
            <w:tcW w:w="0" w:type="auto"/>
            <w:vAlign w:val="bottom"/>
          </w:tcPr>
          <w:p w14:paraId="4FBC4C4C" w14:textId="7DB68002" w:rsidR="008A6844" w:rsidRPr="000E57E3" w:rsidRDefault="008A6844" w:rsidP="000E57E3">
            <w:pPr>
              <w:pStyle w:val="Tabletext"/>
            </w:pPr>
            <w:r w:rsidRPr="000E57E3">
              <w:t>Y</w:t>
            </w:r>
          </w:p>
        </w:tc>
        <w:tc>
          <w:tcPr>
            <w:tcW w:w="0" w:type="auto"/>
            <w:vAlign w:val="bottom"/>
          </w:tcPr>
          <w:p w14:paraId="05C7CF7D" w14:textId="5D59C2AA" w:rsidR="008A6844" w:rsidRPr="000E57E3" w:rsidRDefault="008A6844" w:rsidP="000E57E3">
            <w:pPr>
              <w:pStyle w:val="Tabletext"/>
            </w:pPr>
            <w:r w:rsidRPr="000E57E3">
              <w:t> </w:t>
            </w:r>
          </w:p>
        </w:tc>
        <w:tc>
          <w:tcPr>
            <w:tcW w:w="0" w:type="auto"/>
            <w:vAlign w:val="bottom"/>
          </w:tcPr>
          <w:p w14:paraId="5D6F93A6" w14:textId="578DCA00" w:rsidR="008A6844" w:rsidRPr="000E57E3" w:rsidRDefault="008A6844" w:rsidP="000E57E3">
            <w:pPr>
              <w:pStyle w:val="Tabletext"/>
            </w:pPr>
            <w:r w:rsidRPr="000E57E3">
              <w:t> </w:t>
            </w:r>
          </w:p>
        </w:tc>
        <w:tc>
          <w:tcPr>
            <w:tcW w:w="0" w:type="auto"/>
            <w:vAlign w:val="bottom"/>
          </w:tcPr>
          <w:p w14:paraId="1C802BB6" w14:textId="758B3E75" w:rsidR="008A6844" w:rsidRPr="000E57E3" w:rsidRDefault="008A6844" w:rsidP="000E57E3">
            <w:pPr>
              <w:pStyle w:val="Tabletext"/>
            </w:pPr>
            <w:r w:rsidRPr="000E57E3">
              <w:t> </w:t>
            </w:r>
          </w:p>
        </w:tc>
        <w:tc>
          <w:tcPr>
            <w:tcW w:w="0" w:type="auto"/>
            <w:vAlign w:val="bottom"/>
          </w:tcPr>
          <w:p w14:paraId="7C19A7E0" w14:textId="79E8143F" w:rsidR="008A6844" w:rsidRPr="000E57E3" w:rsidRDefault="008A6844" w:rsidP="000E57E3">
            <w:pPr>
              <w:pStyle w:val="Tabletext"/>
            </w:pPr>
            <w:r w:rsidRPr="000E57E3">
              <w:t> </w:t>
            </w:r>
          </w:p>
        </w:tc>
        <w:tc>
          <w:tcPr>
            <w:tcW w:w="0" w:type="auto"/>
            <w:vAlign w:val="bottom"/>
          </w:tcPr>
          <w:p w14:paraId="7F4A3681" w14:textId="575DBDEE" w:rsidR="008A6844" w:rsidRPr="000E57E3" w:rsidRDefault="008A6844" w:rsidP="000E57E3">
            <w:pPr>
              <w:pStyle w:val="Tabletext"/>
            </w:pPr>
            <w:r w:rsidRPr="000E57E3">
              <w:t>Exemplar</w:t>
            </w:r>
          </w:p>
        </w:tc>
      </w:tr>
      <w:tr w:rsidR="00776CCE" w:rsidRPr="008A6844" w14:paraId="1F766F9C" w14:textId="77777777" w:rsidTr="00CA44B7">
        <w:tc>
          <w:tcPr>
            <w:tcW w:w="0" w:type="auto"/>
            <w:vAlign w:val="bottom"/>
          </w:tcPr>
          <w:p w14:paraId="48019FC0" w14:textId="424C35D8" w:rsidR="008A6844" w:rsidRPr="000E57E3" w:rsidRDefault="008A6844" w:rsidP="000E57E3">
            <w:pPr>
              <w:pStyle w:val="Tabletext"/>
            </w:pPr>
            <w:r w:rsidRPr="000E57E3">
              <w:t>DEK-NUP214</w:t>
            </w:r>
          </w:p>
        </w:tc>
        <w:tc>
          <w:tcPr>
            <w:tcW w:w="0" w:type="auto"/>
            <w:vAlign w:val="bottom"/>
          </w:tcPr>
          <w:p w14:paraId="015A5DB9" w14:textId="00BA65E8" w:rsidR="008A6844" w:rsidRPr="000E57E3" w:rsidRDefault="008A6844" w:rsidP="000E57E3">
            <w:pPr>
              <w:pStyle w:val="Tabletext"/>
            </w:pPr>
            <w:r w:rsidRPr="000E57E3">
              <w:t> </w:t>
            </w:r>
          </w:p>
        </w:tc>
        <w:tc>
          <w:tcPr>
            <w:tcW w:w="0" w:type="auto"/>
            <w:vAlign w:val="bottom"/>
          </w:tcPr>
          <w:p w14:paraId="02CA34F0" w14:textId="09E41EDF" w:rsidR="008A6844" w:rsidRPr="000E57E3" w:rsidRDefault="008A6844" w:rsidP="000E57E3">
            <w:pPr>
              <w:pStyle w:val="Tabletext"/>
            </w:pPr>
            <w:r w:rsidRPr="000E57E3">
              <w:t>Y</w:t>
            </w:r>
          </w:p>
        </w:tc>
        <w:tc>
          <w:tcPr>
            <w:tcW w:w="0" w:type="auto"/>
            <w:vAlign w:val="bottom"/>
          </w:tcPr>
          <w:p w14:paraId="225D8D8B" w14:textId="0F80FD39" w:rsidR="008A6844" w:rsidRPr="000E57E3" w:rsidRDefault="008A6844" w:rsidP="000E57E3">
            <w:pPr>
              <w:pStyle w:val="Tabletext"/>
            </w:pPr>
            <w:r w:rsidRPr="000E57E3">
              <w:t> </w:t>
            </w:r>
          </w:p>
        </w:tc>
        <w:tc>
          <w:tcPr>
            <w:tcW w:w="0" w:type="auto"/>
            <w:vAlign w:val="bottom"/>
          </w:tcPr>
          <w:p w14:paraId="7A0BCEDE" w14:textId="627F3920" w:rsidR="008A6844" w:rsidRPr="000E57E3" w:rsidRDefault="008A6844" w:rsidP="000E57E3">
            <w:pPr>
              <w:pStyle w:val="Tabletext"/>
            </w:pPr>
            <w:r w:rsidRPr="000E57E3">
              <w:t> </w:t>
            </w:r>
          </w:p>
        </w:tc>
        <w:tc>
          <w:tcPr>
            <w:tcW w:w="0" w:type="auto"/>
            <w:vAlign w:val="bottom"/>
          </w:tcPr>
          <w:p w14:paraId="320C0323" w14:textId="45BF78C6" w:rsidR="008A6844" w:rsidRPr="000E57E3" w:rsidRDefault="008A6844" w:rsidP="000E57E3">
            <w:pPr>
              <w:pStyle w:val="Tabletext"/>
            </w:pPr>
            <w:r w:rsidRPr="000E57E3">
              <w:t> </w:t>
            </w:r>
          </w:p>
        </w:tc>
        <w:tc>
          <w:tcPr>
            <w:tcW w:w="0" w:type="auto"/>
            <w:vAlign w:val="bottom"/>
          </w:tcPr>
          <w:p w14:paraId="11E127EA" w14:textId="5D89148D" w:rsidR="008A6844" w:rsidRPr="000E57E3" w:rsidRDefault="008A6844" w:rsidP="000E57E3">
            <w:pPr>
              <w:pStyle w:val="Tabletext"/>
            </w:pPr>
            <w:r w:rsidRPr="000E57E3">
              <w:t> </w:t>
            </w:r>
          </w:p>
        </w:tc>
        <w:tc>
          <w:tcPr>
            <w:tcW w:w="0" w:type="auto"/>
            <w:vAlign w:val="bottom"/>
          </w:tcPr>
          <w:p w14:paraId="05C4F974" w14:textId="6EE65025" w:rsidR="008A6844" w:rsidRPr="000E57E3" w:rsidRDefault="008A6844" w:rsidP="000E57E3">
            <w:pPr>
              <w:pStyle w:val="Tabletext"/>
            </w:pPr>
            <w:r w:rsidRPr="000E57E3">
              <w:t> </w:t>
            </w:r>
          </w:p>
        </w:tc>
        <w:tc>
          <w:tcPr>
            <w:tcW w:w="0" w:type="auto"/>
            <w:vAlign w:val="bottom"/>
          </w:tcPr>
          <w:p w14:paraId="70A28884" w14:textId="149D7D00" w:rsidR="008A6844" w:rsidRPr="000E57E3" w:rsidRDefault="008A6844" w:rsidP="000E57E3">
            <w:pPr>
              <w:pStyle w:val="Tabletext"/>
            </w:pPr>
            <w:r w:rsidRPr="000E57E3">
              <w:t> </w:t>
            </w:r>
          </w:p>
        </w:tc>
        <w:tc>
          <w:tcPr>
            <w:tcW w:w="0" w:type="auto"/>
            <w:vAlign w:val="bottom"/>
          </w:tcPr>
          <w:p w14:paraId="265C24B1" w14:textId="78D12FA7" w:rsidR="008A6844" w:rsidRPr="000E57E3" w:rsidRDefault="008A6844" w:rsidP="000E57E3">
            <w:pPr>
              <w:pStyle w:val="Tabletext"/>
            </w:pPr>
            <w:r w:rsidRPr="000E57E3">
              <w:t> </w:t>
            </w:r>
          </w:p>
        </w:tc>
        <w:tc>
          <w:tcPr>
            <w:tcW w:w="0" w:type="auto"/>
            <w:vAlign w:val="bottom"/>
          </w:tcPr>
          <w:p w14:paraId="37F87424" w14:textId="0C1E24E3" w:rsidR="008A6844" w:rsidRPr="000E57E3" w:rsidRDefault="008A6844" w:rsidP="000E57E3">
            <w:pPr>
              <w:pStyle w:val="Tabletext"/>
            </w:pPr>
            <w:r w:rsidRPr="000E57E3">
              <w:t> </w:t>
            </w:r>
          </w:p>
        </w:tc>
        <w:tc>
          <w:tcPr>
            <w:tcW w:w="0" w:type="auto"/>
            <w:vAlign w:val="bottom"/>
          </w:tcPr>
          <w:p w14:paraId="518C5AC0" w14:textId="7B79DED2" w:rsidR="008A6844" w:rsidRPr="000E57E3" w:rsidRDefault="008A6844" w:rsidP="000E57E3">
            <w:pPr>
              <w:pStyle w:val="Tabletext"/>
            </w:pPr>
            <w:r w:rsidRPr="000E57E3">
              <w:t> </w:t>
            </w:r>
          </w:p>
        </w:tc>
        <w:tc>
          <w:tcPr>
            <w:tcW w:w="0" w:type="auto"/>
            <w:vAlign w:val="bottom"/>
          </w:tcPr>
          <w:p w14:paraId="10825125" w14:textId="0D660DA3" w:rsidR="008A6844" w:rsidRPr="000E57E3" w:rsidRDefault="008A6844" w:rsidP="000E57E3">
            <w:pPr>
              <w:pStyle w:val="Tabletext"/>
            </w:pPr>
            <w:r w:rsidRPr="000E57E3">
              <w:t>Exemplar</w:t>
            </w:r>
          </w:p>
        </w:tc>
      </w:tr>
      <w:tr w:rsidR="00776CCE" w:rsidRPr="008A6844" w14:paraId="5DF6B5A1" w14:textId="77777777" w:rsidTr="00CA44B7">
        <w:tc>
          <w:tcPr>
            <w:tcW w:w="0" w:type="auto"/>
            <w:vAlign w:val="bottom"/>
          </w:tcPr>
          <w:p w14:paraId="3F659C17" w14:textId="1F25D6B2" w:rsidR="008A6844" w:rsidRPr="000E57E3" w:rsidRDefault="008A6844" w:rsidP="000E57E3">
            <w:pPr>
              <w:pStyle w:val="Tabletext"/>
            </w:pPr>
            <w:r w:rsidRPr="000E57E3">
              <w:t>DKC1</w:t>
            </w:r>
          </w:p>
        </w:tc>
        <w:tc>
          <w:tcPr>
            <w:tcW w:w="0" w:type="auto"/>
            <w:vAlign w:val="bottom"/>
          </w:tcPr>
          <w:p w14:paraId="3821EA69" w14:textId="09AA3226" w:rsidR="008A6844" w:rsidRPr="000E57E3" w:rsidRDefault="008A6844" w:rsidP="000E57E3">
            <w:pPr>
              <w:pStyle w:val="Tabletext"/>
            </w:pPr>
            <w:r w:rsidRPr="000E57E3">
              <w:t>Y</w:t>
            </w:r>
          </w:p>
        </w:tc>
        <w:tc>
          <w:tcPr>
            <w:tcW w:w="0" w:type="auto"/>
            <w:vAlign w:val="bottom"/>
          </w:tcPr>
          <w:p w14:paraId="082A7FA3" w14:textId="61529A38" w:rsidR="008A6844" w:rsidRPr="000E57E3" w:rsidRDefault="008A6844" w:rsidP="000E57E3">
            <w:pPr>
              <w:pStyle w:val="Tabletext"/>
            </w:pPr>
            <w:r w:rsidRPr="000E57E3">
              <w:t> </w:t>
            </w:r>
          </w:p>
        </w:tc>
        <w:tc>
          <w:tcPr>
            <w:tcW w:w="0" w:type="auto"/>
            <w:vAlign w:val="bottom"/>
          </w:tcPr>
          <w:p w14:paraId="616F3A3F" w14:textId="38F33BF3" w:rsidR="008A6844" w:rsidRPr="000E57E3" w:rsidRDefault="008A6844" w:rsidP="000E57E3">
            <w:pPr>
              <w:pStyle w:val="Tabletext"/>
            </w:pPr>
            <w:r w:rsidRPr="000E57E3">
              <w:t> </w:t>
            </w:r>
          </w:p>
        </w:tc>
        <w:tc>
          <w:tcPr>
            <w:tcW w:w="0" w:type="auto"/>
            <w:vAlign w:val="bottom"/>
          </w:tcPr>
          <w:p w14:paraId="031A7F46" w14:textId="664F9871" w:rsidR="008A6844" w:rsidRPr="000E57E3" w:rsidRDefault="008A6844" w:rsidP="000E57E3">
            <w:pPr>
              <w:pStyle w:val="Tabletext"/>
            </w:pPr>
            <w:r w:rsidRPr="000E57E3">
              <w:t> </w:t>
            </w:r>
          </w:p>
        </w:tc>
        <w:tc>
          <w:tcPr>
            <w:tcW w:w="0" w:type="auto"/>
            <w:vAlign w:val="bottom"/>
          </w:tcPr>
          <w:p w14:paraId="2A9141A0" w14:textId="1698059D" w:rsidR="008A6844" w:rsidRPr="000E57E3" w:rsidRDefault="008A6844" w:rsidP="000E57E3">
            <w:pPr>
              <w:pStyle w:val="Tabletext"/>
            </w:pPr>
            <w:r w:rsidRPr="000E57E3">
              <w:t> </w:t>
            </w:r>
          </w:p>
        </w:tc>
        <w:tc>
          <w:tcPr>
            <w:tcW w:w="0" w:type="auto"/>
            <w:vAlign w:val="bottom"/>
          </w:tcPr>
          <w:p w14:paraId="218F5C83" w14:textId="611C145A" w:rsidR="008A6844" w:rsidRPr="000E57E3" w:rsidRDefault="008A6844" w:rsidP="000E57E3">
            <w:pPr>
              <w:pStyle w:val="Tabletext"/>
            </w:pPr>
            <w:r w:rsidRPr="000E57E3">
              <w:t>Y</w:t>
            </w:r>
          </w:p>
        </w:tc>
        <w:tc>
          <w:tcPr>
            <w:tcW w:w="0" w:type="auto"/>
            <w:vAlign w:val="bottom"/>
          </w:tcPr>
          <w:p w14:paraId="13DCDFB7" w14:textId="0D45A301" w:rsidR="008A6844" w:rsidRPr="000E57E3" w:rsidRDefault="008A6844" w:rsidP="000E57E3">
            <w:pPr>
              <w:pStyle w:val="Tabletext"/>
            </w:pPr>
            <w:r w:rsidRPr="000E57E3">
              <w:t> </w:t>
            </w:r>
          </w:p>
        </w:tc>
        <w:tc>
          <w:tcPr>
            <w:tcW w:w="0" w:type="auto"/>
            <w:vAlign w:val="bottom"/>
          </w:tcPr>
          <w:p w14:paraId="1B7F25F5" w14:textId="438B1CD4" w:rsidR="008A6844" w:rsidRPr="000E57E3" w:rsidRDefault="008A6844" w:rsidP="000E57E3">
            <w:pPr>
              <w:pStyle w:val="Tabletext"/>
            </w:pPr>
            <w:r w:rsidRPr="000E57E3">
              <w:t> </w:t>
            </w:r>
          </w:p>
        </w:tc>
        <w:tc>
          <w:tcPr>
            <w:tcW w:w="0" w:type="auto"/>
            <w:vAlign w:val="bottom"/>
          </w:tcPr>
          <w:p w14:paraId="77DFDD80" w14:textId="4ADDC516" w:rsidR="008A6844" w:rsidRPr="000E57E3" w:rsidRDefault="008A6844" w:rsidP="000E57E3">
            <w:pPr>
              <w:pStyle w:val="Tabletext"/>
            </w:pPr>
            <w:r w:rsidRPr="000E57E3">
              <w:t> </w:t>
            </w:r>
          </w:p>
        </w:tc>
        <w:tc>
          <w:tcPr>
            <w:tcW w:w="0" w:type="auto"/>
            <w:vAlign w:val="bottom"/>
          </w:tcPr>
          <w:p w14:paraId="62416BDD" w14:textId="38DEAF30" w:rsidR="008A6844" w:rsidRPr="000E57E3" w:rsidRDefault="008A6844" w:rsidP="000E57E3">
            <w:pPr>
              <w:pStyle w:val="Tabletext"/>
            </w:pPr>
            <w:r w:rsidRPr="000E57E3">
              <w:t> </w:t>
            </w:r>
          </w:p>
        </w:tc>
        <w:tc>
          <w:tcPr>
            <w:tcW w:w="0" w:type="auto"/>
            <w:vAlign w:val="bottom"/>
          </w:tcPr>
          <w:p w14:paraId="02D3DA93" w14:textId="51F3A83E" w:rsidR="008A6844" w:rsidRPr="000E57E3" w:rsidRDefault="008A6844" w:rsidP="000E57E3">
            <w:pPr>
              <w:pStyle w:val="Tabletext"/>
            </w:pPr>
            <w:r w:rsidRPr="000E57E3">
              <w:t> </w:t>
            </w:r>
          </w:p>
        </w:tc>
        <w:tc>
          <w:tcPr>
            <w:tcW w:w="0" w:type="auto"/>
            <w:vAlign w:val="bottom"/>
          </w:tcPr>
          <w:p w14:paraId="1474F25A" w14:textId="0B8A2A45" w:rsidR="008A6844" w:rsidRPr="000E57E3" w:rsidRDefault="008A6844" w:rsidP="000E57E3">
            <w:pPr>
              <w:pStyle w:val="Tabletext"/>
            </w:pPr>
            <w:r w:rsidRPr="000E57E3">
              <w:t>Exemplar</w:t>
            </w:r>
          </w:p>
        </w:tc>
      </w:tr>
      <w:tr w:rsidR="00776CCE" w:rsidRPr="008A6844" w14:paraId="0AB9BDB1" w14:textId="77777777" w:rsidTr="00CA44B7">
        <w:tc>
          <w:tcPr>
            <w:tcW w:w="0" w:type="auto"/>
            <w:vAlign w:val="bottom"/>
          </w:tcPr>
          <w:p w14:paraId="4B77EF8E" w14:textId="4E844114" w:rsidR="008A6844" w:rsidRPr="000E57E3" w:rsidRDefault="008A6844" w:rsidP="000E57E3">
            <w:pPr>
              <w:pStyle w:val="Tabletext"/>
            </w:pPr>
            <w:r w:rsidRPr="000E57E3">
              <w:t>DNMT3A</w:t>
            </w:r>
          </w:p>
        </w:tc>
        <w:tc>
          <w:tcPr>
            <w:tcW w:w="0" w:type="auto"/>
            <w:vAlign w:val="bottom"/>
          </w:tcPr>
          <w:p w14:paraId="532DFB18" w14:textId="42C175F4" w:rsidR="008A6844" w:rsidRPr="000E57E3" w:rsidRDefault="008A6844" w:rsidP="000E57E3">
            <w:pPr>
              <w:pStyle w:val="Tabletext"/>
            </w:pPr>
            <w:r w:rsidRPr="000E57E3">
              <w:t>Y</w:t>
            </w:r>
          </w:p>
        </w:tc>
        <w:tc>
          <w:tcPr>
            <w:tcW w:w="0" w:type="auto"/>
            <w:vAlign w:val="bottom"/>
          </w:tcPr>
          <w:p w14:paraId="26069FC3" w14:textId="12D6FBBE" w:rsidR="008A6844" w:rsidRPr="000E57E3" w:rsidRDefault="008A6844" w:rsidP="000E57E3">
            <w:pPr>
              <w:pStyle w:val="Tabletext"/>
            </w:pPr>
            <w:r w:rsidRPr="000E57E3">
              <w:t> </w:t>
            </w:r>
          </w:p>
        </w:tc>
        <w:tc>
          <w:tcPr>
            <w:tcW w:w="0" w:type="auto"/>
            <w:vAlign w:val="bottom"/>
          </w:tcPr>
          <w:p w14:paraId="672BBFB9" w14:textId="5C84634A" w:rsidR="008A6844" w:rsidRPr="000E57E3" w:rsidRDefault="008A6844" w:rsidP="000E57E3">
            <w:pPr>
              <w:pStyle w:val="Tabletext"/>
            </w:pPr>
            <w:r w:rsidRPr="000E57E3">
              <w:t>Y</w:t>
            </w:r>
          </w:p>
        </w:tc>
        <w:tc>
          <w:tcPr>
            <w:tcW w:w="0" w:type="auto"/>
            <w:vAlign w:val="bottom"/>
          </w:tcPr>
          <w:p w14:paraId="14670BC7" w14:textId="5DE201B8" w:rsidR="008A6844" w:rsidRPr="000E57E3" w:rsidRDefault="008A6844" w:rsidP="000E57E3">
            <w:pPr>
              <w:pStyle w:val="Tabletext"/>
            </w:pPr>
            <w:r w:rsidRPr="000E57E3">
              <w:t> </w:t>
            </w:r>
          </w:p>
        </w:tc>
        <w:tc>
          <w:tcPr>
            <w:tcW w:w="0" w:type="auto"/>
            <w:vAlign w:val="bottom"/>
          </w:tcPr>
          <w:p w14:paraId="503B9687" w14:textId="4268E901" w:rsidR="008A6844" w:rsidRPr="000E57E3" w:rsidRDefault="008A6844" w:rsidP="000E57E3">
            <w:pPr>
              <w:pStyle w:val="Tabletext"/>
            </w:pPr>
            <w:r w:rsidRPr="000E57E3">
              <w:t>Y</w:t>
            </w:r>
          </w:p>
        </w:tc>
        <w:tc>
          <w:tcPr>
            <w:tcW w:w="0" w:type="auto"/>
            <w:vAlign w:val="bottom"/>
          </w:tcPr>
          <w:p w14:paraId="190A8C97" w14:textId="4DBF9A30" w:rsidR="008A6844" w:rsidRPr="000E57E3" w:rsidRDefault="008A6844" w:rsidP="000E57E3">
            <w:pPr>
              <w:pStyle w:val="Tabletext"/>
            </w:pPr>
            <w:r w:rsidRPr="000E57E3">
              <w:t> </w:t>
            </w:r>
          </w:p>
        </w:tc>
        <w:tc>
          <w:tcPr>
            <w:tcW w:w="0" w:type="auto"/>
            <w:vAlign w:val="bottom"/>
          </w:tcPr>
          <w:p w14:paraId="44C044A3" w14:textId="4A8B0093" w:rsidR="008A6844" w:rsidRPr="000E57E3" w:rsidRDefault="008A6844" w:rsidP="000E57E3">
            <w:pPr>
              <w:pStyle w:val="Tabletext"/>
            </w:pPr>
            <w:r w:rsidRPr="000E57E3">
              <w:t>Y</w:t>
            </w:r>
          </w:p>
        </w:tc>
        <w:tc>
          <w:tcPr>
            <w:tcW w:w="0" w:type="auto"/>
            <w:vAlign w:val="bottom"/>
          </w:tcPr>
          <w:p w14:paraId="1F15FB81" w14:textId="51A1D8C6" w:rsidR="008A6844" w:rsidRPr="000E57E3" w:rsidRDefault="008A6844" w:rsidP="000E57E3">
            <w:pPr>
              <w:pStyle w:val="Tabletext"/>
            </w:pPr>
            <w:r w:rsidRPr="000E57E3">
              <w:t> </w:t>
            </w:r>
          </w:p>
        </w:tc>
        <w:tc>
          <w:tcPr>
            <w:tcW w:w="0" w:type="auto"/>
            <w:vAlign w:val="bottom"/>
          </w:tcPr>
          <w:p w14:paraId="295E58FC" w14:textId="490607CF" w:rsidR="008A6844" w:rsidRPr="000E57E3" w:rsidRDefault="008A6844" w:rsidP="000E57E3">
            <w:pPr>
              <w:pStyle w:val="Tabletext"/>
            </w:pPr>
            <w:r w:rsidRPr="000E57E3">
              <w:t>Y</w:t>
            </w:r>
          </w:p>
        </w:tc>
        <w:tc>
          <w:tcPr>
            <w:tcW w:w="0" w:type="auto"/>
            <w:vAlign w:val="bottom"/>
          </w:tcPr>
          <w:p w14:paraId="23887C36" w14:textId="07666EEA" w:rsidR="008A6844" w:rsidRPr="000E57E3" w:rsidRDefault="008A6844" w:rsidP="000E57E3">
            <w:pPr>
              <w:pStyle w:val="Tabletext"/>
            </w:pPr>
            <w:r w:rsidRPr="000E57E3">
              <w:t> </w:t>
            </w:r>
          </w:p>
        </w:tc>
        <w:tc>
          <w:tcPr>
            <w:tcW w:w="0" w:type="auto"/>
            <w:vAlign w:val="bottom"/>
          </w:tcPr>
          <w:p w14:paraId="4611F417" w14:textId="7FB9AAE5" w:rsidR="008A6844" w:rsidRPr="000E57E3" w:rsidRDefault="008A6844" w:rsidP="000E57E3">
            <w:pPr>
              <w:pStyle w:val="Tabletext"/>
            </w:pPr>
            <w:r w:rsidRPr="000E57E3">
              <w:t>Y</w:t>
            </w:r>
          </w:p>
        </w:tc>
        <w:tc>
          <w:tcPr>
            <w:tcW w:w="0" w:type="auto"/>
            <w:vAlign w:val="bottom"/>
          </w:tcPr>
          <w:p w14:paraId="39CDF358" w14:textId="10DE139F" w:rsidR="008A6844" w:rsidRPr="000E57E3" w:rsidRDefault="008A6844" w:rsidP="000E57E3">
            <w:pPr>
              <w:pStyle w:val="Tabletext"/>
            </w:pPr>
            <w:r w:rsidRPr="000E57E3">
              <w:t>Exemplar</w:t>
            </w:r>
          </w:p>
        </w:tc>
      </w:tr>
      <w:tr w:rsidR="00776CCE" w:rsidRPr="008A6844" w14:paraId="52D410B0" w14:textId="77777777" w:rsidTr="00CA44B7">
        <w:tc>
          <w:tcPr>
            <w:tcW w:w="0" w:type="auto"/>
            <w:vAlign w:val="bottom"/>
          </w:tcPr>
          <w:p w14:paraId="09B66D8B" w14:textId="32A37B20" w:rsidR="008A6844" w:rsidRPr="000E57E3" w:rsidRDefault="008A6844" w:rsidP="000E57E3">
            <w:pPr>
              <w:pStyle w:val="Tabletext"/>
            </w:pPr>
            <w:r w:rsidRPr="000E57E3">
              <w:t>ELANE</w:t>
            </w:r>
          </w:p>
        </w:tc>
        <w:tc>
          <w:tcPr>
            <w:tcW w:w="0" w:type="auto"/>
            <w:vAlign w:val="bottom"/>
          </w:tcPr>
          <w:p w14:paraId="36952518" w14:textId="44B75597" w:rsidR="008A6844" w:rsidRPr="000E57E3" w:rsidRDefault="008A6844" w:rsidP="000E57E3">
            <w:pPr>
              <w:pStyle w:val="Tabletext"/>
            </w:pPr>
            <w:r w:rsidRPr="000E57E3">
              <w:t>Y</w:t>
            </w:r>
          </w:p>
        </w:tc>
        <w:tc>
          <w:tcPr>
            <w:tcW w:w="0" w:type="auto"/>
            <w:vAlign w:val="bottom"/>
          </w:tcPr>
          <w:p w14:paraId="12BCDB05" w14:textId="485B48F6" w:rsidR="008A6844" w:rsidRPr="000E57E3" w:rsidRDefault="008A6844" w:rsidP="000E57E3">
            <w:pPr>
              <w:pStyle w:val="Tabletext"/>
            </w:pPr>
            <w:r w:rsidRPr="000E57E3">
              <w:t> </w:t>
            </w:r>
          </w:p>
        </w:tc>
        <w:tc>
          <w:tcPr>
            <w:tcW w:w="0" w:type="auto"/>
            <w:vAlign w:val="bottom"/>
          </w:tcPr>
          <w:p w14:paraId="722B055D" w14:textId="710AEDAA" w:rsidR="008A6844" w:rsidRPr="000E57E3" w:rsidRDefault="008A6844" w:rsidP="000E57E3">
            <w:pPr>
              <w:pStyle w:val="Tabletext"/>
            </w:pPr>
            <w:r w:rsidRPr="000E57E3">
              <w:t> </w:t>
            </w:r>
          </w:p>
        </w:tc>
        <w:tc>
          <w:tcPr>
            <w:tcW w:w="0" w:type="auto"/>
            <w:vAlign w:val="bottom"/>
          </w:tcPr>
          <w:p w14:paraId="7779A39D" w14:textId="4B4C8CF7" w:rsidR="008A6844" w:rsidRPr="000E57E3" w:rsidRDefault="008A6844" w:rsidP="000E57E3">
            <w:pPr>
              <w:pStyle w:val="Tabletext"/>
            </w:pPr>
            <w:r w:rsidRPr="000E57E3">
              <w:t> </w:t>
            </w:r>
          </w:p>
        </w:tc>
        <w:tc>
          <w:tcPr>
            <w:tcW w:w="0" w:type="auto"/>
            <w:vAlign w:val="bottom"/>
          </w:tcPr>
          <w:p w14:paraId="1086AE5B" w14:textId="52C8C376" w:rsidR="008A6844" w:rsidRPr="000E57E3" w:rsidRDefault="008A6844" w:rsidP="000E57E3">
            <w:pPr>
              <w:pStyle w:val="Tabletext"/>
            </w:pPr>
            <w:r w:rsidRPr="000E57E3">
              <w:t> </w:t>
            </w:r>
          </w:p>
        </w:tc>
        <w:tc>
          <w:tcPr>
            <w:tcW w:w="0" w:type="auto"/>
            <w:vAlign w:val="bottom"/>
          </w:tcPr>
          <w:p w14:paraId="19DB9754" w14:textId="7AFF56A3" w:rsidR="008A6844" w:rsidRPr="000E57E3" w:rsidRDefault="008A6844" w:rsidP="000E57E3">
            <w:pPr>
              <w:pStyle w:val="Tabletext"/>
            </w:pPr>
            <w:r w:rsidRPr="000E57E3">
              <w:t>Y</w:t>
            </w:r>
          </w:p>
        </w:tc>
        <w:tc>
          <w:tcPr>
            <w:tcW w:w="0" w:type="auto"/>
            <w:vAlign w:val="bottom"/>
          </w:tcPr>
          <w:p w14:paraId="184922D2" w14:textId="30ABA413" w:rsidR="008A6844" w:rsidRPr="000E57E3" w:rsidRDefault="008A6844" w:rsidP="000E57E3">
            <w:pPr>
              <w:pStyle w:val="Tabletext"/>
            </w:pPr>
            <w:r w:rsidRPr="000E57E3">
              <w:t> </w:t>
            </w:r>
          </w:p>
        </w:tc>
        <w:tc>
          <w:tcPr>
            <w:tcW w:w="0" w:type="auto"/>
            <w:vAlign w:val="bottom"/>
          </w:tcPr>
          <w:p w14:paraId="48C999B2" w14:textId="43C2464B" w:rsidR="008A6844" w:rsidRPr="000E57E3" w:rsidRDefault="008A6844" w:rsidP="000E57E3">
            <w:pPr>
              <w:pStyle w:val="Tabletext"/>
            </w:pPr>
            <w:r w:rsidRPr="000E57E3">
              <w:t> </w:t>
            </w:r>
          </w:p>
        </w:tc>
        <w:tc>
          <w:tcPr>
            <w:tcW w:w="0" w:type="auto"/>
            <w:vAlign w:val="bottom"/>
          </w:tcPr>
          <w:p w14:paraId="791A1F79" w14:textId="0F0F7979" w:rsidR="008A6844" w:rsidRPr="000E57E3" w:rsidRDefault="008A6844" w:rsidP="000E57E3">
            <w:pPr>
              <w:pStyle w:val="Tabletext"/>
            </w:pPr>
            <w:r w:rsidRPr="000E57E3">
              <w:t> </w:t>
            </w:r>
          </w:p>
        </w:tc>
        <w:tc>
          <w:tcPr>
            <w:tcW w:w="0" w:type="auto"/>
            <w:vAlign w:val="bottom"/>
          </w:tcPr>
          <w:p w14:paraId="7A364EAD" w14:textId="5FB3E2B5" w:rsidR="008A6844" w:rsidRPr="000E57E3" w:rsidRDefault="008A6844" w:rsidP="000E57E3">
            <w:pPr>
              <w:pStyle w:val="Tabletext"/>
            </w:pPr>
            <w:r w:rsidRPr="000E57E3">
              <w:t> </w:t>
            </w:r>
          </w:p>
        </w:tc>
        <w:tc>
          <w:tcPr>
            <w:tcW w:w="0" w:type="auto"/>
            <w:vAlign w:val="bottom"/>
          </w:tcPr>
          <w:p w14:paraId="10754E71" w14:textId="130D2C19" w:rsidR="008A6844" w:rsidRPr="000E57E3" w:rsidRDefault="008A6844" w:rsidP="000E57E3">
            <w:pPr>
              <w:pStyle w:val="Tabletext"/>
            </w:pPr>
            <w:r w:rsidRPr="000E57E3">
              <w:t> </w:t>
            </w:r>
          </w:p>
        </w:tc>
        <w:tc>
          <w:tcPr>
            <w:tcW w:w="0" w:type="auto"/>
            <w:vAlign w:val="bottom"/>
          </w:tcPr>
          <w:p w14:paraId="7F4F07CF" w14:textId="7B617599" w:rsidR="008A6844" w:rsidRPr="000E57E3" w:rsidRDefault="008A6844" w:rsidP="000E57E3">
            <w:pPr>
              <w:pStyle w:val="Tabletext"/>
            </w:pPr>
            <w:r w:rsidRPr="000E57E3">
              <w:t>Exemplar</w:t>
            </w:r>
          </w:p>
        </w:tc>
      </w:tr>
      <w:tr w:rsidR="00776CCE" w:rsidRPr="008A6844" w14:paraId="7D37B93A" w14:textId="77777777" w:rsidTr="00CA44B7">
        <w:tc>
          <w:tcPr>
            <w:tcW w:w="0" w:type="auto"/>
            <w:vAlign w:val="bottom"/>
          </w:tcPr>
          <w:p w14:paraId="0826BBB8" w14:textId="64E96976" w:rsidR="008A6844" w:rsidRPr="000E57E3" w:rsidRDefault="008A6844" w:rsidP="000E57E3">
            <w:pPr>
              <w:pStyle w:val="Tabletext"/>
            </w:pPr>
            <w:r w:rsidRPr="000E57E3">
              <w:t>ETNK1</w:t>
            </w:r>
          </w:p>
        </w:tc>
        <w:tc>
          <w:tcPr>
            <w:tcW w:w="0" w:type="auto"/>
            <w:vAlign w:val="bottom"/>
          </w:tcPr>
          <w:p w14:paraId="50FC3758" w14:textId="697FCFDF" w:rsidR="008A6844" w:rsidRPr="000E57E3" w:rsidRDefault="008A6844" w:rsidP="000E57E3">
            <w:pPr>
              <w:pStyle w:val="Tabletext"/>
            </w:pPr>
            <w:r w:rsidRPr="000E57E3">
              <w:t>Y</w:t>
            </w:r>
          </w:p>
        </w:tc>
        <w:tc>
          <w:tcPr>
            <w:tcW w:w="0" w:type="auto"/>
            <w:vAlign w:val="bottom"/>
          </w:tcPr>
          <w:p w14:paraId="76E3F8F7" w14:textId="67568F73" w:rsidR="008A6844" w:rsidRPr="000E57E3" w:rsidRDefault="008A6844" w:rsidP="000E57E3">
            <w:pPr>
              <w:pStyle w:val="Tabletext"/>
            </w:pPr>
            <w:r w:rsidRPr="000E57E3">
              <w:t> </w:t>
            </w:r>
          </w:p>
        </w:tc>
        <w:tc>
          <w:tcPr>
            <w:tcW w:w="0" w:type="auto"/>
            <w:vAlign w:val="bottom"/>
          </w:tcPr>
          <w:p w14:paraId="22D31F4F" w14:textId="7ECA2F20" w:rsidR="008A6844" w:rsidRPr="000E57E3" w:rsidRDefault="008A6844" w:rsidP="000E57E3">
            <w:pPr>
              <w:pStyle w:val="Tabletext"/>
            </w:pPr>
            <w:r w:rsidRPr="000E57E3">
              <w:t>Y</w:t>
            </w:r>
          </w:p>
        </w:tc>
        <w:tc>
          <w:tcPr>
            <w:tcW w:w="0" w:type="auto"/>
            <w:vAlign w:val="bottom"/>
          </w:tcPr>
          <w:p w14:paraId="1864CBAE" w14:textId="2D7EE499" w:rsidR="008A6844" w:rsidRPr="000E57E3" w:rsidRDefault="008A6844" w:rsidP="000E57E3">
            <w:pPr>
              <w:pStyle w:val="Tabletext"/>
            </w:pPr>
            <w:r w:rsidRPr="000E57E3">
              <w:t> </w:t>
            </w:r>
          </w:p>
        </w:tc>
        <w:tc>
          <w:tcPr>
            <w:tcW w:w="0" w:type="auto"/>
            <w:vAlign w:val="bottom"/>
          </w:tcPr>
          <w:p w14:paraId="6DE68B9B" w14:textId="781492BA" w:rsidR="008A6844" w:rsidRPr="000E57E3" w:rsidRDefault="008A6844" w:rsidP="000E57E3">
            <w:pPr>
              <w:pStyle w:val="Tabletext"/>
            </w:pPr>
            <w:r w:rsidRPr="000E57E3">
              <w:t> </w:t>
            </w:r>
          </w:p>
        </w:tc>
        <w:tc>
          <w:tcPr>
            <w:tcW w:w="0" w:type="auto"/>
            <w:vAlign w:val="bottom"/>
          </w:tcPr>
          <w:p w14:paraId="40869865" w14:textId="484DDEE8" w:rsidR="008A6844" w:rsidRPr="000E57E3" w:rsidRDefault="008A6844" w:rsidP="000E57E3">
            <w:pPr>
              <w:pStyle w:val="Tabletext"/>
            </w:pPr>
            <w:r w:rsidRPr="000E57E3">
              <w:t> </w:t>
            </w:r>
          </w:p>
        </w:tc>
        <w:tc>
          <w:tcPr>
            <w:tcW w:w="0" w:type="auto"/>
            <w:vAlign w:val="bottom"/>
          </w:tcPr>
          <w:p w14:paraId="06912181" w14:textId="6E6D5580" w:rsidR="008A6844" w:rsidRPr="000E57E3" w:rsidRDefault="008A6844" w:rsidP="000E57E3">
            <w:pPr>
              <w:pStyle w:val="Tabletext"/>
            </w:pPr>
            <w:r w:rsidRPr="000E57E3">
              <w:t> </w:t>
            </w:r>
          </w:p>
        </w:tc>
        <w:tc>
          <w:tcPr>
            <w:tcW w:w="0" w:type="auto"/>
            <w:vAlign w:val="bottom"/>
          </w:tcPr>
          <w:p w14:paraId="08BEF7EE" w14:textId="73760CED" w:rsidR="008A6844" w:rsidRPr="000E57E3" w:rsidRDefault="008A6844" w:rsidP="000E57E3">
            <w:pPr>
              <w:pStyle w:val="Tabletext"/>
            </w:pPr>
            <w:r w:rsidRPr="000E57E3">
              <w:t> </w:t>
            </w:r>
          </w:p>
        </w:tc>
        <w:tc>
          <w:tcPr>
            <w:tcW w:w="0" w:type="auto"/>
            <w:vAlign w:val="bottom"/>
          </w:tcPr>
          <w:p w14:paraId="213A236E" w14:textId="12DAE300" w:rsidR="008A6844" w:rsidRPr="000E57E3" w:rsidRDefault="008A6844" w:rsidP="000E57E3">
            <w:pPr>
              <w:pStyle w:val="Tabletext"/>
            </w:pPr>
            <w:r w:rsidRPr="000E57E3">
              <w:t> </w:t>
            </w:r>
          </w:p>
        </w:tc>
        <w:tc>
          <w:tcPr>
            <w:tcW w:w="0" w:type="auto"/>
            <w:vAlign w:val="bottom"/>
          </w:tcPr>
          <w:p w14:paraId="4E6DEEC1" w14:textId="72433710" w:rsidR="008A6844" w:rsidRPr="000E57E3" w:rsidRDefault="008A6844" w:rsidP="000E57E3">
            <w:pPr>
              <w:pStyle w:val="Tabletext"/>
            </w:pPr>
            <w:r w:rsidRPr="000E57E3">
              <w:t> </w:t>
            </w:r>
          </w:p>
        </w:tc>
        <w:tc>
          <w:tcPr>
            <w:tcW w:w="0" w:type="auto"/>
            <w:vAlign w:val="bottom"/>
          </w:tcPr>
          <w:p w14:paraId="6A6D3A00" w14:textId="17A44645" w:rsidR="008A6844" w:rsidRPr="000E57E3" w:rsidRDefault="008A6844" w:rsidP="000E57E3">
            <w:pPr>
              <w:pStyle w:val="Tabletext"/>
            </w:pPr>
            <w:r w:rsidRPr="000E57E3">
              <w:t> </w:t>
            </w:r>
          </w:p>
        </w:tc>
        <w:tc>
          <w:tcPr>
            <w:tcW w:w="0" w:type="auto"/>
            <w:vAlign w:val="bottom"/>
          </w:tcPr>
          <w:p w14:paraId="7B5714AC" w14:textId="14287672" w:rsidR="008A6844" w:rsidRPr="000E57E3" w:rsidRDefault="008A6844" w:rsidP="000E57E3">
            <w:pPr>
              <w:pStyle w:val="Tabletext"/>
            </w:pPr>
            <w:r w:rsidRPr="000E57E3">
              <w:t>Exemplar</w:t>
            </w:r>
          </w:p>
        </w:tc>
      </w:tr>
      <w:tr w:rsidR="00776CCE" w:rsidRPr="008A6844" w14:paraId="2B1C6B51" w14:textId="77777777" w:rsidTr="00CA44B7">
        <w:tc>
          <w:tcPr>
            <w:tcW w:w="0" w:type="auto"/>
            <w:vAlign w:val="bottom"/>
          </w:tcPr>
          <w:p w14:paraId="4581E22B" w14:textId="6F54C1C9" w:rsidR="008A6844" w:rsidRPr="000E57E3" w:rsidRDefault="008A6844" w:rsidP="000E57E3">
            <w:pPr>
              <w:pStyle w:val="Tabletext"/>
            </w:pPr>
            <w:r w:rsidRPr="000E57E3">
              <w:t>ETV6</w:t>
            </w:r>
          </w:p>
        </w:tc>
        <w:tc>
          <w:tcPr>
            <w:tcW w:w="0" w:type="auto"/>
            <w:vAlign w:val="bottom"/>
          </w:tcPr>
          <w:p w14:paraId="22CE6D2E" w14:textId="219B3C13" w:rsidR="008A6844" w:rsidRPr="000E57E3" w:rsidRDefault="008A6844" w:rsidP="000E57E3">
            <w:pPr>
              <w:pStyle w:val="Tabletext"/>
            </w:pPr>
            <w:r w:rsidRPr="000E57E3">
              <w:t>Y</w:t>
            </w:r>
          </w:p>
        </w:tc>
        <w:tc>
          <w:tcPr>
            <w:tcW w:w="0" w:type="auto"/>
            <w:vAlign w:val="bottom"/>
          </w:tcPr>
          <w:p w14:paraId="643F4437" w14:textId="5B5C68B6" w:rsidR="008A6844" w:rsidRPr="000E57E3" w:rsidRDefault="008A6844" w:rsidP="000E57E3">
            <w:pPr>
              <w:pStyle w:val="Tabletext"/>
            </w:pPr>
            <w:r w:rsidRPr="000E57E3">
              <w:t> </w:t>
            </w:r>
          </w:p>
        </w:tc>
        <w:tc>
          <w:tcPr>
            <w:tcW w:w="0" w:type="auto"/>
            <w:vAlign w:val="bottom"/>
          </w:tcPr>
          <w:p w14:paraId="6A28EF42" w14:textId="0329F6B9" w:rsidR="008A6844" w:rsidRPr="000E57E3" w:rsidRDefault="008A6844" w:rsidP="000E57E3">
            <w:pPr>
              <w:pStyle w:val="Tabletext"/>
            </w:pPr>
            <w:r w:rsidRPr="000E57E3">
              <w:t>Y</w:t>
            </w:r>
          </w:p>
        </w:tc>
        <w:tc>
          <w:tcPr>
            <w:tcW w:w="0" w:type="auto"/>
            <w:vAlign w:val="bottom"/>
          </w:tcPr>
          <w:p w14:paraId="3F6FABCA" w14:textId="7BEABA32" w:rsidR="008A6844" w:rsidRPr="000E57E3" w:rsidRDefault="008A6844" w:rsidP="000E57E3">
            <w:pPr>
              <w:pStyle w:val="Tabletext"/>
            </w:pPr>
            <w:r w:rsidRPr="000E57E3">
              <w:t> </w:t>
            </w:r>
          </w:p>
        </w:tc>
        <w:tc>
          <w:tcPr>
            <w:tcW w:w="0" w:type="auto"/>
            <w:vAlign w:val="bottom"/>
          </w:tcPr>
          <w:p w14:paraId="3A1E450A" w14:textId="76F609B2" w:rsidR="008A6844" w:rsidRPr="000E57E3" w:rsidRDefault="008A6844" w:rsidP="000E57E3">
            <w:pPr>
              <w:pStyle w:val="Tabletext"/>
            </w:pPr>
            <w:r w:rsidRPr="000E57E3">
              <w:t>Y</w:t>
            </w:r>
          </w:p>
        </w:tc>
        <w:tc>
          <w:tcPr>
            <w:tcW w:w="0" w:type="auto"/>
            <w:vAlign w:val="bottom"/>
          </w:tcPr>
          <w:p w14:paraId="364B769C" w14:textId="57DEFA68" w:rsidR="008A6844" w:rsidRPr="000E57E3" w:rsidRDefault="008A6844" w:rsidP="000E57E3">
            <w:pPr>
              <w:pStyle w:val="Tabletext"/>
            </w:pPr>
            <w:r w:rsidRPr="000E57E3">
              <w:t>Y</w:t>
            </w:r>
          </w:p>
        </w:tc>
        <w:tc>
          <w:tcPr>
            <w:tcW w:w="0" w:type="auto"/>
            <w:vAlign w:val="bottom"/>
          </w:tcPr>
          <w:p w14:paraId="081220AF" w14:textId="203954A8" w:rsidR="008A6844" w:rsidRPr="000E57E3" w:rsidRDefault="008A6844" w:rsidP="000E57E3">
            <w:pPr>
              <w:pStyle w:val="Tabletext"/>
            </w:pPr>
            <w:r w:rsidRPr="000E57E3">
              <w:t> </w:t>
            </w:r>
          </w:p>
        </w:tc>
        <w:tc>
          <w:tcPr>
            <w:tcW w:w="0" w:type="auto"/>
            <w:vAlign w:val="bottom"/>
          </w:tcPr>
          <w:p w14:paraId="3A7C7D2A" w14:textId="52716196" w:rsidR="008A6844" w:rsidRPr="000E57E3" w:rsidRDefault="008A6844" w:rsidP="000E57E3">
            <w:pPr>
              <w:pStyle w:val="Tabletext"/>
            </w:pPr>
            <w:r w:rsidRPr="000E57E3">
              <w:t> </w:t>
            </w:r>
          </w:p>
        </w:tc>
        <w:tc>
          <w:tcPr>
            <w:tcW w:w="0" w:type="auto"/>
            <w:vAlign w:val="bottom"/>
          </w:tcPr>
          <w:p w14:paraId="54DA98D0" w14:textId="62B985F1" w:rsidR="008A6844" w:rsidRPr="000E57E3" w:rsidRDefault="008A6844" w:rsidP="000E57E3">
            <w:pPr>
              <w:pStyle w:val="Tabletext"/>
            </w:pPr>
            <w:r w:rsidRPr="000E57E3">
              <w:t>Y</w:t>
            </w:r>
          </w:p>
        </w:tc>
        <w:tc>
          <w:tcPr>
            <w:tcW w:w="0" w:type="auto"/>
            <w:vAlign w:val="bottom"/>
          </w:tcPr>
          <w:p w14:paraId="61253442" w14:textId="02544F36" w:rsidR="008A6844" w:rsidRPr="000E57E3" w:rsidRDefault="008A6844" w:rsidP="000E57E3">
            <w:pPr>
              <w:pStyle w:val="Tabletext"/>
            </w:pPr>
            <w:r w:rsidRPr="000E57E3">
              <w:t> </w:t>
            </w:r>
          </w:p>
        </w:tc>
        <w:tc>
          <w:tcPr>
            <w:tcW w:w="0" w:type="auto"/>
            <w:vAlign w:val="bottom"/>
          </w:tcPr>
          <w:p w14:paraId="6B52B9DE" w14:textId="776F8A3A" w:rsidR="008A6844" w:rsidRPr="000E57E3" w:rsidRDefault="008A6844" w:rsidP="000E57E3">
            <w:pPr>
              <w:pStyle w:val="Tabletext"/>
            </w:pPr>
            <w:r w:rsidRPr="000E57E3">
              <w:t> </w:t>
            </w:r>
          </w:p>
        </w:tc>
        <w:tc>
          <w:tcPr>
            <w:tcW w:w="0" w:type="auto"/>
            <w:vAlign w:val="bottom"/>
          </w:tcPr>
          <w:p w14:paraId="5FB15715" w14:textId="0D16DB72" w:rsidR="008A6844" w:rsidRPr="000E57E3" w:rsidRDefault="008A6844" w:rsidP="000E57E3">
            <w:pPr>
              <w:pStyle w:val="Tabletext"/>
            </w:pPr>
            <w:r w:rsidRPr="000E57E3">
              <w:t>Exemplar</w:t>
            </w:r>
          </w:p>
        </w:tc>
      </w:tr>
      <w:tr w:rsidR="00776CCE" w:rsidRPr="008A6844" w14:paraId="30830AD9" w14:textId="77777777" w:rsidTr="00CA44B7">
        <w:tc>
          <w:tcPr>
            <w:tcW w:w="0" w:type="auto"/>
            <w:vAlign w:val="bottom"/>
          </w:tcPr>
          <w:p w14:paraId="4B2C1DA4" w14:textId="40ED5F15" w:rsidR="008A6844" w:rsidRPr="000E57E3" w:rsidRDefault="008A6844" w:rsidP="000E57E3">
            <w:pPr>
              <w:pStyle w:val="Tabletext"/>
            </w:pPr>
            <w:r w:rsidRPr="000E57E3">
              <w:t>ETV6-JAK2</w:t>
            </w:r>
          </w:p>
        </w:tc>
        <w:tc>
          <w:tcPr>
            <w:tcW w:w="0" w:type="auto"/>
            <w:vAlign w:val="bottom"/>
          </w:tcPr>
          <w:p w14:paraId="7679F8A9" w14:textId="6D658B15" w:rsidR="008A6844" w:rsidRPr="000E57E3" w:rsidRDefault="008A6844" w:rsidP="000E57E3">
            <w:pPr>
              <w:pStyle w:val="Tabletext"/>
            </w:pPr>
            <w:r w:rsidRPr="000E57E3">
              <w:t> </w:t>
            </w:r>
          </w:p>
        </w:tc>
        <w:tc>
          <w:tcPr>
            <w:tcW w:w="0" w:type="auto"/>
            <w:vAlign w:val="bottom"/>
          </w:tcPr>
          <w:p w14:paraId="404574AA" w14:textId="6B959864" w:rsidR="008A6844" w:rsidRPr="000E57E3" w:rsidRDefault="008A6844" w:rsidP="000E57E3">
            <w:pPr>
              <w:pStyle w:val="Tabletext"/>
            </w:pPr>
            <w:r w:rsidRPr="000E57E3">
              <w:t>Y</w:t>
            </w:r>
          </w:p>
        </w:tc>
        <w:tc>
          <w:tcPr>
            <w:tcW w:w="0" w:type="auto"/>
            <w:vAlign w:val="bottom"/>
          </w:tcPr>
          <w:p w14:paraId="43996E9B" w14:textId="65042698" w:rsidR="008A6844" w:rsidRPr="000E57E3" w:rsidRDefault="008A6844" w:rsidP="000E57E3">
            <w:pPr>
              <w:pStyle w:val="Tabletext"/>
            </w:pPr>
            <w:r w:rsidRPr="000E57E3">
              <w:t> </w:t>
            </w:r>
          </w:p>
        </w:tc>
        <w:tc>
          <w:tcPr>
            <w:tcW w:w="0" w:type="auto"/>
            <w:vAlign w:val="bottom"/>
          </w:tcPr>
          <w:p w14:paraId="703509C5" w14:textId="6B496F35" w:rsidR="008A6844" w:rsidRPr="000E57E3" w:rsidRDefault="008A6844" w:rsidP="000E57E3">
            <w:pPr>
              <w:pStyle w:val="Tabletext"/>
            </w:pPr>
            <w:r w:rsidRPr="000E57E3">
              <w:t> </w:t>
            </w:r>
          </w:p>
        </w:tc>
        <w:tc>
          <w:tcPr>
            <w:tcW w:w="0" w:type="auto"/>
            <w:vAlign w:val="bottom"/>
          </w:tcPr>
          <w:p w14:paraId="3DC4C620" w14:textId="7B3C23DC" w:rsidR="008A6844" w:rsidRPr="000E57E3" w:rsidRDefault="008A6844" w:rsidP="000E57E3">
            <w:pPr>
              <w:pStyle w:val="Tabletext"/>
            </w:pPr>
            <w:r w:rsidRPr="000E57E3">
              <w:t> </w:t>
            </w:r>
          </w:p>
        </w:tc>
        <w:tc>
          <w:tcPr>
            <w:tcW w:w="0" w:type="auto"/>
            <w:vAlign w:val="bottom"/>
          </w:tcPr>
          <w:p w14:paraId="40F18155" w14:textId="4D38A66F" w:rsidR="008A6844" w:rsidRPr="000E57E3" w:rsidRDefault="008A6844" w:rsidP="000E57E3">
            <w:pPr>
              <w:pStyle w:val="Tabletext"/>
            </w:pPr>
            <w:r w:rsidRPr="000E57E3">
              <w:t> </w:t>
            </w:r>
          </w:p>
        </w:tc>
        <w:tc>
          <w:tcPr>
            <w:tcW w:w="0" w:type="auto"/>
            <w:vAlign w:val="bottom"/>
          </w:tcPr>
          <w:p w14:paraId="0BFB6D34" w14:textId="1155BF60" w:rsidR="008A6844" w:rsidRPr="000E57E3" w:rsidRDefault="008A6844" w:rsidP="000E57E3">
            <w:pPr>
              <w:pStyle w:val="Tabletext"/>
            </w:pPr>
            <w:r w:rsidRPr="000E57E3">
              <w:t> </w:t>
            </w:r>
          </w:p>
        </w:tc>
        <w:tc>
          <w:tcPr>
            <w:tcW w:w="0" w:type="auto"/>
            <w:vAlign w:val="bottom"/>
          </w:tcPr>
          <w:p w14:paraId="479916C4" w14:textId="219B918E" w:rsidR="008A6844" w:rsidRPr="000E57E3" w:rsidRDefault="008A6844" w:rsidP="000E57E3">
            <w:pPr>
              <w:pStyle w:val="Tabletext"/>
            </w:pPr>
            <w:r w:rsidRPr="000E57E3">
              <w:t> </w:t>
            </w:r>
          </w:p>
        </w:tc>
        <w:tc>
          <w:tcPr>
            <w:tcW w:w="0" w:type="auto"/>
            <w:vAlign w:val="bottom"/>
          </w:tcPr>
          <w:p w14:paraId="570B43DB" w14:textId="682BB998" w:rsidR="008A6844" w:rsidRPr="000E57E3" w:rsidRDefault="008A6844" w:rsidP="000E57E3">
            <w:pPr>
              <w:pStyle w:val="Tabletext"/>
            </w:pPr>
            <w:r w:rsidRPr="000E57E3">
              <w:t> </w:t>
            </w:r>
          </w:p>
        </w:tc>
        <w:tc>
          <w:tcPr>
            <w:tcW w:w="0" w:type="auto"/>
            <w:vAlign w:val="bottom"/>
          </w:tcPr>
          <w:p w14:paraId="6636FC8D" w14:textId="707BE138" w:rsidR="008A6844" w:rsidRPr="000E57E3" w:rsidRDefault="008A6844" w:rsidP="000E57E3">
            <w:pPr>
              <w:pStyle w:val="Tabletext"/>
            </w:pPr>
            <w:r w:rsidRPr="000E57E3">
              <w:t> </w:t>
            </w:r>
          </w:p>
        </w:tc>
        <w:tc>
          <w:tcPr>
            <w:tcW w:w="0" w:type="auto"/>
            <w:vAlign w:val="bottom"/>
          </w:tcPr>
          <w:p w14:paraId="66839ED0" w14:textId="5B7C1BDA" w:rsidR="008A6844" w:rsidRPr="000E57E3" w:rsidRDefault="008A6844" w:rsidP="000E57E3">
            <w:pPr>
              <w:pStyle w:val="Tabletext"/>
            </w:pPr>
            <w:r w:rsidRPr="000E57E3">
              <w:t> </w:t>
            </w:r>
          </w:p>
        </w:tc>
        <w:tc>
          <w:tcPr>
            <w:tcW w:w="0" w:type="auto"/>
            <w:vAlign w:val="bottom"/>
          </w:tcPr>
          <w:p w14:paraId="6270797C" w14:textId="4345536F" w:rsidR="008A6844" w:rsidRPr="000E57E3" w:rsidRDefault="008A6844" w:rsidP="000E57E3">
            <w:pPr>
              <w:pStyle w:val="Tabletext"/>
            </w:pPr>
            <w:r w:rsidRPr="000E57E3">
              <w:t>Exemplar</w:t>
            </w:r>
          </w:p>
        </w:tc>
      </w:tr>
      <w:tr w:rsidR="00776CCE" w:rsidRPr="008A6844" w14:paraId="182455D1" w14:textId="77777777" w:rsidTr="00CA44B7">
        <w:tc>
          <w:tcPr>
            <w:tcW w:w="0" w:type="auto"/>
            <w:vAlign w:val="bottom"/>
          </w:tcPr>
          <w:p w14:paraId="3FF2AF31" w14:textId="559EAFFA" w:rsidR="008A6844" w:rsidRPr="000E57E3" w:rsidRDefault="008A6844" w:rsidP="000E57E3">
            <w:pPr>
              <w:pStyle w:val="Tabletext"/>
            </w:pPr>
            <w:r w:rsidRPr="000E57E3">
              <w:t>ETV6-RUNX1</w:t>
            </w:r>
          </w:p>
        </w:tc>
        <w:tc>
          <w:tcPr>
            <w:tcW w:w="0" w:type="auto"/>
            <w:vAlign w:val="bottom"/>
          </w:tcPr>
          <w:p w14:paraId="5C37B2BB" w14:textId="43D1DDD1" w:rsidR="008A6844" w:rsidRPr="000E57E3" w:rsidRDefault="008A6844" w:rsidP="000E57E3">
            <w:pPr>
              <w:pStyle w:val="Tabletext"/>
            </w:pPr>
            <w:r w:rsidRPr="000E57E3">
              <w:t> </w:t>
            </w:r>
          </w:p>
        </w:tc>
        <w:tc>
          <w:tcPr>
            <w:tcW w:w="0" w:type="auto"/>
            <w:vAlign w:val="bottom"/>
          </w:tcPr>
          <w:p w14:paraId="5FD09828" w14:textId="65376627" w:rsidR="008A6844" w:rsidRPr="000E57E3" w:rsidRDefault="008A6844" w:rsidP="000E57E3">
            <w:pPr>
              <w:pStyle w:val="Tabletext"/>
            </w:pPr>
            <w:r w:rsidRPr="000E57E3">
              <w:t>Y</w:t>
            </w:r>
          </w:p>
        </w:tc>
        <w:tc>
          <w:tcPr>
            <w:tcW w:w="0" w:type="auto"/>
            <w:vAlign w:val="bottom"/>
          </w:tcPr>
          <w:p w14:paraId="606A29C5" w14:textId="1956CE19" w:rsidR="008A6844" w:rsidRPr="000E57E3" w:rsidRDefault="008A6844" w:rsidP="000E57E3">
            <w:pPr>
              <w:pStyle w:val="Tabletext"/>
            </w:pPr>
            <w:r w:rsidRPr="000E57E3">
              <w:t> </w:t>
            </w:r>
          </w:p>
        </w:tc>
        <w:tc>
          <w:tcPr>
            <w:tcW w:w="0" w:type="auto"/>
            <w:vAlign w:val="bottom"/>
          </w:tcPr>
          <w:p w14:paraId="63D15257" w14:textId="322D4616" w:rsidR="008A6844" w:rsidRPr="000E57E3" w:rsidRDefault="008A6844" w:rsidP="000E57E3">
            <w:pPr>
              <w:pStyle w:val="Tabletext"/>
            </w:pPr>
            <w:r w:rsidRPr="000E57E3">
              <w:t> </w:t>
            </w:r>
          </w:p>
        </w:tc>
        <w:tc>
          <w:tcPr>
            <w:tcW w:w="0" w:type="auto"/>
            <w:vAlign w:val="bottom"/>
          </w:tcPr>
          <w:p w14:paraId="7050C365" w14:textId="0DE68BE4" w:rsidR="008A6844" w:rsidRPr="000E57E3" w:rsidRDefault="008A6844" w:rsidP="000E57E3">
            <w:pPr>
              <w:pStyle w:val="Tabletext"/>
            </w:pPr>
            <w:r w:rsidRPr="000E57E3">
              <w:t> </w:t>
            </w:r>
          </w:p>
        </w:tc>
        <w:tc>
          <w:tcPr>
            <w:tcW w:w="0" w:type="auto"/>
            <w:vAlign w:val="bottom"/>
          </w:tcPr>
          <w:p w14:paraId="6564FA31" w14:textId="609171C2" w:rsidR="008A6844" w:rsidRPr="000E57E3" w:rsidRDefault="008A6844" w:rsidP="000E57E3">
            <w:pPr>
              <w:pStyle w:val="Tabletext"/>
            </w:pPr>
            <w:r w:rsidRPr="000E57E3">
              <w:t> </w:t>
            </w:r>
          </w:p>
        </w:tc>
        <w:tc>
          <w:tcPr>
            <w:tcW w:w="0" w:type="auto"/>
            <w:vAlign w:val="bottom"/>
          </w:tcPr>
          <w:p w14:paraId="6DDF176B" w14:textId="46C607B4" w:rsidR="008A6844" w:rsidRPr="000E57E3" w:rsidRDefault="008A6844" w:rsidP="000E57E3">
            <w:pPr>
              <w:pStyle w:val="Tabletext"/>
            </w:pPr>
            <w:r w:rsidRPr="000E57E3">
              <w:t> </w:t>
            </w:r>
          </w:p>
        </w:tc>
        <w:tc>
          <w:tcPr>
            <w:tcW w:w="0" w:type="auto"/>
            <w:vAlign w:val="bottom"/>
          </w:tcPr>
          <w:p w14:paraId="22925A1C" w14:textId="36225145" w:rsidR="008A6844" w:rsidRPr="000E57E3" w:rsidRDefault="008A6844" w:rsidP="000E57E3">
            <w:pPr>
              <w:pStyle w:val="Tabletext"/>
            </w:pPr>
            <w:r w:rsidRPr="000E57E3">
              <w:t> </w:t>
            </w:r>
          </w:p>
        </w:tc>
        <w:tc>
          <w:tcPr>
            <w:tcW w:w="0" w:type="auto"/>
            <w:vAlign w:val="bottom"/>
          </w:tcPr>
          <w:p w14:paraId="6397AFEC" w14:textId="5D94857A" w:rsidR="008A6844" w:rsidRPr="000E57E3" w:rsidRDefault="008A6844" w:rsidP="000E57E3">
            <w:pPr>
              <w:pStyle w:val="Tabletext"/>
            </w:pPr>
            <w:r w:rsidRPr="000E57E3">
              <w:t> </w:t>
            </w:r>
          </w:p>
        </w:tc>
        <w:tc>
          <w:tcPr>
            <w:tcW w:w="0" w:type="auto"/>
            <w:vAlign w:val="bottom"/>
          </w:tcPr>
          <w:p w14:paraId="4D44E313" w14:textId="25D1891E" w:rsidR="008A6844" w:rsidRPr="000E57E3" w:rsidRDefault="008A6844" w:rsidP="000E57E3">
            <w:pPr>
              <w:pStyle w:val="Tabletext"/>
            </w:pPr>
            <w:r w:rsidRPr="000E57E3">
              <w:t> </w:t>
            </w:r>
          </w:p>
        </w:tc>
        <w:tc>
          <w:tcPr>
            <w:tcW w:w="0" w:type="auto"/>
            <w:vAlign w:val="bottom"/>
          </w:tcPr>
          <w:p w14:paraId="66C830C8" w14:textId="7285F7AC" w:rsidR="008A6844" w:rsidRPr="000E57E3" w:rsidRDefault="008A6844" w:rsidP="000E57E3">
            <w:pPr>
              <w:pStyle w:val="Tabletext"/>
            </w:pPr>
            <w:r w:rsidRPr="000E57E3">
              <w:t> </w:t>
            </w:r>
          </w:p>
        </w:tc>
        <w:tc>
          <w:tcPr>
            <w:tcW w:w="0" w:type="auto"/>
            <w:vAlign w:val="bottom"/>
          </w:tcPr>
          <w:p w14:paraId="2904638A" w14:textId="187B6F08" w:rsidR="008A6844" w:rsidRPr="000E57E3" w:rsidRDefault="008A6844" w:rsidP="000E57E3">
            <w:pPr>
              <w:pStyle w:val="Tabletext"/>
            </w:pPr>
            <w:r w:rsidRPr="000E57E3">
              <w:t>Exemplar</w:t>
            </w:r>
          </w:p>
        </w:tc>
      </w:tr>
      <w:tr w:rsidR="00776CCE" w:rsidRPr="008A6844" w14:paraId="62A0860E" w14:textId="77777777" w:rsidTr="00CA44B7">
        <w:tc>
          <w:tcPr>
            <w:tcW w:w="0" w:type="auto"/>
            <w:vAlign w:val="bottom"/>
          </w:tcPr>
          <w:p w14:paraId="3E51EF5F" w14:textId="525F4EF6" w:rsidR="008A6844" w:rsidRPr="000E57E3" w:rsidRDefault="008A6844" w:rsidP="000E57E3">
            <w:pPr>
              <w:pStyle w:val="Tabletext"/>
            </w:pPr>
            <w:r w:rsidRPr="000E57E3">
              <w:t>EZH2</w:t>
            </w:r>
          </w:p>
        </w:tc>
        <w:tc>
          <w:tcPr>
            <w:tcW w:w="0" w:type="auto"/>
            <w:vAlign w:val="bottom"/>
          </w:tcPr>
          <w:p w14:paraId="6858E980" w14:textId="2D651107" w:rsidR="008A6844" w:rsidRPr="000E57E3" w:rsidRDefault="008A6844" w:rsidP="000E57E3">
            <w:pPr>
              <w:pStyle w:val="Tabletext"/>
            </w:pPr>
            <w:r w:rsidRPr="000E57E3">
              <w:t>Y</w:t>
            </w:r>
          </w:p>
        </w:tc>
        <w:tc>
          <w:tcPr>
            <w:tcW w:w="0" w:type="auto"/>
            <w:vAlign w:val="bottom"/>
          </w:tcPr>
          <w:p w14:paraId="3602B31C" w14:textId="194B1555" w:rsidR="008A6844" w:rsidRPr="000E57E3" w:rsidRDefault="008A6844" w:rsidP="000E57E3">
            <w:pPr>
              <w:pStyle w:val="Tabletext"/>
            </w:pPr>
            <w:r w:rsidRPr="000E57E3">
              <w:t> </w:t>
            </w:r>
          </w:p>
        </w:tc>
        <w:tc>
          <w:tcPr>
            <w:tcW w:w="0" w:type="auto"/>
            <w:vAlign w:val="bottom"/>
          </w:tcPr>
          <w:p w14:paraId="209E0A52" w14:textId="707E24E9" w:rsidR="008A6844" w:rsidRPr="000E57E3" w:rsidRDefault="008A6844" w:rsidP="000E57E3">
            <w:pPr>
              <w:pStyle w:val="Tabletext"/>
            </w:pPr>
            <w:r w:rsidRPr="000E57E3">
              <w:t>Y</w:t>
            </w:r>
          </w:p>
        </w:tc>
        <w:tc>
          <w:tcPr>
            <w:tcW w:w="0" w:type="auto"/>
            <w:vAlign w:val="bottom"/>
          </w:tcPr>
          <w:p w14:paraId="69FEBAC3" w14:textId="325ADFFA" w:rsidR="008A6844" w:rsidRPr="000E57E3" w:rsidRDefault="008A6844" w:rsidP="000E57E3">
            <w:pPr>
              <w:pStyle w:val="Tabletext"/>
            </w:pPr>
            <w:r w:rsidRPr="000E57E3">
              <w:t>Y</w:t>
            </w:r>
          </w:p>
        </w:tc>
        <w:tc>
          <w:tcPr>
            <w:tcW w:w="0" w:type="auto"/>
            <w:vAlign w:val="bottom"/>
          </w:tcPr>
          <w:p w14:paraId="6C4FB5E9" w14:textId="634F51DC" w:rsidR="008A6844" w:rsidRPr="000E57E3" w:rsidRDefault="008A6844" w:rsidP="000E57E3">
            <w:pPr>
              <w:pStyle w:val="Tabletext"/>
            </w:pPr>
            <w:r w:rsidRPr="000E57E3">
              <w:t>Y</w:t>
            </w:r>
          </w:p>
        </w:tc>
        <w:tc>
          <w:tcPr>
            <w:tcW w:w="0" w:type="auto"/>
            <w:vAlign w:val="bottom"/>
          </w:tcPr>
          <w:p w14:paraId="49029B23" w14:textId="75044F2B" w:rsidR="008A6844" w:rsidRPr="000E57E3" w:rsidRDefault="008A6844" w:rsidP="000E57E3">
            <w:pPr>
              <w:pStyle w:val="Tabletext"/>
            </w:pPr>
            <w:r w:rsidRPr="000E57E3">
              <w:t> </w:t>
            </w:r>
          </w:p>
        </w:tc>
        <w:tc>
          <w:tcPr>
            <w:tcW w:w="0" w:type="auto"/>
            <w:vAlign w:val="bottom"/>
          </w:tcPr>
          <w:p w14:paraId="04067259" w14:textId="415E1431" w:rsidR="008A6844" w:rsidRPr="000E57E3" w:rsidRDefault="008A6844" w:rsidP="000E57E3">
            <w:pPr>
              <w:pStyle w:val="Tabletext"/>
            </w:pPr>
            <w:r w:rsidRPr="000E57E3">
              <w:t>Y</w:t>
            </w:r>
          </w:p>
        </w:tc>
        <w:tc>
          <w:tcPr>
            <w:tcW w:w="0" w:type="auto"/>
            <w:vAlign w:val="bottom"/>
          </w:tcPr>
          <w:p w14:paraId="065D71A4" w14:textId="5139611C" w:rsidR="008A6844" w:rsidRPr="000E57E3" w:rsidRDefault="008A6844" w:rsidP="000E57E3">
            <w:pPr>
              <w:pStyle w:val="Tabletext"/>
            </w:pPr>
            <w:r w:rsidRPr="000E57E3">
              <w:t>Y</w:t>
            </w:r>
          </w:p>
        </w:tc>
        <w:tc>
          <w:tcPr>
            <w:tcW w:w="0" w:type="auto"/>
            <w:vAlign w:val="bottom"/>
          </w:tcPr>
          <w:p w14:paraId="49DD419F" w14:textId="214F49B0" w:rsidR="008A6844" w:rsidRPr="000E57E3" w:rsidRDefault="008A6844" w:rsidP="000E57E3">
            <w:pPr>
              <w:pStyle w:val="Tabletext"/>
            </w:pPr>
            <w:r w:rsidRPr="000E57E3">
              <w:t>Y</w:t>
            </w:r>
          </w:p>
        </w:tc>
        <w:tc>
          <w:tcPr>
            <w:tcW w:w="0" w:type="auto"/>
            <w:vAlign w:val="bottom"/>
          </w:tcPr>
          <w:p w14:paraId="482B4E92" w14:textId="79CAA898" w:rsidR="008A6844" w:rsidRPr="000E57E3" w:rsidRDefault="008A6844" w:rsidP="000E57E3">
            <w:pPr>
              <w:pStyle w:val="Tabletext"/>
            </w:pPr>
            <w:r w:rsidRPr="000E57E3">
              <w:t>Y</w:t>
            </w:r>
          </w:p>
        </w:tc>
        <w:tc>
          <w:tcPr>
            <w:tcW w:w="0" w:type="auto"/>
            <w:vAlign w:val="bottom"/>
          </w:tcPr>
          <w:p w14:paraId="407220C3" w14:textId="6EB2D03E" w:rsidR="008A6844" w:rsidRPr="000E57E3" w:rsidRDefault="008A6844" w:rsidP="000E57E3">
            <w:pPr>
              <w:pStyle w:val="Tabletext"/>
            </w:pPr>
            <w:r w:rsidRPr="000E57E3">
              <w:t>Y</w:t>
            </w:r>
          </w:p>
        </w:tc>
        <w:tc>
          <w:tcPr>
            <w:tcW w:w="0" w:type="auto"/>
            <w:vAlign w:val="bottom"/>
          </w:tcPr>
          <w:p w14:paraId="755FBDFD" w14:textId="5CEBD2A2" w:rsidR="008A6844" w:rsidRPr="000E57E3" w:rsidRDefault="008A6844" w:rsidP="000E57E3">
            <w:pPr>
              <w:pStyle w:val="Tabletext"/>
            </w:pPr>
            <w:r w:rsidRPr="000E57E3">
              <w:t>Exemplar</w:t>
            </w:r>
          </w:p>
        </w:tc>
      </w:tr>
      <w:tr w:rsidR="00776CCE" w:rsidRPr="008A6844" w14:paraId="7DAC56A7" w14:textId="77777777" w:rsidTr="00CA44B7">
        <w:tc>
          <w:tcPr>
            <w:tcW w:w="0" w:type="auto"/>
            <w:vAlign w:val="bottom"/>
          </w:tcPr>
          <w:p w14:paraId="663CC30E" w14:textId="5DFC7148" w:rsidR="008A6844" w:rsidRPr="000E57E3" w:rsidRDefault="008A6844" w:rsidP="000E57E3">
            <w:pPr>
              <w:pStyle w:val="Tabletext"/>
            </w:pPr>
            <w:r w:rsidRPr="000E57E3">
              <w:t>FANCA</w:t>
            </w:r>
          </w:p>
        </w:tc>
        <w:tc>
          <w:tcPr>
            <w:tcW w:w="0" w:type="auto"/>
            <w:vAlign w:val="bottom"/>
          </w:tcPr>
          <w:p w14:paraId="4413D790" w14:textId="3892CE98" w:rsidR="008A6844" w:rsidRPr="000E57E3" w:rsidRDefault="008A6844" w:rsidP="000E57E3">
            <w:pPr>
              <w:pStyle w:val="Tabletext"/>
            </w:pPr>
            <w:r w:rsidRPr="000E57E3">
              <w:t>Y</w:t>
            </w:r>
          </w:p>
        </w:tc>
        <w:tc>
          <w:tcPr>
            <w:tcW w:w="0" w:type="auto"/>
            <w:vAlign w:val="bottom"/>
          </w:tcPr>
          <w:p w14:paraId="4841833B" w14:textId="730C6539" w:rsidR="008A6844" w:rsidRPr="000E57E3" w:rsidRDefault="008A6844" w:rsidP="000E57E3">
            <w:pPr>
              <w:pStyle w:val="Tabletext"/>
            </w:pPr>
            <w:r w:rsidRPr="000E57E3">
              <w:t> </w:t>
            </w:r>
          </w:p>
        </w:tc>
        <w:tc>
          <w:tcPr>
            <w:tcW w:w="0" w:type="auto"/>
            <w:vAlign w:val="bottom"/>
          </w:tcPr>
          <w:p w14:paraId="1454590F" w14:textId="3D942AE7" w:rsidR="008A6844" w:rsidRPr="000E57E3" w:rsidRDefault="008A6844" w:rsidP="000E57E3">
            <w:pPr>
              <w:pStyle w:val="Tabletext"/>
            </w:pPr>
            <w:r w:rsidRPr="000E57E3">
              <w:t> </w:t>
            </w:r>
          </w:p>
        </w:tc>
        <w:tc>
          <w:tcPr>
            <w:tcW w:w="0" w:type="auto"/>
            <w:vAlign w:val="bottom"/>
          </w:tcPr>
          <w:p w14:paraId="02E95A23" w14:textId="783EA8AC" w:rsidR="008A6844" w:rsidRPr="000E57E3" w:rsidRDefault="008A6844" w:rsidP="000E57E3">
            <w:pPr>
              <w:pStyle w:val="Tabletext"/>
            </w:pPr>
            <w:r w:rsidRPr="000E57E3">
              <w:t> </w:t>
            </w:r>
          </w:p>
        </w:tc>
        <w:tc>
          <w:tcPr>
            <w:tcW w:w="0" w:type="auto"/>
            <w:vAlign w:val="bottom"/>
          </w:tcPr>
          <w:p w14:paraId="4D33A158" w14:textId="16D9B6A3" w:rsidR="008A6844" w:rsidRPr="000E57E3" w:rsidRDefault="008A6844" w:rsidP="000E57E3">
            <w:pPr>
              <w:pStyle w:val="Tabletext"/>
            </w:pPr>
            <w:r w:rsidRPr="000E57E3">
              <w:t> </w:t>
            </w:r>
          </w:p>
        </w:tc>
        <w:tc>
          <w:tcPr>
            <w:tcW w:w="0" w:type="auto"/>
            <w:vAlign w:val="bottom"/>
          </w:tcPr>
          <w:p w14:paraId="50C18263" w14:textId="39405146" w:rsidR="008A6844" w:rsidRPr="000E57E3" w:rsidRDefault="008A6844" w:rsidP="000E57E3">
            <w:pPr>
              <w:pStyle w:val="Tabletext"/>
            </w:pPr>
            <w:r w:rsidRPr="000E57E3">
              <w:t>Y</w:t>
            </w:r>
          </w:p>
        </w:tc>
        <w:tc>
          <w:tcPr>
            <w:tcW w:w="0" w:type="auto"/>
            <w:vAlign w:val="bottom"/>
          </w:tcPr>
          <w:p w14:paraId="2AB40382" w14:textId="737ABDE6" w:rsidR="008A6844" w:rsidRPr="000E57E3" w:rsidRDefault="008A6844" w:rsidP="000E57E3">
            <w:pPr>
              <w:pStyle w:val="Tabletext"/>
            </w:pPr>
            <w:r w:rsidRPr="000E57E3">
              <w:t> </w:t>
            </w:r>
          </w:p>
        </w:tc>
        <w:tc>
          <w:tcPr>
            <w:tcW w:w="0" w:type="auto"/>
            <w:vAlign w:val="bottom"/>
          </w:tcPr>
          <w:p w14:paraId="56F74926" w14:textId="46D407BB" w:rsidR="008A6844" w:rsidRPr="000E57E3" w:rsidRDefault="008A6844" w:rsidP="000E57E3">
            <w:pPr>
              <w:pStyle w:val="Tabletext"/>
            </w:pPr>
            <w:r w:rsidRPr="000E57E3">
              <w:t> </w:t>
            </w:r>
          </w:p>
        </w:tc>
        <w:tc>
          <w:tcPr>
            <w:tcW w:w="0" w:type="auto"/>
            <w:vAlign w:val="bottom"/>
          </w:tcPr>
          <w:p w14:paraId="67BE161D" w14:textId="4F396F6B" w:rsidR="008A6844" w:rsidRPr="000E57E3" w:rsidRDefault="008A6844" w:rsidP="000E57E3">
            <w:pPr>
              <w:pStyle w:val="Tabletext"/>
            </w:pPr>
            <w:r w:rsidRPr="000E57E3">
              <w:t> </w:t>
            </w:r>
          </w:p>
        </w:tc>
        <w:tc>
          <w:tcPr>
            <w:tcW w:w="0" w:type="auto"/>
            <w:vAlign w:val="bottom"/>
          </w:tcPr>
          <w:p w14:paraId="0263322D" w14:textId="69743795" w:rsidR="008A6844" w:rsidRPr="000E57E3" w:rsidRDefault="008A6844" w:rsidP="000E57E3">
            <w:pPr>
              <w:pStyle w:val="Tabletext"/>
            </w:pPr>
            <w:r w:rsidRPr="000E57E3">
              <w:t> </w:t>
            </w:r>
          </w:p>
        </w:tc>
        <w:tc>
          <w:tcPr>
            <w:tcW w:w="0" w:type="auto"/>
            <w:vAlign w:val="bottom"/>
          </w:tcPr>
          <w:p w14:paraId="3288A172" w14:textId="2A85358F" w:rsidR="008A6844" w:rsidRPr="000E57E3" w:rsidRDefault="008A6844" w:rsidP="000E57E3">
            <w:pPr>
              <w:pStyle w:val="Tabletext"/>
            </w:pPr>
            <w:r w:rsidRPr="000E57E3">
              <w:t> </w:t>
            </w:r>
          </w:p>
        </w:tc>
        <w:tc>
          <w:tcPr>
            <w:tcW w:w="0" w:type="auto"/>
            <w:vAlign w:val="bottom"/>
          </w:tcPr>
          <w:p w14:paraId="3EA655A1" w14:textId="53646E0A" w:rsidR="008A6844" w:rsidRPr="000E57E3" w:rsidRDefault="008A6844" w:rsidP="000E57E3">
            <w:pPr>
              <w:pStyle w:val="Tabletext"/>
            </w:pPr>
            <w:r w:rsidRPr="000E57E3">
              <w:t>Exemplar</w:t>
            </w:r>
          </w:p>
        </w:tc>
      </w:tr>
      <w:tr w:rsidR="00776CCE" w:rsidRPr="008A6844" w14:paraId="5AD53925" w14:textId="77777777" w:rsidTr="00CA44B7">
        <w:tc>
          <w:tcPr>
            <w:tcW w:w="0" w:type="auto"/>
            <w:vAlign w:val="bottom"/>
          </w:tcPr>
          <w:p w14:paraId="5A4C1639" w14:textId="4EDE4D39" w:rsidR="008A6844" w:rsidRPr="000E57E3" w:rsidRDefault="008A6844" w:rsidP="000E57E3">
            <w:pPr>
              <w:pStyle w:val="Tabletext"/>
            </w:pPr>
            <w:r w:rsidRPr="000E57E3">
              <w:t>FANCB</w:t>
            </w:r>
          </w:p>
        </w:tc>
        <w:tc>
          <w:tcPr>
            <w:tcW w:w="0" w:type="auto"/>
            <w:vAlign w:val="bottom"/>
          </w:tcPr>
          <w:p w14:paraId="33FD8012" w14:textId="41456A82" w:rsidR="008A6844" w:rsidRPr="000E57E3" w:rsidRDefault="008A6844" w:rsidP="000E57E3">
            <w:pPr>
              <w:pStyle w:val="Tabletext"/>
            </w:pPr>
            <w:r w:rsidRPr="000E57E3">
              <w:t>Y</w:t>
            </w:r>
          </w:p>
        </w:tc>
        <w:tc>
          <w:tcPr>
            <w:tcW w:w="0" w:type="auto"/>
            <w:vAlign w:val="bottom"/>
          </w:tcPr>
          <w:p w14:paraId="1F26F394" w14:textId="1F13DF29" w:rsidR="008A6844" w:rsidRPr="000E57E3" w:rsidRDefault="008A6844" w:rsidP="000E57E3">
            <w:pPr>
              <w:pStyle w:val="Tabletext"/>
            </w:pPr>
            <w:r w:rsidRPr="000E57E3">
              <w:t> </w:t>
            </w:r>
          </w:p>
        </w:tc>
        <w:tc>
          <w:tcPr>
            <w:tcW w:w="0" w:type="auto"/>
            <w:vAlign w:val="bottom"/>
          </w:tcPr>
          <w:p w14:paraId="345B41B8" w14:textId="5864EAE1" w:rsidR="008A6844" w:rsidRPr="000E57E3" w:rsidRDefault="008A6844" w:rsidP="000E57E3">
            <w:pPr>
              <w:pStyle w:val="Tabletext"/>
            </w:pPr>
            <w:r w:rsidRPr="000E57E3">
              <w:t> </w:t>
            </w:r>
          </w:p>
        </w:tc>
        <w:tc>
          <w:tcPr>
            <w:tcW w:w="0" w:type="auto"/>
            <w:vAlign w:val="bottom"/>
          </w:tcPr>
          <w:p w14:paraId="2BF4F83A" w14:textId="3293A26A" w:rsidR="008A6844" w:rsidRPr="000E57E3" w:rsidRDefault="008A6844" w:rsidP="000E57E3">
            <w:pPr>
              <w:pStyle w:val="Tabletext"/>
            </w:pPr>
            <w:r w:rsidRPr="000E57E3">
              <w:t> </w:t>
            </w:r>
          </w:p>
        </w:tc>
        <w:tc>
          <w:tcPr>
            <w:tcW w:w="0" w:type="auto"/>
            <w:vAlign w:val="bottom"/>
          </w:tcPr>
          <w:p w14:paraId="6FE38E60" w14:textId="64CA8CD4" w:rsidR="008A6844" w:rsidRPr="000E57E3" w:rsidRDefault="008A6844" w:rsidP="000E57E3">
            <w:pPr>
              <w:pStyle w:val="Tabletext"/>
            </w:pPr>
            <w:r w:rsidRPr="000E57E3">
              <w:t> </w:t>
            </w:r>
          </w:p>
        </w:tc>
        <w:tc>
          <w:tcPr>
            <w:tcW w:w="0" w:type="auto"/>
            <w:vAlign w:val="bottom"/>
          </w:tcPr>
          <w:p w14:paraId="07D9F9C1" w14:textId="4989966E" w:rsidR="008A6844" w:rsidRPr="000E57E3" w:rsidRDefault="008A6844" w:rsidP="000E57E3">
            <w:pPr>
              <w:pStyle w:val="Tabletext"/>
            </w:pPr>
            <w:r w:rsidRPr="000E57E3">
              <w:t> </w:t>
            </w:r>
          </w:p>
        </w:tc>
        <w:tc>
          <w:tcPr>
            <w:tcW w:w="0" w:type="auto"/>
            <w:vAlign w:val="bottom"/>
          </w:tcPr>
          <w:p w14:paraId="504F24C6" w14:textId="3E5CC5A4" w:rsidR="008A6844" w:rsidRPr="000E57E3" w:rsidRDefault="008A6844" w:rsidP="000E57E3">
            <w:pPr>
              <w:pStyle w:val="Tabletext"/>
            </w:pPr>
            <w:r w:rsidRPr="000E57E3">
              <w:t> </w:t>
            </w:r>
          </w:p>
        </w:tc>
        <w:tc>
          <w:tcPr>
            <w:tcW w:w="0" w:type="auto"/>
            <w:vAlign w:val="bottom"/>
          </w:tcPr>
          <w:p w14:paraId="07429A99" w14:textId="0816E997" w:rsidR="008A6844" w:rsidRPr="000E57E3" w:rsidRDefault="008A6844" w:rsidP="000E57E3">
            <w:pPr>
              <w:pStyle w:val="Tabletext"/>
            </w:pPr>
            <w:r w:rsidRPr="000E57E3">
              <w:t> </w:t>
            </w:r>
          </w:p>
        </w:tc>
        <w:tc>
          <w:tcPr>
            <w:tcW w:w="0" w:type="auto"/>
            <w:vAlign w:val="bottom"/>
          </w:tcPr>
          <w:p w14:paraId="21318AD1" w14:textId="720C047E" w:rsidR="008A6844" w:rsidRPr="000E57E3" w:rsidRDefault="008A6844" w:rsidP="000E57E3">
            <w:pPr>
              <w:pStyle w:val="Tabletext"/>
            </w:pPr>
            <w:r w:rsidRPr="000E57E3">
              <w:t> </w:t>
            </w:r>
          </w:p>
        </w:tc>
        <w:tc>
          <w:tcPr>
            <w:tcW w:w="0" w:type="auto"/>
            <w:vAlign w:val="bottom"/>
          </w:tcPr>
          <w:p w14:paraId="04A7465A" w14:textId="52155048" w:rsidR="008A6844" w:rsidRPr="000E57E3" w:rsidRDefault="008A6844" w:rsidP="000E57E3">
            <w:pPr>
              <w:pStyle w:val="Tabletext"/>
            </w:pPr>
            <w:r w:rsidRPr="000E57E3">
              <w:t> </w:t>
            </w:r>
          </w:p>
        </w:tc>
        <w:tc>
          <w:tcPr>
            <w:tcW w:w="0" w:type="auto"/>
            <w:vAlign w:val="bottom"/>
          </w:tcPr>
          <w:p w14:paraId="204296AE" w14:textId="16B5B366" w:rsidR="008A6844" w:rsidRPr="000E57E3" w:rsidRDefault="008A6844" w:rsidP="000E57E3">
            <w:pPr>
              <w:pStyle w:val="Tabletext"/>
            </w:pPr>
            <w:r w:rsidRPr="000E57E3">
              <w:t> </w:t>
            </w:r>
          </w:p>
        </w:tc>
        <w:tc>
          <w:tcPr>
            <w:tcW w:w="0" w:type="auto"/>
            <w:vAlign w:val="bottom"/>
          </w:tcPr>
          <w:p w14:paraId="359B5C97" w14:textId="53B01058" w:rsidR="008A6844" w:rsidRPr="000E57E3" w:rsidRDefault="008A6844" w:rsidP="000E57E3">
            <w:pPr>
              <w:pStyle w:val="Tabletext"/>
            </w:pPr>
            <w:r w:rsidRPr="000E57E3">
              <w:t>Exemplar</w:t>
            </w:r>
          </w:p>
        </w:tc>
      </w:tr>
      <w:tr w:rsidR="00776CCE" w:rsidRPr="008A6844" w14:paraId="784CF9E3" w14:textId="77777777" w:rsidTr="00CA44B7">
        <w:tc>
          <w:tcPr>
            <w:tcW w:w="0" w:type="auto"/>
            <w:vAlign w:val="bottom"/>
          </w:tcPr>
          <w:p w14:paraId="27815E2F" w14:textId="246FD3F7" w:rsidR="008A6844" w:rsidRPr="000E57E3" w:rsidRDefault="008A6844" w:rsidP="000E57E3">
            <w:pPr>
              <w:pStyle w:val="Tabletext"/>
            </w:pPr>
            <w:r w:rsidRPr="000E57E3">
              <w:t>FANCC</w:t>
            </w:r>
          </w:p>
        </w:tc>
        <w:tc>
          <w:tcPr>
            <w:tcW w:w="0" w:type="auto"/>
            <w:vAlign w:val="bottom"/>
          </w:tcPr>
          <w:p w14:paraId="290703B9" w14:textId="712375F5" w:rsidR="008A6844" w:rsidRPr="000E57E3" w:rsidRDefault="008A6844" w:rsidP="000E57E3">
            <w:pPr>
              <w:pStyle w:val="Tabletext"/>
            </w:pPr>
            <w:r w:rsidRPr="000E57E3">
              <w:t>Y</w:t>
            </w:r>
          </w:p>
        </w:tc>
        <w:tc>
          <w:tcPr>
            <w:tcW w:w="0" w:type="auto"/>
            <w:vAlign w:val="bottom"/>
          </w:tcPr>
          <w:p w14:paraId="0D269119" w14:textId="78711FED" w:rsidR="008A6844" w:rsidRPr="000E57E3" w:rsidRDefault="008A6844" w:rsidP="000E57E3">
            <w:pPr>
              <w:pStyle w:val="Tabletext"/>
            </w:pPr>
            <w:r w:rsidRPr="000E57E3">
              <w:t> </w:t>
            </w:r>
          </w:p>
        </w:tc>
        <w:tc>
          <w:tcPr>
            <w:tcW w:w="0" w:type="auto"/>
            <w:vAlign w:val="bottom"/>
          </w:tcPr>
          <w:p w14:paraId="1B992B19" w14:textId="26E2C4E7" w:rsidR="008A6844" w:rsidRPr="000E57E3" w:rsidRDefault="008A6844" w:rsidP="000E57E3">
            <w:pPr>
              <w:pStyle w:val="Tabletext"/>
            </w:pPr>
            <w:r w:rsidRPr="000E57E3">
              <w:t> </w:t>
            </w:r>
          </w:p>
        </w:tc>
        <w:tc>
          <w:tcPr>
            <w:tcW w:w="0" w:type="auto"/>
            <w:vAlign w:val="bottom"/>
          </w:tcPr>
          <w:p w14:paraId="5E172EB4" w14:textId="64A8AADB" w:rsidR="008A6844" w:rsidRPr="000E57E3" w:rsidRDefault="008A6844" w:rsidP="000E57E3">
            <w:pPr>
              <w:pStyle w:val="Tabletext"/>
            </w:pPr>
            <w:r w:rsidRPr="000E57E3">
              <w:t> </w:t>
            </w:r>
          </w:p>
        </w:tc>
        <w:tc>
          <w:tcPr>
            <w:tcW w:w="0" w:type="auto"/>
            <w:vAlign w:val="bottom"/>
          </w:tcPr>
          <w:p w14:paraId="3A679A50" w14:textId="35AF84B4" w:rsidR="008A6844" w:rsidRPr="000E57E3" w:rsidRDefault="008A6844" w:rsidP="000E57E3">
            <w:pPr>
              <w:pStyle w:val="Tabletext"/>
            </w:pPr>
            <w:r w:rsidRPr="000E57E3">
              <w:t> </w:t>
            </w:r>
          </w:p>
        </w:tc>
        <w:tc>
          <w:tcPr>
            <w:tcW w:w="0" w:type="auto"/>
            <w:vAlign w:val="bottom"/>
          </w:tcPr>
          <w:p w14:paraId="3397D09F" w14:textId="2982AB82" w:rsidR="008A6844" w:rsidRPr="000E57E3" w:rsidRDefault="008A6844" w:rsidP="000E57E3">
            <w:pPr>
              <w:pStyle w:val="Tabletext"/>
            </w:pPr>
            <w:r w:rsidRPr="000E57E3">
              <w:t>Y</w:t>
            </w:r>
          </w:p>
        </w:tc>
        <w:tc>
          <w:tcPr>
            <w:tcW w:w="0" w:type="auto"/>
            <w:vAlign w:val="bottom"/>
          </w:tcPr>
          <w:p w14:paraId="622B2A44" w14:textId="14FA63F5" w:rsidR="008A6844" w:rsidRPr="000E57E3" w:rsidRDefault="008A6844" w:rsidP="000E57E3">
            <w:pPr>
              <w:pStyle w:val="Tabletext"/>
            </w:pPr>
            <w:r w:rsidRPr="000E57E3">
              <w:t> </w:t>
            </w:r>
          </w:p>
        </w:tc>
        <w:tc>
          <w:tcPr>
            <w:tcW w:w="0" w:type="auto"/>
            <w:vAlign w:val="bottom"/>
          </w:tcPr>
          <w:p w14:paraId="2D016FFC" w14:textId="64D97DA7" w:rsidR="008A6844" w:rsidRPr="000E57E3" w:rsidRDefault="008A6844" w:rsidP="000E57E3">
            <w:pPr>
              <w:pStyle w:val="Tabletext"/>
            </w:pPr>
            <w:r w:rsidRPr="000E57E3">
              <w:t> </w:t>
            </w:r>
          </w:p>
        </w:tc>
        <w:tc>
          <w:tcPr>
            <w:tcW w:w="0" w:type="auto"/>
            <w:vAlign w:val="bottom"/>
          </w:tcPr>
          <w:p w14:paraId="2B31E500" w14:textId="06B64CBC" w:rsidR="008A6844" w:rsidRPr="000E57E3" w:rsidRDefault="008A6844" w:rsidP="000E57E3">
            <w:pPr>
              <w:pStyle w:val="Tabletext"/>
            </w:pPr>
            <w:r w:rsidRPr="000E57E3">
              <w:t> </w:t>
            </w:r>
          </w:p>
        </w:tc>
        <w:tc>
          <w:tcPr>
            <w:tcW w:w="0" w:type="auto"/>
            <w:vAlign w:val="bottom"/>
          </w:tcPr>
          <w:p w14:paraId="342AEB4C" w14:textId="1AAA6C57" w:rsidR="008A6844" w:rsidRPr="000E57E3" w:rsidRDefault="008A6844" w:rsidP="000E57E3">
            <w:pPr>
              <w:pStyle w:val="Tabletext"/>
            </w:pPr>
            <w:r w:rsidRPr="000E57E3">
              <w:t> </w:t>
            </w:r>
          </w:p>
        </w:tc>
        <w:tc>
          <w:tcPr>
            <w:tcW w:w="0" w:type="auto"/>
            <w:vAlign w:val="bottom"/>
          </w:tcPr>
          <w:p w14:paraId="6D918239" w14:textId="170B073F" w:rsidR="008A6844" w:rsidRPr="000E57E3" w:rsidRDefault="008A6844" w:rsidP="000E57E3">
            <w:pPr>
              <w:pStyle w:val="Tabletext"/>
            </w:pPr>
            <w:r w:rsidRPr="000E57E3">
              <w:t> </w:t>
            </w:r>
          </w:p>
        </w:tc>
        <w:tc>
          <w:tcPr>
            <w:tcW w:w="0" w:type="auto"/>
            <w:vAlign w:val="bottom"/>
          </w:tcPr>
          <w:p w14:paraId="023DA6B8" w14:textId="1D21B3DC" w:rsidR="008A6844" w:rsidRPr="000E57E3" w:rsidRDefault="008A6844" w:rsidP="000E57E3">
            <w:pPr>
              <w:pStyle w:val="Tabletext"/>
            </w:pPr>
            <w:r w:rsidRPr="000E57E3">
              <w:t>Exemplar</w:t>
            </w:r>
          </w:p>
        </w:tc>
      </w:tr>
      <w:tr w:rsidR="00776CCE" w:rsidRPr="008A6844" w14:paraId="61CF5571" w14:textId="77777777" w:rsidTr="00CA44B7">
        <w:tc>
          <w:tcPr>
            <w:tcW w:w="0" w:type="auto"/>
            <w:vAlign w:val="bottom"/>
          </w:tcPr>
          <w:p w14:paraId="10B27AE2" w14:textId="30FDCCB3" w:rsidR="008A6844" w:rsidRPr="000E57E3" w:rsidRDefault="008A6844" w:rsidP="000E57E3">
            <w:pPr>
              <w:pStyle w:val="Tabletext"/>
            </w:pPr>
            <w:r w:rsidRPr="000E57E3">
              <w:t>FANCD2</w:t>
            </w:r>
          </w:p>
        </w:tc>
        <w:tc>
          <w:tcPr>
            <w:tcW w:w="0" w:type="auto"/>
            <w:vAlign w:val="bottom"/>
          </w:tcPr>
          <w:p w14:paraId="2A20F171" w14:textId="13A2B756" w:rsidR="008A6844" w:rsidRPr="000E57E3" w:rsidRDefault="008A6844" w:rsidP="000E57E3">
            <w:pPr>
              <w:pStyle w:val="Tabletext"/>
            </w:pPr>
            <w:r w:rsidRPr="000E57E3">
              <w:t>Y</w:t>
            </w:r>
          </w:p>
        </w:tc>
        <w:tc>
          <w:tcPr>
            <w:tcW w:w="0" w:type="auto"/>
            <w:vAlign w:val="bottom"/>
          </w:tcPr>
          <w:p w14:paraId="4CDB3E83" w14:textId="64601C95" w:rsidR="008A6844" w:rsidRPr="000E57E3" w:rsidRDefault="008A6844" w:rsidP="000E57E3">
            <w:pPr>
              <w:pStyle w:val="Tabletext"/>
            </w:pPr>
            <w:r w:rsidRPr="000E57E3">
              <w:t> </w:t>
            </w:r>
          </w:p>
        </w:tc>
        <w:tc>
          <w:tcPr>
            <w:tcW w:w="0" w:type="auto"/>
            <w:vAlign w:val="bottom"/>
          </w:tcPr>
          <w:p w14:paraId="11FA05DA" w14:textId="56355EC3" w:rsidR="008A6844" w:rsidRPr="000E57E3" w:rsidRDefault="008A6844" w:rsidP="000E57E3">
            <w:pPr>
              <w:pStyle w:val="Tabletext"/>
            </w:pPr>
            <w:r w:rsidRPr="000E57E3">
              <w:t> </w:t>
            </w:r>
          </w:p>
        </w:tc>
        <w:tc>
          <w:tcPr>
            <w:tcW w:w="0" w:type="auto"/>
            <w:vAlign w:val="bottom"/>
          </w:tcPr>
          <w:p w14:paraId="3FBF4301" w14:textId="5881487D" w:rsidR="008A6844" w:rsidRPr="000E57E3" w:rsidRDefault="008A6844" w:rsidP="000E57E3">
            <w:pPr>
              <w:pStyle w:val="Tabletext"/>
            </w:pPr>
            <w:r w:rsidRPr="000E57E3">
              <w:t> </w:t>
            </w:r>
          </w:p>
        </w:tc>
        <w:tc>
          <w:tcPr>
            <w:tcW w:w="0" w:type="auto"/>
            <w:vAlign w:val="bottom"/>
          </w:tcPr>
          <w:p w14:paraId="277A49CB" w14:textId="72C6C198" w:rsidR="008A6844" w:rsidRPr="000E57E3" w:rsidRDefault="008A6844" w:rsidP="000E57E3">
            <w:pPr>
              <w:pStyle w:val="Tabletext"/>
            </w:pPr>
            <w:r w:rsidRPr="000E57E3">
              <w:t> </w:t>
            </w:r>
          </w:p>
        </w:tc>
        <w:tc>
          <w:tcPr>
            <w:tcW w:w="0" w:type="auto"/>
            <w:vAlign w:val="bottom"/>
          </w:tcPr>
          <w:p w14:paraId="196DAEB7" w14:textId="4DFDCA6C" w:rsidR="008A6844" w:rsidRPr="000E57E3" w:rsidRDefault="008A6844" w:rsidP="000E57E3">
            <w:pPr>
              <w:pStyle w:val="Tabletext"/>
            </w:pPr>
            <w:r w:rsidRPr="000E57E3">
              <w:t> </w:t>
            </w:r>
          </w:p>
        </w:tc>
        <w:tc>
          <w:tcPr>
            <w:tcW w:w="0" w:type="auto"/>
            <w:vAlign w:val="bottom"/>
          </w:tcPr>
          <w:p w14:paraId="1FD45E47" w14:textId="1C4B61C9" w:rsidR="008A6844" w:rsidRPr="000E57E3" w:rsidRDefault="008A6844" w:rsidP="000E57E3">
            <w:pPr>
              <w:pStyle w:val="Tabletext"/>
            </w:pPr>
            <w:r w:rsidRPr="000E57E3">
              <w:t> </w:t>
            </w:r>
          </w:p>
        </w:tc>
        <w:tc>
          <w:tcPr>
            <w:tcW w:w="0" w:type="auto"/>
            <w:vAlign w:val="bottom"/>
          </w:tcPr>
          <w:p w14:paraId="31317B52" w14:textId="12F3199D" w:rsidR="008A6844" w:rsidRPr="000E57E3" w:rsidRDefault="008A6844" w:rsidP="000E57E3">
            <w:pPr>
              <w:pStyle w:val="Tabletext"/>
            </w:pPr>
            <w:r w:rsidRPr="000E57E3">
              <w:t> </w:t>
            </w:r>
          </w:p>
        </w:tc>
        <w:tc>
          <w:tcPr>
            <w:tcW w:w="0" w:type="auto"/>
            <w:vAlign w:val="bottom"/>
          </w:tcPr>
          <w:p w14:paraId="5254D51A" w14:textId="132A5B5A" w:rsidR="008A6844" w:rsidRPr="000E57E3" w:rsidRDefault="008A6844" w:rsidP="000E57E3">
            <w:pPr>
              <w:pStyle w:val="Tabletext"/>
            </w:pPr>
            <w:r w:rsidRPr="000E57E3">
              <w:t> </w:t>
            </w:r>
          </w:p>
        </w:tc>
        <w:tc>
          <w:tcPr>
            <w:tcW w:w="0" w:type="auto"/>
            <w:vAlign w:val="bottom"/>
          </w:tcPr>
          <w:p w14:paraId="1B8017E5" w14:textId="5AFF51D4" w:rsidR="008A6844" w:rsidRPr="000E57E3" w:rsidRDefault="008A6844" w:rsidP="000E57E3">
            <w:pPr>
              <w:pStyle w:val="Tabletext"/>
            </w:pPr>
            <w:r w:rsidRPr="000E57E3">
              <w:t> </w:t>
            </w:r>
          </w:p>
        </w:tc>
        <w:tc>
          <w:tcPr>
            <w:tcW w:w="0" w:type="auto"/>
            <w:vAlign w:val="bottom"/>
          </w:tcPr>
          <w:p w14:paraId="1C2170AE" w14:textId="0FF30C75" w:rsidR="008A6844" w:rsidRPr="000E57E3" w:rsidRDefault="008A6844" w:rsidP="000E57E3">
            <w:pPr>
              <w:pStyle w:val="Tabletext"/>
            </w:pPr>
            <w:r w:rsidRPr="000E57E3">
              <w:t> </w:t>
            </w:r>
          </w:p>
        </w:tc>
        <w:tc>
          <w:tcPr>
            <w:tcW w:w="0" w:type="auto"/>
            <w:vAlign w:val="bottom"/>
          </w:tcPr>
          <w:p w14:paraId="49EC7770" w14:textId="7A31A131" w:rsidR="008A6844" w:rsidRPr="000E57E3" w:rsidRDefault="008A6844" w:rsidP="000E57E3">
            <w:pPr>
              <w:pStyle w:val="Tabletext"/>
            </w:pPr>
            <w:r w:rsidRPr="000E57E3">
              <w:t>Exemplar</w:t>
            </w:r>
          </w:p>
        </w:tc>
      </w:tr>
      <w:tr w:rsidR="00776CCE" w:rsidRPr="008A6844" w14:paraId="34D8673E" w14:textId="77777777" w:rsidTr="00CA44B7">
        <w:tc>
          <w:tcPr>
            <w:tcW w:w="0" w:type="auto"/>
            <w:vAlign w:val="bottom"/>
          </w:tcPr>
          <w:p w14:paraId="402DCFF8" w14:textId="5D01D9F2" w:rsidR="008A6844" w:rsidRPr="000E57E3" w:rsidRDefault="008A6844" w:rsidP="000E57E3">
            <w:pPr>
              <w:pStyle w:val="Tabletext"/>
            </w:pPr>
            <w:r w:rsidRPr="000E57E3">
              <w:t>FANCE</w:t>
            </w:r>
          </w:p>
        </w:tc>
        <w:tc>
          <w:tcPr>
            <w:tcW w:w="0" w:type="auto"/>
            <w:vAlign w:val="bottom"/>
          </w:tcPr>
          <w:p w14:paraId="38902F11" w14:textId="2B131093" w:rsidR="008A6844" w:rsidRPr="000E57E3" w:rsidRDefault="008A6844" w:rsidP="000E57E3">
            <w:pPr>
              <w:pStyle w:val="Tabletext"/>
            </w:pPr>
            <w:r w:rsidRPr="000E57E3">
              <w:t>Y</w:t>
            </w:r>
          </w:p>
        </w:tc>
        <w:tc>
          <w:tcPr>
            <w:tcW w:w="0" w:type="auto"/>
            <w:vAlign w:val="bottom"/>
          </w:tcPr>
          <w:p w14:paraId="0E6A6E14" w14:textId="156FB451" w:rsidR="008A6844" w:rsidRPr="000E57E3" w:rsidRDefault="008A6844" w:rsidP="000E57E3">
            <w:pPr>
              <w:pStyle w:val="Tabletext"/>
            </w:pPr>
            <w:r w:rsidRPr="000E57E3">
              <w:t> </w:t>
            </w:r>
          </w:p>
        </w:tc>
        <w:tc>
          <w:tcPr>
            <w:tcW w:w="0" w:type="auto"/>
            <w:vAlign w:val="bottom"/>
          </w:tcPr>
          <w:p w14:paraId="240DB302" w14:textId="796543E4" w:rsidR="008A6844" w:rsidRPr="000E57E3" w:rsidRDefault="008A6844" w:rsidP="000E57E3">
            <w:pPr>
              <w:pStyle w:val="Tabletext"/>
            </w:pPr>
            <w:r w:rsidRPr="000E57E3">
              <w:t> </w:t>
            </w:r>
          </w:p>
        </w:tc>
        <w:tc>
          <w:tcPr>
            <w:tcW w:w="0" w:type="auto"/>
            <w:vAlign w:val="bottom"/>
          </w:tcPr>
          <w:p w14:paraId="3C9920FA" w14:textId="3CEA7212" w:rsidR="008A6844" w:rsidRPr="000E57E3" w:rsidRDefault="008A6844" w:rsidP="000E57E3">
            <w:pPr>
              <w:pStyle w:val="Tabletext"/>
            </w:pPr>
            <w:r w:rsidRPr="000E57E3">
              <w:t> </w:t>
            </w:r>
          </w:p>
        </w:tc>
        <w:tc>
          <w:tcPr>
            <w:tcW w:w="0" w:type="auto"/>
            <w:vAlign w:val="bottom"/>
          </w:tcPr>
          <w:p w14:paraId="5992FB13" w14:textId="0926FA47" w:rsidR="008A6844" w:rsidRPr="000E57E3" w:rsidRDefault="008A6844" w:rsidP="000E57E3">
            <w:pPr>
              <w:pStyle w:val="Tabletext"/>
            </w:pPr>
            <w:r w:rsidRPr="000E57E3">
              <w:t> </w:t>
            </w:r>
          </w:p>
        </w:tc>
        <w:tc>
          <w:tcPr>
            <w:tcW w:w="0" w:type="auto"/>
            <w:vAlign w:val="bottom"/>
          </w:tcPr>
          <w:p w14:paraId="76B6E316" w14:textId="375C3230" w:rsidR="008A6844" w:rsidRPr="000E57E3" w:rsidRDefault="008A6844" w:rsidP="000E57E3">
            <w:pPr>
              <w:pStyle w:val="Tabletext"/>
            </w:pPr>
            <w:r w:rsidRPr="000E57E3">
              <w:t> </w:t>
            </w:r>
          </w:p>
        </w:tc>
        <w:tc>
          <w:tcPr>
            <w:tcW w:w="0" w:type="auto"/>
            <w:vAlign w:val="bottom"/>
          </w:tcPr>
          <w:p w14:paraId="6132C55E" w14:textId="66FE1E59" w:rsidR="008A6844" w:rsidRPr="000E57E3" w:rsidRDefault="008A6844" w:rsidP="000E57E3">
            <w:pPr>
              <w:pStyle w:val="Tabletext"/>
            </w:pPr>
            <w:r w:rsidRPr="000E57E3">
              <w:t> </w:t>
            </w:r>
          </w:p>
        </w:tc>
        <w:tc>
          <w:tcPr>
            <w:tcW w:w="0" w:type="auto"/>
            <w:vAlign w:val="bottom"/>
          </w:tcPr>
          <w:p w14:paraId="73CA8315" w14:textId="3DDF1E0A" w:rsidR="008A6844" w:rsidRPr="000E57E3" w:rsidRDefault="008A6844" w:rsidP="000E57E3">
            <w:pPr>
              <w:pStyle w:val="Tabletext"/>
            </w:pPr>
            <w:r w:rsidRPr="000E57E3">
              <w:t> </w:t>
            </w:r>
          </w:p>
        </w:tc>
        <w:tc>
          <w:tcPr>
            <w:tcW w:w="0" w:type="auto"/>
            <w:vAlign w:val="bottom"/>
          </w:tcPr>
          <w:p w14:paraId="3B13B7F6" w14:textId="33903A14" w:rsidR="008A6844" w:rsidRPr="000E57E3" w:rsidRDefault="008A6844" w:rsidP="000E57E3">
            <w:pPr>
              <w:pStyle w:val="Tabletext"/>
            </w:pPr>
            <w:r w:rsidRPr="000E57E3">
              <w:t> </w:t>
            </w:r>
          </w:p>
        </w:tc>
        <w:tc>
          <w:tcPr>
            <w:tcW w:w="0" w:type="auto"/>
            <w:vAlign w:val="bottom"/>
          </w:tcPr>
          <w:p w14:paraId="7E85319A" w14:textId="3F10DFF1" w:rsidR="008A6844" w:rsidRPr="000E57E3" w:rsidRDefault="008A6844" w:rsidP="000E57E3">
            <w:pPr>
              <w:pStyle w:val="Tabletext"/>
            </w:pPr>
            <w:r w:rsidRPr="000E57E3">
              <w:t> </w:t>
            </w:r>
          </w:p>
        </w:tc>
        <w:tc>
          <w:tcPr>
            <w:tcW w:w="0" w:type="auto"/>
            <w:vAlign w:val="bottom"/>
          </w:tcPr>
          <w:p w14:paraId="56CCEDF6" w14:textId="056BEFC1" w:rsidR="008A6844" w:rsidRPr="000E57E3" w:rsidRDefault="008A6844" w:rsidP="000E57E3">
            <w:pPr>
              <w:pStyle w:val="Tabletext"/>
            </w:pPr>
            <w:r w:rsidRPr="000E57E3">
              <w:t> </w:t>
            </w:r>
          </w:p>
        </w:tc>
        <w:tc>
          <w:tcPr>
            <w:tcW w:w="0" w:type="auto"/>
            <w:vAlign w:val="bottom"/>
          </w:tcPr>
          <w:p w14:paraId="0ED1CA84" w14:textId="18D9725E" w:rsidR="008A6844" w:rsidRPr="000E57E3" w:rsidRDefault="008A6844" w:rsidP="000E57E3">
            <w:pPr>
              <w:pStyle w:val="Tabletext"/>
            </w:pPr>
            <w:r w:rsidRPr="000E57E3">
              <w:t>Exemplar</w:t>
            </w:r>
          </w:p>
        </w:tc>
      </w:tr>
      <w:tr w:rsidR="00776CCE" w:rsidRPr="008A6844" w14:paraId="371B8DCB" w14:textId="77777777" w:rsidTr="00CA44B7">
        <w:tc>
          <w:tcPr>
            <w:tcW w:w="0" w:type="auto"/>
            <w:vAlign w:val="bottom"/>
          </w:tcPr>
          <w:p w14:paraId="02EBB7CD" w14:textId="69053CEA" w:rsidR="008A6844" w:rsidRPr="000E57E3" w:rsidRDefault="008A6844" w:rsidP="000E57E3">
            <w:pPr>
              <w:pStyle w:val="Tabletext"/>
            </w:pPr>
            <w:r w:rsidRPr="000E57E3">
              <w:t>FANCF</w:t>
            </w:r>
          </w:p>
        </w:tc>
        <w:tc>
          <w:tcPr>
            <w:tcW w:w="0" w:type="auto"/>
            <w:vAlign w:val="bottom"/>
          </w:tcPr>
          <w:p w14:paraId="27F6E53A" w14:textId="08FEC2C4" w:rsidR="008A6844" w:rsidRPr="000E57E3" w:rsidRDefault="008A6844" w:rsidP="000E57E3">
            <w:pPr>
              <w:pStyle w:val="Tabletext"/>
            </w:pPr>
            <w:r w:rsidRPr="000E57E3">
              <w:t>Y</w:t>
            </w:r>
          </w:p>
        </w:tc>
        <w:tc>
          <w:tcPr>
            <w:tcW w:w="0" w:type="auto"/>
            <w:vAlign w:val="bottom"/>
          </w:tcPr>
          <w:p w14:paraId="45C4ACED" w14:textId="30827FF1" w:rsidR="008A6844" w:rsidRPr="000E57E3" w:rsidRDefault="008A6844" w:rsidP="000E57E3">
            <w:pPr>
              <w:pStyle w:val="Tabletext"/>
            </w:pPr>
            <w:r w:rsidRPr="000E57E3">
              <w:t> </w:t>
            </w:r>
          </w:p>
        </w:tc>
        <w:tc>
          <w:tcPr>
            <w:tcW w:w="0" w:type="auto"/>
            <w:vAlign w:val="bottom"/>
          </w:tcPr>
          <w:p w14:paraId="252ADC30" w14:textId="197316DF" w:rsidR="008A6844" w:rsidRPr="000E57E3" w:rsidRDefault="008A6844" w:rsidP="000E57E3">
            <w:pPr>
              <w:pStyle w:val="Tabletext"/>
            </w:pPr>
            <w:r w:rsidRPr="000E57E3">
              <w:t> </w:t>
            </w:r>
          </w:p>
        </w:tc>
        <w:tc>
          <w:tcPr>
            <w:tcW w:w="0" w:type="auto"/>
            <w:vAlign w:val="bottom"/>
          </w:tcPr>
          <w:p w14:paraId="784DD9FA" w14:textId="6F412613" w:rsidR="008A6844" w:rsidRPr="000E57E3" w:rsidRDefault="008A6844" w:rsidP="000E57E3">
            <w:pPr>
              <w:pStyle w:val="Tabletext"/>
            </w:pPr>
            <w:r w:rsidRPr="000E57E3">
              <w:t> </w:t>
            </w:r>
          </w:p>
        </w:tc>
        <w:tc>
          <w:tcPr>
            <w:tcW w:w="0" w:type="auto"/>
            <w:vAlign w:val="bottom"/>
          </w:tcPr>
          <w:p w14:paraId="5DB04308" w14:textId="315EA888" w:rsidR="008A6844" w:rsidRPr="000E57E3" w:rsidRDefault="008A6844" w:rsidP="000E57E3">
            <w:pPr>
              <w:pStyle w:val="Tabletext"/>
            </w:pPr>
            <w:r w:rsidRPr="000E57E3">
              <w:t> </w:t>
            </w:r>
          </w:p>
        </w:tc>
        <w:tc>
          <w:tcPr>
            <w:tcW w:w="0" w:type="auto"/>
            <w:vAlign w:val="bottom"/>
          </w:tcPr>
          <w:p w14:paraId="4E086372" w14:textId="1774262D" w:rsidR="008A6844" w:rsidRPr="000E57E3" w:rsidRDefault="008A6844" w:rsidP="000E57E3">
            <w:pPr>
              <w:pStyle w:val="Tabletext"/>
            </w:pPr>
            <w:r w:rsidRPr="000E57E3">
              <w:t> </w:t>
            </w:r>
          </w:p>
        </w:tc>
        <w:tc>
          <w:tcPr>
            <w:tcW w:w="0" w:type="auto"/>
            <w:vAlign w:val="bottom"/>
          </w:tcPr>
          <w:p w14:paraId="32DBE894" w14:textId="5DE94BBC" w:rsidR="008A6844" w:rsidRPr="000E57E3" w:rsidRDefault="008A6844" w:rsidP="000E57E3">
            <w:pPr>
              <w:pStyle w:val="Tabletext"/>
            </w:pPr>
            <w:r w:rsidRPr="000E57E3">
              <w:t> </w:t>
            </w:r>
          </w:p>
        </w:tc>
        <w:tc>
          <w:tcPr>
            <w:tcW w:w="0" w:type="auto"/>
            <w:vAlign w:val="bottom"/>
          </w:tcPr>
          <w:p w14:paraId="39763947" w14:textId="5A0B5EC3" w:rsidR="008A6844" w:rsidRPr="000E57E3" w:rsidRDefault="008A6844" w:rsidP="000E57E3">
            <w:pPr>
              <w:pStyle w:val="Tabletext"/>
            </w:pPr>
            <w:r w:rsidRPr="000E57E3">
              <w:t> </w:t>
            </w:r>
          </w:p>
        </w:tc>
        <w:tc>
          <w:tcPr>
            <w:tcW w:w="0" w:type="auto"/>
            <w:vAlign w:val="bottom"/>
          </w:tcPr>
          <w:p w14:paraId="07802586" w14:textId="013F3529" w:rsidR="008A6844" w:rsidRPr="000E57E3" w:rsidRDefault="008A6844" w:rsidP="000E57E3">
            <w:pPr>
              <w:pStyle w:val="Tabletext"/>
            </w:pPr>
            <w:r w:rsidRPr="000E57E3">
              <w:t> </w:t>
            </w:r>
          </w:p>
        </w:tc>
        <w:tc>
          <w:tcPr>
            <w:tcW w:w="0" w:type="auto"/>
            <w:vAlign w:val="bottom"/>
          </w:tcPr>
          <w:p w14:paraId="5A2C3927" w14:textId="70E722F5" w:rsidR="008A6844" w:rsidRPr="000E57E3" w:rsidRDefault="008A6844" w:rsidP="000E57E3">
            <w:pPr>
              <w:pStyle w:val="Tabletext"/>
            </w:pPr>
            <w:r w:rsidRPr="000E57E3">
              <w:t> </w:t>
            </w:r>
          </w:p>
        </w:tc>
        <w:tc>
          <w:tcPr>
            <w:tcW w:w="0" w:type="auto"/>
            <w:vAlign w:val="bottom"/>
          </w:tcPr>
          <w:p w14:paraId="6D998533" w14:textId="6E3512A1" w:rsidR="008A6844" w:rsidRPr="000E57E3" w:rsidRDefault="008A6844" w:rsidP="000E57E3">
            <w:pPr>
              <w:pStyle w:val="Tabletext"/>
            </w:pPr>
            <w:r w:rsidRPr="000E57E3">
              <w:t> </w:t>
            </w:r>
          </w:p>
        </w:tc>
        <w:tc>
          <w:tcPr>
            <w:tcW w:w="0" w:type="auto"/>
            <w:vAlign w:val="bottom"/>
          </w:tcPr>
          <w:p w14:paraId="3597F548" w14:textId="05189903" w:rsidR="008A6844" w:rsidRPr="000E57E3" w:rsidRDefault="008A6844" w:rsidP="000E57E3">
            <w:pPr>
              <w:pStyle w:val="Tabletext"/>
            </w:pPr>
            <w:r w:rsidRPr="000E57E3">
              <w:t>Exemplar</w:t>
            </w:r>
          </w:p>
        </w:tc>
      </w:tr>
      <w:tr w:rsidR="00776CCE" w:rsidRPr="008A6844" w14:paraId="259C5A4B" w14:textId="77777777" w:rsidTr="00CA44B7">
        <w:tc>
          <w:tcPr>
            <w:tcW w:w="0" w:type="auto"/>
            <w:vAlign w:val="bottom"/>
          </w:tcPr>
          <w:p w14:paraId="0270F03B" w14:textId="1BB2B892" w:rsidR="008A6844" w:rsidRPr="000E57E3" w:rsidRDefault="008A6844" w:rsidP="000E57E3">
            <w:pPr>
              <w:pStyle w:val="Tabletext"/>
            </w:pPr>
            <w:r w:rsidRPr="000E57E3">
              <w:t>FANCG</w:t>
            </w:r>
          </w:p>
        </w:tc>
        <w:tc>
          <w:tcPr>
            <w:tcW w:w="0" w:type="auto"/>
            <w:vAlign w:val="bottom"/>
          </w:tcPr>
          <w:p w14:paraId="41BCA8ED" w14:textId="325F8086" w:rsidR="008A6844" w:rsidRPr="000E57E3" w:rsidRDefault="008A6844" w:rsidP="000E57E3">
            <w:pPr>
              <w:pStyle w:val="Tabletext"/>
            </w:pPr>
            <w:r w:rsidRPr="000E57E3">
              <w:t>Y</w:t>
            </w:r>
          </w:p>
        </w:tc>
        <w:tc>
          <w:tcPr>
            <w:tcW w:w="0" w:type="auto"/>
            <w:vAlign w:val="bottom"/>
          </w:tcPr>
          <w:p w14:paraId="7DA96D5A" w14:textId="14D25319" w:rsidR="008A6844" w:rsidRPr="000E57E3" w:rsidRDefault="008A6844" w:rsidP="000E57E3">
            <w:pPr>
              <w:pStyle w:val="Tabletext"/>
            </w:pPr>
            <w:r w:rsidRPr="000E57E3">
              <w:t> </w:t>
            </w:r>
          </w:p>
        </w:tc>
        <w:tc>
          <w:tcPr>
            <w:tcW w:w="0" w:type="auto"/>
            <w:vAlign w:val="bottom"/>
          </w:tcPr>
          <w:p w14:paraId="67D5240F" w14:textId="63CAA552" w:rsidR="008A6844" w:rsidRPr="000E57E3" w:rsidRDefault="008A6844" w:rsidP="000E57E3">
            <w:pPr>
              <w:pStyle w:val="Tabletext"/>
            </w:pPr>
            <w:r w:rsidRPr="000E57E3">
              <w:t> </w:t>
            </w:r>
          </w:p>
        </w:tc>
        <w:tc>
          <w:tcPr>
            <w:tcW w:w="0" w:type="auto"/>
            <w:vAlign w:val="bottom"/>
          </w:tcPr>
          <w:p w14:paraId="76D531C8" w14:textId="70352050" w:rsidR="008A6844" w:rsidRPr="000E57E3" w:rsidRDefault="008A6844" w:rsidP="000E57E3">
            <w:pPr>
              <w:pStyle w:val="Tabletext"/>
            </w:pPr>
            <w:r w:rsidRPr="000E57E3">
              <w:t> </w:t>
            </w:r>
          </w:p>
        </w:tc>
        <w:tc>
          <w:tcPr>
            <w:tcW w:w="0" w:type="auto"/>
            <w:vAlign w:val="bottom"/>
          </w:tcPr>
          <w:p w14:paraId="6BE3B9CB" w14:textId="4125A1FC" w:rsidR="008A6844" w:rsidRPr="000E57E3" w:rsidRDefault="008A6844" w:rsidP="000E57E3">
            <w:pPr>
              <w:pStyle w:val="Tabletext"/>
            </w:pPr>
            <w:r w:rsidRPr="000E57E3">
              <w:t> </w:t>
            </w:r>
          </w:p>
        </w:tc>
        <w:tc>
          <w:tcPr>
            <w:tcW w:w="0" w:type="auto"/>
            <w:vAlign w:val="bottom"/>
          </w:tcPr>
          <w:p w14:paraId="1A5B8F91" w14:textId="5BC42360" w:rsidR="008A6844" w:rsidRPr="000E57E3" w:rsidRDefault="008A6844" w:rsidP="000E57E3">
            <w:pPr>
              <w:pStyle w:val="Tabletext"/>
            </w:pPr>
            <w:r w:rsidRPr="000E57E3">
              <w:t>Y</w:t>
            </w:r>
          </w:p>
        </w:tc>
        <w:tc>
          <w:tcPr>
            <w:tcW w:w="0" w:type="auto"/>
            <w:vAlign w:val="bottom"/>
          </w:tcPr>
          <w:p w14:paraId="459F7A07" w14:textId="0E8E0A1F" w:rsidR="008A6844" w:rsidRPr="000E57E3" w:rsidRDefault="008A6844" w:rsidP="000E57E3">
            <w:pPr>
              <w:pStyle w:val="Tabletext"/>
            </w:pPr>
            <w:r w:rsidRPr="000E57E3">
              <w:t> </w:t>
            </w:r>
          </w:p>
        </w:tc>
        <w:tc>
          <w:tcPr>
            <w:tcW w:w="0" w:type="auto"/>
            <w:vAlign w:val="bottom"/>
          </w:tcPr>
          <w:p w14:paraId="12193BE8" w14:textId="7A26FE7B" w:rsidR="008A6844" w:rsidRPr="000E57E3" w:rsidRDefault="008A6844" w:rsidP="000E57E3">
            <w:pPr>
              <w:pStyle w:val="Tabletext"/>
            </w:pPr>
            <w:r w:rsidRPr="000E57E3">
              <w:t> </w:t>
            </w:r>
          </w:p>
        </w:tc>
        <w:tc>
          <w:tcPr>
            <w:tcW w:w="0" w:type="auto"/>
            <w:vAlign w:val="bottom"/>
          </w:tcPr>
          <w:p w14:paraId="6D1BF331" w14:textId="44FDAFDE" w:rsidR="008A6844" w:rsidRPr="000E57E3" w:rsidRDefault="008A6844" w:rsidP="000E57E3">
            <w:pPr>
              <w:pStyle w:val="Tabletext"/>
            </w:pPr>
            <w:r w:rsidRPr="000E57E3">
              <w:t> </w:t>
            </w:r>
          </w:p>
        </w:tc>
        <w:tc>
          <w:tcPr>
            <w:tcW w:w="0" w:type="auto"/>
            <w:vAlign w:val="bottom"/>
          </w:tcPr>
          <w:p w14:paraId="644D9CAE" w14:textId="5350A2CD" w:rsidR="008A6844" w:rsidRPr="000E57E3" w:rsidRDefault="008A6844" w:rsidP="000E57E3">
            <w:pPr>
              <w:pStyle w:val="Tabletext"/>
            </w:pPr>
            <w:r w:rsidRPr="000E57E3">
              <w:t> </w:t>
            </w:r>
          </w:p>
        </w:tc>
        <w:tc>
          <w:tcPr>
            <w:tcW w:w="0" w:type="auto"/>
            <w:vAlign w:val="bottom"/>
          </w:tcPr>
          <w:p w14:paraId="10809F0C" w14:textId="5782736E" w:rsidR="008A6844" w:rsidRPr="000E57E3" w:rsidRDefault="008A6844" w:rsidP="000E57E3">
            <w:pPr>
              <w:pStyle w:val="Tabletext"/>
            </w:pPr>
            <w:r w:rsidRPr="000E57E3">
              <w:t> </w:t>
            </w:r>
          </w:p>
        </w:tc>
        <w:tc>
          <w:tcPr>
            <w:tcW w:w="0" w:type="auto"/>
            <w:vAlign w:val="bottom"/>
          </w:tcPr>
          <w:p w14:paraId="31624F0D" w14:textId="42931E73" w:rsidR="008A6844" w:rsidRPr="000E57E3" w:rsidRDefault="008A6844" w:rsidP="000E57E3">
            <w:pPr>
              <w:pStyle w:val="Tabletext"/>
            </w:pPr>
            <w:r w:rsidRPr="000E57E3">
              <w:t>Exemplar</w:t>
            </w:r>
          </w:p>
        </w:tc>
      </w:tr>
      <w:tr w:rsidR="00776CCE" w:rsidRPr="008A6844" w14:paraId="3FE55351" w14:textId="77777777" w:rsidTr="00CA44B7">
        <w:tc>
          <w:tcPr>
            <w:tcW w:w="0" w:type="auto"/>
            <w:vAlign w:val="bottom"/>
          </w:tcPr>
          <w:p w14:paraId="69D27113" w14:textId="2103F34D" w:rsidR="008A6844" w:rsidRPr="000E57E3" w:rsidRDefault="008A6844" w:rsidP="000E57E3">
            <w:pPr>
              <w:pStyle w:val="Tabletext"/>
            </w:pPr>
            <w:r w:rsidRPr="000E57E3">
              <w:t>FANCI</w:t>
            </w:r>
          </w:p>
        </w:tc>
        <w:tc>
          <w:tcPr>
            <w:tcW w:w="0" w:type="auto"/>
            <w:vAlign w:val="bottom"/>
          </w:tcPr>
          <w:p w14:paraId="4948CAD5" w14:textId="2F999C6D" w:rsidR="008A6844" w:rsidRPr="000E57E3" w:rsidRDefault="008A6844" w:rsidP="000E57E3">
            <w:pPr>
              <w:pStyle w:val="Tabletext"/>
            </w:pPr>
            <w:r w:rsidRPr="000E57E3">
              <w:t>Y</w:t>
            </w:r>
          </w:p>
        </w:tc>
        <w:tc>
          <w:tcPr>
            <w:tcW w:w="0" w:type="auto"/>
            <w:vAlign w:val="bottom"/>
          </w:tcPr>
          <w:p w14:paraId="089A1A8F" w14:textId="3312D811" w:rsidR="008A6844" w:rsidRPr="000E57E3" w:rsidRDefault="008A6844" w:rsidP="000E57E3">
            <w:pPr>
              <w:pStyle w:val="Tabletext"/>
            </w:pPr>
            <w:r w:rsidRPr="000E57E3">
              <w:t> </w:t>
            </w:r>
          </w:p>
        </w:tc>
        <w:tc>
          <w:tcPr>
            <w:tcW w:w="0" w:type="auto"/>
            <w:vAlign w:val="bottom"/>
          </w:tcPr>
          <w:p w14:paraId="1AF996E0" w14:textId="74F7CF2D" w:rsidR="008A6844" w:rsidRPr="000E57E3" w:rsidRDefault="008A6844" w:rsidP="000E57E3">
            <w:pPr>
              <w:pStyle w:val="Tabletext"/>
            </w:pPr>
            <w:r w:rsidRPr="000E57E3">
              <w:t> </w:t>
            </w:r>
          </w:p>
        </w:tc>
        <w:tc>
          <w:tcPr>
            <w:tcW w:w="0" w:type="auto"/>
            <w:vAlign w:val="bottom"/>
          </w:tcPr>
          <w:p w14:paraId="741DC851" w14:textId="61D3EABB" w:rsidR="008A6844" w:rsidRPr="000E57E3" w:rsidRDefault="008A6844" w:rsidP="000E57E3">
            <w:pPr>
              <w:pStyle w:val="Tabletext"/>
            </w:pPr>
            <w:r w:rsidRPr="000E57E3">
              <w:t> </w:t>
            </w:r>
          </w:p>
        </w:tc>
        <w:tc>
          <w:tcPr>
            <w:tcW w:w="0" w:type="auto"/>
            <w:vAlign w:val="bottom"/>
          </w:tcPr>
          <w:p w14:paraId="359ACD6D" w14:textId="19E0EBAA" w:rsidR="008A6844" w:rsidRPr="000E57E3" w:rsidRDefault="008A6844" w:rsidP="000E57E3">
            <w:pPr>
              <w:pStyle w:val="Tabletext"/>
            </w:pPr>
            <w:r w:rsidRPr="000E57E3">
              <w:t> </w:t>
            </w:r>
          </w:p>
        </w:tc>
        <w:tc>
          <w:tcPr>
            <w:tcW w:w="0" w:type="auto"/>
            <w:vAlign w:val="bottom"/>
          </w:tcPr>
          <w:p w14:paraId="0EC7AE22" w14:textId="64BDA987" w:rsidR="008A6844" w:rsidRPr="000E57E3" w:rsidRDefault="008A6844" w:rsidP="000E57E3">
            <w:pPr>
              <w:pStyle w:val="Tabletext"/>
            </w:pPr>
            <w:r w:rsidRPr="000E57E3">
              <w:t> </w:t>
            </w:r>
          </w:p>
        </w:tc>
        <w:tc>
          <w:tcPr>
            <w:tcW w:w="0" w:type="auto"/>
            <w:vAlign w:val="bottom"/>
          </w:tcPr>
          <w:p w14:paraId="1D701888" w14:textId="5B1D98E7" w:rsidR="008A6844" w:rsidRPr="000E57E3" w:rsidRDefault="008A6844" w:rsidP="000E57E3">
            <w:pPr>
              <w:pStyle w:val="Tabletext"/>
            </w:pPr>
            <w:r w:rsidRPr="000E57E3">
              <w:t> </w:t>
            </w:r>
          </w:p>
        </w:tc>
        <w:tc>
          <w:tcPr>
            <w:tcW w:w="0" w:type="auto"/>
            <w:vAlign w:val="bottom"/>
          </w:tcPr>
          <w:p w14:paraId="7069EC80" w14:textId="197FAF3C" w:rsidR="008A6844" w:rsidRPr="000E57E3" w:rsidRDefault="008A6844" w:rsidP="000E57E3">
            <w:pPr>
              <w:pStyle w:val="Tabletext"/>
            </w:pPr>
            <w:r w:rsidRPr="000E57E3">
              <w:t> </w:t>
            </w:r>
          </w:p>
        </w:tc>
        <w:tc>
          <w:tcPr>
            <w:tcW w:w="0" w:type="auto"/>
            <w:vAlign w:val="bottom"/>
          </w:tcPr>
          <w:p w14:paraId="2AA2D533" w14:textId="5272580E" w:rsidR="008A6844" w:rsidRPr="000E57E3" w:rsidRDefault="008A6844" w:rsidP="000E57E3">
            <w:pPr>
              <w:pStyle w:val="Tabletext"/>
            </w:pPr>
            <w:r w:rsidRPr="000E57E3">
              <w:t> </w:t>
            </w:r>
          </w:p>
        </w:tc>
        <w:tc>
          <w:tcPr>
            <w:tcW w:w="0" w:type="auto"/>
            <w:vAlign w:val="bottom"/>
          </w:tcPr>
          <w:p w14:paraId="43D9D22E" w14:textId="07A8E0F7" w:rsidR="008A6844" w:rsidRPr="000E57E3" w:rsidRDefault="008A6844" w:rsidP="000E57E3">
            <w:pPr>
              <w:pStyle w:val="Tabletext"/>
            </w:pPr>
            <w:r w:rsidRPr="000E57E3">
              <w:t> </w:t>
            </w:r>
          </w:p>
        </w:tc>
        <w:tc>
          <w:tcPr>
            <w:tcW w:w="0" w:type="auto"/>
            <w:vAlign w:val="bottom"/>
          </w:tcPr>
          <w:p w14:paraId="16610196" w14:textId="74CB08F8" w:rsidR="008A6844" w:rsidRPr="000E57E3" w:rsidRDefault="008A6844" w:rsidP="000E57E3">
            <w:pPr>
              <w:pStyle w:val="Tabletext"/>
            </w:pPr>
            <w:r w:rsidRPr="000E57E3">
              <w:t> </w:t>
            </w:r>
          </w:p>
        </w:tc>
        <w:tc>
          <w:tcPr>
            <w:tcW w:w="0" w:type="auto"/>
            <w:vAlign w:val="bottom"/>
          </w:tcPr>
          <w:p w14:paraId="228686ED" w14:textId="2C23F680" w:rsidR="008A6844" w:rsidRPr="000E57E3" w:rsidRDefault="008A6844" w:rsidP="000E57E3">
            <w:pPr>
              <w:pStyle w:val="Tabletext"/>
            </w:pPr>
            <w:r w:rsidRPr="000E57E3">
              <w:t>Exemplar</w:t>
            </w:r>
          </w:p>
        </w:tc>
      </w:tr>
      <w:tr w:rsidR="00776CCE" w:rsidRPr="008A6844" w14:paraId="69A2EDF7" w14:textId="77777777" w:rsidTr="00CA44B7">
        <w:tc>
          <w:tcPr>
            <w:tcW w:w="0" w:type="auto"/>
            <w:vAlign w:val="bottom"/>
          </w:tcPr>
          <w:p w14:paraId="0A3E6B80" w14:textId="7AB44F42" w:rsidR="008A6844" w:rsidRPr="000E57E3" w:rsidRDefault="008A6844" w:rsidP="000E57E3">
            <w:pPr>
              <w:pStyle w:val="Tabletext"/>
            </w:pPr>
            <w:r w:rsidRPr="000E57E3">
              <w:t>FANCL</w:t>
            </w:r>
          </w:p>
        </w:tc>
        <w:tc>
          <w:tcPr>
            <w:tcW w:w="0" w:type="auto"/>
            <w:vAlign w:val="bottom"/>
          </w:tcPr>
          <w:p w14:paraId="17AEC77F" w14:textId="7251911B" w:rsidR="008A6844" w:rsidRPr="000E57E3" w:rsidRDefault="008A6844" w:rsidP="000E57E3">
            <w:pPr>
              <w:pStyle w:val="Tabletext"/>
            </w:pPr>
            <w:r w:rsidRPr="000E57E3">
              <w:t>Y</w:t>
            </w:r>
          </w:p>
        </w:tc>
        <w:tc>
          <w:tcPr>
            <w:tcW w:w="0" w:type="auto"/>
            <w:vAlign w:val="bottom"/>
          </w:tcPr>
          <w:p w14:paraId="27281D3E" w14:textId="3E38BC02" w:rsidR="008A6844" w:rsidRPr="000E57E3" w:rsidRDefault="008A6844" w:rsidP="000E57E3">
            <w:pPr>
              <w:pStyle w:val="Tabletext"/>
            </w:pPr>
            <w:r w:rsidRPr="000E57E3">
              <w:t> </w:t>
            </w:r>
          </w:p>
        </w:tc>
        <w:tc>
          <w:tcPr>
            <w:tcW w:w="0" w:type="auto"/>
            <w:vAlign w:val="bottom"/>
          </w:tcPr>
          <w:p w14:paraId="48F69FA6" w14:textId="219174AA" w:rsidR="008A6844" w:rsidRPr="000E57E3" w:rsidRDefault="008A6844" w:rsidP="000E57E3">
            <w:pPr>
              <w:pStyle w:val="Tabletext"/>
            </w:pPr>
            <w:r w:rsidRPr="000E57E3">
              <w:t> </w:t>
            </w:r>
          </w:p>
        </w:tc>
        <w:tc>
          <w:tcPr>
            <w:tcW w:w="0" w:type="auto"/>
            <w:vAlign w:val="bottom"/>
          </w:tcPr>
          <w:p w14:paraId="38579220" w14:textId="643572BA" w:rsidR="008A6844" w:rsidRPr="000E57E3" w:rsidRDefault="008A6844" w:rsidP="000E57E3">
            <w:pPr>
              <w:pStyle w:val="Tabletext"/>
            </w:pPr>
            <w:r w:rsidRPr="000E57E3">
              <w:t> </w:t>
            </w:r>
          </w:p>
        </w:tc>
        <w:tc>
          <w:tcPr>
            <w:tcW w:w="0" w:type="auto"/>
            <w:vAlign w:val="bottom"/>
          </w:tcPr>
          <w:p w14:paraId="128DA1E8" w14:textId="717F22A8" w:rsidR="008A6844" w:rsidRPr="000E57E3" w:rsidRDefault="008A6844" w:rsidP="000E57E3">
            <w:pPr>
              <w:pStyle w:val="Tabletext"/>
            </w:pPr>
            <w:r w:rsidRPr="000E57E3">
              <w:t> </w:t>
            </w:r>
          </w:p>
        </w:tc>
        <w:tc>
          <w:tcPr>
            <w:tcW w:w="0" w:type="auto"/>
            <w:vAlign w:val="bottom"/>
          </w:tcPr>
          <w:p w14:paraId="5E88F14F" w14:textId="3561861C" w:rsidR="008A6844" w:rsidRPr="000E57E3" w:rsidRDefault="008A6844" w:rsidP="000E57E3">
            <w:pPr>
              <w:pStyle w:val="Tabletext"/>
            </w:pPr>
            <w:r w:rsidRPr="000E57E3">
              <w:t> </w:t>
            </w:r>
          </w:p>
        </w:tc>
        <w:tc>
          <w:tcPr>
            <w:tcW w:w="0" w:type="auto"/>
            <w:vAlign w:val="bottom"/>
          </w:tcPr>
          <w:p w14:paraId="469E4E19" w14:textId="7962BC68" w:rsidR="008A6844" w:rsidRPr="000E57E3" w:rsidRDefault="008A6844" w:rsidP="000E57E3">
            <w:pPr>
              <w:pStyle w:val="Tabletext"/>
            </w:pPr>
            <w:r w:rsidRPr="000E57E3">
              <w:t> </w:t>
            </w:r>
          </w:p>
        </w:tc>
        <w:tc>
          <w:tcPr>
            <w:tcW w:w="0" w:type="auto"/>
            <w:vAlign w:val="bottom"/>
          </w:tcPr>
          <w:p w14:paraId="4226EC39" w14:textId="5BE2D29F" w:rsidR="008A6844" w:rsidRPr="000E57E3" w:rsidRDefault="008A6844" w:rsidP="000E57E3">
            <w:pPr>
              <w:pStyle w:val="Tabletext"/>
            </w:pPr>
            <w:r w:rsidRPr="000E57E3">
              <w:t> </w:t>
            </w:r>
          </w:p>
        </w:tc>
        <w:tc>
          <w:tcPr>
            <w:tcW w:w="0" w:type="auto"/>
            <w:vAlign w:val="bottom"/>
          </w:tcPr>
          <w:p w14:paraId="6A412A0F" w14:textId="27B70CE2" w:rsidR="008A6844" w:rsidRPr="000E57E3" w:rsidRDefault="008A6844" w:rsidP="000E57E3">
            <w:pPr>
              <w:pStyle w:val="Tabletext"/>
            </w:pPr>
            <w:r w:rsidRPr="000E57E3">
              <w:t> </w:t>
            </w:r>
          </w:p>
        </w:tc>
        <w:tc>
          <w:tcPr>
            <w:tcW w:w="0" w:type="auto"/>
            <w:vAlign w:val="bottom"/>
          </w:tcPr>
          <w:p w14:paraId="60F77C1B" w14:textId="3475FBE4" w:rsidR="008A6844" w:rsidRPr="000E57E3" w:rsidRDefault="008A6844" w:rsidP="000E57E3">
            <w:pPr>
              <w:pStyle w:val="Tabletext"/>
            </w:pPr>
            <w:r w:rsidRPr="000E57E3">
              <w:t> </w:t>
            </w:r>
          </w:p>
        </w:tc>
        <w:tc>
          <w:tcPr>
            <w:tcW w:w="0" w:type="auto"/>
            <w:vAlign w:val="bottom"/>
          </w:tcPr>
          <w:p w14:paraId="1160FEEA" w14:textId="2D4D1FBD" w:rsidR="008A6844" w:rsidRPr="000E57E3" w:rsidRDefault="008A6844" w:rsidP="000E57E3">
            <w:pPr>
              <w:pStyle w:val="Tabletext"/>
            </w:pPr>
            <w:r w:rsidRPr="000E57E3">
              <w:t> </w:t>
            </w:r>
          </w:p>
        </w:tc>
        <w:tc>
          <w:tcPr>
            <w:tcW w:w="0" w:type="auto"/>
            <w:vAlign w:val="bottom"/>
          </w:tcPr>
          <w:p w14:paraId="51200816" w14:textId="02C75B33" w:rsidR="008A6844" w:rsidRPr="000E57E3" w:rsidRDefault="008A6844" w:rsidP="000E57E3">
            <w:pPr>
              <w:pStyle w:val="Tabletext"/>
            </w:pPr>
            <w:r w:rsidRPr="000E57E3">
              <w:t>Exemplar</w:t>
            </w:r>
          </w:p>
        </w:tc>
      </w:tr>
      <w:tr w:rsidR="00776CCE" w:rsidRPr="008A6844" w14:paraId="4330EFD1" w14:textId="77777777" w:rsidTr="00CA44B7">
        <w:tc>
          <w:tcPr>
            <w:tcW w:w="0" w:type="auto"/>
            <w:vAlign w:val="bottom"/>
          </w:tcPr>
          <w:p w14:paraId="257117BC" w14:textId="35025638" w:rsidR="008A6844" w:rsidRPr="000E57E3" w:rsidRDefault="008A6844" w:rsidP="000E57E3">
            <w:pPr>
              <w:pStyle w:val="Tabletext"/>
            </w:pPr>
            <w:r w:rsidRPr="000E57E3">
              <w:t>FANCM</w:t>
            </w:r>
          </w:p>
        </w:tc>
        <w:tc>
          <w:tcPr>
            <w:tcW w:w="0" w:type="auto"/>
            <w:vAlign w:val="bottom"/>
          </w:tcPr>
          <w:p w14:paraId="7EA84988" w14:textId="35B28002" w:rsidR="008A6844" w:rsidRPr="000E57E3" w:rsidRDefault="008A6844" w:rsidP="000E57E3">
            <w:pPr>
              <w:pStyle w:val="Tabletext"/>
            </w:pPr>
            <w:r w:rsidRPr="000E57E3">
              <w:t>Y</w:t>
            </w:r>
          </w:p>
        </w:tc>
        <w:tc>
          <w:tcPr>
            <w:tcW w:w="0" w:type="auto"/>
            <w:vAlign w:val="bottom"/>
          </w:tcPr>
          <w:p w14:paraId="1919D621" w14:textId="1BE59928" w:rsidR="008A6844" w:rsidRPr="000E57E3" w:rsidRDefault="008A6844" w:rsidP="000E57E3">
            <w:pPr>
              <w:pStyle w:val="Tabletext"/>
            </w:pPr>
            <w:r w:rsidRPr="000E57E3">
              <w:t> </w:t>
            </w:r>
          </w:p>
        </w:tc>
        <w:tc>
          <w:tcPr>
            <w:tcW w:w="0" w:type="auto"/>
            <w:vAlign w:val="bottom"/>
          </w:tcPr>
          <w:p w14:paraId="0F385CE0" w14:textId="5231517F" w:rsidR="008A6844" w:rsidRPr="000E57E3" w:rsidRDefault="008A6844" w:rsidP="000E57E3">
            <w:pPr>
              <w:pStyle w:val="Tabletext"/>
            </w:pPr>
            <w:r w:rsidRPr="000E57E3">
              <w:t> </w:t>
            </w:r>
          </w:p>
        </w:tc>
        <w:tc>
          <w:tcPr>
            <w:tcW w:w="0" w:type="auto"/>
            <w:vAlign w:val="bottom"/>
          </w:tcPr>
          <w:p w14:paraId="004FA94A" w14:textId="4910574B" w:rsidR="008A6844" w:rsidRPr="000E57E3" w:rsidRDefault="008A6844" w:rsidP="000E57E3">
            <w:pPr>
              <w:pStyle w:val="Tabletext"/>
            </w:pPr>
            <w:r w:rsidRPr="000E57E3">
              <w:t> </w:t>
            </w:r>
          </w:p>
        </w:tc>
        <w:tc>
          <w:tcPr>
            <w:tcW w:w="0" w:type="auto"/>
            <w:vAlign w:val="bottom"/>
          </w:tcPr>
          <w:p w14:paraId="0B1E19EF" w14:textId="12F1B024" w:rsidR="008A6844" w:rsidRPr="000E57E3" w:rsidRDefault="008A6844" w:rsidP="000E57E3">
            <w:pPr>
              <w:pStyle w:val="Tabletext"/>
            </w:pPr>
            <w:r w:rsidRPr="000E57E3">
              <w:t> </w:t>
            </w:r>
          </w:p>
        </w:tc>
        <w:tc>
          <w:tcPr>
            <w:tcW w:w="0" w:type="auto"/>
            <w:vAlign w:val="bottom"/>
          </w:tcPr>
          <w:p w14:paraId="1CD59316" w14:textId="5CFF0B06" w:rsidR="008A6844" w:rsidRPr="000E57E3" w:rsidRDefault="008A6844" w:rsidP="000E57E3">
            <w:pPr>
              <w:pStyle w:val="Tabletext"/>
            </w:pPr>
            <w:r w:rsidRPr="000E57E3">
              <w:t>Y</w:t>
            </w:r>
          </w:p>
        </w:tc>
        <w:tc>
          <w:tcPr>
            <w:tcW w:w="0" w:type="auto"/>
            <w:vAlign w:val="bottom"/>
          </w:tcPr>
          <w:p w14:paraId="487869C1" w14:textId="3F56DCFE" w:rsidR="008A6844" w:rsidRPr="000E57E3" w:rsidRDefault="008A6844" w:rsidP="000E57E3">
            <w:pPr>
              <w:pStyle w:val="Tabletext"/>
            </w:pPr>
            <w:r w:rsidRPr="000E57E3">
              <w:t> </w:t>
            </w:r>
          </w:p>
        </w:tc>
        <w:tc>
          <w:tcPr>
            <w:tcW w:w="0" w:type="auto"/>
            <w:vAlign w:val="bottom"/>
          </w:tcPr>
          <w:p w14:paraId="4E7DF99A" w14:textId="0268C0C3" w:rsidR="008A6844" w:rsidRPr="000E57E3" w:rsidRDefault="008A6844" w:rsidP="000E57E3">
            <w:pPr>
              <w:pStyle w:val="Tabletext"/>
            </w:pPr>
            <w:r w:rsidRPr="000E57E3">
              <w:t> </w:t>
            </w:r>
          </w:p>
        </w:tc>
        <w:tc>
          <w:tcPr>
            <w:tcW w:w="0" w:type="auto"/>
            <w:vAlign w:val="bottom"/>
          </w:tcPr>
          <w:p w14:paraId="51DD5B11" w14:textId="07B7AD12" w:rsidR="008A6844" w:rsidRPr="000E57E3" w:rsidRDefault="008A6844" w:rsidP="000E57E3">
            <w:pPr>
              <w:pStyle w:val="Tabletext"/>
            </w:pPr>
            <w:r w:rsidRPr="000E57E3">
              <w:t> </w:t>
            </w:r>
          </w:p>
        </w:tc>
        <w:tc>
          <w:tcPr>
            <w:tcW w:w="0" w:type="auto"/>
            <w:vAlign w:val="bottom"/>
          </w:tcPr>
          <w:p w14:paraId="33FB7803" w14:textId="2C772FCF" w:rsidR="008A6844" w:rsidRPr="000E57E3" w:rsidRDefault="008A6844" w:rsidP="000E57E3">
            <w:pPr>
              <w:pStyle w:val="Tabletext"/>
            </w:pPr>
            <w:r w:rsidRPr="000E57E3">
              <w:t> </w:t>
            </w:r>
          </w:p>
        </w:tc>
        <w:tc>
          <w:tcPr>
            <w:tcW w:w="0" w:type="auto"/>
            <w:vAlign w:val="bottom"/>
          </w:tcPr>
          <w:p w14:paraId="5137E6F4" w14:textId="7371DF5E" w:rsidR="008A6844" w:rsidRPr="000E57E3" w:rsidRDefault="008A6844" w:rsidP="000E57E3">
            <w:pPr>
              <w:pStyle w:val="Tabletext"/>
            </w:pPr>
            <w:r w:rsidRPr="000E57E3">
              <w:t> </w:t>
            </w:r>
          </w:p>
        </w:tc>
        <w:tc>
          <w:tcPr>
            <w:tcW w:w="0" w:type="auto"/>
            <w:vAlign w:val="bottom"/>
          </w:tcPr>
          <w:p w14:paraId="68A3ECA4" w14:textId="72931F88" w:rsidR="008A6844" w:rsidRPr="000E57E3" w:rsidRDefault="008A6844" w:rsidP="000E57E3">
            <w:pPr>
              <w:pStyle w:val="Tabletext"/>
            </w:pPr>
            <w:r w:rsidRPr="000E57E3">
              <w:t>Exemplar</w:t>
            </w:r>
          </w:p>
        </w:tc>
      </w:tr>
      <w:tr w:rsidR="00776CCE" w:rsidRPr="008A6844" w14:paraId="58C2C05F" w14:textId="77777777" w:rsidTr="00CA44B7">
        <w:tc>
          <w:tcPr>
            <w:tcW w:w="0" w:type="auto"/>
            <w:vAlign w:val="bottom"/>
          </w:tcPr>
          <w:p w14:paraId="485519B9" w14:textId="112D88BD" w:rsidR="008A6844" w:rsidRPr="000E57E3" w:rsidRDefault="008A6844" w:rsidP="000E57E3">
            <w:pPr>
              <w:pStyle w:val="Tabletext"/>
            </w:pPr>
            <w:r w:rsidRPr="000E57E3">
              <w:t>FGFR1</w:t>
            </w:r>
          </w:p>
        </w:tc>
        <w:tc>
          <w:tcPr>
            <w:tcW w:w="0" w:type="auto"/>
            <w:vAlign w:val="bottom"/>
          </w:tcPr>
          <w:p w14:paraId="03C8AE0B" w14:textId="1AE37688" w:rsidR="008A6844" w:rsidRPr="000E57E3" w:rsidRDefault="008A6844" w:rsidP="000E57E3">
            <w:pPr>
              <w:pStyle w:val="Tabletext"/>
            </w:pPr>
            <w:r w:rsidRPr="000E57E3">
              <w:t> </w:t>
            </w:r>
          </w:p>
        </w:tc>
        <w:tc>
          <w:tcPr>
            <w:tcW w:w="0" w:type="auto"/>
            <w:vAlign w:val="bottom"/>
          </w:tcPr>
          <w:p w14:paraId="44C99BAF" w14:textId="2346F7E7" w:rsidR="008A6844" w:rsidRPr="000E57E3" w:rsidRDefault="008A6844" w:rsidP="000E57E3">
            <w:pPr>
              <w:pStyle w:val="Tabletext"/>
            </w:pPr>
            <w:r w:rsidRPr="000E57E3">
              <w:t>Y</w:t>
            </w:r>
          </w:p>
        </w:tc>
        <w:tc>
          <w:tcPr>
            <w:tcW w:w="0" w:type="auto"/>
            <w:vAlign w:val="bottom"/>
          </w:tcPr>
          <w:p w14:paraId="0566718D" w14:textId="74A1311B" w:rsidR="008A6844" w:rsidRPr="000E57E3" w:rsidRDefault="008A6844" w:rsidP="000E57E3">
            <w:pPr>
              <w:pStyle w:val="Tabletext"/>
            </w:pPr>
            <w:r w:rsidRPr="000E57E3">
              <w:t> </w:t>
            </w:r>
          </w:p>
        </w:tc>
        <w:tc>
          <w:tcPr>
            <w:tcW w:w="0" w:type="auto"/>
            <w:vAlign w:val="bottom"/>
          </w:tcPr>
          <w:p w14:paraId="461EF40E" w14:textId="66E5D0FE" w:rsidR="008A6844" w:rsidRPr="000E57E3" w:rsidRDefault="008A6844" w:rsidP="000E57E3">
            <w:pPr>
              <w:pStyle w:val="Tabletext"/>
            </w:pPr>
            <w:r w:rsidRPr="000E57E3">
              <w:t> </w:t>
            </w:r>
          </w:p>
        </w:tc>
        <w:tc>
          <w:tcPr>
            <w:tcW w:w="0" w:type="auto"/>
            <w:vAlign w:val="bottom"/>
          </w:tcPr>
          <w:p w14:paraId="2C85A204" w14:textId="198F879A" w:rsidR="008A6844" w:rsidRPr="000E57E3" w:rsidRDefault="008A6844" w:rsidP="000E57E3">
            <w:pPr>
              <w:pStyle w:val="Tabletext"/>
            </w:pPr>
            <w:r w:rsidRPr="000E57E3">
              <w:t>Y</w:t>
            </w:r>
          </w:p>
        </w:tc>
        <w:tc>
          <w:tcPr>
            <w:tcW w:w="0" w:type="auto"/>
            <w:vAlign w:val="bottom"/>
          </w:tcPr>
          <w:p w14:paraId="1DA540A2" w14:textId="3251E4EE" w:rsidR="008A6844" w:rsidRPr="000E57E3" w:rsidRDefault="008A6844" w:rsidP="000E57E3">
            <w:pPr>
              <w:pStyle w:val="Tabletext"/>
            </w:pPr>
            <w:r w:rsidRPr="000E57E3">
              <w:t> </w:t>
            </w:r>
          </w:p>
        </w:tc>
        <w:tc>
          <w:tcPr>
            <w:tcW w:w="0" w:type="auto"/>
            <w:vAlign w:val="bottom"/>
          </w:tcPr>
          <w:p w14:paraId="67AD3DC6" w14:textId="0AC84AF7" w:rsidR="008A6844" w:rsidRPr="000E57E3" w:rsidRDefault="008A6844" w:rsidP="000E57E3">
            <w:pPr>
              <w:pStyle w:val="Tabletext"/>
            </w:pPr>
            <w:r w:rsidRPr="000E57E3">
              <w:t> </w:t>
            </w:r>
          </w:p>
        </w:tc>
        <w:tc>
          <w:tcPr>
            <w:tcW w:w="0" w:type="auto"/>
            <w:vAlign w:val="bottom"/>
          </w:tcPr>
          <w:p w14:paraId="7C27B43C" w14:textId="40F0AAAA" w:rsidR="008A6844" w:rsidRPr="000E57E3" w:rsidRDefault="008A6844" w:rsidP="000E57E3">
            <w:pPr>
              <w:pStyle w:val="Tabletext"/>
            </w:pPr>
            <w:r w:rsidRPr="000E57E3">
              <w:t> </w:t>
            </w:r>
          </w:p>
        </w:tc>
        <w:tc>
          <w:tcPr>
            <w:tcW w:w="0" w:type="auto"/>
            <w:vAlign w:val="bottom"/>
          </w:tcPr>
          <w:p w14:paraId="1A3A63CD" w14:textId="6BD019CA" w:rsidR="008A6844" w:rsidRPr="000E57E3" w:rsidRDefault="008A6844" w:rsidP="000E57E3">
            <w:pPr>
              <w:pStyle w:val="Tabletext"/>
            </w:pPr>
            <w:r w:rsidRPr="000E57E3">
              <w:t> </w:t>
            </w:r>
          </w:p>
        </w:tc>
        <w:tc>
          <w:tcPr>
            <w:tcW w:w="0" w:type="auto"/>
            <w:vAlign w:val="bottom"/>
          </w:tcPr>
          <w:p w14:paraId="4D1368A4" w14:textId="297A5903" w:rsidR="008A6844" w:rsidRPr="000E57E3" w:rsidRDefault="008A6844" w:rsidP="000E57E3">
            <w:pPr>
              <w:pStyle w:val="Tabletext"/>
            </w:pPr>
            <w:r w:rsidRPr="000E57E3">
              <w:t> </w:t>
            </w:r>
          </w:p>
        </w:tc>
        <w:tc>
          <w:tcPr>
            <w:tcW w:w="0" w:type="auto"/>
            <w:vAlign w:val="bottom"/>
          </w:tcPr>
          <w:p w14:paraId="7CA24C1E" w14:textId="55B5A107" w:rsidR="008A6844" w:rsidRPr="000E57E3" w:rsidRDefault="008A6844" w:rsidP="000E57E3">
            <w:pPr>
              <w:pStyle w:val="Tabletext"/>
            </w:pPr>
            <w:r w:rsidRPr="000E57E3">
              <w:t> </w:t>
            </w:r>
          </w:p>
        </w:tc>
        <w:tc>
          <w:tcPr>
            <w:tcW w:w="0" w:type="auto"/>
            <w:vAlign w:val="bottom"/>
          </w:tcPr>
          <w:p w14:paraId="794F145B" w14:textId="33EF7AB0" w:rsidR="008A6844" w:rsidRPr="000E57E3" w:rsidRDefault="008A6844" w:rsidP="000E57E3">
            <w:pPr>
              <w:pStyle w:val="Tabletext"/>
            </w:pPr>
            <w:r w:rsidRPr="000E57E3">
              <w:t>Exemplar</w:t>
            </w:r>
          </w:p>
        </w:tc>
      </w:tr>
      <w:tr w:rsidR="00776CCE" w:rsidRPr="008A6844" w14:paraId="47F4F770" w14:textId="77777777" w:rsidTr="00CA44B7">
        <w:tc>
          <w:tcPr>
            <w:tcW w:w="0" w:type="auto"/>
            <w:vAlign w:val="bottom"/>
          </w:tcPr>
          <w:p w14:paraId="719AAC12" w14:textId="0542700F" w:rsidR="008A6844" w:rsidRPr="000E57E3" w:rsidRDefault="008A6844" w:rsidP="000E57E3">
            <w:pPr>
              <w:pStyle w:val="Tabletext"/>
            </w:pPr>
            <w:r w:rsidRPr="000E57E3">
              <w:t>FLT3</w:t>
            </w:r>
          </w:p>
        </w:tc>
        <w:tc>
          <w:tcPr>
            <w:tcW w:w="0" w:type="auto"/>
            <w:vAlign w:val="bottom"/>
          </w:tcPr>
          <w:p w14:paraId="55C82A9F" w14:textId="60D192D0" w:rsidR="008A6844" w:rsidRPr="000E57E3" w:rsidRDefault="008A6844" w:rsidP="000E57E3">
            <w:pPr>
              <w:pStyle w:val="Tabletext"/>
            </w:pPr>
            <w:r w:rsidRPr="000E57E3">
              <w:t>Y</w:t>
            </w:r>
          </w:p>
        </w:tc>
        <w:tc>
          <w:tcPr>
            <w:tcW w:w="0" w:type="auto"/>
            <w:vAlign w:val="bottom"/>
          </w:tcPr>
          <w:p w14:paraId="7B17E7CE" w14:textId="62FA2B93" w:rsidR="008A6844" w:rsidRPr="000E57E3" w:rsidRDefault="008A6844" w:rsidP="000E57E3">
            <w:pPr>
              <w:pStyle w:val="Tabletext"/>
            </w:pPr>
            <w:r w:rsidRPr="000E57E3">
              <w:t> </w:t>
            </w:r>
          </w:p>
        </w:tc>
        <w:tc>
          <w:tcPr>
            <w:tcW w:w="0" w:type="auto"/>
            <w:vAlign w:val="bottom"/>
          </w:tcPr>
          <w:p w14:paraId="5F24C611" w14:textId="32668377" w:rsidR="008A6844" w:rsidRPr="000E57E3" w:rsidRDefault="008A6844" w:rsidP="000E57E3">
            <w:pPr>
              <w:pStyle w:val="Tabletext"/>
            </w:pPr>
            <w:r w:rsidRPr="000E57E3">
              <w:t>Y</w:t>
            </w:r>
          </w:p>
        </w:tc>
        <w:tc>
          <w:tcPr>
            <w:tcW w:w="0" w:type="auto"/>
            <w:vAlign w:val="bottom"/>
          </w:tcPr>
          <w:p w14:paraId="20CF5A50" w14:textId="21CE36A3" w:rsidR="008A6844" w:rsidRPr="000E57E3" w:rsidRDefault="008A6844" w:rsidP="000E57E3">
            <w:pPr>
              <w:pStyle w:val="Tabletext"/>
            </w:pPr>
            <w:r w:rsidRPr="000E57E3">
              <w:t> </w:t>
            </w:r>
          </w:p>
        </w:tc>
        <w:tc>
          <w:tcPr>
            <w:tcW w:w="0" w:type="auto"/>
            <w:vAlign w:val="bottom"/>
          </w:tcPr>
          <w:p w14:paraId="4DC86443" w14:textId="7F12CCD9" w:rsidR="008A6844" w:rsidRPr="000E57E3" w:rsidRDefault="008A6844" w:rsidP="000E57E3">
            <w:pPr>
              <w:pStyle w:val="Tabletext"/>
            </w:pPr>
            <w:r w:rsidRPr="000E57E3">
              <w:t>Y</w:t>
            </w:r>
          </w:p>
        </w:tc>
        <w:tc>
          <w:tcPr>
            <w:tcW w:w="0" w:type="auto"/>
            <w:vAlign w:val="bottom"/>
          </w:tcPr>
          <w:p w14:paraId="1BBB36D5" w14:textId="0F49A589" w:rsidR="008A6844" w:rsidRPr="000E57E3" w:rsidRDefault="008A6844" w:rsidP="000E57E3">
            <w:pPr>
              <w:pStyle w:val="Tabletext"/>
            </w:pPr>
            <w:r w:rsidRPr="000E57E3">
              <w:t> </w:t>
            </w:r>
          </w:p>
        </w:tc>
        <w:tc>
          <w:tcPr>
            <w:tcW w:w="0" w:type="auto"/>
            <w:vAlign w:val="bottom"/>
          </w:tcPr>
          <w:p w14:paraId="783350B5" w14:textId="17602042" w:rsidR="008A6844" w:rsidRPr="000E57E3" w:rsidRDefault="008A6844" w:rsidP="000E57E3">
            <w:pPr>
              <w:pStyle w:val="Tabletext"/>
            </w:pPr>
            <w:r w:rsidRPr="000E57E3">
              <w:t>Y</w:t>
            </w:r>
          </w:p>
        </w:tc>
        <w:tc>
          <w:tcPr>
            <w:tcW w:w="0" w:type="auto"/>
            <w:vAlign w:val="bottom"/>
          </w:tcPr>
          <w:p w14:paraId="63AC2CF5" w14:textId="5DC25340" w:rsidR="008A6844" w:rsidRPr="000E57E3" w:rsidRDefault="008A6844" w:rsidP="000E57E3">
            <w:pPr>
              <w:pStyle w:val="Tabletext"/>
            </w:pPr>
            <w:r w:rsidRPr="000E57E3">
              <w:t> </w:t>
            </w:r>
          </w:p>
        </w:tc>
        <w:tc>
          <w:tcPr>
            <w:tcW w:w="0" w:type="auto"/>
            <w:vAlign w:val="bottom"/>
          </w:tcPr>
          <w:p w14:paraId="5F45A0EC" w14:textId="03009ED6" w:rsidR="008A6844" w:rsidRPr="000E57E3" w:rsidRDefault="008A6844" w:rsidP="000E57E3">
            <w:pPr>
              <w:pStyle w:val="Tabletext"/>
            </w:pPr>
            <w:r w:rsidRPr="000E57E3">
              <w:t>Y</w:t>
            </w:r>
          </w:p>
        </w:tc>
        <w:tc>
          <w:tcPr>
            <w:tcW w:w="0" w:type="auto"/>
            <w:vAlign w:val="bottom"/>
          </w:tcPr>
          <w:p w14:paraId="0D3B697C" w14:textId="49DA3063" w:rsidR="008A6844" w:rsidRPr="000E57E3" w:rsidRDefault="008A6844" w:rsidP="000E57E3">
            <w:pPr>
              <w:pStyle w:val="Tabletext"/>
            </w:pPr>
            <w:r w:rsidRPr="000E57E3">
              <w:t> </w:t>
            </w:r>
          </w:p>
        </w:tc>
        <w:tc>
          <w:tcPr>
            <w:tcW w:w="0" w:type="auto"/>
            <w:vAlign w:val="bottom"/>
          </w:tcPr>
          <w:p w14:paraId="3B4A752A" w14:textId="527F2C18" w:rsidR="008A6844" w:rsidRPr="000E57E3" w:rsidRDefault="008A6844" w:rsidP="000E57E3">
            <w:pPr>
              <w:pStyle w:val="Tabletext"/>
            </w:pPr>
            <w:r w:rsidRPr="000E57E3">
              <w:t>Y</w:t>
            </w:r>
          </w:p>
        </w:tc>
        <w:tc>
          <w:tcPr>
            <w:tcW w:w="0" w:type="auto"/>
            <w:vAlign w:val="bottom"/>
          </w:tcPr>
          <w:p w14:paraId="327DB229" w14:textId="73CB754C" w:rsidR="008A6844" w:rsidRPr="000E57E3" w:rsidRDefault="008A6844" w:rsidP="000E57E3">
            <w:pPr>
              <w:pStyle w:val="Tabletext"/>
            </w:pPr>
            <w:r w:rsidRPr="000E57E3">
              <w:t>Exemplar</w:t>
            </w:r>
          </w:p>
        </w:tc>
      </w:tr>
      <w:tr w:rsidR="00776CCE" w:rsidRPr="008A6844" w14:paraId="639F6711" w14:textId="77777777" w:rsidTr="00CA44B7">
        <w:tc>
          <w:tcPr>
            <w:tcW w:w="0" w:type="auto"/>
            <w:vAlign w:val="bottom"/>
          </w:tcPr>
          <w:p w14:paraId="020C03E7" w14:textId="5F5FE9FB" w:rsidR="008A6844" w:rsidRPr="000E57E3" w:rsidRDefault="008A6844" w:rsidP="000E57E3">
            <w:pPr>
              <w:pStyle w:val="Tabletext"/>
            </w:pPr>
            <w:r w:rsidRPr="000E57E3">
              <w:t>G6PC3</w:t>
            </w:r>
          </w:p>
        </w:tc>
        <w:tc>
          <w:tcPr>
            <w:tcW w:w="0" w:type="auto"/>
            <w:vAlign w:val="bottom"/>
          </w:tcPr>
          <w:p w14:paraId="21FE72BC" w14:textId="7DA0284F" w:rsidR="008A6844" w:rsidRPr="000E57E3" w:rsidRDefault="008A6844" w:rsidP="000E57E3">
            <w:pPr>
              <w:pStyle w:val="Tabletext"/>
            </w:pPr>
            <w:r w:rsidRPr="000E57E3">
              <w:t>Y</w:t>
            </w:r>
          </w:p>
        </w:tc>
        <w:tc>
          <w:tcPr>
            <w:tcW w:w="0" w:type="auto"/>
            <w:vAlign w:val="bottom"/>
          </w:tcPr>
          <w:p w14:paraId="39846A85" w14:textId="04374EA5" w:rsidR="008A6844" w:rsidRPr="000E57E3" w:rsidRDefault="008A6844" w:rsidP="000E57E3">
            <w:pPr>
              <w:pStyle w:val="Tabletext"/>
            </w:pPr>
            <w:r w:rsidRPr="000E57E3">
              <w:t> </w:t>
            </w:r>
          </w:p>
        </w:tc>
        <w:tc>
          <w:tcPr>
            <w:tcW w:w="0" w:type="auto"/>
            <w:vAlign w:val="bottom"/>
          </w:tcPr>
          <w:p w14:paraId="27F74117" w14:textId="58D0D1CD" w:rsidR="008A6844" w:rsidRPr="000E57E3" w:rsidRDefault="008A6844" w:rsidP="000E57E3">
            <w:pPr>
              <w:pStyle w:val="Tabletext"/>
            </w:pPr>
            <w:r w:rsidRPr="000E57E3">
              <w:t> </w:t>
            </w:r>
          </w:p>
        </w:tc>
        <w:tc>
          <w:tcPr>
            <w:tcW w:w="0" w:type="auto"/>
            <w:vAlign w:val="bottom"/>
          </w:tcPr>
          <w:p w14:paraId="5388E1DA" w14:textId="5E0D98B6" w:rsidR="008A6844" w:rsidRPr="000E57E3" w:rsidRDefault="008A6844" w:rsidP="000E57E3">
            <w:pPr>
              <w:pStyle w:val="Tabletext"/>
            </w:pPr>
            <w:r w:rsidRPr="000E57E3">
              <w:t> </w:t>
            </w:r>
          </w:p>
        </w:tc>
        <w:tc>
          <w:tcPr>
            <w:tcW w:w="0" w:type="auto"/>
            <w:vAlign w:val="bottom"/>
          </w:tcPr>
          <w:p w14:paraId="454D4183" w14:textId="4AA865E4" w:rsidR="008A6844" w:rsidRPr="000E57E3" w:rsidRDefault="008A6844" w:rsidP="000E57E3">
            <w:pPr>
              <w:pStyle w:val="Tabletext"/>
            </w:pPr>
            <w:r w:rsidRPr="000E57E3">
              <w:t> </w:t>
            </w:r>
          </w:p>
        </w:tc>
        <w:tc>
          <w:tcPr>
            <w:tcW w:w="0" w:type="auto"/>
            <w:vAlign w:val="bottom"/>
          </w:tcPr>
          <w:p w14:paraId="3FD705D9" w14:textId="3959CB9F" w:rsidR="008A6844" w:rsidRPr="000E57E3" w:rsidRDefault="008A6844" w:rsidP="000E57E3">
            <w:pPr>
              <w:pStyle w:val="Tabletext"/>
            </w:pPr>
            <w:r w:rsidRPr="000E57E3">
              <w:t>Y</w:t>
            </w:r>
          </w:p>
        </w:tc>
        <w:tc>
          <w:tcPr>
            <w:tcW w:w="0" w:type="auto"/>
            <w:vAlign w:val="bottom"/>
          </w:tcPr>
          <w:p w14:paraId="370825B5" w14:textId="44E56CE7" w:rsidR="008A6844" w:rsidRPr="000E57E3" w:rsidRDefault="008A6844" w:rsidP="000E57E3">
            <w:pPr>
              <w:pStyle w:val="Tabletext"/>
            </w:pPr>
            <w:r w:rsidRPr="000E57E3">
              <w:t> </w:t>
            </w:r>
          </w:p>
        </w:tc>
        <w:tc>
          <w:tcPr>
            <w:tcW w:w="0" w:type="auto"/>
            <w:vAlign w:val="bottom"/>
          </w:tcPr>
          <w:p w14:paraId="4E9B5C5B" w14:textId="308FA11A" w:rsidR="008A6844" w:rsidRPr="000E57E3" w:rsidRDefault="008A6844" w:rsidP="000E57E3">
            <w:pPr>
              <w:pStyle w:val="Tabletext"/>
            </w:pPr>
            <w:r w:rsidRPr="000E57E3">
              <w:t> </w:t>
            </w:r>
          </w:p>
        </w:tc>
        <w:tc>
          <w:tcPr>
            <w:tcW w:w="0" w:type="auto"/>
            <w:vAlign w:val="bottom"/>
          </w:tcPr>
          <w:p w14:paraId="3932F377" w14:textId="11242B5B" w:rsidR="008A6844" w:rsidRPr="000E57E3" w:rsidRDefault="008A6844" w:rsidP="000E57E3">
            <w:pPr>
              <w:pStyle w:val="Tabletext"/>
            </w:pPr>
            <w:r w:rsidRPr="000E57E3">
              <w:t> </w:t>
            </w:r>
          </w:p>
        </w:tc>
        <w:tc>
          <w:tcPr>
            <w:tcW w:w="0" w:type="auto"/>
            <w:vAlign w:val="bottom"/>
          </w:tcPr>
          <w:p w14:paraId="72B2DEFD" w14:textId="339FEB6C" w:rsidR="008A6844" w:rsidRPr="000E57E3" w:rsidRDefault="008A6844" w:rsidP="000E57E3">
            <w:pPr>
              <w:pStyle w:val="Tabletext"/>
            </w:pPr>
            <w:r w:rsidRPr="000E57E3">
              <w:t> </w:t>
            </w:r>
          </w:p>
        </w:tc>
        <w:tc>
          <w:tcPr>
            <w:tcW w:w="0" w:type="auto"/>
            <w:vAlign w:val="bottom"/>
          </w:tcPr>
          <w:p w14:paraId="53218A0B" w14:textId="19174BE7" w:rsidR="008A6844" w:rsidRPr="000E57E3" w:rsidRDefault="008A6844" w:rsidP="000E57E3">
            <w:pPr>
              <w:pStyle w:val="Tabletext"/>
            </w:pPr>
            <w:r w:rsidRPr="000E57E3">
              <w:t> </w:t>
            </w:r>
          </w:p>
        </w:tc>
        <w:tc>
          <w:tcPr>
            <w:tcW w:w="0" w:type="auto"/>
            <w:vAlign w:val="bottom"/>
          </w:tcPr>
          <w:p w14:paraId="48B9A4D5" w14:textId="2DC7A334" w:rsidR="008A6844" w:rsidRPr="000E57E3" w:rsidRDefault="008A6844" w:rsidP="000E57E3">
            <w:pPr>
              <w:pStyle w:val="Tabletext"/>
            </w:pPr>
            <w:r w:rsidRPr="000E57E3">
              <w:t>Exemplar</w:t>
            </w:r>
          </w:p>
        </w:tc>
      </w:tr>
      <w:tr w:rsidR="00776CCE" w:rsidRPr="008A6844" w14:paraId="2C1569C2" w14:textId="77777777" w:rsidTr="00CA44B7">
        <w:tc>
          <w:tcPr>
            <w:tcW w:w="0" w:type="auto"/>
            <w:vAlign w:val="bottom"/>
          </w:tcPr>
          <w:p w14:paraId="23BA2787" w14:textId="5ECCC3E7" w:rsidR="008A6844" w:rsidRPr="000E57E3" w:rsidRDefault="008A6844" w:rsidP="000E57E3">
            <w:pPr>
              <w:pStyle w:val="Tabletext"/>
            </w:pPr>
            <w:r w:rsidRPr="000E57E3">
              <w:t>GATA1</w:t>
            </w:r>
          </w:p>
        </w:tc>
        <w:tc>
          <w:tcPr>
            <w:tcW w:w="0" w:type="auto"/>
            <w:vAlign w:val="bottom"/>
          </w:tcPr>
          <w:p w14:paraId="378B1CE4" w14:textId="70844FBA" w:rsidR="008A6844" w:rsidRPr="000E57E3" w:rsidRDefault="008A6844" w:rsidP="000E57E3">
            <w:pPr>
              <w:pStyle w:val="Tabletext"/>
            </w:pPr>
            <w:r w:rsidRPr="000E57E3">
              <w:t>Y</w:t>
            </w:r>
          </w:p>
        </w:tc>
        <w:tc>
          <w:tcPr>
            <w:tcW w:w="0" w:type="auto"/>
            <w:vAlign w:val="bottom"/>
          </w:tcPr>
          <w:p w14:paraId="6EE02F2B" w14:textId="1EF39878" w:rsidR="008A6844" w:rsidRPr="000E57E3" w:rsidRDefault="008A6844" w:rsidP="000E57E3">
            <w:pPr>
              <w:pStyle w:val="Tabletext"/>
            </w:pPr>
            <w:r w:rsidRPr="000E57E3">
              <w:t> </w:t>
            </w:r>
          </w:p>
        </w:tc>
        <w:tc>
          <w:tcPr>
            <w:tcW w:w="0" w:type="auto"/>
            <w:vAlign w:val="bottom"/>
          </w:tcPr>
          <w:p w14:paraId="297E6462" w14:textId="022CFDDA" w:rsidR="008A6844" w:rsidRPr="000E57E3" w:rsidRDefault="008A6844" w:rsidP="000E57E3">
            <w:pPr>
              <w:pStyle w:val="Tabletext"/>
            </w:pPr>
            <w:r w:rsidRPr="000E57E3">
              <w:t>Y</w:t>
            </w:r>
          </w:p>
        </w:tc>
        <w:tc>
          <w:tcPr>
            <w:tcW w:w="0" w:type="auto"/>
            <w:vAlign w:val="bottom"/>
          </w:tcPr>
          <w:p w14:paraId="70DDBC78" w14:textId="131347E6" w:rsidR="008A6844" w:rsidRPr="000E57E3" w:rsidRDefault="008A6844" w:rsidP="000E57E3">
            <w:pPr>
              <w:pStyle w:val="Tabletext"/>
            </w:pPr>
            <w:r w:rsidRPr="000E57E3">
              <w:t> </w:t>
            </w:r>
          </w:p>
        </w:tc>
        <w:tc>
          <w:tcPr>
            <w:tcW w:w="0" w:type="auto"/>
            <w:vAlign w:val="bottom"/>
          </w:tcPr>
          <w:p w14:paraId="059442A1" w14:textId="65BA02C5" w:rsidR="008A6844" w:rsidRPr="000E57E3" w:rsidRDefault="008A6844" w:rsidP="000E57E3">
            <w:pPr>
              <w:pStyle w:val="Tabletext"/>
            </w:pPr>
            <w:r w:rsidRPr="000E57E3">
              <w:t> </w:t>
            </w:r>
          </w:p>
        </w:tc>
        <w:tc>
          <w:tcPr>
            <w:tcW w:w="0" w:type="auto"/>
            <w:vAlign w:val="bottom"/>
          </w:tcPr>
          <w:p w14:paraId="23CCD7DB" w14:textId="2C092399" w:rsidR="008A6844" w:rsidRPr="000E57E3" w:rsidRDefault="008A6844" w:rsidP="000E57E3">
            <w:pPr>
              <w:pStyle w:val="Tabletext"/>
            </w:pPr>
            <w:r w:rsidRPr="000E57E3">
              <w:t>Y</w:t>
            </w:r>
          </w:p>
        </w:tc>
        <w:tc>
          <w:tcPr>
            <w:tcW w:w="0" w:type="auto"/>
            <w:vAlign w:val="bottom"/>
          </w:tcPr>
          <w:p w14:paraId="0481BD56" w14:textId="75A76ADD" w:rsidR="008A6844" w:rsidRPr="000E57E3" w:rsidRDefault="008A6844" w:rsidP="000E57E3">
            <w:pPr>
              <w:pStyle w:val="Tabletext"/>
            </w:pPr>
            <w:r w:rsidRPr="000E57E3">
              <w:t> </w:t>
            </w:r>
          </w:p>
        </w:tc>
        <w:tc>
          <w:tcPr>
            <w:tcW w:w="0" w:type="auto"/>
            <w:vAlign w:val="bottom"/>
          </w:tcPr>
          <w:p w14:paraId="00493861" w14:textId="32BB88A9" w:rsidR="008A6844" w:rsidRPr="000E57E3" w:rsidRDefault="008A6844" w:rsidP="000E57E3">
            <w:pPr>
              <w:pStyle w:val="Tabletext"/>
            </w:pPr>
            <w:r w:rsidRPr="000E57E3">
              <w:t> </w:t>
            </w:r>
          </w:p>
        </w:tc>
        <w:tc>
          <w:tcPr>
            <w:tcW w:w="0" w:type="auto"/>
            <w:vAlign w:val="bottom"/>
          </w:tcPr>
          <w:p w14:paraId="14049431" w14:textId="5F769648" w:rsidR="008A6844" w:rsidRPr="000E57E3" w:rsidRDefault="008A6844" w:rsidP="000E57E3">
            <w:pPr>
              <w:pStyle w:val="Tabletext"/>
            </w:pPr>
            <w:r w:rsidRPr="000E57E3">
              <w:t> </w:t>
            </w:r>
          </w:p>
        </w:tc>
        <w:tc>
          <w:tcPr>
            <w:tcW w:w="0" w:type="auto"/>
            <w:vAlign w:val="bottom"/>
          </w:tcPr>
          <w:p w14:paraId="0EB5E310" w14:textId="63702EA8" w:rsidR="008A6844" w:rsidRPr="000E57E3" w:rsidRDefault="008A6844" w:rsidP="000E57E3">
            <w:pPr>
              <w:pStyle w:val="Tabletext"/>
            </w:pPr>
            <w:r w:rsidRPr="000E57E3">
              <w:t> </w:t>
            </w:r>
          </w:p>
        </w:tc>
        <w:tc>
          <w:tcPr>
            <w:tcW w:w="0" w:type="auto"/>
            <w:vAlign w:val="bottom"/>
          </w:tcPr>
          <w:p w14:paraId="72D494B0" w14:textId="61BACF73" w:rsidR="008A6844" w:rsidRPr="000E57E3" w:rsidRDefault="008A6844" w:rsidP="000E57E3">
            <w:pPr>
              <w:pStyle w:val="Tabletext"/>
            </w:pPr>
            <w:r w:rsidRPr="000E57E3">
              <w:t>Y</w:t>
            </w:r>
          </w:p>
        </w:tc>
        <w:tc>
          <w:tcPr>
            <w:tcW w:w="0" w:type="auto"/>
            <w:vAlign w:val="bottom"/>
          </w:tcPr>
          <w:p w14:paraId="605918F5" w14:textId="56B5689C" w:rsidR="008A6844" w:rsidRPr="000E57E3" w:rsidRDefault="008A6844" w:rsidP="000E57E3">
            <w:pPr>
              <w:pStyle w:val="Tabletext"/>
            </w:pPr>
            <w:r w:rsidRPr="000E57E3">
              <w:t>Exemplar</w:t>
            </w:r>
          </w:p>
        </w:tc>
      </w:tr>
      <w:tr w:rsidR="00776CCE" w:rsidRPr="008A6844" w14:paraId="62071119" w14:textId="77777777" w:rsidTr="00CA44B7">
        <w:tc>
          <w:tcPr>
            <w:tcW w:w="0" w:type="auto"/>
            <w:vAlign w:val="bottom"/>
          </w:tcPr>
          <w:p w14:paraId="2BD2DCCC" w14:textId="087B0FDA" w:rsidR="008A6844" w:rsidRPr="000E57E3" w:rsidRDefault="008A6844" w:rsidP="000E57E3">
            <w:pPr>
              <w:pStyle w:val="Tabletext"/>
            </w:pPr>
            <w:r w:rsidRPr="000E57E3">
              <w:t>GATA2</w:t>
            </w:r>
          </w:p>
        </w:tc>
        <w:tc>
          <w:tcPr>
            <w:tcW w:w="0" w:type="auto"/>
            <w:vAlign w:val="bottom"/>
          </w:tcPr>
          <w:p w14:paraId="536D5267" w14:textId="741BD63D" w:rsidR="008A6844" w:rsidRPr="000E57E3" w:rsidRDefault="008A6844" w:rsidP="000E57E3">
            <w:pPr>
              <w:pStyle w:val="Tabletext"/>
            </w:pPr>
            <w:r w:rsidRPr="000E57E3">
              <w:t>Y</w:t>
            </w:r>
          </w:p>
        </w:tc>
        <w:tc>
          <w:tcPr>
            <w:tcW w:w="0" w:type="auto"/>
            <w:vAlign w:val="bottom"/>
          </w:tcPr>
          <w:p w14:paraId="23FF2085" w14:textId="6AF6DD44" w:rsidR="008A6844" w:rsidRPr="000E57E3" w:rsidRDefault="008A6844" w:rsidP="000E57E3">
            <w:pPr>
              <w:pStyle w:val="Tabletext"/>
            </w:pPr>
            <w:r w:rsidRPr="000E57E3">
              <w:t> </w:t>
            </w:r>
          </w:p>
        </w:tc>
        <w:tc>
          <w:tcPr>
            <w:tcW w:w="0" w:type="auto"/>
            <w:vAlign w:val="bottom"/>
          </w:tcPr>
          <w:p w14:paraId="0D8F65C3" w14:textId="1B936454" w:rsidR="008A6844" w:rsidRPr="000E57E3" w:rsidRDefault="008A6844" w:rsidP="000E57E3">
            <w:pPr>
              <w:pStyle w:val="Tabletext"/>
            </w:pPr>
            <w:r w:rsidRPr="000E57E3">
              <w:t>Y</w:t>
            </w:r>
          </w:p>
        </w:tc>
        <w:tc>
          <w:tcPr>
            <w:tcW w:w="0" w:type="auto"/>
            <w:vAlign w:val="bottom"/>
          </w:tcPr>
          <w:p w14:paraId="513F9C57" w14:textId="007CB047" w:rsidR="008A6844" w:rsidRPr="000E57E3" w:rsidRDefault="008A6844" w:rsidP="000E57E3">
            <w:pPr>
              <w:pStyle w:val="Tabletext"/>
            </w:pPr>
            <w:r w:rsidRPr="000E57E3">
              <w:t> </w:t>
            </w:r>
          </w:p>
        </w:tc>
        <w:tc>
          <w:tcPr>
            <w:tcW w:w="0" w:type="auto"/>
            <w:vAlign w:val="bottom"/>
          </w:tcPr>
          <w:p w14:paraId="105D9FC8" w14:textId="4A834B64" w:rsidR="008A6844" w:rsidRPr="000E57E3" w:rsidRDefault="008A6844" w:rsidP="000E57E3">
            <w:pPr>
              <w:pStyle w:val="Tabletext"/>
            </w:pPr>
            <w:r w:rsidRPr="000E57E3">
              <w:t>Y</w:t>
            </w:r>
          </w:p>
        </w:tc>
        <w:tc>
          <w:tcPr>
            <w:tcW w:w="0" w:type="auto"/>
            <w:vAlign w:val="bottom"/>
          </w:tcPr>
          <w:p w14:paraId="72C77DE4" w14:textId="29F00CA1" w:rsidR="008A6844" w:rsidRPr="000E57E3" w:rsidRDefault="008A6844" w:rsidP="000E57E3">
            <w:pPr>
              <w:pStyle w:val="Tabletext"/>
            </w:pPr>
            <w:r w:rsidRPr="000E57E3">
              <w:t>Y</w:t>
            </w:r>
          </w:p>
        </w:tc>
        <w:tc>
          <w:tcPr>
            <w:tcW w:w="0" w:type="auto"/>
            <w:vAlign w:val="bottom"/>
          </w:tcPr>
          <w:p w14:paraId="6A35838B" w14:textId="79213E7F" w:rsidR="008A6844" w:rsidRPr="000E57E3" w:rsidRDefault="008A6844" w:rsidP="000E57E3">
            <w:pPr>
              <w:pStyle w:val="Tabletext"/>
            </w:pPr>
            <w:r w:rsidRPr="000E57E3">
              <w:t>Y</w:t>
            </w:r>
          </w:p>
        </w:tc>
        <w:tc>
          <w:tcPr>
            <w:tcW w:w="0" w:type="auto"/>
            <w:vAlign w:val="bottom"/>
          </w:tcPr>
          <w:p w14:paraId="2204651B" w14:textId="0B678F51" w:rsidR="008A6844" w:rsidRPr="000E57E3" w:rsidRDefault="008A6844" w:rsidP="000E57E3">
            <w:pPr>
              <w:pStyle w:val="Tabletext"/>
            </w:pPr>
            <w:r w:rsidRPr="000E57E3">
              <w:t> </w:t>
            </w:r>
          </w:p>
        </w:tc>
        <w:tc>
          <w:tcPr>
            <w:tcW w:w="0" w:type="auto"/>
            <w:vAlign w:val="bottom"/>
          </w:tcPr>
          <w:p w14:paraId="1DA78F15" w14:textId="1EF1CF99" w:rsidR="008A6844" w:rsidRPr="000E57E3" w:rsidRDefault="008A6844" w:rsidP="000E57E3">
            <w:pPr>
              <w:pStyle w:val="Tabletext"/>
            </w:pPr>
            <w:r w:rsidRPr="000E57E3">
              <w:t> </w:t>
            </w:r>
          </w:p>
        </w:tc>
        <w:tc>
          <w:tcPr>
            <w:tcW w:w="0" w:type="auto"/>
            <w:vAlign w:val="bottom"/>
          </w:tcPr>
          <w:p w14:paraId="4028DD0A" w14:textId="3DB5EAC3" w:rsidR="008A6844" w:rsidRPr="000E57E3" w:rsidRDefault="008A6844" w:rsidP="000E57E3">
            <w:pPr>
              <w:pStyle w:val="Tabletext"/>
            </w:pPr>
            <w:r w:rsidRPr="000E57E3">
              <w:t> </w:t>
            </w:r>
          </w:p>
        </w:tc>
        <w:tc>
          <w:tcPr>
            <w:tcW w:w="0" w:type="auto"/>
            <w:vAlign w:val="bottom"/>
          </w:tcPr>
          <w:p w14:paraId="7AB49C40" w14:textId="06FC0DF0" w:rsidR="008A6844" w:rsidRPr="000E57E3" w:rsidRDefault="008A6844" w:rsidP="000E57E3">
            <w:pPr>
              <w:pStyle w:val="Tabletext"/>
            </w:pPr>
            <w:r w:rsidRPr="000E57E3">
              <w:t>Y</w:t>
            </w:r>
          </w:p>
        </w:tc>
        <w:tc>
          <w:tcPr>
            <w:tcW w:w="0" w:type="auto"/>
            <w:vAlign w:val="bottom"/>
          </w:tcPr>
          <w:p w14:paraId="7DDB385C" w14:textId="0EAF7487" w:rsidR="008A6844" w:rsidRPr="000E57E3" w:rsidRDefault="008A6844" w:rsidP="000E57E3">
            <w:pPr>
              <w:pStyle w:val="Tabletext"/>
            </w:pPr>
            <w:r w:rsidRPr="000E57E3">
              <w:t>Exemplar</w:t>
            </w:r>
          </w:p>
        </w:tc>
      </w:tr>
      <w:tr w:rsidR="00776CCE" w:rsidRPr="008A6844" w14:paraId="73D38902" w14:textId="77777777" w:rsidTr="00CA44B7">
        <w:tc>
          <w:tcPr>
            <w:tcW w:w="0" w:type="auto"/>
            <w:vAlign w:val="bottom"/>
          </w:tcPr>
          <w:p w14:paraId="5EA2CF14" w14:textId="7C160554" w:rsidR="008A6844" w:rsidRPr="000E57E3" w:rsidRDefault="008A6844" w:rsidP="000E57E3">
            <w:pPr>
              <w:pStyle w:val="Tabletext"/>
            </w:pPr>
            <w:r w:rsidRPr="000E57E3">
              <w:t>GATA2-MECOM</w:t>
            </w:r>
          </w:p>
        </w:tc>
        <w:tc>
          <w:tcPr>
            <w:tcW w:w="0" w:type="auto"/>
            <w:vAlign w:val="bottom"/>
          </w:tcPr>
          <w:p w14:paraId="26EF189F" w14:textId="73D760BF" w:rsidR="008A6844" w:rsidRPr="000E57E3" w:rsidRDefault="008A6844" w:rsidP="000E57E3">
            <w:pPr>
              <w:pStyle w:val="Tabletext"/>
            </w:pPr>
            <w:r w:rsidRPr="000E57E3">
              <w:t> </w:t>
            </w:r>
          </w:p>
        </w:tc>
        <w:tc>
          <w:tcPr>
            <w:tcW w:w="0" w:type="auto"/>
            <w:vAlign w:val="bottom"/>
          </w:tcPr>
          <w:p w14:paraId="3D9043E2" w14:textId="28A77BB2" w:rsidR="008A6844" w:rsidRPr="000E57E3" w:rsidRDefault="008A6844" w:rsidP="000E57E3">
            <w:pPr>
              <w:pStyle w:val="Tabletext"/>
            </w:pPr>
            <w:r w:rsidRPr="000E57E3">
              <w:t>Y</w:t>
            </w:r>
          </w:p>
        </w:tc>
        <w:tc>
          <w:tcPr>
            <w:tcW w:w="0" w:type="auto"/>
            <w:vAlign w:val="bottom"/>
          </w:tcPr>
          <w:p w14:paraId="628910D0" w14:textId="3C411C54" w:rsidR="008A6844" w:rsidRPr="000E57E3" w:rsidRDefault="008A6844" w:rsidP="000E57E3">
            <w:pPr>
              <w:pStyle w:val="Tabletext"/>
            </w:pPr>
            <w:r w:rsidRPr="000E57E3">
              <w:t> </w:t>
            </w:r>
          </w:p>
        </w:tc>
        <w:tc>
          <w:tcPr>
            <w:tcW w:w="0" w:type="auto"/>
            <w:vAlign w:val="bottom"/>
          </w:tcPr>
          <w:p w14:paraId="3F56E1FD" w14:textId="28E892FE" w:rsidR="008A6844" w:rsidRPr="000E57E3" w:rsidRDefault="008A6844" w:rsidP="000E57E3">
            <w:pPr>
              <w:pStyle w:val="Tabletext"/>
            </w:pPr>
            <w:r w:rsidRPr="000E57E3">
              <w:t> </w:t>
            </w:r>
          </w:p>
        </w:tc>
        <w:tc>
          <w:tcPr>
            <w:tcW w:w="0" w:type="auto"/>
            <w:vAlign w:val="bottom"/>
          </w:tcPr>
          <w:p w14:paraId="03288C5E" w14:textId="7D5BD0E5" w:rsidR="008A6844" w:rsidRPr="000E57E3" w:rsidRDefault="008A6844" w:rsidP="000E57E3">
            <w:pPr>
              <w:pStyle w:val="Tabletext"/>
            </w:pPr>
            <w:r w:rsidRPr="000E57E3">
              <w:t> </w:t>
            </w:r>
          </w:p>
        </w:tc>
        <w:tc>
          <w:tcPr>
            <w:tcW w:w="0" w:type="auto"/>
            <w:vAlign w:val="bottom"/>
          </w:tcPr>
          <w:p w14:paraId="459DA360" w14:textId="4669CAFD" w:rsidR="008A6844" w:rsidRPr="000E57E3" w:rsidRDefault="008A6844" w:rsidP="000E57E3">
            <w:pPr>
              <w:pStyle w:val="Tabletext"/>
            </w:pPr>
            <w:r w:rsidRPr="000E57E3">
              <w:t> </w:t>
            </w:r>
          </w:p>
        </w:tc>
        <w:tc>
          <w:tcPr>
            <w:tcW w:w="0" w:type="auto"/>
            <w:vAlign w:val="bottom"/>
          </w:tcPr>
          <w:p w14:paraId="4B9180AE" w14:textId="639D3808" w:rsidR="008A6844" w:rsidRPr="000E57E3" w:rsidRDefault="008A6844" w:rsidP="000E57E3">
            <w:pPr>
              <w:pStyle w:val="Tabletext"/>
            </w:pPr>
            <w:r w:rsidRPr="000E57E3">
              <w:t> </w:t>
            </w:r>
          </w:p>
        </w:tc>
        <w:tc>
          <w:tcPr>
            <w:tcW w:w="0" w:type="auto"/>
            <w:vAlign w:val="bottom"/>
          </w:tcPr>
          <w:p w14:paraId="280265C9" w14:textId="217B68DE" w:rsidR="008A6844" w:rsidRPr="000E57E3" w:rsidRDefault="008A6844" w:rsidP="000E57E3">
            <w:pPr>
              <w:pStyle w:val="Tabletext"/>
            </w:pPr>
            <w:r w:rsidRPr="000E57E3">
              <w:t> </w:t>
            </w:r>
          </w:p>
        </w:tc>
        <w:tc>
          <w:tcPr>
            <w:tcW w:w="0" w:type="auto"/>
            <w:vAlign w:val="bottom"/>
          </w:tcPr>
          <w:p w14:paraId="7F0789F0" w14:textId="1672DDF3" w:rsidR="008A6844" w:rsidRPr="000E57E3" w:rsidRDefault="008A6844" w:rsidP="000E57E3">
            <w:pPr>
              <w:pStyle w:val="Tabletext"/>
            </w:pPr>
            <w:r w:rsidRPr="000E57E3">
              <w:t> </w:t>
            </w:r>
          </w:p>
        </w:tc>
        <w:tc>
          <w:tcPr>
            <w:tcW w:w="0" w:type="auto"/>
            <w:vAlign w:val="bottom"/>
          </w:tcPr>
          <w:p w14:paraId="5F43A5AF" w14:textId="4FB969D3" w:rsidR="008A6844" w:rsidRPr="000E57E3" w:rsidRDefault="008A6844" w:rsidP="000E57E3">
            <w:pPr>
              <w:pStyle w:val="Tabletext"/>
            </w:pPr>
            <w:r w:rsidRPr="000E57E3">
              <w:t> </w:t>
            </w:r>
          </w:p>
        </w:tc>
        <w:tc>
          <w:tcPr>
            <w:tcW w:w="0" w:type="auto"/>
            <w:vAlign w:val="bottom"/>
          </w:tcPr>
          <w:p w14:paraId="41382130" w14:textId="171DA67C" w:rsidR="008A6844" w:rsidRPr="000E57E3" w:rsidRDefault="008A6844" w:rsidP="000E57E3">
            <w:pPr>
              <w:pStyle w:val="Tabletext"/>
            </w:pPr>
            <w:r w:rsidRPr="000E57E3">
              <w:t> </w:t>
            </w:r>
          </w:p>
        </w:tc>
        <w:tc>
          <w:tcPr>
            <w:tcW w:w="0" w:type="auto"/>
            <w:vAlign w:val="bottom"/>
          </w:tcPr>
          <w:p w14:paraId="215DF685" w14:textId="6788ACED" w:rsidR="008A6844" w:rsidRPr="000E57E3" w:rsidRDefault="008A6844" w:rsidP="000E57E3">
            <w:pPr>
              <w:pStyle w:val="Tabletext"/>
            </w:pPr>
            <w:r w:rsidRPr="000E57E3">
              <w:t>Exemplar</w:t>
            </w:r>
          </w:p>
        </w:tc>
      </w:tr>
      <w:tr w:rsidR="00776CCE" w:rsidRPr="008A6844" w14:paraId="4EEE4E41" w14:textId="77777777" w:rsidTr="00CA44B7">
        <w:tc>
          <w:tcPr>
            <w:tcW w:w="0" w:type="auto"/>
            <w:vAlign w:val="bottom"/>
          </w:tcPr>
          <w:p w14:paraId="6D8E6F88" w14:textId="015EDDB0" w:rsidR="008A6844" w:rsidRPr="000E57E3" w:rsidRDefault="008A6844" w:rsidP="000E57E3">
            <w:pPr>
              <w:pStyle w:val="Tabletext"/>
            </w:pPr>
            <w:r w:rsidRPr="000E57E3">
              <w:t>GFI1</w:t>
            </w:r>
          </w:p>
        </w:tc>
        <w:tc>
          <w:tcPr>
            <w:tcW w:w="0" w:type="auto"/>
            <w:vAlign w:val="bottom"/>
          </w:tcPr>
          <w:p w14:paraId="0C599CEF" w14:textId="2F6B5765" w:rsidR="008A6844" w:rsidRPr="000E57E3" w:rsidRDefault="008A6844" w:rsidP="000E57E3">
            <w:pPr>
              <w:pStyle w:val="Tabletext"/>
            </w:pPr>
            <w:r w:rsidRPr="000E57E3">
              <w:t>Y</w:t>
            </w:r>
          </w:p>
        </w:tc>
        <w:tc>
          <w:tcPr>
            <w:tcW w:w="0" w:type="auto"/>
            <w:vAlign w:val="bottom"/>
          </w:tcPr>
          <w:p w14:paraId="64E63F49" w14:textId="440488D9" w:rsidR="008A6844" w:rsidRPr="000E57E3" w:rsidRDefault="008A6844" w:rsidP="000E57E3">
            <w:pPr>
              <w:pStyle w:val="Tabletext"/>
            </w:pPr>
            <w:r w:rsidRPr="000E57E3">
              <w:t> </w:t>
            </w:r>
          </w:p>
        </w:tc>
        <w:tc>
          <w:tcPr>
            <w:tcW w:w="0" w:type="auto"/>
            <w:vAlign w:val="bottom"/>
          </w:tcPr>
          <w:p w14:paraId="7016B1C7" w14:textId="7D02B2ED" w:rsidR="008A6844" w:rsidRPr="000E57E3" w:rsidRDefault="008A6844" w:rsidP="000E57E3">
            <w:pPr>
              <w:pStyle w:val="Tabletext"/>
            </w:pPr>
            <w:r w:rsidRPr="000E57E3">
              <w:t> </w:t>
            </w:r>
          </w:p>
        </w:tc>
        <w:tc>
          <w:tcPr>
            <w:tcW w:w="0" w:type="auto"/>
            <w:vAlign w:val="bottom"/>
          </w:tcPr>
          <w:p w14:paraId="31AF0C77" w14:textId="6B971832" w:rsidR="008A6844" w:rsidRPr="000E57E3" w:rsidRDefault="008A6844" w:rsidP="000E57E3">
            <w:pPr>
              <w:pStyle w:val="Tabletext"/>
            </w:pPr>
            <w:r w:rsidRPr="000E57E3">
              <w:t> </w:t>
            </w:r>
          </w:p>
        </w:tc>
        <w:tc>
          <w:tcPr>
            <w:tcW w:w="0" w:type="auto"/>
            <w:vAlign w:val="bottom"/>
          </w:tcPr>
          <w:p w14:paraId="237DFDBC" w14:textId="1E8817CC" w:rsidR="008A6844" w:rsidRPr="000E57E3" w:rsidRDefault="008A6844" w:rsidP="000E57E3">
            <w:pPr>
              <w:pStyle w:val="Tabletext"/>
            </w:pPr>
            <w:r w:rsidRPr="000E57E3">
              <w:t> </w:t>
            </w:r>
          </w:p>
        </w:tc>
        <w:tc>
          <w:tcPr>
            <w:tcW w:w="0" w:type="auto"/>
            <w:vAlign w:val="bottom"/>
          </w:tcPr>
          <w:p w14:paraId="337BDA3B" w14:textId="6605BAA8" w:rsidR="008A6844" w:rsidRPr="000E57E3" w:rsidRDefault="008A6844" w:rsidP="000E57E3">
            <w:pPr>
              <w:pStyle w:val="Tabletext"/>
            </w:pPr>
            <w:r w:rsidRPr="000E57E3">
              <w:t> </w:t>
            </w:r>
          </w:p>
        </w:tc>
        <w:tc>
          <w:tcPr>
            <w:tcW w:w="0" w:type="auto"/>
            <w:vAlign w:val="bottom"/>
          </w:tcPr>
          <w:p w14:paraId="316FE778" w14:textId="04D6BF2A" w:rsidR="008A6844" w:rsidRPr="000E57E3" w:rsidRDefault="008A6844" w:rsidP="000E57E3">
            <w:pPr>
              <w:pStyle w:val="Tabletext"/>
            </w:pPr>
            <w:r w:rsidRPr="000E57E3">
              <w:t> </w:t>
            </w:r>
          </w:p>
        </w:tc>
        <w:tc>
          <w:tcPr>
            <w:tcW w:w="0" w:type="auto"/>
            <w:vAlign w:val="bottom"/>
          </w:tcPr>
          <w:p w14:paraId="2D0FBEDC" w14:textId="3D705299" w:rsidR="008A6844" w:rsidRPr="000E57E3" w:rsidRDefault="008A6844" w:rsidP="000E57E3">
            <w:pPr>
              <w:pStyle w:val="Tabletext"/>
            </w:pPr>
            <w:r w:rsidRPr="000E57E3">
              <w:t> </w:t>
            </w:r>
          </w:p>
        </w:tc>
        <w:tc>
          <w:tcPr>
            <w:tcW w:w="0" w:type="auto"/>
            <w:vAlign w:val="bottom"/>
          </w:tcPr>
          <w:p w14:paraId="5019D6B6" w14:textId="191D9518" w:rsidR="008A6844" w:rsidRPr="000E57E3" w:rsidRDefault="008A6844" w:rsidP="000E57E3">
            <w:pPr>
              <w:pStyle w:val="Tabletext"/>
            </w:pPr>
            <w:r w:rsidRPr="000E57E3">
              <w:t> </w:t>
            </w:r>
          </w:p>
        </w:tc>
        <w:tc>
          <w:tcPr>
            <w:tcW w:w="0" w:type="auto"/>
            <w:vAlign w:val="bottom"/>
          </w:tcPr>
          <w:p w14:paraId="0A4EE753" w14:textId="1EED8792" w:rsidR="008A6844" w:rsidRPr="000E57E3" w:rsidRDefault="008A6844" w:rsidP="000E57E3">
            <w:pPr>
              <w:pStyle w:val="Tabletext"/>
            </w:pPr>
            <w:r w:rsidRPr="000E57E3">
              <w:t> </w:t>
            </w:r>
          </w:p>
        </w:tc>
        <w:tc>
          <w:tcPr>
            <w:tcW w:w="0" w:type="auto"/>
            <w:vAlign w:val="bottom"/>
          </w:tcPr>
          <w:p w14:paraId="100D2183" w14:textId="1976BB51" w:rsidR="008A6844" w:rsidRPr="000E57E3" w:rsidRDefault="008A6844" w:rsidP="000E57E3">
            <w:pPr>
              <w:pStyle w:val="Tabletext"/>
            </w:pPr>
            <w:r w:rsidRPr="000E57E3">
              <w:t> </w:t>
            </w:r>
          </w:p>
        </w:tc>
        <w:tc>
          <w:tcPr>
            <w:tcW w:w="0" w:type="auto"/>
            <w:vAlign w:val="bottom"/>
          </w:tcPr>
          <w:p w14:paraId="62CB6791" w14:textId="7AFCCCA4" w:rsidR="008A6844" w:rsidRPr="000E57E3" w:rsidRDefault="008A6844" w:rsidP="000E57E3">
            <w:pPr>
              <w:pStyle w:val="Tabletext"/>
            </w:pPr>
            <w:r w:rsidRPr="000E57E3">
              <w:t>Exemplar</w:t>
            </w:r>
          </w:p>
        </w:tc>
      </w:tr>
      <w:tr w:rsidR="00776CCE" w:rsidRPr="008A6844" w14:paraId="00D46BD5" w14:textId="77777777" w:rsidTr="00CA44B7">
        <w:tc>
          <w:tcPr>
            <w:tcW w:w="0" w:type="auto"/>
            <w:vAlign w:val="bottom"/>
          </w:tcPr>
          <w:p w14:paraId="33AE3FD8" w14:textId="4F43B4F3" w:rsidR="008A6844" w:rsidRPr="000E57E3" w:rsidRDefault="008A6844" w:rsidP="000E57E3">
            <w:pPr>
              <w:pStyle w:val="Tabletext"/>
            </w:pPr>
            <w:r w:rsidRPr="000E57E3">
              <w:t>HAVCR2*</w:t>
            </w:r>
          </w:p>
        </w:tc>
        <w:tc>
          <w:tcPr>
            <w:tcW w:w="0" w:type="auto"/>
            <w:vAlign w:val="bottom"/>
          </w:tcPr>
          <w:p w14:paraId="3ED40820" w14:textId="7381B467" w:rsidR="008A6844" w:rsidRPr="000E57E3" w:rsidRDefault="008A6844" w:rsidP="000E57E3">
            <w:pPr>
              <w:pStyle w:val="Tabletext"/>
            </w:pPr>
            <w:r w:rsidRPr="000E57E3">
              <w:t>Y</w:t>
            </w:r>
          </w:p>
        </w:tc>
        <w:tc>
          <w:tcPr>
            <w:tcW w:w="0" w:type="auto"/>
            <w:vAlign w:val="bottom"/>
          </w:tcPr>
          <w:p w14:paraId="6748987A" w14:textId="51F2C35C" w:rsidR="008A6844" w:rsidRPr="000E57E3" w:rsidRDefault="008A6844" w:rsidP="000E57E3">
            <w:pPr>
              <w:pStyle w:val="Tabletext"/>
            </w:pPr>
            <w:r w:rsidRPr="000E57E3">
              <w:t> </w:t>
            </w:r>
          </w:p>
        </w:tc>
        <w:tc>
          <w:tcPr>
            <w:tcW w:w="0" w:type="auto"/>
            <w:vAlign w:val="bottom"/>
          </w:tcPr>
          <w:p w14:paraId="670E6CE4" w14:textId="693D88A5" w:rsidR="008A6844" w:rsidRPr="000E57E3" w:rsidRDefault="008A6844" w:rsidP="000E57E3">
            <w:pPr>
              <w:pStyle w:val="Tabletext"/>
            </w:pPr>
            <w:r w:rsidRPr="000E57E3">
              <w:t> </w:t>
            </w:r>
          </w:p>
        </w:tc>
        <w:tc>
          <w:tcPr>
            <w:tcW w:w="0" w:type="auto"/>
            <w:vAlign w:val="bottom"/>
          </w:tcPr>
          <w:p w14:paraId="2F74483C" w14:textId="78B0152E" w:rsidR="008A6844" w:rsidRPr="000E57E3" w:rsidRDefault="008A6844" w:rsidP="000E57E3">
            <w:pPr>
              <w:pStyle w:val="Tabletext"/>
            </w:pPr>
            <w:r w:rsidRPr="000E57E3">
              <w:t> </w:t>
            </w:r>
          </w:p>
        </w:tc>
        <w:tc>
          <w:tcPr>
            <w:tcW w:w="0" w:type="auto"/>
            <w:vAlign w:val="bottom"/>
          </w:tcPr>
          <w:p w14:paraId="1B0404BC" w14:textId="16296D7D" w:rsidR="008A6844" w:rsidRPr="000E57E3" w:rsidRDefault="008A6844" w:rsidP="000E57E3">
            <w:pPr>
              <w:pStyle w:val="Tabletext"/>
            </w:pPr>
            <w:r w:rsidRPr="000E57E3">
              <w:t> </w:t>
            </w:r>
          </w:p>
        </w:tc>
        <w:tc>
          <w:tcPr>
            <w:tcW w:w="0" w:type="auto"/>
            <w:vAlign w:val="bottom"/>
          </w:tcPr>
          <w:p w14:paraId="04365919" w14:textId="4E5A1DEA" w:rsidR="008A6844" w:rsidRPr="000E57E3" w:rsidRDefault="008A6844" w:rsidP="000E57E3">
            <w:pPr>
              <w:pStyle w:val="Tabletext"/>
            </w:pPr>
            <w:r w:rsidRPr="000E57E3">
              <w:t> </w:t>
            </w:r>
          </w:p>
        </w:tc>
        <w:tc>
          <w:tcPr>
            <w:tcW w:w="0" w:type="auto"/>
            <w:vAlign w:val="bottom"/>
          </w:tcPr>
          <w:p w14:paraId="3404BB6C" w14:textId="723A7B1D" w:rsidR="008A6844" w:rsidRPr="000E57E3" w:rsidRDefault="008A6844" w:rsidP="000E57E3">
            <w:pPr>
              <w:pStyle w:val="Tabletext"/>
            </w:pPr>
            <w:r w:rsidRPr="000E57E3">
              <w:t> </w:t>
            </w:r>
          </w:p>
        </w:tc>
        <w:tc>
          <w:tcPr>
            <w:tcW w:w="0" w:type="auto"/>
            <w:vAlign w:val="bottom"/>
          </w:tcPr>
          <w:p w14:paraId="3496DF93" w14:textId="4891F0F6" w:rsidR="008A6844" w:rsidRPr="000E57E3" w:rsidRDefault="008A6844" w:rsidP="000E57E3">
            <w:pPr>
              <w:pStyle w:val="Tabletext"/>
            </w:pPr>
            <w:r w:rsidRPr="000E57E3">
              <w:t> </w:t>
            </w:r>
          </w:p>
        </w:tc>
        <w:tc>
          <w:tcPr>
            <w:tcW w:w="0" w:type="auto"/>
            <w:vAlign w:val="bottom"/>
          </w:tcPr>
          <w:p w14:paraId="1B0BCCDE" w14:textId="21D5D6B9" w:rsidR="008A6844" w:rsidRPr="000E57E3" w:rsidRDefault="008A6844" w:rsidP="000E57E3">
            <w:pPr>
              <w:pStyle w:val="Tabletext"/>
            </w:pPr>
            <w:r w:rsidRPr="000E57E3">
              <w:t> </w:t>
            </w:r>
          </w:p>
        </w:tc>
        <w:tc>
          <w:tcPr>
            <w:tcW w:w="0" w:type="auto"/>
            <w:vAlign w:val="bottom"/>
          </w:tcPr>
          <w:p w14:paraId="2EBF188C" w14:textId="239B4A61" w:rsidR="008A6844" w:rsidRPr="000E57E3" w:rsidRDefault="008A6844" w:rsidP="000E57E3">
            <w:pPr>
              <w:pStyle w:val="Tabletext"/>
            </w:pPr>
            <w:r w:rsidRPr="000E57E3">
              <w:t> </w:t>
            </w:r>
          </w:p>
        </w:tc>
        <w:tc>
          <w:tcPr>
            <w:tcW w:w="0" w:type="auto"/>
            <w:vAlign w:val="bottom"/>
          </w:tcPr>
          <w:p w14:paraId="741D79AA" w14:textId="1781368B" w:rsidR="008A6844" w:rsidRPr="000E57E3" w:rsidRDefault="008A6844" w:rsidP="000E57E3">
            <w:pPr>
              <w:pStyle w:val="Tabletext"/>
            </w:pPr>
            <w:r w:rsidRPr="000E57E3">
              <w:t> </w:t>
            </w:r>
          </w:p>
        </w:tc>
        <w:tc>
          <w:tcPr>
            <w:tcW w:w="0" w:type="auto"/>
            <w:vAlign w:val="bottom"/>
          </w:tcPr>
          <w:p w14:paraId="29D1618D" w14:textId="53163B07" w:rsidR="008A6844" w:rsidRPr="000E57E3" w:rsidRDefault="008A6844" w:rsidP="000E57E3">
            <w:pPr>
              <w:pStyle w:val="Tabletext"/>
            </w:pPr>
            <w:r w:rsidRPr="000E57E3">
              <w:t>Exemplar</w:t>
            </w:r>
          </w:p>
        </w:tc>
      </w:tr>
      <w:tr w:rsidR="00776CCE" w:rsidRPr="008A6844" w14:paraId="4FA77F48" w14:textId="77777777" w:rsidTr="00CA44B7">
        <w:tc>
          <w:tcPr>
            <w:tcW w:w="0" w:type="auto"/>
            <w:vAlign w:val="bottom"/>
          </w:tcPr>
          <w:p w14:paraId="467E3F98" w14:textId="16E34ECB" w:rsidR="008A6844" w:rsidRPr="000E57E3" w:rsidRDefault="008A6844" w:rsidP="000E57E3">
            <w:pPr>
              <w:pStyle w:val="Tabletext"/>
            </w:pPr>
            <w:r w:rsidRPr="000E57E3">
              <w:t>HAX1</w:t>
            </w:r>
          </w:p>
        </w:tc>
        <w:tc>
          <w:tcPr>
            <w:tcW w:w="0" w:type="auto"/>
            <w:vAlign w:val="bottom"/>
          </w:tcPr>
          <w:p w14:paraId="745A821B" w14:textId="29526DA8" w:rsidR="008A6844" w:rsidRPr="000E57E3" w:rsidRDefault="008A6844" w:rsidP="000E57E3">
            <w:pPr>
              <w:pStyle w:val="Tabletext"/>
            </w:pPr>
            <w:r w:rsidRPr="000E57E3">
              <w:t>Y</w:t>
            </w:r>
          </w:p>
        </w:tc>
        <w:tc>
          <w:tcPr>
            <w:tcW w:w="0" w:type="auto"/>
            <w:vAlign w:val="bottom"/>
          </w:tcPr>
          <w:p w14:paraId="4F3E487C" w14:textId="5A458A71" w:rsidR="008A6844" w:rsidRPr="000E57E3" w:rsidRDefault="008A6844" w:rsidP="000E57E3">
            <w:pPr>
              <w:pStyle w:val="Tabletext"/>
            </w:pPr>
            <w:r w:rsidRPr="000E57E3">
              <w:t> </w:t>
            </w:r>
          </w:p>
        </w:tc>
        <w:tc>
          <w:tcPr>
            <w:tcW w:w="0" w:type="auto"/>
            <w:vAlign w:val="bottom"/>
          </w:tcPr>
          <w:p w14:paraId="236F8E7F" w14:textId="38DCE4AC" w:rsidR="008A6844" w:rsidRPr="000E57E3" w:rsidRDefault="008A6844" w:rsidP="000E57E3">
            <w:pPr>
              <w:pStyle w:val="Tabletext"/>
            </w:pPr>
            <w:r w:rsidRPr="000E57E3">
              <w:t> </w:t>
            </w:r>
          </w:p>
        </w:tc>
        <w:tc>
          <w:tcPr>
            <w:tcW w:w="0" w:type="auto"/>
            <w:vAlign w:val="bottom"/>
          </w:tcPr>
          <w:p w14:paraId="09BA62A0" w14:textId="0D3D693D" w:rsidR="008A6844" w:rsidRPr="000E57E3" w:rsidRDefault="008A6844" w:rsidP="000E57E3">
            <w:pPr>
              <w:pStyle w:val="Tabletext"/>
            </w:pPr>
            <w:r w:rsidRPr="000E57E3">
              <w:t> </w:t>
            </w:r>
          </w:p>
        </w:tc>
        <w:tc>
          <w:tcPr>
            <w:tcW w:w="0" w:type="auto"/>
            <w:vAlign w:val="bottom"/>
          </w:tcPr>
          <w:p w14:paraId="4E664859" w14:textId="07FAF8F8" w:rsidR="008A6844" w:rsidRPr="000E57E3" w:rsidRDefault="008A6844" w:rsidP="000E57E3">
            <w:pPr>
              <w:pStyle w:val="Tabletext"/>
            </w:pPr>
            <w:r w:rsidRPr="000E57E3">
              <w:t> </w:t>
            </w:r>
          </w:p>
        </w:tc>
        <w:tc>
          <w:tcPr>
            <w:tcW w:w="0" w:type="auto"/>
            <w:vAlign w:val="bottom"/>
          </w:tcPr>
          <w:p w14:paraId="44F26F53" w14:textId="422DF139" w:rsidR="008A6844" w:rsidRPr="000E57E3" w:rsidRDefault="008A6844" w:rsidP="000E57E3">
            <w:pPr>
              <w:pStyle w:val="Tabletext"/>
            </w:pPr>
            <w:r w:rsidRPr="000E57E3">
              <w:t>Y</w:t>
            </w:r>
          </w:p>
        </w:tc>
        <w:tc>
          <w:tcPr>
            <w:tcW w:w="0" w:type="auto"/>
            <w:vAlign w:val="bottom"/>
          </w:tcPr>
          <w:p w14:paraId="23A599B2" w14:textId="778BFB35" w:rsidR="008A6844" w:rsidRPr="000E57E3" w:rsidRDefault="008A6844" w:rsidP="000E57E3">
            <w:pPr>
              <w:pStyle w:val="Tabletext"/>
            </w:pPr>
            <w:r w:rsidRPr="000E57E3">
              <w:t> </w:t>
            </w:r>
          </w:p>
        </w:tc>
        <w:tc>
          <w:tcPr>
            <w:tcW w:w="0" w:type="auto"/>
            <w:vAlign w:val="bottom"/>
          </w:tcPr>
          <w:p w14:paraId="230613A3" w14:textId="503128D9" w:rsidR="008A6844" w:rsidRPr="000E57E3" w:rsidRDefault="008A6844" w:rsidP="000E57E3">
            <w:pPr>
              <w:pStyle w:val="Tabletext"/>
            </w:pPr>
            <w:r w:rsidRPr="000E57E3">
              <w:t> </w:t>
            </w:r>
          </w:p>
        </w:tc>
        <w:tc>
          <w:tcPr>
            <w:tcW w:w="0" w:type="auto"/>
            <w:vAlign w:val="bottom"/>
          </w:tcPr>
          <w:p w14:paraId="3B2C231D" w14:textId="08F8EBC5" w:rsidR="008A6844" w:rsidRPr="000E57E3" w:rsidRDefault="008A6844" w:rsidP="000E57E3">
            <w:pPr>
              <w:pStyle w:val="Tabletext"/>
            </w:pPr>
            <w:r w:rsidRPr="000E57E3">
              <w:t> </w:t>
            </w:r>
          </w:p>
        </w:tc>
        <w:tc>
          <w:tcPr>
            <w:tcW w:w="0" w:type="auto"/>
            <w:vAlign w:val="bottom"/>
          </w:tcPr>
          <w:p w14:paraId="274BF3A4" w14:textId="50799D5D" w:rsidR="008A6844" w:rsidRPr="000E57E3" w:rsidRDefault="008A6844" w:rsidP="000E57E3">
            <w:pPr>
              <w:pStyle w:val="Tabletext"/>
            </w:pPr>
            <w:r w:rsidRPr="000E57E3">
              <w:t> </w:t>
            </w:r>
          </w:p>
        </w:tc>
        <w:tc>
          <w:tcPr>
            <w:tcW w:w="0" w:type="auto"/>
            <w:vAlign w:val="bottom"/>
          </w:tcPr>
          <w:p w14:paraId="27CEA7D5" w14:textId="6496C67C" w:rsidR="008A6844" w:rsidRPr="000E57E3" w:rsidRDefault="008A6844" w:rsidP="000E57E3">
            <w:pPr>
              <w:pStyle w:val="Tabletext"/>
            </w:pPr>
            <w:r w:rsidRPr="000E57E3">
              <w:t> </w:t>
            </w:r>
          </w:p>
        </w:tc>
        <w:tc>
          <w:tcPr>
            <w:tcW w:w="0" w:type="auto"/>
            <w:vAlign w:val="bottom"/>
          </w:tcPr>
          <w:p w14:paraId="3E095445" w14:textId="07496AC0" w:rsidR="008A6844" w:rsidRPr="000E57E3" w:rsidRDefault="008A6844" w:rsidP="000E57E3">
            <w:pPr>
              <w:pStyle w:val="Tabletext"/>
            </w:pPr>
            <w:r w:rsidRPr="000E57E3">
              <w:t>Exemplar</w:t>
            </w:r>
          </w:p>
        </w:tc>
      </w:tr>
      <w:tr w:rsidR="00776CCE" w:rsidRPr="008A6844" w14:paraId="15E6104A" w14:textId="77777777" w:rsidTr="00CA44B7">
        <w:tc>
          <w:tcPr>
            <w:tcW w:w="0" w:type="auto"/>
            <w:vAlign w:val="bottom"/>
          </w:tcPr>
          <w:p w14:paraId="2846B7A1" w14:textId="26910A37" w:rsidR="008A6844" w:rsidRPr="000E57E3" w:rsidRDefault="008A6844" w:rsidP="000E57E3">
            <w:pPr>
              <w:pStyle w:val="Tabletext"/>
            </w:pPr>
            <w:r w:rsidRPr="000E57E3">
              <w:t>IDH1</w:t>
            </w:r>
          </w:p>
        </w:tc>
        <w:tc>
          <w:tcPr>
            <w:tcW w:w="0" w:type="auto"/>
            <w:vAlign w:val="bottom"/>
          </w:tcPr>
          <w:p w14:paraId="3BFF5110" w14:textId="254197E1" w:rsidR="008A6844" w:rsidRPr="000E57E3" w:rsidRDefault="008A6844" w:rsidP="000E57E3">
            <w:pPr>
              <w:pStyle w:val="Tabletext"/>
            </w:pPr>
            <w:r w:rsidRPr="000E57E3">
              <w:t>Y</w:t>
            </w:r>
          </w:p>
        </w:tc>
        <w:tc>
          <w:tcPr>
            <w:tcW w:w="0" w:type="auto"/>
            <w:vAlign w:val="bottom"/>
          </w:tcPr>
          <w:p w14:paraId="4CD5A7C8" w14:textId="606C598B" w:rsidR="008A6844" w:rsidRPr="000E57E3" w:rsidRDefault="008A6844" w:rsidP="000E57E3">
            <w:pPr>
              <w:pStyle w:val="Tabletext"/>
            </w:pPr>
            <w:r w:rsidRPr="000E57E3">
              <w:t> </w:t>
            </w:r>
          </w:p>
        </w:tc>
        <w:tc>
          <w:tcPr>
            <w:tcW w:w="0" w:type="auto"/>
            <w:vAlign w:val="bottom"/>
          </w:tcPr>
          <w:p w14:paraId="3B927CBF" w14:textId="37B41C49" w:rsidR="008A6844" w:rsidRPr="000E57E3" w:rsidRDefault="008A6844" w:rsidP="000E57E3">
            <w:pPr>
              <w:pStyle w:val="Tabletext"/>
            </w:pPr>
            <w:r w:rsidRPr="000E57E3">
              <w:t>Y</w:t>
            </w:r>
          </w:p>
        </w:tc>
        <w:tc>
          <w:tcPr>
            <w:tcW w:w="0" w:type="auto"/>
            <w:vAlign w:val="bottom"/>
          </w:tcPr>
          <w:p w14:paraId="7DC88419" w14:textId="13AE00DA" w:rsidR="008A6844" w:rsidRPr="000E57E3" w:rsidRDefault="008A6844" w:rsidP="000E57E3">
            <w:pPr>
              <w:pStyle w:val="Tabletext"/>
            </w:pPr>
            <w:r w:rsidRPr="000E57E3">
              <w:t> </w:t>
            </w:r>
          </w:p>
        </w:tc>
        <w:tc>
          <w:tcPr>
            <w:tcW w:w="0" w:type="auto"/>
            <w:vAlign w:val="bottom"/>
          </w:tcPr>
          <w:p w14:paraId="1080B5AF" w14:textId="156366FE" w:rsidR="008A6844" w:rsidRPr="000E57E3" w:rsidRDefault="008A6844" w:rsidP="000E57E3">
            <w:pPr>
              <w:pStyle w:val="Tabletext"/>
            </w:pPr>
            <w:r w:rsidRPr="000E57E3">
              <w:t>Y</w:t>
            </w:r>
          </w:p>
        </w:tc>
        <w:tc>
          <w:tcPr>
            <w:tcW w:w="0" w:type="auto"/>
            <w:vAlign w:val="bottom"/>
          </w:tcPr>
          <w:p w14:paraId="34C6C521" w14:textId="2172CFCE" w:rsidR="008A6844" w:rsidRPr="000E57E3" w:rsidRDefault="008A6844" w:rsidP="000E57E3">
            <w:pPr>
              <w:pStyle w:val="Tabletext"/>
            </w:pPr>
            <w:r w:rsidRPr="000E57E3">
              <w:t> </w:t>
            </w:r>
          </w:p>
        </w:tc>
        <w:tc>
          <w:tcPr>
            <w:tcW w:w="0" w:type="auto"/>
            <w:vAlign w:val="bottom"/>
          </w:tcPr>
          <w:p w14:paraId="48855290" w14:textId="4C9AC7C9" w:rsidR="008A6844" w:rsidRPr="000E57E3" w:rsidRDefault="008A6844" w:rsidP="000E57E3">
            <w:pPr>
              <w:pStyle w:val="Tabletext"/>
            </w:pPr>
            <w:r w:rsidRPr="000E57E3">
              <w:t>Y</w:t>
            </w:r>
          </w:p>
        </w:tc>
        <w:tc>
          <w:tcPr>
            <w:tcW w:w="0" w:type="auto"/>
            <w:vAlign w:val="bottom"/>
          </w:tcPr>
          <w:p w14:paraId="3DBD3468" w14:textId="68EF3B77" w:rsidR="008A6844" w:rsidRPr="000E57E3" w:rsidRDefault="008A6844" w:rsidP="000E57E3">
            <w:pPr>
              <w:pStyle w:val="Tabletext"/>
            </w:pPr>
            <w:r w:rsidRPr="000E57E3">
              <w:t> </w:t>
            </w:r>
          </w:p>
        </w:tc>
        <w:tc>
          <w:tcPr>
            <w:tcW w:w="0" w:type="auto"/>
            <w:vAlign w:val="bottom"/>
          </w:tcPr>
          <w:p w14:paraId="1E90484F" w14:textId="3CC92F14" w:rsidR="008A6844" w:rsidRPr="000E57E3" w:rsidRDefault="008A6844" w:rsidP="000E57E3">
            <w:pPr>
              <w:pStyle w:val="Tabletext"/>
            </w:pPr>
            <w:r w:rsidRPr="000E57E3">
              <w:t>Y</w:t>
            </w:r>
          </w:p>
        </w:tc>
        <w:tc>
          <w:tcPr>
            <w:tcW w:w="0" w:type="auto"/>
            <w:vAlign w:val="bottom"/>
          </w:tcPr>
          <w:p w14:paraId="2032BFF7" w14:textId="0D1FECDB" w:rsidR="008A6844" w:rsidRPr="000E57E3" w:rsidRDefault="008A6844" w:rsidP="000E57E3">
            <w:pPr>
              <w:pStyle w:val="Tabletext"/>
            </w:pPr>
            <w:r w:rsidRPr="000E57E3">
              <w:t> </w:t>
            </w:r>
          </w:p>
        </w:tc>
        <w:tc>
          <w:tcPr>
            <w:tcW w:w="0" w:type="auto"/>
            <w:vAlign w:val="bottom"/>
          </w:tcPr>
          <w:p w14:paraId="55FB2239" w14:textId="1CCE5831" w:rsidR="008A6844" w:rsidRPr="000E57E3" w:rsidRDefault="008A6844" w:rsidP="000E57E3">
            <w:pPr>
              <w:pStyle w:val="Tabletext"/>
            </w:pPr>
            <w:r w:rsidRPr="000E57E3">
              <w:t>Y</w:t>
            </w:r>
          </w:p>
        </w:tc>
        <w:tc>
          <w:tcPr>
            <w:tcW w:w="0" w:type="auto"/>
            <w:vAlign w:val="bottom"/>
          </w:tcPr>
          <w:p w14:paraId="1E5CC717" w14:textId="3319FFFB" w:rsidR="008A6844" w:rsidRPr="000E57E3" w:rsidRDefault="008A6844" w:rsidP="000E57E3">
            <w:pPr>
              <w:pStyle w:val="Tabletext"/>
            </w:pPr>
            <w:r w:rsidRPr="000E57E3">
              <w:t>Exemplar</w:t>
            </w:r>
          </w:p>
        </w:tc>
      </w:tr>
      <w:tr w:rsidR="00776CCE" w:rsidRPr="008A6844" w14:paraId="581970A7" w14:textId="77777777" w:rsidTr="00CA44B7">
        <w:tc>
          <w:tcPr>
            <w:tcW w:w="0" w:type="auto"/>
            <w:vAlign w:val="bottom"/>
          </w:tcPr>
          <w:p w14:paraId="2722AC55" w14:textId="077E1229" w:rsidR="008A6844" w:rsidRPr="000E57E3" w:rsidRDefault="008A6844" w:rsidP="000E57E3">
            <w:pPr>
              <w:pStyle w:val="Tabletext"/>
            </w:pPr>
            <w:r w:rsidRPr="000E57E3">
              <w:t>IDH2</w:t>
            </w:r>
          </w:p>
        </w:tc>
        <w:tc>
          <w:tcPr>
            <w:tcW w:w="0" w:type="auto"/>
            <w:vAlign w:val="bottom"/>
          </w:tcPr>
          <w:p w14:paraId="783A0B72" w14:textId="0A8B576F" w:rsidR="008A6844" w:rsidRPr="000E57E3" w:rsidRDefault="008A6844" w:rsidP="000E57E3">
            <w:pPr>
              <w:pStyle w:val="Tabletext"/>
            </w:pPr>
            <w:r w:rsidRPr="000E57E3">
              <w:t>Y</w:t>
            </w:r>
          </w:p>
        </w:tc>
        <w:tc>
          <w:tcPr>
            <w:tcW w:w="0" w:type="auto"/>
            <w:vAlign w:val="bottom"/>
          </w:tcPr>
          <w:p w14:paraId="65D61B0F" w14:textId="1EA5FB11" w:rsidR="008A6844" w:rsidRPr="000E57E3" w:rsidRDefault="008A6844" w:rsidP="000E57E3">
            <w:pPr>
              <w:pStyle w:val="Tabletext"/>
            </w:pPr>
            <w:r w:rsidRPr="000E57E3">
              <w:t> </w:t>
            </w:r>
          </w:p>
        </w:tc>
        <w:tc>
          <w:tcPr>
            <w:tcW w:w="0" w:type="auto"/>
            <w:vAlign w:val="bottom"/>
          </w:tcPr>
          <w:p w14:paraId="61D8F805" w14:textId="609D886D" w:rsidR="008A6844" w:rsidRPr="000E57E3" w:rsidRDefault="008A6844" w:rsidP="000E57E3">
            <w:pPr>
              <w:pStyle w:val="Tabletext"/>
            </w:pPr>
            <w:r w:rsidRPr="000E57E3">
              <w:t>Y</w:t>
            </w:r>
          </w:p>
        </w:tc>
        <w:tc>
          <w:tcPr>
            <w:tcW w:w="0" w:type="auto"/>
            <w:vAlign w:val="bottom"/>
          </w:tcPr>
          <w:p w14:paraId="5BAFD565" w14:textId="1687A1DB" w:rsidR="008A6844" w:rsidRPr="000E57E3" w:rsidRDefault="008A6844" w:rsidP="000E57E3">
            <w:pPr>
              <w:pStyle w:val="Tabletext"/>
            </w:pPr>
            <w:r w:rsidRPr="000E57E3">
              <w:t> </w:t>
            </w:r>
          </w:p>
        </w:tc>
        <w:tc>
          <w:tcPr>
            <w:tcW w:w="0" w:type="auto"/>
            <w:vAlign w:val="bottom"/>
          </w:tcPr>
          <w:p w14:paraId="039A6E05" w14:textId="6C590361" w:rsidR="008A6844" w:rsidRPr="000E57E3" w:rsidRDefault="008A6844" w:rsidP="000E57E3">
            <w:pPr>
              <w:pStyle w:val="Tabletext"/>
            </w:pPr>
            <w:r w:rsidRPr="000E57E3">
              <w:t>Y</w:t>
            </w:r>
          </w:p>
        </w:tc>
        <w:tc>
          <w:tcPr>
            <w:tcW w:w="0" w:type="auto"/>
            <w:vAlign w:val="bottom"/>
          </w:tcPr>
          <w:p w14:paraId="567B5FA0" w14:textId="2DE3A29D" w:rsidR="008A6844" w:rsidRPr="000E57E3" w:rsidRDefault="008A6844" w:rsidP="000E57E3">
            <w:pPr>
              <w:pStyle w:val="Tabletext"/>
            </w:pPr>
            <w:r w:rsidRPr="000E57E3">
              <w:t> </w:t>
            </w:r>
          </w:p>
        </w:tc>
        <w:tc>
          <w:tcPr>
            <w:tcW w:w="0" w:type="auto"/>
            <w:vAlign w:val="bottom"/>
          </w:tcPr>
          <w:p w14:paraId="5610649A" w14:textId="10E23CFA" w:rsidR="008A6844" w:rsidRPr="000E57E3" w:rsidRDefault="008A6844" w:rsidP="000E57E3">
            <w:pPr>
              <w:pStyle w:val="Tabletext"/>
            </w:pPr>
            <w:r w:rsidRPr="000E57E3">
              <w:t>Y</w:t>
            </w:r>
          </w:p>
        </w:tc>
        <w:tc>
          <w:tcPr>
            <w:tcW w:w="0" w:type="auto"/>
            <w:vAlign w:val="bottom"/>
          </w:tcPr>
          <w:p w14:paraId="4DF03BDD" w14:textId="5249F16D" w:rsidR="008A6844" w:rsidRPr="000E57E3" w:rsidRDefault="008A6844" w:rsidP="000E57E3">
            <w:pPr>
              <w:pStyle w:val="Tabletext"/>
            </w:pPr>
            <w:r w:rsidRPr="000E57E3">
              <w:t> </w:t>
            </w:r>
          </w:p>
        </w:tc>
        <w:tc>
          <w:tcPr>
            <w:tcW w:w="0" w:type="auto"/>
            <w:vAlign w:val="bottom"/>
          </w:tcPr>
          <w:p w14:paraId="143577E9" w14:textId="79BFBBAF" w:rsidR="008A6844" w:rsidRPr="000E57E3" w:rsidRDefault="008A6844" w:rsidP="000E57E3">
            <w:pPr>
              <w:pStyle w:val="Tabletext"/>
            </w:pPr>
            <w:r w:rsidRPr="000E57E3">
              <w:t>Y</w:t>
            </w:r>
          </w:p>
        </w:tc>
        <w:tc>
          <w:tcPr>
            <w:tcW w:w="0" w:type="auto"/>
            <w:vAlign w:val="bottom"/>
          </w:tcPr>
          <w:p w14:paraId="6245EB53" w14:textId="4B9027A7" w:rsidR="008A6844" w:rsidRPr="000E57E3" w:rsidRDefault="008A6844" w:rsidP="000E57E3">
            <w:pPr>
              <w:pStyle w:val="Tabletext"/>
            </w:pPr>
            <w:r w:rsidRPr="000E57E3">
              <w:t>Y</w:t>
            </w:r>
          </w:p>
        </w:tc>
        <w:tc>
          <w:tcPr>
            <w:tcW w:w="0" w:type="auto"/>
            <w:vAlign w:val="bottom"/>
          </w:tcPr>
          <w:p w14:paraId="2F61CC82" w14:textId="744E0DE7" w:rsidR="008A6844" w:rsidRPr="000E57E3" w:rsidRDefault="008A6844" w:rsidP="000E57E3">
            <w:pPr>
              <w:pStyle w:val="Tabletext"/>
            </w:pPr>
            <w:r w:rsidRPr="000E57E3">
              <w:t>Y</w:t>
            </w:r>
          </w:p>
        </w:tc>
        <w:tc>
          <w:tcPr>
            <w:tcW w:w="0" w:type="auto"/>
            <w:vAlign w:val="bottom"/>
          </w:tcPr>
          <w:p w14:paraId="55EF6CA5" w14:textId="717847C2" w:rsidR="008A6844" w:rsidRPr="000E57E3" w:rsidRDefault="008A6844" w:rsidP="000E57E3">
            <w:pPr>
              <w:pStyle w:val="Tabletext"/>
            </w:pPr>
            <w:r w:rsidRPr="000E57E3">
              <w:t>Exemplar</w:t>
            </w:r>
          </w:p>
        </w:tc>
      </w:tr>
      <w:tr w:rsidR="00776CCE" w:rsidRPr="008A6844" w14:paraId="1716A86C" w14:textId="77777777" w:rsidTr="00CA44B7">
        <w:tc>
          <w:tcPr>
            <w:tcW w:w="0" w:type="auto"/>
            <w:vAlign w:val="bottom"/>
          </w:tcPr>
          <w:p w14:paraId="5BC278AC" w14:textId="2E65CC99" w:rsidR="008A6844" w:rsidRPr="000E57E3" w:rsidRDefault="008A6844" w:rsidP="000E57E3">
            <w:pPr>
              <w:pStyle w:val="Tabletext"/>
            </w:pPr>
            <w:r w:rsidRPr="000E57E3">
              <w:t>IGH-BCL10 (t(1;14))</w:t>
            </w:r>
          </w:p>
        </w:tc>
        <w:tc>
          <w:tcPr>
            <w:tcW w:w="0" w:type="auto"/>
            <w:vAlign w:val="bottom"/>
          </w:tcPr>
          <w:p w14:paraId="4E9C3CF8" w14:textId="1266CB72" w:rsidR="008A6844" w:rsidRPr="000E57E3" w:rsidRDefault="008A6844" w:rsidP="000E57E3">
            <w:pPr>
              <w:pStyle w:val="Tabletext"/>
            </w:pPr>
            <w:r w:rsidRPr="000E57E3">
              <w:t> </w:t>
            </w:r>
          </w:p>
        </w:tc>
        <w:tc>
          <w:tcPr>
            <w:tcW w:w="0" w:type="auto"/>
            <w:vAlign w:val="bottom"/>
          </w:tcPr>
          <w:p w14:paraId="5ADBD1CE" w14:textId="0C97A14B" w:rsidR="008A6844" w:rsidRPr="000E57E3" w:rsidRDefault="008A6844" w:rsidP="000E57E3">
            <w:pPr>
              <w:pStyle w:val="Tabletext"/>
            </w:pPr>
            <w:r w:rsidRPr="000E57E3">
              <w:t>Y</w:t>
            </w:r>
          </w:p>
        </w:tc>
        <w:tc>
          <w:tcPr>
            <w:tcW w:w="0" w:type="auto"/>
            <w:vAlign w:val="bottom"/>
          </w:tcPr>
          <w:p w14:paraId="3E0CB243" w14:textId="30137BA9" w:rsidR="008A6844" w:rsidRPr="000E57E3" w:rsidRDefault="008A6844" w:rsidP="000E57E3">
            <w:pPr>
              <w:pStyle w:val="Tabletext"/>
            </w:pPr>
            <w:r w:rsidRPr="000E57E3">
              <w:t> </w:t>
            </w:r>
          </w:p>
        </w:tc>
        <w:tc>
          <w:tcPr>
            <w:tcW w:w="0" w:type="auto"/>
            <w:vAlign w:val="bottom"/>
          </w:tcPr>
          <w:p w14:paraId="081F99CC" w14:textId="767BCBD2" w:rsidR="008A6844" w:rsidRPr="000E57E3" w:rsidRDefault="008A6844" w:rsidP="000E57E3">
            <w:pPr>
              <w:pStyle w:val="Tabletext"/>
            </w:pPr>
            <w:r w:rsidRPr="000E57E3">
              <w:t> </w:t>
            </w:r>
          </w:p>
        </w:tc>
        <w:tc>
          <w:tcPr>
            <w:tcW w:w="0" w:type="auto"/>
            <w:vAlign w:val="bottom"/>
          </w:tcPr>
          <w:p w14:paraId="3F5BD856" w14:textId="064737CC" w:rsidR="008A6844" w:rsidRPr="000E57E3" w:rsidRDefault="008A6844" w:rsidP="000E57E3">
            <w:pPr>
              <w:pStyle w:val="Tabletext"/>
            </w:pPr>
            <w:r w:rsidRPr="000E57E3">
              <w:t> </w:t>
            </w:r>
          </w:p>
        </w:tc>
        <w:tc>
          <w:tcPr>
            <w:tcW w:w="0" w:type="auto"/>
            <w:vAlign w:val="bottom"/>
          </w:tcPr>
          <w:p w14:paraId="4187420B" w14:textId="75342E00" w:rsidR="008A6844" w:rsidRPr="000E57E3" w:rsidRDefault="008A6844" w:rsidP="000E57E3">
            <w:pPr>
              <w:pStyle w:val="Tabletext"/>
            </w:pPr>
            <w:r w:rsidRPr="000E57E3">
              <w:t> </w:t>
            </w:r>
          </w:p>
        </w:tc>
        <w:tc>
          <w:tcPr>
            <w:tcW w:w="0" w:type="auto"/>
            <w:vAlign w:val="bottom"/>
          </w:tcPr>
          <w:p w14:paraId="7CFD81ED" w14:textId="6DD5AC3C" w:rsidR="008A6844" w:rsidRPr="000E57E3" w:rsidRDefault="008A6844" w:rsidP="000E57E3">
            <w:pPr>
              <w:pStyle w:val="Tabletext"/>
            </w:pPr>
            <w:r w:rsidRPr="000E57E3">
              <w:t> </w:t>
            </w:r>
          </w:p>
        </w:tc>
        <w:tc>
          <w:tcPr>
            <w:tcW w:w="0" w:type="auto"/>
            <w:vAlign w:val="bottom"/>
          </w:tcPr>
          <w:p w14:paraId="246E4A73" w14:textId="393D6BEA" w:rsidR="008A6844" w:rsidRPr="000E57E3" w:rsidRDefault="008A6844" w:rsidP="000E57E3">
            <w:pPr>
              <w:pStyle w:val="Tabletext"/>
            </w:pPr>
            <w:r w:rsidRPr="000E57E3">
              <w:t> </w:t>
            </w:r>
          </w:p>
        </w:tc>
        <w:tc>
          <w:tcPr>
            <w:tcW w:w="0" w:type="auto"/>
            <w:vAlign w:val="bottom"/>
          </w:tcPr>
          <w:p w14:paraId="362AE03D" w14:textId="0461BC10" w:rsidR="008A6844" w:rsidRPr="000E57E3" w:rsidRDefault="008A6844" w:rsidP="000E57E3">
            <w:pPr>
              <w:pStyle w:val="Tabletext"/>
            </w:pPr>
            <w:r w:rsidRPr="000E57E3">
              <w:t> </w:t>
            </w:r>
          </w:p>
        </w:tc>
        <w:tc>
          <w:tcPr>
            <w:tcW w:w="0" w:type="auto"/>
            <w:vAlign w:val="bottom"/>
          </w:tcPr>
          <w:p w14:paraId="25E9626C" w14:textId="3478734D" w:rsidR="008A6844" w:rsidRPr="000E57E3" w:rsidRDefault="008A6844" w:rsidP="000E57E3">
            <w:pPr>
              <w:pStyle w:val="Tabletext"/>
            </w:pPr>
            <w:r w:rsidRPr="000E57E3">
              <w:t> </w:t>
            </w:r>
          </w:p>
        </w:tc>
        <w:tc>
          <w:tcPr>
            <w:tcW w:w="0" w:type="auto"/>
            <w:vAlign w:val="bottom"/>
          </w:tcPr>
          <w:p w14:paraId="0571900C" w14:textId="0BEC2160" w:rsidR="008A6844" w:rsidRPr="000E57E3" w:rsidRDefault="008A6844" w:rsidP="000E57E3">
            <w:pPr>
              <w:pStyle w:val="Tabletext"/>
            </w:pPr>
            <w:r w:rsidRPr="000E57E3">
              <w:t> </w:t>
            </w:r>
          </w:p>
        </w:tc>
        <w:tc>
          <w:tcPr>
            <w:tcW w:w="0" w:type="auto"/>
            <w:vAlign w:val="bottom"/>
          </w:tcPr>
          <w:p w14:paraId="70AFC26C" w14:textId="7CC90F87" w:rsidR="008A6844" w:rsidRPr="000E57E3" w:rsidRDefault="008A6844" w:rsidP="000E57E3">
            <w:pPr>
              <w:pStyle w:val="Tabletext"/>
            </w:pPr>
            <w:r w:rsidRPr="000E57E3">
              <w:t>Exemplar</w:t>
            </w:r>
          </w:p>
        </w:tc>
      </w:tr>
      <w:tr w:rsidR="00776CCE" w:rsidRPr="008A6844" w14:paraId="60F8CDDD" w14:textId="77777777" w:rsidTr="00CA44B7">
        <w:tc>
          <w:tcPr>
            <w:tcW w:w="0" w:type="auto"/>
            <w:vAlign w:val="bottom"/>
          </w:tcPr>
          <w:p w14:paraId="3FBDAF8B" w14:textId="48659BF6" w:rsidR="008A6844" w:rsidRPr="000E57E3" w:rsidRDefault="008A6844" w:rsidP="000E57E3">
            <w:pPr>
              <w:pStyle w:val="Tabletext"/>
            </w:pPr>
            <w:r w:rsidRPr="000E57E3">
              <w:t>IGH-BCL2 (t(14;18))</w:t>
            </w:r>
          </w:p>
        </w:tc>
        <w:tc>
          <w:tcPr>
            <w:tcW w:w="0" w:type="auto"/>
            <w:vAlign w:val="bottom"/>
          </w:tcPr>
          <w:p w14:paraId="6B04465A" w14:textId="7D1D1830" w:rsidR="008A6844" w:rsidRPr="000E57E3" w:rsidRDefault="008A6844" w:rsidP="000E57E3">
            <w:pPr>
              <w:pStyle w:val="Tabletext"/>
            </w:pPr>
            <w:r w:rsidRPr="000E57E3">
              <w:t> </w:t>
            </w:r>
          </w:p>
        </w:tc>
        <w:tc>
          <w:tcPr>
            <w:tcW w:w="0" w:type="auto"/>
            <w:vAlign w:val="bottom"/>
          </w:tcPr>
          <w:p w14:paraId="1E0BE940" w14:textId="6035D1E3" w:rsidR="008A6844" w:rsidRPr="000E57E3" w:rsidRDefault="008A6844" w:rsidP="000E57E3">
            <w:pPr>
              <w:pStyle w:val="Tabletext"/>
            </w:pPr>
            <w:r w:rsidRPr="000E57E3">
              <w:t>Y</w:t>
            </w:r>
          </w:p>
        </w:tc>
        <w:tc>
          <w:tcPr>
            <w:tcW w:w="0" w:type="auto"/>
            <w:vAlign w:val="bottom"/>
          </w:tcPr>
          <w:p w14:paraId="4A000E25" w14:textId="0BC1D366" w:rsidR="008A6844" w:rsidRPr="000E57E3" w:rsidRDefault="008A6844" w:rsidP="000E57E3">
            <w:pPr>
              <w:pStyle w:val="Tabletext"/>
            </w:pPr>
            <w:r w:rsidRPr="000E57E3">
              <w:t> </w:t>
            </w:r>
          </w:p>
        </w:tc>
        <w:tc>
          <w:tcPr>
            <w:tcW w:w="0" w:type="auto"/>
            <w:vAlign w:val="bottom"/>
          </w:tcPr>
          <w:p w14:paraId="7F2B8FBB" w14:textId="25D7B30B" w:rsidR="008A6844" w:rsidRPr="000E57E3" w:rsidRDefault="008A6844" w:rsidP="000E57E3">
            <w:pPr>
              <w:pStyle w:val="Tabletext"/>
            </w:pPr>
            <w:r w:rsidRPr="000E57E3">
              <w:t> </w:t>
            </w:r>
          </w:p>
        </w:tc>
        <w:tc>
          <w:tcPr>
            <w:tcW w:w="0" w:type="auto"/>
            <w:vAlign w:val="bottom"/>
          </w:tcPr>
          <w:p w14:paraId="45360786" w14:textId="5EFC6F4E" w:rsidR="008A6844" w:rsidRPr="000E57E3" w:rsidRDefault="008A6844" w:rsidP="000E57E3">
            <w:pPr>
              <w:pStyle w:val="Tabletext"/>
            </w:pPr>
            <w:r w:rsidRPr="000E57E3">
              <w:t> </w:t>
            </w:r>
          </w:p>
        </w:tc>
        <w:tc>
          <w:tcPr>
            <w:tcW w:w="0" w:type="auto"/>
            <w:vAlign w:val="bottom"/>
          </w:tcPr>
          <w:p w14:paraId="44CB6CA2" w14:textId="1546FA06" w:rsidR="008A6844" w:rsidRPr="000E57E3" w:rsidRDefault="008A6844" w:rsidP="000E57E3">
            <w:pPr>
              <w:pStyle w:val="Tabletext"/>
            </w:pPr>
            <w:r w:rsidRPr="000E57E3">
              <w:t> </w:t>
            </w:r>
          </w:p>
        </w:tc>
        <w:tc>
          <w:tcPr>
            <w:tcW w:w="0" w:type="auto"/>
            <w:vAlign w:val="bottom"/>
          </w:tcPr>
          <w:p w14:paraId="4B134B3B" w14:textId="5EF2873A" w:rsidR="008A6844" w:rsidRPr="000E57E3" w:rsidRDefault="008A6844" w:rsidP="000E57E3">
            <w:pPr>
              <w:pStyle w:val="Tabletext"/>
            </w:pPr>
            <w:r w:rsidRPr="000E57E3">
              <w:t> </w:t>
            </w:r>
          </w:p>
        </w:tc>
        <w:tc>
          <w:tcPr>
            <w:tcW w:w="0" w:type="auto"/>
            <w:vAlign w:val="bottom"/>
          </w:tcPr>
          <w:p w14:paraId="3E3A021B" w14:textId="193AAE1D" w:rsidR="008A6844" w:rsidRPr="000E57E3" w:rsidRDefault="008A6844" w:rsidP="000E57E3">
            <w:pPr>
              <w:pStyle w:val="Tabletext"/>
            </w:pPr>
            <w:r w:rsidRPr="000E57E3">
              <w:t> </w:t>
            </w:r>
          </w:p>
        </w:tc>
        <w:tc>
          <w:tcPr>
            <w:tcW w:w="0" w:type="auto"/>
            <w:vAlign w:val="bottom"/>
          </w:tcPr>
          <w:p w14:paraId="526FA052" w14:textId="7B36538A" w:rsidR="008A6844" w:rsidRPr="000E57E3" w:rsidRDefault="008A6844" w:rsidP="000E57E3">
            <w:pPr>
              <w:pStyle w:val="Tabletext"/>
            </w:pPr>
            <w:r w:rsidRPr="000E57E3">
              <w:t> </w:t>
            </w:r>
          </w:p>
        </w:tc>
        <w:tc>
          <w:tcPr>
            <w:tcW w:w="0" w:type="auto"/>
            <w:vAlign w:val="bottom"/>
          </w:tcPr>
          <w:p w14:paraId="1F6653D1" w14:textId="6E2FE07F" w:rsidR="008A6844" w:rsidRPr="000E57E3" w:rsidRDefault="008A6844" w:rsidP="000E57E3">
            <w:pPr>
              <w:pStyle w:val="Tabletext"/>
            </w:pPr>
            <w:r w:rsidRPr="000E57E3">
              <w:t> </w:t>
            </w:r>
          </w:p>
        </w:tc>
        <w:tc>
          <w:tcPr>
            <w:tcW w:w="0" w:type="auto"/>
            <w:vAlign w:val="bottom"/>
          </w:tcPr>
          <w:p w14:paraId="33AA2D3A" w14:textId="3DC462A5" w:rsidR="008A6844" w:rsidRPr="000E57E3" w:rsidRDefault="008A6844" w:rsidP="000E57E3">
            <w:pPr>
              <w:pStyle w:val="Tabletext"/>
            </w:pPr>
            <w:r w:rsidRPr="000E57E3">
              <w:t> </w:t>
            </w:r>
          </w:p>
        </w:tc>
        <w:tc>
          <w:tcPr>
            <w:tcW w:w="0" w:type="auto"/>
            <w:vAlign w:val="bottom"/>
          </w:tcPr>
          <w:p w14:paraId="2295DBAB" w14:textId="32092D2F" w:rsidR="008A6844" w:rsidRPr="000E57E3" w:rsidRDefault="008A6844" w:rsidP="000E57E3">
            <w:pPr>
              <w:pStyle w:val="Tabletext"/>
            </w:pPr>
            <w:r w:rsidRPr="000E57E3">
              <w:t>Exemplar</w:t>
            </w:r>
          </w:p>
        </w:tc>
      </w:tr>
      <w:tr w:rsidR="00776CCE" w:rsidRPr="008A6844" w14:paraId="730A6F3A" w14:textId="77777777" w:rsidTr="00CA44B7">
        <w:tc>
          <w:tcPr>
            <w:tcW w:w="0" w:type="auto"/>
            <w:vAlign w:val="bottom"/>
          </w:tcPr>
          <w:p w14:paraId="3C0B05E9" w14:textId="7259FF40" w:rsidR="008A6844" w:rsidRPr="000E57E3" w:rsidRDefault="008A6844" w:rsidP="000E57E3">
            <w:pPr>
              <w:pStyle w:val="Tabletext"/>
            </w:pPr>
            <w:r w:rsidRPr="000E57E3">
              <w:t>IGH-BCL6 (t(3;14))</w:t>
            </w:r>
          </w:p>
        </w:tc>
        <w:tc>
          <w:tcPr>
            <w:tcW w:w="0" w:type="auto"/>
            <w:vAlign w:val="bottom"/>
          </w:tcPr>
          <w:p w14:paraId="0DEE883A" w14:textId="01A22BC5" w:rsidR="008A6844" w:rsidRPr="000E57E3" w:rsidRDefault="008A6844" w:rsidP="000E57E3">
            <w:pPr>
              <w:pStyle w:val="Tabletext"/>
            </w:pPr>
            <w:r w:rsidRPr="000E57E3">
              <w:t> </w:t>
            </w:r>
          </w:p>
        </w:tc>
        <w:tc>
          <w:tcPr>
            <w:tcW w:w="0" w:type="auto"/>
            <w:vAlign w:val="bottom"/>
          </w:tcPr>
          <w:p w14:paraId="12ECBE9D" w14:textId="4575DF3C" w:rsidR="008A6844" w:rsidRPr="000E57E3" w:rsidRDefault="008A6844" w:rsidP="000E57E3">
            <w:pPr>
              <w:pStyle w:val="Tabletext"/>
            </w:pPr>
            <w:r w:rsidRPr="000E57E3">
              <w:t>Y</w:t>
            </w:r>
          </w:p>
        </w:tc>
        <w:tc>
          <w:tcPr>
            <w:tcW w:w="0" w:type="auto"/>
            <w:vAlign w:val="bottom"/>
          </w:tcPr>
          <w:p w14:paraId="1F594097" w14:textId="5601E341" w:rsidR="008A6844" w:rsidRPr="000E57E3" w:rsidRDefault="008A6844" w:rsidP="000E57E3">
            <w:pPr>
              <w:pStyle w:val="Tabletext"/>
            </w:pPr>
            <w:r w:rsidRPr="000E57E3">
              <w:t> </w:t>
            </w:r>
          </w:p>
        </w:tc>
        <w:tc>
          <w:tcPr>
            <w:tcW w:w="0" w:type="auto"/>
            <w:vAlign w:val="bottom"/>
          </w:tcPr>
          <w:p w14:paraId="3E0F9322" w14:textId="21780D7B" w:rsidR="008A6844" w:rsidRPr="000E57E3" w:rsidRDefault="008A6844" w:rsidP="000E57E3">
            <w:pPr>
              <w:pStyle w:val="Tabletext"/>
            </w:pPr>
            <w:r w:rsidRPr="000E57E3">
              <w:t> </w:t>
            </w:r>
          </w:p>
        </w:tc>
        <w:tc>
          <w:tcPr>
            <w:tcW w:w="0" w:type="auto"/>
            <w:vAlign w:val="bottom"/>
          </w:tcPr>
          <w:p w14:paraId="768C549E" w14:textId="15A9EB7F" w:rsidR="008A6844" w:rsidRPr="000E57E3" w:rsidRDefault="008A6844" w:rsidP="000E57E3">
            <w:pPr>
              <w:pStyle w:val="Tabletext"/>
            </w:pPr>
            <w:r w:rsidRPr="000E57E3">
              <w:t> </w:t>
            </w:r>
          </w:p>
        </w:tc>
        <w:tc>
          <w:tcPr>
            <w:tcW w:w="0" w:type="auto"/>
            <w:vAlign w:val="bottom"/>
          </w:tcPr>
          <w:p w14:paraId="0097265E" w14:textId="32BC2960" w:rsidR="008A6844" w:rsidRPr="000E57E3" w:rsidRDefault="008A6844" w:rsidP="000E57E3">
            <w:pPr>
              <w:pStyle w:val="Tabletext"/>
            </w:pPr>
            <w:r w:rsidRPr="000E57E3">
              <w:t> </w:t>
            </w:r>
          </w:p>
        </w:tc>
        <w:tc>
          <w:tcPr>
            <w:tcW w:w="0" w:type="auto"/>
            <w:vAlign w:val="bottom"/>
          </w:tcPr>
          <w:p w14:paraId="41A78617" w14:textId="778C113A" w:rsidR="008A6844" w:rsidRPr="000E57E3" w:rsidRDefault="008A6844" w:rsidP="000E57E3">
            <w:pPr>
              <w:pStyle w:val="Tabletext"/>
            </w:pPr>
            <w:r w:rsidRPr="000E57E3">
              <w:t> </w:t>
            </w:r>
          </w:p>
        </w:tc>
        <w:tc>
          <w:tcPr>
            <w:tcW w:w="0" w:type="auto"/>
            <w:vAlign w:val="bottom"/>
          </w:tcPr>
          <w:p w14:paraId="52D0050F" w14:textId="537DD79A" w:rsidR="008A6844" w:rsidRPr="000E57E3" w:rsidRDefault="008A6844" w:rsidP="000E57E3">
            <w:pPr>
              <w:pStyle w:val="Tabletext"/>
            </w:pPr>
            <w:r w:rsidRPr="000E57E3">
              <w:t> </w:t>
            </w:r>
          </w:p>
        </w:tc>
        <w:tc>
          <w:tcPr>
            <w:tcW w:w="0" w:type="auto"/>
            <w:vAlign w:val="bottom"/>
          </w:tcPr>
          <w:p w14:paraId="115EFA8D" w14:textId="1DC520C4" w:rsidR="008A6844" w:rsidRPr="000E57E3" w:rsidRDefault="008A6844" w:rsidP="000E57E3">
            <w:pPr>
              <w:pStyle w:val="Tabletext"/>
            </w:pPr>
            <w:r w:rsidRPr="000E57E3">
              <w:t> </w:t>
            </w:r>
          </w:p>
        </w:tc>
        <w:tc>
          <w:tcPr>
            <w:tcW w:w="0" w:type="auto"/>
            <w:vAlign w:val="bottom"/>
          </w:tcPr>
          <w:p w14:paraId="03BEAE7F" w14:textId="2E86AF4F" w:rsidR="008A6844" w:rsidRPr="000E57E3" w:rsidRDefault="008A6844" w:rsidP="000E57E3">
            <w:pPr>
              <w:pStyle w:val="Tabletext"/>
            </w:pPr>
            <w:r w:rsidRPr="000E57E3">
              <w:t> </w:t>
            </w:r>
          </w:p>
        </w:tc>
        <w:tc>
          <w:tcPr>
            <w:tcW w:w="0" w:type="auto"/>
            <w:vAlign w:val="bottom"/>
          </w:tcPr>
          <w:p w14:paraId="4538E540" w14:textId="000034B5" w:rsidR="008A6844" w:rsidRPr="000E57E3" w:rsidRDefault="008A6844" w:rsidP="000E57E3">
            <w:pPr>
              <w:pStyle w:val="Tabletext"/>
            </w:pPr>
            <w:r w:rsidRPr="000E57E3">
              <w:t> </w:t>
            </w:r>
          </w:p>
        </w:tc>
        <w:tc>
          <w:tcPr>
            <w:tcW w:w="0" w:type="auto"/>
            <w:vAlign w:val="bottom"/>
          </w:tcPr>
          <w:p w14:paraId="32BF9B0C" w14:textId="22F2B06A" w:rsidR="008A6844" w:rsidRPr="000E57E3" w:rsidRDefault="008A6844" w:rsidP="000E57E3">
            <w:pPr>
              <w:pStyle w:val="Tabletext"/>
            </w:pPr>
            <w:r w:rsidRPr="000E57E3">
              <w:t>Exemplar</w:t>
            </w:r>
          </w:p>
        </w:tc>
      </w:tr>
      <w:tr w:rsidR="00776CCE" w:rsidRPr="008A6844" w14:paraId="3E0F91F2" w14:textId="77777777" w:rsidTr="00CA44B7">
        <w:tc>
          <w:tcPr>
            <w:tcW w:w="0" w:type="auto"/>
            <w:vAlign w:val="bottom"/>
          </w:tcPr>
          <w:p w14:paraId="62F1C135" w14:textId="765ED6BD" w:rsidR="008A6844" w:rsidRPr="000E57E3" w:rsidRDefault="008A6844" w:rsidP="000E57E3">
            <w:pPr>
              <w:pStyle w:val="Tabletext"/>
            </w:pPr>
            <w:r w:rsidRPr="000E57E3">
              <w:t>IGH-CCND1 (t(11;14))</w:t>
            </w:r>
          </w:p>
        </w:tc>
        <w:tc>
          <w:tcPr>
            <w:tcW w:w="0" w:type="auto"/>
            <w:vAlign w:val="bottom"/>
          </w:tcPr>
          <w:p w14:paraId="6F8DE8B1" w14:textId="2F610B18" w:rsidR="008A6844" w:rsidRPr="000E57E3" w:rsidRDefault="008A6844" w:rsidP="000E57E3">
            <w:pPr>
              <w:pStyle w:val="Tabletext"/>
            </w:pPr>
            <w:r w:rsidRPr="000E57E3">
              <w:t> </w:t>
            </w:r>
          </w:p>
        </w:tc>
        <w:tc>
          <w:tcPr>
            <w:tcW w:w="0" w:type="auto"/>
            <w:vAlign w:val="bottom"/>
          </w:tcPr>
          <w:p w14:paraId="3224B15B" w14:textId="38F36A11" w:rsidR="008A6844" w:rsidRPr="000E57E3" w:rsidRDefault="008A6844" w:rsidP="000E57E3">
            <w:pPr>
              <w:pStyle w:val="Tabletext"/>
            </w:pPr>
            <w:r w:rsidRPr="000E57E3">
              <w:t>Y</w:t>
            </w:r>
          </w:p>
        </w:tc>
        <w:tc>
          <w:tcPr>
            <w:tcW w:w="0" w:type="auto"/>
            <w:vAlign w:val="bottom"/>
          </w:tcPr>
          <w:p w14:paraId="44B4CEFE" w14:textId="6D38D98D" w:rsidR="008A6844" w:rsidRPr="000E57E3" w:rsidRDefault="008A6844" w:rsidP="000E57E3">
            <w:pPr>
              <w:pStyle w:val="Tabletext"/>
            </w:pPr>
            <w:r w:rsidRPr="000E57E3">
              <w:t> </w:t>
            </w:r>
          </w:p>
        </w:tc>
        <w:tc>
          <w:tcPr>
            <w:tcW w:w="0" w:type="auto"/>
            <w:vAlign w:val="bottom"/>
          </w:tcPr>
          <w:p w14:paraId="6775C56E" w14:textId="38FEEC16" w:rsidR="008A6844" w:rsidRPr="000E57E3" w:rsidRDefault="008A6844" w:rsidP="000E57E3">
            <w:pPr>
              <w:pStyle w:val="Tabletext"/>
            </w:pPr>
            <w:r w:rsidRPr="000E57E3">
              <w:t> </w:t>
            </w:r>
          </w:p>
        </w:tc>
        <w:tc>
          <w:tcPr>
            <w:tcW w:w="0" w:type="auto"/>
            <w:vAlign w:val="bottom"/>
          </w:tcPr>
          <w:p w14:paraId="2C240107" w14:textId="26B3D731" w:rsidR="008A6844" w:rsidRPr="000E57E3" w:rsidRDefault="008A6844" w:rsidP="000E57E3">
            <w:pPr>
              <w:pStyle w:val="Tabletext"/>
            </w:pPr>
            <w:r w:rsidRPr="000E57E3">
              <w:t> </w:t>
            </w:r>
          </w:p>
        </w:tc>
        <w:tc>
          <w:tcPr>
            <w:tcW w:w="0" w:type="auto"/>
            <w:vAlign w:val="bottom"/>
          </w:tcPr>
          <w:p w14:paraId="7C482AE1" w14:textId="5C534C6A" w:rsidR="008A6844" w:rsidRPr="000E57E3" w:rsidRDefault="008A6844" w:rsidP="000E57E3">
            <w:pPr>
              <w:pStyle w:val="Tabletext"/>
            </w:pPr>
            <w:r w:rsidRPr="000E57E3">
              <w:t> </w:t>
            </w:r>
          </w:p>
        </w:tc>
        <w:tc>
          <w:tcPr>
            <w:tcW w:w="0" w:type="auto"/>
            <w:vAlign w:val="bottom"/>
          </w:tcPr>
          <w:p w14:paraId="77A1E28F" w14:textId="02A761A4" w:rsidR="008A6844" w:rsidRPr="000E57E3" w:rsidRDefault="008A6844" w:rsidP="000E57E3">
            <w:pPr>
              <w:pStyle w:val="Tabletext"/>
            </w:pPr>
            <w:r w:rsidRPr="000E57E3">
              <w:t> </w:t>
            </w:r>
          </w:p>
        </w:tc>
        <w:tc>
          <w:tcPr>
            <w:tcW w:w="0" w:type="auto"/>
            <w:vAlign w:val="bottom"/>
          </w:tcPr>
          <w:p w14:paraId="187D8CA6" w14:textId="6A598FF7" w:rsidR="008A6844" w:rsidRPr="000E57E3" w:rsidRDefault="008A6844" w:rsidP="000E57E3">
            <w:pPr>
              <w:pStyle w:val="Tabletext"/>
            </w:pPr>
            <w:r w:rsidRPr="000E57E3">
              <w:t> </w:t>
            </w:r>
          </w:p>
        </w:tc>
        <w:tc>
          <w:tcPr>
            <w:tcW w:w="0" w:type="auto"/>
            <w:vAlign w:val="bottom"/>
          </w:tcPr>
          <w:p w14:paraId="23898A28" w14:textId="08F4EA33" w:rsidR="008A6844" w:rsidRPr="000E57E3" w:rsidRDefault="008A6844" w:rsidP="000E57E3">
            <w:pPr>
              <w:pStyle w:val="Tabletext"/>
            </w:pPr>
            <w:r w:rsidRPr="000E57E3">
              <w:t> </w:t>
            </w:r>
          </w:p>
        </w:tc>
        <w:tc>
          <w:tcPr>
            <w:tcW w:w="0" w:type="auto"/>
            <w:vAlign w:val="bottom"/>
          </w:tcPr>
          <w:p w14:paraId="6E85EFCE" w14:textId="36C96D7C" w:rsidR="008A6844" w:rsidRPr="000E57E3" w:rsidRDefault="008A6844" w:rsidP="000E57E3">
            <w:pPr>
              <w:pStyle w:val="Tabletext"/>
            </w:pPr>
            <w:r w:rsidRPr="000E57E3">
              <w:t> </w:t>
            </w:r>
          </w:p>
        </w:tc>
        <w:tc>
          <w:tcPr>
            <w:tcW w:w="0" w:type="auto"/>
            <w:vAlign w:val="bottom"/>
          </w:tcPr>
          <w:p w14:paraId="234D926C" w14:textId="687A0869" w:rsidR="008A6844" w:rsidRPr="000E57E3" w:rsidRDefault="008A6844" w:rsidP="000E57E3">
            <w:pPr>
              <w:pStyle w:val="Tabletext"/>
            </w:pPr>
            <w:r w:rsidRPr="000E57E3">
              <w:t> </w:t>
            </w:r>
          </w:p>
        </w:tc>
        <w:tc>
          <w:tcPr>
            <w:tcW w:w="0" w:type="auto"/>
            <w:vAlign w:val="bottom"/>
          </w:tcPr>
          <w:p w14:paraId="71F6F1F4" w14:textId="2CA1803C" w:rsidR="008A6844" w:rsidRPr="000E57E3" w:rsidRDefault="008A6844" w:rsidP="000E57E3">
            <w:pPr>
              <w:pStyle w:val="Tabletext"/>
            </w:pPr>
            <w:r w:rsidRPr="000E57E3">
              <w:t>Exemplar</w:t>
            </w:r>
          </w:p>
        </w:tc>
      </w:tr>
      <w:tr w:rsidR="00776CCE" w:rsidRPr="008A6844" w14:paraId="2BBAEDD0" w14:textId="77777777" w:rsidTr="00CA44B7">
        <w:tc>
          <w:tcPr>
            <w:tcW w:w="0" w:type="auto"/>
            <w:vAlign w:val="bottom"/>
          </w:tcPr>
          <w:p w14:paraId="45D50C69" w14:textId="3D420693" w:rsidR="008A6844" w:rsidRPr="000E57E3" w:rsidRDefault="008A6844" w:rsidP="000E57E3">
            <w:pPr>
              <w:pStyle w:val="Tabletext"/>
            </w:pPr>
            <w:r w:rsidRPr="000E57E3">
              <w:t>IGH-MYC (t(8;14))</w:t>
            </w:r>
          </w:p>
        </w:tc>
        <w:tc>
          <w:tcPr>
            <w:tcW w:w="0" w:type="auto"/>
            <w:vAlign w:val="bottom"/>
          </w:tcPr>
          <w:p w14:paraId="1949F595" w14:textId="29031038" w:rsidR="008A6844" w:rsidRPr="000E57E3" w:rsidRDefault="008A6844" w:rsidP="000E57E3">
            <w:pPr>
              <w:pStyle w:val="Tabletext"/>
            </w:pPr>
            <w:r w:rsidRPr="000E57E3">
              <w:t> </w:t>
            </w:r>
          </w:p>
        </w:tc>
        <w:tc>
          <w:tcPr>
            <w:tcW w:w="0" w:type="auto"/>
            <w:vAlign w:val="bottom"/>
          </w:tcPr>
          <w:p w14:paraId="455F1C03" w14:textId="7591ED83" w:rsidR="008A6844" w:rsidRPr="000E57E3" w:rsidRDefault="008A6844" w:rsidP="000E57E3">
            <w:pPr>
              <w:pStyle w:val="Tabletext"/>
            </w:pPr>
            <w:r w:rsidRPr="000E57E3">
              <w:t>Y</w:t>
            </w:r>
          </w:p>
        </w:tc>
        <w:tc>
          <w:tcPr>
            <w:tcW w:w="0" w:type="auto"/>
            <w:vAlign w:val="bottom"/>
          </w:tcPr>
          <w:p w14:paraId="6CC2727C" w14:textId="7A51AB21" w:rsidR="008A6844" w:rsidRPr="000E57E3" w:rsidRDefault="008A6844" w:rsidP="000E57E3">
            <w:pPr>
              <w:pStyle w:val="Tabletext"/>
            </w:pPr>
            <w:r w:rsidRPr="000E57E3">
              <w:t> </w:t>
            </w:r>
          </w:p>
        </w:tc>
        <w:tc>
          <w:tcPr>
            <w:tcW w:w="0" w:type="auto"/>
            <w:vAlign w:val="bottom"/>
          </w:tcPr>
          <w:p w14:paraId="7AAEDF40" w14:textId="2A1F0A99" w:rsidR="008A6844" w:rsidRPr="000E57E3" w:rsidRDefault="008A6844" w:rsidP="000E57E3">
            <w:pPr>
              <w:pStyle w:val="Tabletext"/>
            </w:pPr>
            <w:r w:rsidRPr="000E57E3">
              <w:t> </w:t>
            </w:r>
          </w:p>
        </w:tc>
        <w:tc>
          <w:tcPr>
            <w:tcW w:w="0" w:type="auto"/>
            <w:vAlign w:val="bottom"/>
          </w:tcPr>
          <w:p w14:paraId="21B7A325" w14:textId="03E661EF" w:rsidR="008A6844" w:rsidRPr="000E57E3" w:rsidRDefault="008A6844" w:rsidP="000E57E3">
            <w:pPr>
              <w:pStyle w:val="Tabletext"/>
            </w:pPr>
            <w:r w:rsidRPr="000E57E3">
              <w:t> </w:t>
            </w:r>
          </w:p>
        </w:tc>
        <w:tc>
          <w:tcPr>
            <w:tcW w:w="0" w:type="auto"/>
            <w:vAlign w:val="bottom"/>
          </w:tcPr>
          <w:p w14:paraId="1CFA96E3" w14:textId="3847B2D7" w:rsidR="008A6844" w:rsidRPr="000E57E3" w:rsidRDefault="008A6844" w:rsidP="000E57E3">
            <w:pPr>
              <w:pStyle w:val="Tabletext"/>
            </w:pPr>
            <w:r w:rsidRPr="000E57E3">
              <w:t> </w:t>
            </w:r>
          </w:p>
        </w:tc>
        <w:tc>
          <w:tcPr>
            <w:tcW w:w="0" w:type="auto"/>
            <w:vAlign w:val="bottom"/>
          </w:tcPr>
          <w:p w14:paraId="547B5123" w14:textId="31A4B19B" w:rsidR="008A6844" w:rsidRPr="000E57E3" w:rsidRDefault="008A6844" w:rsidP="000E57E3">
            <w:pPr>
              <w:pStyle w:val="Tabletext"/>
            </w:pPr>
            <w:r w:rsidRPr="000E57E3">
              <w:t> </w:t>
            </w:r>
          </w:p>
        </w:tc>
        <w:tc>
          <w:tcPr>
            <w:tcW w:w="0" w:type="auto"/>
            <w:vAlign w:val="bottom"/>
          </w:tcPr>
          <w:p w14:paraId="19E4A148" w14:textId="163E5670" w:rsidR="008A6844" w:rsidRPr="000E57E3" w:rsidRDefault="008A6844" w:rsidP="000E57E3">
            <w:pPr>
              <w:pStyle w:val="Tabletext"/>
            </w:pPr>
            <w:r w:rsidRPr="000E57E3">
              <w:t> </w:t>
            </w:r>
          </w:p>
        </w:tc>
        <w:tc>
          <w:tcPr>
            <w:tcW w:w="0" w:type="auto"/>
            <w:vAlign w:val="bottom"/>
          </w:tcPr>
          <w:p w14:paraId="730BFA68" w14:textId="7086B2F8" w:rsidR="008A6844" w:rsidRPr="000E57E3" w:rsidRDefault="008A6844" w:rsidP="000E57E3">
            <w:pPr>
              <w:pStyle w:val="Tabletext"/>
            </w:pPr>
            <w:r w:rsidRPr="000E57E3">
              <w:t> </w:t>
            </w:r>
          </w:p>
        </w:tc>
        <w:tc>
          <w:tcPr>
            <w:tcW w:w="0" w:type="auto"/>
            <w:vAlign w:val="bottom"/>
          </w:tcPr>
          <w:p w14:paraId="2D924AEA" w14:textId="7A8CBB57" w:rsidR="008A6844" w:rsidRPr="000E57E3" w:rsidRDefault="008A6844" w:rsidP="000E57E3">
            <w:pPr>
              <w:pStyle w:val="Tabletext"/>
            </w:pPr>
            <w:r w:rsidRPr="000E57E3">
              <w:t> </w:t>
            </w:r>
          </w:p>
        </w:tc>
        <w:tc>
          <w:tcPr>
            <w:tcW w:w="0" w:type="auto"/>
            <w:vAlign w:val="bottom"/>
          </w:tcPr>
          <w:p w14:paraId="6050B278" w14:textId="03FC0480" w:rsidR="008A6844" w:rsidRPr="000E57E3" w:rsidRDefault="008A6844" w:rsidP="000E57E3">
            <w:pPr>
              <w:pStyle w:val="Tabletext"/>
            </w:pPr>
            <w:r w:rsidRPr="000E57E3">
              <w:t> </w:t>
            </w:r>
          </w:p>
        </w:tc>
        <w:tc>
          <w:tcPr>
            <w:tcW w:w="0" w:type="auto"/>
            <w:vAlign w:val="bottom"/>
          </w:tcPr>
          <w:p w14:paraId="12DBA008" w14:textId="76455AC5" w:rsidR="008A6844" w:rsidRPr="000E57E3" w:rsidRDefault="008A6844" w:rsidP="000E57E3">
            <w:pPr>
              <w:pStyle w:val="Tabletext"/>
            </w:pPr>
            <w:r w:rsidRPr="000E57E3">
              <w:t>Exemplar</w:t>
            </w:r>
          </w:p>
        </w:tc>
      </w:tr>
      <w:tr w:rsidR="00776CCE" w:rsidRPr="008A6844" w14:paraId="53B05B6F" w14:textId="77777777" w:rsidTr="00CA44B7">
        <w:tc>
          <w:tcPr>
            <w:tcW w:w="0" w:type="auto"/>
            <w:vAlign w:val="bottom"/>
          </w:tcPr>
          <w:p w14:paraId="2CE6D6EB" w14:textId="2FB08B17" w:rsidR="008A6844" w:rsidRPr="000E57E3" w:rsidRDefault="008A6844" w:rsidP="000E57E3">
            <w:pPr>
              <w:pStyle w:val="Tabletext"/>
            </w:pPr>
            <w:r w:rsidRPr="000E57E3">
              <w:t>IKZF1</w:t>
            </w:r>
          </w:p>
        </w:tc>
        <w:tc>
          <w:tcPr>
            <w:tcW w:w="0" w:type="auto"/>
            <w:vAlign w:val="bottom"/>
          </w:tcPr>
          <w:p w14:paraId="2ECFB19D" w14:textId="22D4BC10" w:rsidR="008A6844" w:rsidRPr="000E57E3" w:rsidRDefault="008A6844" w:rsidP="000E57E3">
            <w:pPr>
              <w:pStyle w:val="Tabletext"/>
            </w:pPr>
            <w:r w:rsidRPr="000E57E3">
              <w:t>Y</w:t>
            </w:r>
          </w:p>
        </w:tc>
        <w:tc>
          <w:tcPr>
            <w:tcW w:w="0" w:type="auto"/>
            <w:vAlign w:val="bottom"/>
          </w:tcPr>
          <w:p w14:paraId="70DDAF5F" w14:textId="563F68F5" w:rsidR="008A6844" w:rsidRPr="000E57E3" w:rsidRDefault="008A6844" w:rsidP="000E57E3">
            <w:pPr>
              <w:pStyle w:val="Tabletext"/>
            </w:pPr>
            <w:r w:rsidRPr="000E57E3">
              <w:t> </w:t>
            </w:r>
          </w:p>
        </w:tc>
        <w:tc>
          <w:tcPr>
            <w:tcW w:w="0" w:type="auto"/>
            <w:vAlign w:val="bottom"/>
          </w:tcPr>
          <w:p w14:paraId="039DB977" w14:textId="59AA7337" w:rsidR="008A6844" w:rsidRPr="000E57E3" w:rsidRDefault="008A6844" w:rsidP="000E57E3">
            <w:pPr>
              <w:pStyle w:val="Tabletext"/>
            </w:pPr>
            <w:r w:rsidRPr="000E57E3">
              <w:t>Y</w:t>
            </w:r>
          </w:p>
        </w:tc>
        <w:tc>
          <w:tcPr>
            <w:tcW w:w="0" w:type="auto"/>
            <w:vAlign w:val="bottom"/>
          </w:tcPr>
          <w:p w14:paraId="54E0B7B6" w14:textId="7B12FA9D" w:rsidR="008A6844" w:rsidRPr="000E57E3" w:rsidRDefault="008A6844" w:rsidP="000E57E3">
            <w:pPr>
              <w:pStyle w:val="Tabletext"/>
            </w:pPr>
            <w:r w:rsidRPr="000E57E3">
              <w:t> </w:t>
            </w:r>
          </w:p>
        </w:tc>
        <w:tc>
          <w:tcPr>
            <w:tcW w:w="0" w:type="auto"/>
            <w:vAlign w:val="bottom"/>
          </w:tcPr>
          <w:p w14:paraId="4BF4A4C5" w14:textId="22255FFC" w:rsidR="008A6844" w:rsidRPr="000E57E3" w:rsidRDefault="008A6844" w:rsidP="000E57E3">
            <w:pPr>
              <w:pStyle w:val="Tabletext"/>
            </w:pPr>
            <w:r w:rsidRPr="000E57E3">
              <w:t>Y</w:t>
            </w:r>
          </w:p>
        </w:tc>
        <w:tc>
          <w:tcPr>
            <w:tcW w:w="0" w:type="auto"/>
            <w:vAlign w:val="bottom"/>
          </w:tcPr>
          <w:p w14:paraId="036209BD" w14:textId="0EDFFF45" w:rsidR="008A6844" w:rsidRPr="000E57E3" w:rsidRDefault="008A6844" w:rsidP="000E57E3">
            <w:pPr>
              <w:pStyle w:val="Tabletext"/>
            </w:pPr>
            <w:r w:rsidRPr="000E57E3">
              <w:t> </w:t>
            </w:r>
          </w:p>
        </w:tc>
        <w:tc>
          <w:tcPr>
            <w:tcW w:w="0" w:type="auto"/>
            <w:vAlign w:val="bottom"/>
          </w:tcPr>
          <w:p w14:paraId="631C47EA" w14:textId="4250C0CD" w:rsidR="008A6844" w:rsidRPr="000E57E3" w:rsidRDefault="008A6844" w:rsidP="000E57E3">
            <w:pPr>
              <w:pStyle w:val="Tabletext"/>
            </w:pPr>
            <w:r w:rsidRPr="000E57E3">
              <w:t>Y</w:t>
            </w:r>
          </w:p>
        </w:tc>
        <w:tc>
          <w:tcPr>
            <w:tcW w:w="0" w:type="auto"/>
            <w:vAlign w:val="bottom"/>
          </w:tcPr>
          <w:p w14:paraId="4EFFB4F2" w14:textId="2F013DEF" w:rsidR="008A6844" w:rsidRPr="000E57E3" w:rsidRDefault="008A6844" w:rsidP="000E57E3">
            <w:pPr>
              <w:pStyle w:val="Tabletext"/>
            </w:pPr>
            <w:r w:rsidRPr="000E57E3">
              <w:t> </w:t>
            </w:r>
          </w:p>
        </w:tc>
        <w:tc>
          <w:tcPr>
            <w:tcW w:w="0" w:type="auto"/>
            <w:vAlign w:val="bottom"/>
          </w:tcPr>
          <w:p w14:paraId="42CD990E" w14:textId="5DB1BBE9" w:rsidR="008A6844" w:rsidRPr="000E57E3" w:rsidRDefault="008A6844" w:rsidP="000E57E3">
            <w:pPr>
              <w:pStyle w:val="Tabletext"/>
            </w:pPr>
            <w:r w:rsidRPr="000E57E3">
              <w:t> </w:t>
            </w:r>
          </w:p>
        </w:tc>
        <w:tc>
          <w:tcPr>
            <w:tcW w:w="0" w:type="auto"/>
            <w:vAlign w:val="bottom"/>
          </w:tcPr>
          <w:p w14:paraId="64759290" w14:textId="0682BB6E" w:rsidR="008A6844" w:rsidRPr="000E57E3" w:rsidRDefault="008A6844" w:rsidP="000E57E3">
            <w:pPr>
              <w:pStyle w:val="Tabletext"/>
            </w:pPr>
            <w:r w:rsidRPr="000E57E3">
              <w:t> </w:t>
            </w:r>
          </w:p>
        </w:tc>
        <w:tc>
          <w:tcPr>
            <w:tcW w:w="0" w:type="auto"/>
            <w:vAlign w:val="bottom"/>
          </w:tcPr>
          <w:p w14:paraId="0D848E69" w14:textId="605D2002" w:rsidR="008A6844" w:rsidRPr="000E57E3" w:rsidRDefault="008A6844" w:rsidP="000E57E3">
            <w:pPr>
              <w:pStyle w:val="Tabletext"/>
            </w:pPr>
            <w:r w:rsidRPr="000E57E3">
              <w:t>Y</w:t>
            </w:r>
          </w:p>
        </w:tc>
        <w:tc>
          <w:tcPr>
            <w:tcW w:w="0" w:type="auto"/>
            <w:vAlign w:val="bottom"/>
          </w:tcPr>
          <w:p w14:paraId="3157FB6E" w14:textId="6FA1DDA4" w:rsidR="008A6844" w:rsidRPr="000E57E3" w:rsidRDefault="008A6844" w:rsidP="000E57E3">
            <w:pPr>
              <w:pStyle w:val="Tabletext"/>
            </w:pPr>
            <w:r w:rsidRPr="000E57E3">
              <w:t>Exemplar</w:t>
            </w:r>
          </w:p>
        </w:tc>
      </w:tr>
      <w:tr w:rsidR="00776CCE" w:rsidRPr="008A6844" w14:paraId="33A9DEB6" w14:textId="77777777" w:rsidTr="00CA44B7">
        <w:tc>
          <w:tcPr>
            <w:tcW w:w="0" w:type="auto"/>
            <w:vAlign w:val="bottom"/>
          </w:tcPr>
          <w:p w14:paraId="63B02830" w14:textId="16D1B267" w:rsidR="008A6844" w:rsidRPr="000E57E3" w:rsidRDefault="008A6844" w:rsidP="000E57E3">
            <w:pPr>
              <w:pStyle w:val="Tabletext"/>
            </w:pPr>
            <w:r w:rsidRPr="000E57E3">
              <w:t>JAK1</w:t>
            </w:r>
          </w:p>
        </w:tc>
        <w:tc>
          <w:tcPr>
            <w:tcW w:w="0" w:type="auto"/>
            <w:vAlign w:val="bottom"/>
          </w:tcPr>
          <w:p w14:paraId="7802B1D8" w14:textId="05B5DB6F" w:rsidR="008A6844" w:rsidRPr="000E57E3" w:rsidRDefault="008A6844" w:rsidP="000E57E3">
            <w:pPr>
              <w:pStyle w:val="Tabletext"/>
            </w:pPr>
            <w:r w:rsidRPr="000E57E3">
              <w:t>Y</w:t>
            </w:r>
          </w:p>
        </w:tc>
        <w:tc>
          <w:tcPr>
            <w:tcW w:w="0" w:type="auto"/>
            <w:vAlign w:val="bottom"/>
          </w:tcPr>
          <w:p w14:paraId="1A6DA7B4" w14:textId="2CAFE5C7" w:rsidR="008A6844" w:rsidRPr="000E57E3" w:rsidRDefault="008A6844" w:rsidP="000E57E3">
            <w:pPr>
              <w:pStyle w:val="Tabletext"/>
            </w:pPr>
            <w:r w:rsidRPr="000E57E3">
              <w:t> </w:t>
            </w:r>
          </w:p>
        </w:tc>
        <w:tc>
          <w:tcPr>
            <w:tcW w:w="0" w:type="auto"/>
            <w:vAlign w:val="bottom"/>
          </w:tcPr>
          <w:p w14:paraId="7BC75E28" w14:textId="730EBC76" w:rsidR="008A6844" w:rsidRPr="000E57E3" w:rsidRDefault="008A6844" w:rsidP="000E57E3">
            <w:pPr>
              <w:pStyle w:val="Tabletext"/>
            </w:pPr>
            <w:r w:rsidRPr="000E57E3">
              <w:t> </w:t>
            </w:r>
          </w:p>
        </w:tc>
        <w:tc>
          <w:tcPr>
            <w:tcW w:w="0" w:type="auto"/>
            <w:vAlign w:val="bottom"/>
          </w:tcPr>
          <w:p w14:paraId="2A742675" w14:textId="1760EB6A" w:rsidR="008A6844" w:rsidRPr="000E57E3" w:rsidRDefault="008A6844" w:rsidP="000E57E3">
            <w:pPr>
              <w:pStyle w:val="Tabletext"/>
            </w:pPr>
            <w:r w:rsidRPr="000E57E3">
              <w:t> </w:t>
            </w:r>
          </w:p>
        </w:tc>
        <w:tc>
          <w:tcPr>
            <w:tcW w:w="0" w:type="auto"/>
            <w:vAlign w:val="bottom"/>
          </w:tcPr>
          <w:p w14:paraId="44F42F25" w14:textId="7C33EE63" w:rsidR="008A6844" w:rsidRPr="000E57E3" w:rsidRDefault="008A6844" w:rsidP="000E57E3">
            <w:pPr>
              <w:pStyle w:val="Tabletext"/>
            </w:pPr>
            <w:r w:rsidRPr="000E57E3">
              <w:t> </w:t>
            </w:r>
          </w:p>
        </w:tc>
        <w:tc>
          <w:tcPr>
            <w:tcW w:w="0" w:type="auto"/>
            <w:vAlign w:val="bottom"/>
          </w:tcPr>
          <w:p w14:paraId="66C173B5" w14:textId="6F4D4499" w:rsidR="008A6844" w:rsidRPr="000E57E3" w:rsidRDefault="008A6844" w:rsidP="000E57E3">
            <w:pPr>
              <w:pStyle w:val="Tabletext"/>
            </w:pPr>
            <w:r w:rsidRPr="000E57E3">
              <w:t> </w:t>
            </w:r>
          </w:p>
        </w:tc>
        <w:tc>
          <w:tcPr>
            <w:tcW w:w="0" w:type="auto"/>
            <w:vAlign w:val="bottom"/>
          </w:tcPr>
          <w:p w14:paraId="2680DBB8" w14:textId="024D8C82" w:rsidR="008A6844" w:rsidRPr="000E57E3" w:rsidRDefault="008A6844" w:rsidP="000E57E3">
            <w:pPr>
              <w:pStyle w:val="Tabletext"/>
            </w:pPr>
            <w:r w:rsidRPr="000E57E3">
              <w:t>Y</w:t>
            </w:r>
          </w:p>
        </w:tc>
        <w:tc>
          <w:tcPr>
            <w:tcW w:w="0" w:type="auto"/>
            <w:vAlign w:val="bottom"/>
          </w:tcPr>
          <w:p w14:paraId="3879EA13" w14:textId="7414127E" w:rsidR="008A6844" w:rsidRPr="000E57E3" w:rsidRDefault="008A6844" w:rsidP="000E57E3">
            <w:pPr>
              <w:pStyle w:val="Tabletext"/>
            </w:pPr>
            <w:r w:rsidRPr="000E57E3">
              <w:t> </w:t>
            </w:r>
          </w:p>
        </w:tc>
        <w:tc>
          <w:tcPr>
            <w:tcW w:w="0" w:type="auto"/>
            <w:vAlign w:val="bottom"/>
          </w:tcPr>
          <w:p w14:paraId="3815B8A3" w14:textId="41165F9D" w:rsidR="008A6844" w:rsidRPr="000E57E3" w:rsidRDefault="008A6844" w:rsidP="000E57E3">
            <w:pPr>
              <w:pStyle w:val="Tabletext"/>
            </w:pPr>
            <w:r w:rsidRPr="000E57E3">
              <w:t> </w:t>
            </w:r>
          </w:p>
        </w:tc>
        <w:tc>
          <w:tcPr>
            <w:tcW w:w="0" w:type="auto"/>
            <w:vAlign w:val="bottom"/>
          </w:tcPr>
          <w:p w14:paraId="345927F9" w14:textId="125EF3E9" w:rsidR="008A6844" w:rsidRPr="000E57E3" w:rsidRDefault="008A6844" w:rsidP="000E57E3">
            <w:pPr>
              <w:pStyle w:val="Tabletext"/>
            </w:pPr>
            <w:r w:rsidRPr="000E57E3">
              <w:t> </w:t>
            </w:r>
          </w:p>
        </w:tc>
        <w:tc>
          <w:tcPr>
            <w:tcW w:w="0" w:type="auto"/>
            <w:vAlign w:val="bottom"/>
          </w:tcPr>
          <w:p w14:paraId="5B5F3E5E" w14:textId="5FBFFE5F" w:rsidR="008A6844" w:rsidRPr="000E57E3" w:rsidRDefault="008A6844" w:rsidP="000E57E3">
            <w:pPr>
              <w:pStyle w:val="Tabletext"/>
            </w:pPr>
            <w:r w:rsidRPr="000E57E3">
              <w:t> </w:t>
            </w:r>
          </w:p>
        </w:tc>
        <w:tc>
          <w:tcPr>
            <w:tcW w:w="0" w:type="auto"/>
            <w:vAlign w:val="bottom"/>
          </w:tcPr>
          <w:p w14:paraId="6FE87DDA" w14:textId="638E5C59" w:rsidR="008A6844" w:rsidRPr="000E57E3" w:rsidRDefault="008A6844" w:rsidP="000E57E3">
            <w:pPr>
              <w:pStyle w:val="Tabletext"/>
            </w:pPr>
            <w:r w:rsidRPr="000E57E3">
              <w:t>Exemplar</w:t>
            </w:r>
          </w:p>
        </w:tc>
      </w:tr>
      <w:tr w:rsidR="00776CCE" w:rsidRPr="008A6844" w14:paraId="12C3229F" w14:textId="77777777" w:rsidTr="00CA44B7">
        <w:tc>
          <w:tcPr>
            <w:tcW w:w="0" w:type="auto"/>
            <w:vAlign w:val="bottom"/>
          </w:tcPr>
          <w:p w14:paraId="797F89F7" w14:textId="6313E894" w:rsidR="008A6844" w:rsidRPr="000E57E3" w:rsidRDefault="008A6844" w:rsidP="000E57E3">
            <w:pPr>
              <w:pStyle w:val="Tabletext"/>
            </w:pPr>
            <w:r w:rsidRPr="000E57E3">
              <w:lastRenderedPageBreak/>
              <w:t>JAK2</w:t>
            </w:r>
          </w:p>
        </w:tc>
        <w:tc>
          <w:tcPr>
            <w:tcW w:w="0" w:type="auto"/>
            <w:vAlign w:val="bottom"/>
          </w:tcPr>
          <w:p w14:paraId="2CDCBD3F" w14:textId="0DCE6629" w:rsidR="008A6844" w:rsidRPr="000E57E3" w:rsidRDefault="008A6844" w:rsidP="000E57E3">
            <w:pPr>
              <w:pStyle w:val="Tabletext"/>
            </w:pPr>
            <w:r w:rsidRPr="000E57E3">
              <w:t>Y</w:t>
            </w:r>
          </w:p>
        </w:tc>
        <w:tc>
          <w:tcPr>
            <w:tcW w:w="0" w:type="auto"/>
            <w:vAlign w:val="bottom"/>
          </w:tcPr>
          <w:p w14:paraId="2B54DEBF" w14:textId="4231F80E" w:rsidR="008A6844" w:rsidRPr="000E57E3" w:rsidRDefault="008A6844" w:rsidP="000E57E3">
            <w:pPr>
              <w:pStyle w:val="Tabletext"/>
            </w:pPr>
            <w:r w:rsidRPr="000E57E3">
              <w:t> </w:t>
            </w:r>
          </w:p>
        </w:tc>
        <w:tc>
          <w:tcPr>
            <w:tcW w:w="0" w:type="auto"/>
            <w:vAlign w:val="bottom"/>
          </w:tcPr>
          <w:p w14:paraId="71F21C73" w14:textId="1205FDAA" w:rsidR="008A6844" w:rsidRPr="000E57E3" w:rsidRDefault="008A6844" w:rsidP="000E57E3">
            <w:pPr>
              <w:pStyle w:val="Tabletext"/>
            </w:pPr>
            <w:r w:rsidRPr="000E57E3">
              <w:t>Y</w:t>
            </w:r>
          </w:p>
        </w:tc>
        <w:tc>
          <w:tcPr>
            <w:tcW w:w="0" w:type="auto"/>
            <w:vAlign w:val="bottom"/>
          </w:tcPr>
          <w:p w14:paraId="703A6A86" w14:textId="0AE12EAA" w:rsidR="008A6844" w:rsidRPr="000E57E3" w:rsidRDefault="008A6844" w:rsidP="000E57E3">
            <w:pPr>
              <w:pStyle w:val="Tabletext"/>
            </w:pPr>
            <w:r w:rsidRPr="000E57E3">
              <w:t> </w:t>
            </w:r>
          </w:p>
        </w:tc>
        <w:tc>
          <w:tcPr>
            <w:tcW w:w="0" w:type="auto"/>
            <w:vAlign w:val="bottom"/>
          </w:tcPr>
          <w:p w14:paraId="0C159589" w14:textId="7BC7E34E" w:rsidR="008A6844" w:rsidRPr="000E57E3" w:rsidRDefault="008A6844" w:rsidP="000E57E3">
            <w:pPr>
              <w:pStyle w:val="Tabletext"/>
            </w:pPr>
            <w:r w:rsidRPr="000E57E3">
              <w:t>Y</w:t>
            </w:r>
          </w:p>
        </w:tc>
        <w:tc>
          <w:tcPr>
            <w:tcW w:w="0" w:type="auto"/>
            <w:vAlign w:val="bottom"/>
          </w:tcPr>
          <w:p w14:paraId="3316702D" w14:textId="3E682657" w:rsidR="008A6844" w:rsidRPr="000E57E3" w:rsidRDefault="008A6844" w:rsidP="000E57E3">
            <w:pPr>
              <w:pStyle w:val="Tabletext"/>
            </w:pPr>
            <w:r w:rsidRPr="000E57E3">
              <w:t> </w:t>
            </w:r>
          </w:p>
        </w:tc>
        <w:tc>
          <w:tcPr>
            <w:tcW w:w="0" w:type="auto"/>
            <w:vAlign w:val="bottom"/>
          </w:tcPr>
          <w:p w14:paraId="7EDA4C28" w14:textId="3C93ACF3" w:rsidR="008A6844" w:rsidRPr="000E57E3" w:rsidRDefault="008A6844" w:rsidP="000E57E3">
            <w:pPr>
              <w:pStyle w:val="Tabletext"/>
            </w:pPr>
            <w:r w:rsidRPr="000E57E3">
              <w:t>Y</w:t>
            </w:r>
          </w:p>
        </w:tc>
        <w:tc>
          <w:tcPr>
            <w:tcW w:w="0" w:type="auto"/>
            <w:vAlign w:val="bottom"/>
          </w:tcPr>
          <w:p w14:paraId="17A88442" w14:textId="085EBBD9" w:rsidR="008A6844" w:rsidRPr="000E57E3" w:rsidRDefault="008A6844" w:rsidP="000E57E3">
            <w:pPr>
              <w:pStyle w:val="Tabletext"/>
            </w:pPr>
            <w:r w:rsidRPr="000E57E3">
              <w:t> </w:t>
            </w:r>
          </w:p>
        </w:tc>
        <w:tc>
          <w:tcPr>
            <w:tcW w:w="0" w:type="auto"/>
            <w:vAlign w:val="bottom"/>
          </w:tcPr>
          <w:p w14:paraId="36E696D8" w14:textId="355937F1" w:rsidR="008A6844" w:rsidRPr="000E57E3" w:rsidRDefault="008A6844" w:rsidP="000E57E3">
            <w:pPr>
              <w:pStyle w:val="Tabletext"/>
            </w:pPr>
            <w:r w:rsidRPr="000E57E3">
              <w:t>Y</w:t>
            </w:r>
          </w:p>
        </w:tc>
        <w:tc>
          <w:tcPr>
            <w:tcW w:w="0" w:type="auto"/>
            <w:vAlign w:val="bottom"/>
          </w:tcPr>
          <w:p w14:paraId="47359F28" w14:textId="3AC3F6A9" w:rsidR="008A6844" w:rsidRPr="000E57E3" w:rsidRDefault="008A6844" w:rsidP="000E57E3">
            <w:pPr>
              <w:pStyle w:val="Tabletext"/>
            </w:pPr>
            <w:r w:rsidRPr="000E57E3">
              <w:t> </w:t>
            </w:r>
          </w:p>
        </w:tc>
        <w:tc>
          <w:tcPr>
            <w:tcW w:w="0" w:type="auto"/>
            <w:vAlign w:val="bottom"/>
          </w:tcPr>
          <w:p w14:paraId="6F278E55" w14:textId="0ADA90A2" w:rsidR="008A6844" w:rsidRPr="000E57E3" w:rsidRDefault="008A6844" w:rsidP="000E57E3">
            <w:pPr>
              <w:pStyle w:val="Tabletext"/>
            </w:pPr>
            <w:r w:rsidRPr="000E57E3">
              <w:t>Y</w:t>
            </w:r>
          </w:p>
        </w:tc>
        <w:tc>
          <w:tcPr>
            <w:tcW w:w="0" w:type="auto"/>
            <w:vAlign w:val="bottom"/>
          </w:tcPr>
          <w:p w14:paraId="5B8C33AF" w14:textId="7DEB4527" w:rsidR="008A6844" w:rsidRPr="000E57E3" w:rsidRDefault="008A6844" w:rsidP="000E57E3">
            <w:pPr>
              <w:pStyle w:val="Tabletext"/>
            </w:pPr>
            <w:r w:rsidRPr="000E57E3">
              <w:t>Exemplar</w:t>
            </w:r>
          </w:p>
        </w:tc>
      </w:tr>
      <w:tr w:rsidR="00776CCE" w:rsidRPr="008A6844" w14:paraId="03065734" w14:textId="77777777" w:rsidTr="00CA44B7">
        <w:tc>
          <w:tcPr>
            <w:tcW w:w="0" w:type="auto"/>
            <w:vAlign w:val="bottom"/>
          </w:tcPr>
          <w:p w14:paraId="100E3C20" w14:textId="254C2369" w:rsidR="008A6844" w:rsidRPr="000E57E3" w:rsidRDefault="008A6844" w:rsidP="000E57E3">
            <w:pPr>
              <w:pStyle w:val="Tabletext"/>
            </w:pPr>
            <w:r w:rsidRPr="000E57E3">
              <w:t>JAK3</w:t>
            </w:r>
          </w:p>
        </w:tc>
        <w:tc>
          <w:tcPr>
            <w:tcW w:w="0" w:type="auto"/>
            <w:vAlign w:val="bottom"/>
          </w:tcPr>
          <w:p w14:paraId="0D255B24" w14:textId="74F72B7D" w:rsidR="008A6844" w:rsidRPr="000E57E3" w:rsidRDefault="008A6844" w:rsidP="000E57E3">
            <w:pPr>
              <w:pStyle w:val="Tabletext"/>
            </w:pPr>
            <w:r w:rsidRPr="000E57E3">
              <w:t>Y</w:t>
            </w:r>
          </w:p>
        </w:tc>
        <w:tc>
          <w:tcPr>
            <w:tcW w:w="0" w:type="auto"/>
            <w:vAlign w:val="bottom"/>
          </w:tcPr>
          <w:p w14:paraId="6D261A70" w14:textId="494C6208" w:rsidR="008A6844" w:rsidRPr="000E57E3" w:rsidRDefault="008A6844" w:rsidP="000E57E3">
            <w:pPr>
              <w:pStyle w:val="Tabletext"/>
            </w:pPr>
            <w:r w:rsidRPr="000E57E3">
              <w:t> </w:t>
            </w:r>
          </w:p>
        </w:tc>
        <w:tc>
          <w:tcPr>
            <w:tcW w:w="0" w:type="auto"/>
            <w:vAlign w:val="bottom"/>
          </w:tcPr>
          <w:p w14:paraId="69D13AE3" w14:textId="12599E0F" w:rsidR="008A6844" w:rsidRPr="000E57E3" w:rsidRDefault="008A6844" w:rsidP="000E57E3">
            <w:pPr>
              <w:pStyle w:val="Tabletext"/>
            </w:pPr>
            <w:r w:rsidRPr="000E57E3">
              <w:t>Y</w:t>
            </w:r>
          </w:p>
        </w:tc>
        <w:tc>
          <w:tcPr>
            <w:tcW w:w="0" w:type="auto"/>
            <w:vAlign w:val="bottom"/>
          </w:tcPr>
          <w:p w14:paraId="1ACD0E94" w14:textId="13114E10" w:rsidR="008A6844" w:rsidRPr="000E57E3" w:rsidRDefault="008A6844" w:rsidP="000E57E3">
            <w:pPr>
              <w:pStyle w:val="Tabletext"/>
            </w:pPr>
            <w:r w:rsidRPr="000E57E3">
              <w:t> </w:t>
            </w:r>
          </w:p>
        </w:tc>
        <w:tc>
          <w:tcPr>
            <w:tcW w:w="0" w:type="auto"/>
            <w:vAlign w:val="bottom"/>
          </w:tcPr>
          <w:p w14:paraId="47B4FDC3" w14:textId="19EC8086" w:rsidR="008A6844" w:rsidRPr="000E57E3" w:rsidRDefault="008A6844" w:rsidP="000E57E3">
            <w:pPr>
              <w:pStyle w:val="Tabletext"/>
            </w:pPr>
            <w:r w:rsidRPr="000E57E3">
              <w:t> </w:t>
            </w:r>
          </w:p>
        </w:tc>
        <w:tc>
          <w:tcPr>
            <w:tcW w:w="0" w:type="auto"/>
            <w:vAlign w:val="bottom"/>
          </w:tcPr>
          <w:p w14:paraId="0577EBF3" w14:textId="210B5DD0" w:rsidR="008A6844" w:rsidRPr="000E57E3" w:rsidRDefault="008A6844" w:rsidP="000E57E3">
            <w:pPr>
              <w:pStyle w:val="Tabletext"/>
            </w:pPr>
            <w:r w:rsidRPr="000E57E3">
              <w:t> </w:t>
            </w:r>
          </w:p>
        </w:tc>
        <w:tc>
          <w:tcPr>
            <w:tcW w:w="0" w:type="auto"/>
            <w:vAlign w:val="bottom"/>
          </w:tcPr>
          <w:p w14:paraId="64A36F0A" w14:textId="4C1AB2D4" w:rsidR="008A6844" w:rsidRPr="000E57E3" w:rsidRDefault="008A6844" w:rsidP="000E57E3">
            <w:pPr>
              <w:pStyle w:val="Tabletext"/>
            </w:pPr>
            <w:r w:rsidRPr="000E57E3">
              <w:t>Y</w:t>
            </w:r>
          </w:p>
        </w:tc>
        <w:tc>
          <w:tcPr>
            <w:tcW w:w="0" w:type="auto"/>
            <w:vAlign w:val="bottom"/>
          </w:tcPr>
          <w:p w14:paraId="6CE7C173" w14:textId="374B46AF" w:rsidR="008A6844" w:rsidRPr="000E57E3" w:rsidRDefault="008A6844" w:rsidP="000E57E3">
            <w:pPr>
              <w:pStyle w:val="Tabletext"/>
            </w:pPr>
            <w:r w:rsidRPr="000E57E3">
              <w:t> </w:t>
            </w:r>
          </w:p>
        </w:tc>
        <w:tc>
          <w:tcPr>
            <w:tcW w:w="0" w:type="auto"/>
            <w:vAlign w:val="bottom"/>
          </w:tcPr>
          <w:p w14:paraId="11F54B6C" w14:textId="5DE36EFB" w:rsidR="008A6844" w:rsidRPr="000E57E3" w:rsidRDefault="008A6844" w:rsidP="000E57E3">
            <w:pPr>
              <w:pStyle w:val="Tabletext"/>
            </w:pPr>
            <w:r w:rsidRPr="000E57E3">
              <w:t> </w:t>
            </w:r>
          </w:p>
        </w:tc>
        <w:tc>
          <w:tcPr>
            <w:tcW w:w="0" w:type="auto"/>
            <w:vAlign w:val="bottom"/>
          </w:tcPr>
          <w:p w14:paraId="0A5B1E6B" w14:textId="792570FE" w:rsidR="008A6844" w:rsidRPr="000E57E3" w:rsidRDefault="008A6844" w:rsidP="000E57E3">
            <w:pPr>
              <w:pStyle w:val="Tabletext"/>
            </w:pPr>
            <w:r w:rsidRPr="000E57E3">
              <w:t>Y</w:t>
            </w:r>
          </w:p>
        </w:tc>
        <w:tc>
          <w:tcPr>
            <w:tcW w:w="0" w:type="auto"/>
            <w:vAlign w:val="bottom"/>
          </w:tcPr>
          <w:p w14:paraId="64AA9A7A" w14:textId="2C6CAA00" w:rsidR="008A6844" w:rsidRPr="000E57E3" w:rsidRDefault="008A6844" w:rsidP="000E57E3">
            <w:pPr>
              <w:pStyle w:val="Tabletext"/>
            </w:pPr>
            <w:r w:rsidRPr="000E57E3">
              <w:t>Y</w:t>
            </w:r>
          </w:p>
        </w:tc>
        <w:tc>
          <w:tcPr>
            <w:tcW w:w="0" w:type="auto"/>
            <w:vAlign w:val="bottom"/>
          </w:tcPr>
          <w:p w14:paraId="7FF52F94" w14:textId="5FC280DD" w:rsidR="008A6844" w:rsidRPr="000E57E3" w:rsidRDefault="008A6844" w:rsidP="000E57E3">
            <w:pPr>
              <w:pStyle w:val="Tabletext"/>
            </w:pPr>
            <w:r w:rsidRPr="000E57E3">
              <w:t>Exemplar</w:t>
            </w:r>
          </w:p>
        </w:tc>
      </w:tr>
      <w:tr w:rsidR="00776CCE" w:rsidRPr="008A6844" w14:paraId="2E819B8C" w14:textId="77777777" w:rsidTr="00CA44B7">
        <w:tc>
          <w:tcPr>
            <w:tcW w:w="0" w:type="auto"/>
            <w:vAlign w:val="bottom"/>
          </w:tcPr>
          <w:p w14:paraId="68493B51" w14:textId="3D3903B4" w:rsidR="008A6844" w:rsidRPr="000E57E3" w:rsidRDefault="008A6844" w:rsidP="000E57E3">
            <w:pPr>
              <w:pStyle w:val="Tabletext"/>
            </w:pPr>
            <w:r w:rsidRPr="000E57E3">
              <w:t>KIT</w:t>
            </w:r>
          </w:p>
        </w:tc>
        <w:tc>
          <w:tcPr>
            <w:tcW w:w="0" w:type="auto"/>
            <w:vAlign w:val="bottom"/>
          </w:tcPr>
          <w:p w14:paraId="5C75740E" w14:textId="4F4FF2EC" w:rsidR="008A6844" w:rsidRPr="000E57E3" w:rsidRDefault="008A6844" w:rsidP="000E57E3">
            <w:pPr>
              <w:pStyle w:val="Tabletext"/>
            </w:pPr>
            <w:r w:rsidRPr="000E57E3">
              <w:t>Y</w:t>
            </w:r>
          </w:p>
        </w:tc>
        <w:tc>
          <w:tcPr>
            <w:tcW w:w="0" w:type="auto"/>
            <w:vAlign w:val="bottom"/>
          </w:tcPr>
          <w:p w14:paraId="20F230ED" w14:textId="49271C1A" w:rsidR="008A6844" w:rsidRPr="000E57E3" w:rsidRDefault="008A6844" w:rsidP="000E57E3">
            <w:pPr>
              <w:pStyle w:val="Tabletext"/>
            </w:pPr>
            <w:r w:rsidRPr="000E57E3">
              <w:t> </w:t>
            </w:r>
          </w:p>
        </w:tc>
        <w:tc>
          <w:tcPr>
            <w:tcW w:w="0" w:type="auto"/>
            <w:vAlign w:val="bottom"/>
          </w:tcPr>
          <w:p w14:paraId="064BC6E6" w14:textId="7C6DFF83" w:rsidR="008A6844" w:rsidRPr="000E57E3" w:rsidRDefault="008A6844" w:rsidP="000E57E3">
            <w:pPr>
              <w:pStyle w:val="Tabletext"/>
            </w:pPr>
            <w:r w:rsidRPr="000E57E3">
              <w:t>Y</w:t>
            </w:r>
          </w:p>
        </w:tc>
        <w:tc>
          <w:tcPr>
            <w:tcW w:w="0" w:type="auto"/>
            <w:vAlign w:val="bottom"/>
          </w:tcPr>
          <w:p w14:paraId="241A0E05" w14:textId="22F03E47" w:rsidR="008A6844" w:rsidRPr="000E57E3" w:rsidRDefault="008A6844" w:rsidP="000E57E3">
            <w:pPr>
              <w:pStyle w:val="Tabletext"/>
            </w:pPr>
            <w:r w:rsidRPr="000E57E3">
              <w:t> </w:t>
            </w:r>
          </w:p>
        </w:tc>
        <w:tc>
          <w:tcPr>
            <w:tcW w:w="0" w:type="auto"/>
            <w:vAlign w:val="bottom"/>
          </w:tcPr>
          <w:p w14:paraId="16988C98" w14:textId="7591DCAB" w:rsidR="008A6844" w:rsidRPr="000E57E3" w:rsidRDefault="008A6844" w:rsidP="000E57E3">
            <w:pPr>
              <w:pStyle w:val="Tabletext"/>
            </w:pPr>
            <w:r w:rsidRPr="000E57E3">
              <w:t>Y</w:t>
            </w:r>
          </w:p>
        </w:tc>
        <w:tc>
          <w:tcPr>
            <w:tcW w:w="0" w:type="auto"/>
            <w:vAlign w:val="bottom"/>
          </w:tcPr>
          <w:p w14:paraId="75564E3A" w14:textId="77CB72C5" w:rsidR="008A6844" w:rsidRPr="000E57E3" w:rsidRDefault="008A6844" w:rsidP="000E57E3">
            <w:pPr>
              <w:pStyle w:val="Tabletext"/>
            </w:pPr>
            <w:r w:rsidRPr="000E57E3">
              <w:t> </w:t>
            </w:r>
          </w:p>
        </w:tc>
        <w:tc>
          <w:tcPr>
            <w:tcW w:w="0" w:type="auto"/>
            <w:vAlign w:val="bottom"/>
          </w:tcPr>
          <w:p w14:paraId="0B03EAF4" w14:textId="52FEEA13" w:rsidR="008A6844" w:rsidRPr="000E57E3" w:rsidRDefault="008A6844" w:rsidP="000E57E3">
            <w:pPr>
              <w:pStyle w:val="Tabletext"/>
            </w:pPr>
            <w:r w:rsidRPr="000E57E3">
              <w:t>Y</w:t>
            </w:r>
          </w:p>
        </w:tc>
        <w:tc>
          <w:tcPr>
            <w:tcW w:w="0" w:type="auto"/>
            <w:vAlign w:val="bottom"/>
          </w:tcPr>
          <w:p w14:paraId="30594B10" w14:textId="1866B425" w:rsidR="008A6844" w:rsidRPr="000E57E3" w:rsidRDefault="008A6844" w:rsidP="000E57E3">
            <w:pPr>
              <w:pStyle w:val="Tabletext"/>
            </w:pPr>
            <w:r w:rsidRPr="000E57E3">
              <w:t> </w:t>
            </w:r>
          </w:p>
        </w:tc>
        <w:tc>
          <w:tcPr>
            <w:tcW w:w="0" w:type="auto"/>
            <w:vAlign w:val="bottom"/>
          </w:tcPr>
          <w:p w14:paraId="6CA17608" w14:textId="3719AFBB" w:rsidR="008A6844" w:rsidRPr="000E57E3" w:rsidRDefault="008A6844" w:rsidP="000E57E3">
            <w:pPr>
              <w:pStyle w:val="Tabletext"/>
            </w:pPr>
            <w:r w:rsidRPr="000E57E3">
              <w:t>Y</w:t>
            </w:r>
          </w:p>
        </w:tc>
        <w:tc>
          <w:tcPr>
            <w:tcW w:w="0" w:type="auto"/>
            <w:vAlign w:val="bottom"/>
          </w:tcPr>
          <w:p w14:paraId="093A0D37" w14:textId="6F776CED" w:rsidR="008A6844" w:rsidRPr="000E57E3" w:rsidRDefault="008A6844" w:rsidP="000E57E3">
            <w:pPr>
              <w:pStyle w:val="Tabletext"/>
            </w:pPr>
            <w:r w:rsidRPr="000E57E3">
              <w:t> </w:t>
            </w:r>
          </w:p>
        </w:tc>
        <w:tc>
          <w:tcPr>
            <w:tcW w:w="0" w:type="auto"/>
            <w:vAlign w:val="bottom"/>
          </w:tcPr>
          <w:p w14:paraId="1319B7A6" w14:textId="539AB1B0" w:rsidR="008A6844" w:rsidRPr="000E57E3" w:rsidRDefault="008A6844" w:rsidP="000E57E3">
            <w:pPr>
              <w:pStyle w:val="Tabletext"/>
            </w:pPr>
            <w:r w:rsidRPr="000E57E3">
              <w:t>Y</w:t>
            </w:r>
          </w:p>
        </w:tc>
        <w:tc>
          <w:tcPr>
            <w:tcW w:w="0" w:type="auto"/>
            <w:vAlign w:val="bottom"/>
          </w:tcPr>
          <w:p w14:paraId="5CA7056A" w14:textId="709F94DC" w:rsidR="008A6844" w:rsidRPr="000E57E3" w:rsidRDefault="008A6844" w:rsidP="000E57E3">
            <w:pPr>
              <w:pStyle w:val="Tabletext"/>
            </w:pPr>
            <w:r w:rsidRPr="000E57E3">
              <w:t>Exemplar</w:t>
            </w:r>
          </w:p>
        </w:tc>
      </w:tr>
      <w:tr w:rsidR="00776CCE" w:rsidRPr="008A6844" w14:paraId="673E8534" w14:textId="77777777" w:rsidTr="00CA44B7">
        <w:tc>
          <w:tcPr>
            <w:tcW w:w="0" w:type="auto"/>
            <w:vAlign w:val="bottom"/>
          </w:tcPr>
          <w:p w14:paraId="6F7CBCCD" w14:textId="6489084F" w:rsidR="008A6844" w:rsidRPr="000E57E3" w:rsidRDefault="008A6844" w:rsidP="000E57E3">
            <w:pPr>
              <w:pStyle w:val="Tabletext"/>
            </w:pPr>
            <w:r w:rsidRPr="000E57E3">
              <w:t>KMT2A</w:t>
            </w:r>
          </w:p>
        </w:tc>
        <w:tc>
          <w:tcPr>
            <w:tcW w:w="0" w:type="auto"/>
            <w:vAlign w:val="bottom"/>
          </w:tcPr>
          <w:p w14:paraId="1F63E6C8" w14:textId="7810B888" w:rsidR="008A6844" w:rsidRPr="000E57E3" w:rsidRDefault="008A6844" w:rsidP="000E57E3">
            <w:pPr>
              <w:pStyle w:val="Tabletext"/>
            </w:pPr>
            <w:r w:rsidRPr="000E57E3">
              <w:t> </w:t>
            </w:r>
          </w:p>
        </w:tc>
        <w:tc>
          <w:tcPr>
            <w:tcW w:w="0" w:type="auto"/>
            <w:vAlign w:val="bottom"/>
          </w:tcPr>
          <w:p w14:paraId="5699461F" w14:textId="34842095" w:rsidR="008A6844" w:rsidRPr="000E57E3" w:rsidRDefault="008A6844" w:rsidP="000E57E3">
            <w:pPr>
              <w:pStyle w:val="Tabletext"/>
            </w:pPr>
            <w:r w:rsidRPr="000E57E3">
              <w:t>Y</w:t>
            </w:r>
          </w:p>
        </w:tc>
        <w:tc>
          <w:tcPr>
            <w:tcW w:w="0" w:type="auto"/>
            <w:vAlign w:val="bottom"/>
          </w:tcPr>
          <w:p w14:paraId="5123E755" w14:textId="4BE2D29D" w:rsidR="008A6844" w:rsidRPr="000E57E3" w:rsidRDefault="008A6844" w:rsidP="000E57E3">
            <w:pPr>
              <w:pStyle w:val="Tabletext"/>
            </w:pPr>
            <w:r w:rsidRPr="000E57E3">
              <w:t>Y</w:t>
            </w:r>
          </w:p>
        </w:tc>
        <w:tc>
          <w:tcPr>
            <w:tcW w:w="0" w:type="auto"/>
            <w:vAlign w:val="bottom"/>
          </w:tcPr>
          <w:p w14:paraId="696E7A13" w14:textId="57B6ACBF" w:rsidR="008A6844" w:rsidRPr="000E57E3" w:rsidRDefault="008A6844" w:rsidP="000E57E3">
            <w:pPr>
              <w:pStyle w:val="Tabletext"/>
            </w:pPr>
            <w:r w:rsidRPr="000E57E3">
              <w:t> </w:t>
            </w:r>
          </w:p>
        </w:tc>
        <w:tc>
          <w:tcPr>
            <w:tcW w:w="0" w:type="auto"/>
            <w:vAlign w:val="bottom"/>
          </w:tcPr>
          <w:p w14:paraId="4E4E0EB5" w14:textId="160E01D1" w:rsidR="008A6844" w:rsidRPr="000E57E3" w:rsidRDefault="008A6844" w:rsidP="000E57E3">
            <w:pPr>
              <w:pStyle w:val="Tabletext"/>
            </w:pPr>
            <w:r w:rsidRPr="000E57E3">
              <w:t>Y</w:t>
            </w:r>
          </w:p>
        </w:tc>
        <w:tc>
          <w:tcPr>
            <w:tcW w:w="0" w:type="auto"/>
            <w:vAlign w:val="bottom"/>
          </w:tcPr>
          <w:p w14:paraId="23970D7F" w14:textId="32686E04" w:rsidR="008A6844" w:rsidRPr="000E57E3" w:rsidRDefault="008A6844" w:rsidP="000E57E3">
            <w:pPr>
              <w:pStyle w:val="Tabletext"/>
            </w:pPr>
            <w:r w:rsidRPr="000E57E3">
              <w:t> </w:t>
            </w:r>
          </w:p>
        </w:tc>
        <w:tc>
          <w:tcPr>
            <w:tcW w:w="0" w:type="auto"/>
            <w:vAlign w:val="bottom"/>
          </w:tcPr>
          <w:p w14:paraId="74ED8F82" w14:textId="6B51670B" w:rsidR="008A6844" w:rsidRPr="000E57E3" w:rsidRDefault="008A6844" w:rsidP="000E57E3">
            <w:pPr>
              <w:pStyle w:val="Tabletext"/>
            </w:pPr>
            <w:r w:rsidRPr="000E57E3">
              <w:t> </w:t>
            </w:r>
          </w:p>
        </w:tc>
        <w:tc>
          <w:tcPr>
            <w:tcW w:w="0" w:type="auto"/>
            <w:vAlign w:val="bottom"/>
          </w:tcPr>
          <w:p w14:paraId="58A76E47" w14:textId="2CEAF7CD" w:rsidR="008A6844" w:rsidRPr="000E57E3" w:rsidRDefault="008A6844" w:rsidP="000E57E3">
            <w:pPr>
              <w:pStyle w:val="Tabletext"/>
            </w:pPr>
            <w:r w:rsidRPr="000E57E3">
              <w:t>Y</w:t>
            </w:r>
          </w:p>
        </w:tc>
        <w:tc>
          <w:tcPr>
            <w:tcW w:w="0" w:type="auto"/>
            <w:vAlign w:val="bottom"/>
          </w:tcPr>
          <w:p w14:paraId="2A3E83F8" w14:textId="4D312F0A" w:rsidR="008A6844" w:rsidRPr="000E57E3" w:rsidRDefault="008A6844" w:rsidP="000E57E3">
            <w:pPr>
              <w:pStyle w:val="Tabletext"/>
            </w:pPr>
            <w:r w:rsidRPr="000E57E3">
              <w:t> </w:t>
            </w:r>
          </w:p>
        </w:tc>
        <w:tc>
          <w:tcPr>
            <w:tcW w:w="0" w:type="auto"/>
            <w:vAlign w:val="bottom"/>
          </w:tcPr>
          <w:p w14:paraId="3B598355" w14:textId="72E67BFB" w:rsidR="008A6844" w:rsidRPr="000E57E3" w:rsidRDefault="008A6844" w:rsidP="000E57E3">
            <w:pPr>
              <w:pStyle w:val="Tabletext"/>
            </w:pPr>
            <w:r w:rsidRPr="000E57E3">
              <w:t> </w:t>
            </w:r>
          </w:p>
        </w:tc>
        <w:tc>
          <w:tcPr>
            <w:tcW w:w="0" w:type="auto"/>
            <w:vAlign w:val="bottom"/>
          </w:tcPr>
          <w:p w14:paraId="74101D3B" w14:textId="0F2F34DD" w:rsidR="008A6844" w:rsidRPr="000E57E3" w:rsidRDefault="008A6844" w:rsidP="000E57E3">
            <w:pPr>
              <w:pStyle w:val="Tabletext"/>
            </w:pPr>
            <w:r w:rsidRPr="000E57E3">
              <w:t> </w:t>
            </w:r>
          </w:p>
        </w:tc>
        <w:tc>
          <w:tcPr>
            <w:tcW w:w="0" w:type="auto"/>
            <w:vAlign w:val="bottom"/>
          </w:tcPr>
          <w:p w14:paraId="293E59F8" w14:textId="210BAC52" w:rsidR="008A6844" w:rsidRPr="000E57E3" w:rsidRDefault="008A6844" w:rsidP="000E57E3">
            <w:pPr>
              <w:pStyle w:val="Tabletext"/>
            </w:pPr>
            <w:r w:rsidRPr="000E57E3">
              <w:t>Exemplar</w:t>
            </w:r>
          </w:p>
        </w:tc>
      </w:tr>
      <w:tr w:rsidR="00776CCE" w:rsidRPr="008A6844" w14:paraId="7F1C0987" w14:textId="77777777" w:rsidTr="00CA44B7">
        <w:tc>
          <w:tcPr>
            <w:tcW w:w="0" w:type="auto"/>
            <w:vAlign w:val="bottom"/>
          </w:tcPr>
          <w:p w14:paraId="43249096" w14:textId="71A68453" w:rsidR="008A6844" w:rsidRPr="000E57E3" w:rsidRDefault="008A6844" w:rsidP="000E57E3">
            <w:pPr>
              <w:pStyle w:val="Tabletext"/>
            </w:pPr>
            <w:r w:rsidRPr="000E57E3">
              <w:t>KMT2A-MLLT3</w:t>
            </w:r>
          </w:p>
        </w:tc>
        <w:tc>
          <w:tcPr>
            <w:tcW w:w="0" w:type="auto"/>
            <w:vAlign w:val="bottom"/>
          </w:tcPr>
          <w:p w14:paraId="6CCBB38A" w14:textId="1C2F6B8D" w:rsidR="008A6844" w:rsidRPr="000E57E3" w:rsidRDefault="008A6844" w:rsidP="000E57E3">
            <w:pPr>
              <w:pStyle w:val="Tabletext"/>
            </w:pPr>
            <w:r w:rsidRPr="000E57E3">
              <w:t> </w:t>
            </w:r>
          </w:p>
        </w:tc>
        <w:tc>
          <w:tcPr>
            <w:tcW w:w="0" w:type="auto"/>
            <w:vAlign w:val="bottom"/>
          </w:tcPr>
          <w:p w14:paraId="5DB3A84C" w14:textId="623DBC63" w:rsidR="008A6844" w:rsidRPr="000E57E3" w:rsidRDefault="008A6844" w:rsidP="000E57E3">
            <w:pPr>
              <w:pStyle w:val="Tabletext"/>
            </w:pPr>
            <w:r w:rsidRPr="000E57E3">
              <w:t>Y</w:t>
            </w:r>
          </w:p>
        </w:tc>
        <w:tc>
          <w:tcPr>
            <w:tcW w:w="0" w:type="auto"/>
            <w:vAlign w:val="bottom"/>
          </w:tcPr>
          <w:p w14:paraId="504C4C7E" w14:textId="75711CB2" w:rsidR="008A6844" w:rsidRPr="000E57E3" w:rsidRDefault="008A6844" w:rsidP="000E57E3">
            <w:pPr>
              <w:pStyle w:val="Tabletext"/>
            </w:pPr>
            <w:r w:rsidRPr="000E57E3">
              <w:t> </w:t>
            </w:r>
          </w:p>
        </w:tc>
        <w:tc>
          <w:tcPr>
            <w:tcW w:w="0" w:type="auto"/>
            <w:vAlign w:val="bottom"/>
          </w:tcPr>
          <w:p w14:paraId="1A1F524C" w14:textId="0F66C6BD" w:rsidR="008A6844" w:rsidRPr="000E57E3" w:rsidRDefault="008A6844" w:rsidP="000E57E3">
            <w:pPr>
              <w:pStyle w:val="Tabletext"/>
            </w:pPr>
            <w:r w:rsidRPr="000E57E3">
              <w:t> </w:t>
            </w:r>
          </w:p>
        </w:tc>
        <w:tc>
          <w:tcPr>
            <w:tcW w:w="0" w:type="auto"/>
            <w:vAlign w:val="bottom"/>
          </w:tcPr>
          <w:p w14:paraId="3EA4DCE4" w14:textId="74E2EDB0" w:rsidR="008A6844" w:rsidRPr="000E57E3" w:rsidRDefault="008A6844" w:rsidP="000E57E3">
            <w:pPr>
              <w:pStyle w:val="Tabletext"/>
            </w:pPr>
            <w:r w:rsidRPr="000E57E3">
              <w:t> </w:t>
            </w:r>
          </w:p>
        </w:tc>
        <w:tc>
          <w:tcPr>
            <w:tcW w:w="0" w:type="auto"/>
            <w:vAlign w:val="bottom"/>
          </w:tcPr>
          <w:p w14:paraId="55BAE1E8" w14:textId="40C57F82" w:rsidR="008A6844" w:rsidRPr="000E57E3" w:rsidRDefault="008A6844" w:rsidP="000E57E3">
            <w:pPr>
              <w:pStyle w:val="Tabletext"/>
            </w:pPr>
            <w:r w:rsidRPr="000E57E3">
              <w:t> </w:t>
            </w:r>
          </w:p>
        </w:tc>
        <w:tc>
          <w:tcPr>
            <w:tcW w:w="0" w:type="auto"/>
            <w:vAlign w:val="bottom"/>
          </w:tcPr>
          <w:p w14:paraId="7D795B44" w14:textId="73B980C1" w:rsidR="008A6844" w:rsidRPr="000E57E3" w:rsidRDefault="008A6844" w:rsidP="000E57E3">
            <w:pPr>
              <w:pStyle w:val="Tabletext"/>
            </w:pPr>
            <w:r w:rsidRPr="000E57E3">
              <w:t> </w:t>
            </w:r>
          </w:p>
        </w:tc>
        <w:tc>
          <w:tcPr>
            <w:tcW w:w="0" w:type="auto"/>
            <w:vAlign w:val="bottom"/>
          </w:tcPr>
          <w:p w14:paraId="33AF45AD" w14:textId="2E8D66D9" w:rsidR="008A6844" w:rsidRPr="000E57E3" w:rsidRDefault="008A6844" w:rsidP="000E57E3">
            <w:pPr>
              <w:pStyle w:val="Tabletext"/>
            </w:pPr>
            <w:r w:rsidRPr="000E57E3">
              <w:t> </w:t>
            </w:r>
          </w:p>
        </w:tc>
        <w:tc>
          <w:tcPr>
            <w:tcW w:w="0" w:type="auto"/>
            <w:vAlign w:val="bottom"/>
          </w:tcPr>
          <w:p w14:paraId="6610CEFE" w14:textId="01AF5AB1" w:rsidR="008A6844" w:rsidRPr="000E57E3" w:rsidRDefault="008A6844" w:rsidP="000E57E3">
            <w:pPr>
              <w:pStyle w:val="Tabletext"/>
            </w:pPr>
            <w:r w:rsidRPr="000E57E3">
              <w:t> </w:t>
            </w:r>
          </w:p>
        </w:tc>
        <w:tc>
          <w:tcPr>
            <w:tcW w:w="0" w:type="auto"/>
            <w:vAlign w:val="bottom"/>
          </w:tcPr>
          <w:p w14:paraId="2DE1DB9D" w14:textId="3F36F332" w:rsidR="008A6844" w:rsidRPr="000E57E3" w:rsidRDefault="008A6844" w:rsidP="000E57E3">
            <w:pPr>
              <w:pStyle w:val="Tabletext"/>
            </w:pPr>
            <w:r w:rsidRPr="000E57E3">
              <w:t> </w:t>
            </w:r>
          </w:p>
        </w:tc>
        <w:tc>
          <w:tcPr>
            <w:tcW w:w="0" w:type="auto"/>
            <w:vAlign w:val="bottom"/>
          </w:tcPr>
          <w:p w14:paraId="4CB2DABE" w14:textId="3A1C962A" w:rsidR="008A6844" w:rsidRPr="000E57E3" w:rsidRDefault="008A6844" w:rsidP="000E57E3">
            <w:pPr>
              <w:pStyle w:val="Tabletext"/>
            </w:pPr>
            <w:r w:rsidRPr="000E57E3">
              <w:t> </w:t>
            </w:r>
          </w:p>
        </w:tc>
        <w:tc>
          <w:tcPr>
            <w:tcW w:w="0" w:type="auto"/>
            <w:vAlign w:val="bottom"/>
          </w:tcPr>
          <w:p w14:paraId="047E9A85" w14:textId="75B9A14C" w:rsidR="008A6844" w:rsidRPr="000E57E3" w:rsidRDefault="008A6844" w:rsidP="000E57E3">
            <w:pPr>
              <w:pStyle w:val="Tabletext"/>
            </w:pPr>
            <w:r w:rsidRPr="000E57E3">
              <w:t>Exemplar</w:t>
            </w:r>
          </w:p>
        </w:tc>
      </w:tr>
      <w:tr w:rsidR="00776CCE" w:rsidRPr="008A6844" w14:paraId="42527336" w14:textId="77777777" w:rsidTr="00CA44B7">
        <w:tc>
          <w:tcPr>
            <w:tcW w:w="0" w:type="auto"/>
            <w:vAlign w:val="bottom"/>
          </w:tcPr>
          <w:p w14:paraId="1799B88D" w14:textId="701AB78E" w:rsidR="008A6844" w:rsidRPr="000E57E3" w:rsidRDefault="008A6844" w:rsidP="000E57E3">
            <w:pPr>
              <w:pStyle w:val="Tabletext"/>
            </w:pPr>
            <w:r w:rsidRPr="000E57E3">
              <w:t>KRAS</w:t>
            </w:r>
          </w:p>
        </w:tc>
        <w:tc>
          <w:tcPr>
            <w:tcW w:w="0" w:type="auto"/>
            <w:vAlign w:val="bottom"/>
          </w:tcPr>
          <w:p w14:paraId="7F49A474" w14:textId="4C00B3BA" w:rsidR="008A6844" w:rsidRPr="000E57E3" w:rsidRDefault="008A6844" w:rsidP="000E57E3">
            <w:pPr>
              <w:pStyle w:val="Tabletext"/>
            </w:pPr>
            <w:r w:rsidRPr="000E57E3">
              <w:t>Y</w:t>
            </w:r>
          </w:p>
        </w:tc>
        <w:tc>
          <w:tcPr>
            <w:tcW w:w="0" w:type="auto"/>
            <w:vAlign w:val="bottom"/>
          </w:tcPr>
          <w:p w14:paraId="4736EEED" w14:textId="51FBCB33" w:rsidR="008A6844" w:rsidRPr="000E57E3" w:rsidRDefault="008A6844" w:rsidP="000E57E3">
            <w:pPr>
              <w:pStyle w:val="Tabletext"/>
            </w:pPr>
            <w:r w:rsidRPr="000E57E3">
              <w:t> </w:t>
            </w:r>
          </w:p>
        </w:tc>
        <w:tc>
          <w:tcPr>
            <w:tcW w:w="0" w:type="auto"/>
            <w:vAlign w:val="bottom"/>
          </w:tcPr>
          <w:p w14:paraId="2178CC72" w14:textId="43AF3B32" w:rsidR="008A6844" w:rsidRPr="000E57E3" w:rsidRDefault="008A6844" w:rsidP="000E57E3">
            <w:pPr>
              <w:pStyle w:val="Tabletext"/>
            </w:pPr>
            <w:r w:rsidRPr="000E57E3">
              <w:t>Y</w:t>
            </w:r>
          </w:p>
        </w:tc>
        <w:tc>
          <w:tcPr>
            <w:tcW w:w="0" w:type="auto"/>
            <w:vAlign w:val="bottom"/>
          </w:tcPr>
          <w:p w14:paraId="3247FCCB" w14:textId="347EB492" w:rsidR="008A6844" w:rsidRPr="000E57E3" w:rsidRDefault="008A6844" w:rsidP="000E57E3">
            <w:pPr>
              <w:pStyle w:val="Tabletext"/>
            </w:pPr>
            <w:r w:rsidRPr="000E57E3">
              <w:t> </w:t>
            </w:r>
          </w:p>
        </w:tc>
        <w:tc>
          <w:tcPr>
            <w:tcW w:w="0" w:type="auto"/>
            <w:vAlign w:val="bottom"/>
          </w:tcPr>
          <w:p w14:paraId="0EB9C740" w14:textId="7BE222D9" w:rsidR="008A6844" w:rsidRPr="000E57E3" w:rsidRDefault="008A6844" w:rsidP="000E57E3">
            <w:pPr>
              <w:pStyle w:val="Tabletext"/>
            </w:pPr>
            <w:r w:rsidRPr="000E57E3">
              <w:t>Y</w:t>
            </w:r>
          </w:p>
        </w:tc>
        <w:tc>
          <w:tcPr>
            <w:tcW w:w="0" w:type="auto"/>
            <w:vAlign w:val="bottom"/>
          </w:tcPr>
          <w:p w14:paraId="081D8B04" w14:textId="2D5FC88F" w:rsidR="008A6844" w:rsidRPr="000E57E3" w:rsidRDefault="008A6844" w:rsidP="000E57E3">
            <w:pPr>
              <w:pStyle w:val="Tabletext"/>
            </w:pPr>
            <w:r w:rsidRPr="000E57E3">
              <w:t> </w:t>
            </w:r>
          </w:p>
        </w:tc>
        <w:tc>
          <w:tcPr>
            <w:tcW w:w="0" w:type="auto"/>
            <w:vAlign w:val="bottom"/>
          </w:tcPr>
          <w:p w14:paraId="706AC4BC" w14:textId="4E9DD4D0" w:rsidR="008A6844" w:rsidRPr="000E57E3" w:rsidRDefault="008A6844" w:rsidP="000E57E3">
            <w:pPr>
              <w:pStyle w:val="Tabletext"/>
            </w:pPr>
            <w:r w:rsidRPr="000E57E3">
              <w:t>Y</w:t>
            </w:r>
          </w:p>
        </w:tc>
        <w:tc>
          <w:tcPr>
            <w:tcW w:w="0" w:type="auto"/>
            <w:vAlign w:val="bottom"/>
          </w:tcPr>
          <w:p w14:paraId="4B0A478C" w14:textId="17FA189D" w:rsidR="008A6844" w:rsidRPr="000E57E3" w:rsidRDefault="008A6844" w:rsidP="000E57E3">
            <w:pPr>
              <w:pStyle w:val="Tabletext"/>
            </w:pPr>
            <w:r w:rsidRPr="000E57E3">
              <w:t>Y</w:t>
            </w:r>
          </w:p>
        </w:tc>
        <w:tc>
          <w:tcPr>
            <w:tcW w:w="0" w:type="auto"/>
            <w:vAlign w:val="bottom"/>
          </w:tcPr>
          <w:p w14:paraId="6467AB63" w14:textId="708F0BD6" w:rsidR="008A6844" w:rsidRPr="000E57E3" w:rsidRDefault="008A6844" w:rsidP="000E57E3">
            <w:pPr>
              <w:pStyle w:val="Tabletext"/>
            </w:pPr>
            <w:r w:rsidRPr="000E57E3">
              <w:t>Y</w:t>
            </w:r>
          </w:p>
        </w:tc>
        <w:tc>
          <w:tcPr>
            <w:tcW w:w="0" w:type="auto"/>
            <w:vAlign w:val="bottom"/>
          </w:tcPr>
          <w:p w14:paraId="7826D385" w14:textId="3AC5F18D" w:rsidR="008A6844" w:rsidRPr="000E57E3" w:rsidRDefault="008A6844" w:rsidP="000E57E3">
            <w:pPr>
              <w:pStyle w:val="Tabletext"/>
            </w:pPr>
            <w:r w:rsidRPr="000E57E3">
              <w:t> </w:t>
            </w:r>
          </w:p>
        </w:tc>
        <w:tc>
          <w:tcPr>
            <w:tcW w:w="0" w:type="auto"/>
            <w:vAlign w:val="bottom"/>
          </w:tcPr>
          <w:p w14:paraId="048D9E5D" w14:textId="56D07BC6" w:rsidR="008A6844" w:rsidRPr="000E57E3" w:rsidRDefault="008A6844" w:rsidP="000E57E3">
            <w:pPr>
              <w:pStyle w:val="Tabletext"/>
            </w:pPr>
            <w:r w:rsidRPr="000E57E3">
              <w:t>Y</w:t>
            </w:r>
          </w:p>
        </w:tc>
        <w:tc>
          <w:tcPr>
            <w:tcW w:w="0" w:type="auto"/>
            <w:vAlign w:val="bottom"/>
          </w:tcPr>
          <w:p w14:paraId="480111CD" w14:textId="172934B2" w:rsidR="008A6844" w:rsidRPr="000E57E3" w:rsidRDefault="008A6844" w:rsidP="000E57E3">
            <w:pPr>
              <w:pStyle w:val="Tabletext"/>
            </w:pPr>
            <w:r w:rsidRPr="000E57E3">
              <w:t>Exemplar</w:t>
            </w:r>
          </w:p>
        </w:tc>
      </w:tr>
      <w:tr w:rsidR="00776CCE" w:rsidRPr="008A6844" w14:paraId="57D19C65" w14:textId="77777777" w:rsidTr="00CA44B7">
        <w:tc>
          <w:tcPr>
            <w:tcW w:w="0" w:type="auto"/>
            <w:vAlign w:val="bottom"/>
          </w:tcPr>
          <w:p w14:paraId="4A170CB4" w14:textId="1F69C3BB" w:rsidR="008A6844" w:rsidRPr="000E57E3" w:rsidRDefault="008A6844" w:rsidP="000E57E3">
            <w:pPr>
              <w:pStyle w:val="Tabletext"/>
            </w:pPr>
            <w:r w:rsidRPr="000E57E3">
              <w:t>MPL</w:t>
            </w:r>
          </w:p>
        </w:tc>
        <w:tc>
          <w:tcPr>
            <w:tcW w:w="0" w:type="auto"/>
            <w:vAlign w:val="bottom"/>
          </w:tcPr>
          <w:p w14:paraId="714F29E8" w14:textId="3786AC22" w:rsidR="008A6844" w:rsidRPr="000E57E3" w:rsidRDefault="008A6844" w:rsidP="000E57E3">
            <w:pPr>
              <w:pStyle w:val="Tabletext"/>
            </w:pPr>
            <w:r w:rsidRPr="000E57E3">
              <w:t>Y</w:t>
            </w:r>
          </w:p>
        </w:tc>
        <w:tc>
          <w:tcPr>
            <w:tcW w:w="0" w:type="auto"/>
            <w:vAlign w:val="bottom"/>
          </w:tcPr>
          <w:p w14:paraId="0507A54B" w14:textId="44866DF7" w:rsidR="008A6844" w:rsidRPr="000E57E3" w:rsidRDefault="008A6844" w:rsidP="000E57E3">
            <w:pPr>
              <w:pStyle w:val="Tabletext"/>
            </w:pPr>
            <w:r w:rsidRPr="000E57E3">
              <w:t> </w:t>
            </w:r>
          </w:p>
        </w:tc>
        <w:tc>
          <w:tcPr>
            <w:tcW w:w="0" w:type="auto"/>
            <w:vAlign w:val="bottom"/>
          </w:tcPr>
          <w:p w14:paraId="115CD30A" w14:textId="74357FDC" w:rsidR="008A6844" w:rsidRPr="000E57E3" w:rsidRDefault="008A6844" w:rsidP="000E57E3">
            <w:pPr>
              <w:pStyle w:val="Tabletext"/>
            </w:pPr>
            <w:r w:rsidRPr="000E57E3">
              <w:t>Y</w:t>
            </w:r>
          </w:p>
        </w:tc>
        <w:tc>
          <w:tcPr>
            <w:tcW w:w="0" w:type="auto"/>
            <w:vAlign w:val="bottom"/>
          </w:tcPr>
          <w:p w14:paraId="3118E13A" w14:textId="437700AD" w:rsidR="008A6844" w:rsidRPr="000E57E3" w:rsidRDefault="008A6844" w:rsidP="000E57E3">
            <w:pPr>
              <w:pStyle w:val="Tabletext"/>
            </w:pPr>
            <w:r w:rsidRPr="000E57E3">
              <w:t> </w:t>
            </w:r>
          </w:p>
        </w:tc>
        <w:tc>
          <w:tcPr>
            <w:tcW w:w="0" w:type="auto"/>
            <w:vAlign w:val="bottom"/>
          </w:tcPr>
          <w:p w14:paraId="2285498F" w14:textId="4761BA19" w:rsidR="008A6844" w:rsidRPr="000E57E3" w:rsidRDefault="008A6844" w:rsidP="000E57E3">
            <w:pPr>
              <w:pStyle w:val="Tabletext"/>
            </w:pPr>
            <w:r w:rsidRPr="000E57E3">
              <w:t>Y</w:t>
            </w:r>
          </w:p>
        </w:tc>
        <w:tc>
          <w:tcPr>
            <w:tcW w:w="0" w:type="auto"/>
            <w:vAlign w:val="bottom"/>
          </w:tcPr>
          <w:p w14:paraId="6E63C478" w14:textId="0B2D3557" w:rsidR="008A6844" w:rsidRPr="000E57E3" w:rsidRDefault="008A6844" w:rsidP="000E57E3">
            <w:pPr>
              <w:pStyle w:val="Tabletext"/>
            </w:pPr>
            <w:r w:rsidRPr="000E57E3">
              <w:t>Y</w:t>
            </w:r>
          </w:p>
        </w:tc>
        <w:tc>
          <w:tcPr>
            <w:tcW w:w="0" w:type="auto"/>
            <w:vAlign w:val="bottom"/>
          </w:tcPr>
          <w:p w14:paraId="0475216A" w14:textId="6063FF6E" w:rsidR="008A6844" w:rsidRPr="000E57E3" w:rsidRDefault="008A6844" w:rsidP="000E57E3">
            <w:pPr>
              <w:pStyle w:val="Tabletext"/>
            </w:pPr>
            <w:r w:rsidRPr="000E57E3">
              <w:t>Y</w:t>
            </w:r>
          </w:p>
        </w:tc>
        <w:tc>
          <w:tcPr>
            <w:tcW w:w="0" w:type="auto"/>
            <w:vAlign w:val="bottom"/>
          </w:tcPr>
          <w:p w14:paraId="1C8F8FB0" w14:textId="774AFAF8" w:rsidR="008A6844" w:rsidRPr="000E57E3" w:rsidRDefault="008A6844" w:rsidP="000E57E3">
            <w:pPr>
              <w:pStyle w:val="Tabletext"/>
            </w:pPr>
            <w:r w:rsidRPr="000E57E3">
              <w:t> </w:t>
            </w:r>
          </w:p>
        </w:tc>
        <w:tc>
          <w:tcPr>
            <w:tcW w:w="0" w:type="auto"/>
            <w:vAlign w:val="bottom"/>
          </w:tcPr>
          <w:p w14:paraId="4A8824E9" w14:textId="128AFE66" w:rsidR="008A6844" w:rsidRPr="000E57E3" w:rsidRDefault="008A6844" w:rsidP="000E57E3">
            <w:pPr>
              <w:pStyle w:val="Tabletext"/>
            </w:pPr>
            <w:r w:rsidRPr="000E57E3">
              <w:t>Y</w:t>
            </w:r>
          </w:p>
        </w:tc>
        <w:tc>
          <w:tcPr>
            <w:tcW w:w="0" w:type="auto"/>
            <w:vAlign w:val="bottom"/>
          </w:tcPr>
          <w:p w14:paraId="63FCCD8B" w14:textId="794E3DBB" w:rsidR="008A6844" w:rsidRPr="000E57E3" w:rsidRDefault="008A6844" w:rsidP="000E57E3">
            <w:pPr>
              <w:pStyle w:val="Tabletext"/>
            </w:pPr>
            <w:r w:rsidRPr="000E57E3">
              <w:t> </w:t>
            </w:r>
          </w:p>
        </w:tc>
        <w:tc>
          <w:tcPr>
            <w:tcW w:w="0" w:type="auto"/>
            <w:vAlign w:val="bottom"/>
          </w:tcPr>
          <w:p w14:paraId="74663199" w14:textId="49A3355B" w:rsidR="008A6844" w:rsidRPr="000E57E3" w:rsidRDefault="008A6844" w:rsidP="000E57E3">
            <w:pPr>
              <w:pStyle w:val="Tabletext"/>
            </w:pPr>
            <w:r w:rsidRPr="000E57E3">
              <w:t>Y</w:t>
            </w:r>
          </w:p>
        </w:tc>
        <w:tc>
          <w:tcPr>
            <w:tcW w:w="0" w:type="auto"/>
            <w:vAlign w:val="bottom"/>
          </w:tcPr>
          <w:p w14:paraId="0F89AE33" w14:textId="1542B8CE" w:rsidR="008A6844" w:rsidRPr="000E57E3" w:rsidRDefault="008A6844" w:rsidP="000E57E3">
            <w:pPr>
              <w:pStyle w:val="Tabletext"/>
            </w:pPr>
            <w:r w:rsidRPr="000E57E3">
              <w:t>Exemplar</w:t>
            </w:r>
          </w:p>
        </w:tc>
      </w:tr>
      <w:tr w:rsidR="00776CCE" w:rsidRPr="008A6844" w14:paraId="57F6D0A4" w14:textId="77777777" w:rsidTr="00CA44B7">
        <w:tc>
          <w:tcPr>
            <w:tcW w:w="0" w:type="auto"/>
            <w:vAlign w:val="bottom"/>
          </w:tcPr>
          <w:p w14:paraId="2FF35625" w14:textId="32AEF6C0" w:rsidR="008A6844" w:rsidRPr="000E57E3" w:rsidRDefault="008A6844" w:rsidP="000E57E3">
            <w:pPr>
              <w:pStyle w:val="Tabletext"/>
            </w:pPr>
            <w:r w:rsidRPr="000E57E3">
              <w:t>MYD88</w:t>
            </w:r>
          </w:p>
        </w:tc>
        <w:tc>
          <w:tcPr>
            <w:tcW w:w="0" w:type="auto"/>
            <w:vAlign w:val="bottom"/>
          </w:tcPr>
          <w:p w14:paraId="253CA442" w14:textId="7D3CEF0D" w:rsidR="008A6844" w:rsidRPr="000E57E3" w:rsidRDefault="008A6844" w:rsidP="000E57E3">
            <w:pPr>
              <w:pStyle w:val="Tabletext"/>
            </w:pPr>
            <w:r w:rsidRPr="000E57E3">
              <w:t>Y</w:t>
            </w:r>
          </w:p>
        </w:tc>
        <w:tc>
          <w:tcPr>
            <w:tcW w:w="0" w:type="auto"/>
            <w:vAlign w:val="bottom"/>
          </w:tcPr>
          <w:p w14:paraId="22763126" w14:textId="25ABB49E" w:rsidR="008A6844" w:rsidRPr="000E57E3" w:rsidRDefault="008A6844" w:rsidP="000E57E3">
            <w:pPr>
              <w:pStyle w:val="Tabletext"/>
            </w:pPr>
            <w:r w:rsidRPr="000E57E3">
              <w:t> </w:t>
            </w:r>
          </w:p>
        </w:tc>
        <w:tc>
          <w:tcPr>
            <w:tcW w:w="0" w:type="auto"/>
            <w:vAlign w:val="bottom"/>
          </w:tcPr>
          <w:p w14:paraId="2B4848FC" w14:textId="473CE4A5" w:rsidR="008A6844" w:rsidRPr="000E57E3" w:rsidRDefault="008A6844" w:rsidP="000E57E3">
            <w:pPr>
              <w:pStyle w:val="Tabletext"/>
            </w:pPr>
            <w:r w:rsidRPr="000E57E3">
              <w:t>Y</w:t>
            </w:r>
          </w:p>
        </w:tc>
        <w:tc>
          <w:tcPr>
            <w:tcW w:w="0" w:type="auto"/>
            <w:vAlign w:val="bottom"/>
          </w:tcPr>
          <w:p w14:paraId="0F24BEA5" w14:textId="061C6037" w:rsidR="008A6844" w:rsidRPr="000E57E3" w:rsidRDefault="008A6844" w:rsidP="000E57E3">
            <w:pPr>
              <w:pStyle w:val="Tabletext"/>
            </w:pPr>
            <w:r w:rsidRPr="000E57E3">
              <w:t>Y</w:t>
            </w:r>
          </w:p>
        </w:tc>
        <w:tc>
          <w:tcPr>
            <w:tcW w:w="0" w:type="auto"/>
            <w:vAlign w:val="bottom"/>
          </w:tcPr>
          <w:p w14:paraId="0FB28447" w14:textId="09A3E265" w:rsidR="008A6844" w:rsidRPr="000E57E3" w:rsidRDefault="008A6844" w:rsidP="000E57E3">
            <w:pPr>
              <w:pStyle w:val="Tabletext"/>
            </w:pPr>
            <w:r w:rsidRPr="000E57E3">
              <w:t>Y</w:t>
            </w:r>
          </w:p>
        </w:tc>
        <w:tc>
          <w:tcPr>
            <w:tcW w:w="0" w:type="auto"/>
            <w:vAlign w:val="bottom"/>
          </w:tcPr>
          <w:p w14:paraId="4E896472" w14:textId="6F30E9F2" w:rsidR="008A6844" w:rsidRPr="000E57E3" w:rsidRDefault="008A6844" w:rsidP="000E57E3">
            <w:pPr>
              <w:pStyle w:val="Tabletext"/>
            </w:pPr>
            <w:r w:rsidRPr="000E57E3">
              <w:t> </w:t>
            </w:r>
          </w:p>
        </w:tc>
        <w:tc>
          <w:tcPr>
            <w:tcW w:w="0" w:type="auto"/>
            <w:vAlign w:val="bottom"/>
          </w:tcPr>
          <w:p w14:paraId="07DF3C4A" w14:textId="428BDE07" w:rsidR="008A6844" w:rsidRPr="000E57E3" w:rsidRDefault="008A6844" w:rsidP="000E57E3">
            <w:pPr>
              <w:pStyle w:val="Tabletext"/>
            </w:pPr>
            <w:r w:rsidRPr="000E57E3">
              <w:t>Y</w:t>
            </w:r>
          </w:p>
        </w:tc>
        <w:tc>
          <w:tcPr>
            <w:tcW w:w="0" w:type="auto"/>
            <w:vAlign w:val="bottom"/>
          </w:tcPr>
          <w:p w14:paraId="1A189251" w14:textId="0AD188CA" w:rsidR="008A6844" w:rsidRPr="000E57E3" w:rsidRDefault="008A6844" w:rsidP="000E57E3">
            <w:pPr>
              <w:pStyle w:val="Tabletext"/>
            </w:pPr>
            <w:r w:rsidRPr="000E57E3">
              <w:t>Y</w:t>
            </w:r>
          </w:p>
        </w:tc>
        <w:tc>
          <w:tcPr>
            <w:tcW w:w="0" w:type="auto"/>
            <w:vAlign w:val="bottom"/>
          </w:tcPr>
          <w:p w14:paraId="3BB1E014" w14:textId="2379637C" w:rsidR="008A6844" w:rsidRPr="000E57E3" w:rsidRDefault="008A6844" w:rsidP="000E57E3">
            <w:pPr>
              <w:pStyle w:val="Tabletext"/>
            </w:pPr>
            <w:r w:rsidRPr="000E57E3">
              <w:t> </w:t>
            </w:r>
          </w:p>
        </w:tc>
        <w:tc>
          <w:tcPr>
            <w:tcW w:w="0" w:type="auto"/>
            <w:vAlign w:val="bottom"/>
          </w:tcPr>
          <w:p w14:paraId="31EE3103" w14:textId="02EA4512" w:rsidR="008A6844" w:rsidRPr="000E57E3" w:rsidRDefault="008A6844" w:rsidP="000E57E3">
            <w:pPr>
              <w:pStyle w:val="Tabletext"/>
            </w:pPr>
            <w:r w:rsidRPr="000E57E3">
              <w:t>Y</w:t>
            </w:r>
          </w:p>
        </w:tc>
        <w:tc>
          <w:tcPr>
            <w:tcW w:w="0" w:type="auto"/>
            <w:vAlign w:val="bottom"/>
          </w:tcPr>
          <w:p w14:paraId="19DB2073" w14:textId="70687FC7" w:rsidR="008A6844" w:rsidRPr="000E57E3" w:rsidRDefault="008A6844" w:rsidP="000E57E3">
            <w:pPr>
              <w:pStyle w:val="Tabletext"/>
            </w:pPr>
            <w:r w:rsidRPr="000E57E3">
              <w:t>Y</w:t>
            </w:r>
          </w:p>
        </w:tc>
        <w:tc>
          <w:tcPr>
            <w:tcW w:w="0" w:type="auto"/>
            <w:vAlign w:val="bottom"/>
          </w:tcPr>
          <w:p w14:paraId="0678A5E3" w14:textId="73FAF6FE" w:rsidR="008A6844" w:rsidRPr="000E57E3" w:rsidRDefault="008A6844" w:rsidP="000E57E3">
            <w:pPr>
              <w:pStyle w:val="Tabletext"/>
            </w:pPr>
            <w:r w:rsidRPr="000E57E3">
              <w:t>Exemplar</w:t>
            </w:r>
          </w:p>
        </w:tc>
      </w:tr>
      <w:tr w:rsidR="00776CCE" w:rsidRPr="008A6844" w14:paraId="4A353E2F" w14:textId="77777777" w:rsidTr="00CA44B7">
        <w:tc>
          <w:tcPr>
            <w:tcW w:w="0" w:type="auto"/>
            <w:vAlign w:val="bottom"/>
          </w:tcPr>
          <w:p w14:paraId="4F54F238" w14:textId="779F6750" w:rsidR="008A6844" w:rsidRPr="000E57E3" w:rsidRDefault="008A6844" w:rsidP="000E57E3">
            <w:pPr>
              <w:pStyle w:val="Tabletext"/>
            </w:pPr>
            <w:r w:rsidRPr="000E57E3">
              <w:t>NF1</w:t>
            </w:r>
          </w:p>
        </w:tc>
        <w:tc>
          <w:tcPr>
            <w:tcW w:w="0" w:type="auto"/>
            <w:vAlign w:val="bottom"/>
          </w:tcPr>
          <w:p w14:paraId="08DD275D" w14:textId="394B6AE3" w:rsidR="008A6844" w:rsidRPr="000E57E3" w:rsidRDefault="008A6844" w:rsidP="000E57E3">
            <w:pPr>
              <w:pStyle w:val="Tabletext"/>
            </w:pPr>
            <w:r w:rsidRPr="000E57E3">
              <w:t>Y</w:t>
            </w:r>
          </w:p>
        </w:tc>
        <w:tc>
          <w:tcPr>
            <w:tcW w:w="0" w:type="auto"/>
            <w:vAlign w:val="bottom"/>
          </w:tcPr>
          <w:p w14:paraId="273BC62C" w14:textId="1D506600" w:rsidR="008A6844" w:rsidRPr="000E57E3" w:rsidRDefault="008A6844" w:rsidP="000E57E3">
            <w:pPr>
              <w:pStyle w:val="Tabletext"/>
            </w:pPr>
            <w:r w:rsidRPr="000E57E3">
              <w:t> </w:t>
            </w:r>
          </w:p>
        </w:tc>
        <w:tc>
          <w:tcPr>
            <w:tcW w:w="0" w:type="auto"/>
            <w:vAlign w:val="bottom"/>
          </w:tcPr>
          <w:p w14:paraId="3B2E3FFB" w14:textId="3065D82E" w:rsidR="008A6844" w:rsidRPr="000E57E3" w:rsidRDefault="008A6844" w:rsidP="000E57E3">
            <w:pPr>
              <w:pStyle w:val="Tabletext"/>
            </w:pPr>
            <w:r w:rsidRPr="000E57E3">
              <w:t>Y</w:t>
            </w:r>
          </w:p>
        </w:tc>
        <w:tc>
          <w:tcPr>
            <w:tcW w:w="0" w:type="auto"/>
            <w:vAlign w:val="bottom"/>
          </w:tcPr>
          <w:p w14:paraId="78594A49" w14:textId="4E232FCE" w:rsidR="008A6844" w:rsidRPr="000E57E3" w:rsidRDefault="008A6844" w:rsidP="000E57E3">
            <w:pPr>
              <w:pStyle w:val="Tabletext"/>
            </w:pPr>
            <w:r w:rsidRPr="000E57E3">
              <w:t> </w:t>
            </w:r>
          </w:p>
        </w:tc>
        <w:tc>
          <w:tcPr>
            <w:tcW w:w="0" w:type="auto"/>
            <w:vAlign w:val="bottom"/>
          </w:tcPr>
          <w:p w14:paraId="1483C503" w14:textId="36EDDC89" w:rsidR="008A6844" w:rsidRPr="000E57E3" w:rsidRDefault="008A6844" w:rsidP="000E57E3">
            <w:pPr>
              <w:pStyle w:val="Tabletext"/>
            </w:pPr>
            <w:r w:rsidRPr="000E57E3">
              <w:t>Y</w:t>
            </w:r>
          </w:p>
        </w:tc>
        <w:tc>
          <w:tcPr>
            <w:tcW w:w="0" w:type="auto"/>
            <w:vAlign w:val="bottom"/>
          </w:tcPr>
          <w:p w14:paraId="1E29CC8C" w14:textId="5E32406B" w:rsidR="008A6844" w:rsidRPr="000E57E3" w:rsidRDefault="008A6844" w:rsidP="000E57E3">
            <w:pPr>
              <w:pStyle w:val="Tabletext"/>
            </w:pPr>
            <w:r w:rsidRPr="000E57E3">
              <w:t> </w:t>
            </w:r>
          </w:p>
        </w:tc>
        <w:tc>
          <w:tcPr>
            <w:tcW w:w="0" w:type="auto"/>
            <w:vAlign w:val="bottom"/>
          </w:tcPr>
          <w:p w14:paraId="4498E323" w14:textId="48DE421B" w:rsidR="008A6844" w:rsidRPr="000E57E3" w:rsidRDefault="008A6844" w:rsidP="000E57E3">
            <w:pPr>
              <w:pStyle w:val="Tabletext"/>
            </w:pPr>
            <w:r w:rsidRPr="000E57E3">
              <w:t> </w:t>
            </w:r>
          </w:p>
        </w:tc>
        <w:tc>
          <w:tcPr>
            <w:tcW w:w="0" w:type="auto"/>
            <w:vAlign w:val="bottom"/>
          </w:tcPr>
          <w:p w14:paraId="384E8C1C" w14:textId="119ADB9B" w:rsidR="008A6844" w:rsidRPr="000E57E3" w:rsidRDefault="008A6844" w:rsidP="000E57E3">
            <w:pPr>
              <w:pStyle w:val="Tabletext"/>
            </w:pPr>
            <w:r w:rsidRPr="000E57E3">
              <w:t> </w:t>
            </w:r>
          </w:p>
        </w:tc>
        <w:tc>
          <w:tcPr>
            <w:tcW w:w="0" w:type="auto"/>
            <w:vAlign w:val="bottom"/>
          </w:tcPr>
          <w:p w14:paraId="3861D235" w14:textId="7CE77BF5" w:rsidR="008A6844" w:rsidRPr="000E57E3" w:rsidRDefault="008A6844" w:rsidP="000E57E3">
            <w:pPr>
              <w:pStyle w:val="Tabletext"/>
            </w:pPr>
            <w:r w:rsidRPr="000E57E3">
              <w:t> </w:t>
            </w:r>
          </w:p>
        </w:tc>
        <w:tc>
          <w:tcPr>
            <w:tcW w:w="0" w:type="auto"/>
            <w:vAlign w:val="bottom"/>
          </w:tcPr>
          <w:p w14:paraId="1BCA1266" w14:textId="578B5E1D" w:rsidR="008A6844" w:rsidRPr="000E57E3" w:rsidRDefault="008A6844" w:rsidP="000E57E3">
            <w:pPr>
              <w:pStyle w:val="Tabletext"/>
            </w:pPr>
            <w:r w:rsidRPr="000E57E3">
              <w:t> </w:t>
            </w:r>
          </w:p>
        </w:tc>
        <w:tc>
          <w:tcPr>
            <w:tcW w:w="0" w:type="auto"/>
            <w:vAlign w:val="bottom"/>
          </w:tcPr>
          <w:p w14:paraId="3230900C" w14:textId="18A65EF8" w:rsidR="008A6844" w:rsidRPr="000E57E3" w:rsidRDefault="008A6844" w:rsidP="000E57E3">
            <w:pPr>
              <w:pStyle w:val="Tabletext"/>
            </w:pPr>
            <w:r w:rsidRPr="000E57E3">
              <w:t> </w:t>
            </w:r>
          </w:p>
        </w:tc>
        <w:tc>
          <w:tcPr>
            <w:tcW w:w="0" w:type="auto"/>
            <w:vAlign w:val="bottom"/>
          </w:tcPr>
          <w:p w14:paraId="0C12F0A8" w14:textId="4196212B" w:rsidR="008A6844" w:rsidRPr="000E57E3" w:rsidRDefault="008A6844" w:rsidP="000E57E3">
            <w:pPr>
              <w:pStyle w:val="Tabletext"/>
            </w:pPr>
            <w:r w:rsidRPr="000E57E3">
              <w:t>Exemplar</w:t>
            </w:r>
          </w:p>
        </w:tc>
      </w:tr>
      <w:tr w:rsidR="00776CCE" w:rsidRPr="008A6844" w14:paraId="77FF4B39" w14:textId="77777777" w:rsidTr="00CA44B7">
        <w:tc>
          <w:tcPr>
            <w:tcW w:w="0" w:type="auto"/>
            <w:vAlign w:val="bottom"/>
          </w:tcPr>
          <w:p w14:paraId="0DC15BFE" w14:textId="17F5B9BA" w:rsidR="008A6844" w:rsidRPr="000E57E3" w:rsidRDefault="008A6844" w:rsidP="000E57E3">
            <w:pPr>
              <w:pStyle w:val="Tabletext"/>
            </w:pPr>
            <w:r w:rsidRPr="000E57E3">
              <w:t>NHP2</w:t>
            </w:r>
          </w:p>
        </w:tc>
        <w:tc>
          <w:tcPr>
            <w:tcW w:w="0" w:type="auto"/>
            <w:vAlign w:val="bottom"/>
          </w:tcPr>
          <w:p w14:paraId="4DF2CE67" w14:textId="48E2DD53" w:rsidR="008A6844" w:rsidRPr="000E57E3" w:rsidRDefault="008A6844" w:rsidP="000E57E3">
            <w:pPr>
              <w:pStyle w:val="Tabletext"/>
            </w:pPr>
            <w:r w:rsidRPr="000E57E3">
              <w:t>Y</w:t>
            </w:r>
          </w:p>
        </w:tc>
        <w:tc>
          <w:tcPr>
            <w:tcW w:w="0" w:type="auto"/>
            <w:vAlign w:val="bottom"/>
          </w:tcPr>
          <w:p w14:paraId="76E528EB" w14:textId="4251A14E" w:rsidR="008A6844" w:rsidRPr="000E57E3" w:rsidRDefault="008A6844" w:rsidP="000E57E3">
            <w:pPr>
              <w:pStyle w:val="Tabletext"/>
            </w:pPr>
            <w:r w:rsidRPr="000E57E3">
              <w:t> </w:t>
            </w:r>
          </w:p>
        </w:tc>
        <w:tc>
          <w:tcPr>
            <w:tcW w:w="0" w:type="auto"/>
            <w:vAlign w:val="bottom"/>
          </w:tcPr>
          <w:p w14:paraId="505FC7F7" w14:textId="50A5F33E" w:rsidR="008A6844" w:rsidRPr="000E57E3" w:rsidRDefault="008A6844" w:rsidP="000E57E3">
            <w:pPr>
              <w:pStyle w:val="Tabletext"/>
            </w:pPr>
            <w:r w:rsidRPr="000E57E3">
              <w:t> </w:t>
            </w:r>
          </w:p>
        </w:tc>
        <w:tc>
          <w:tcPr>
            <w:tcW w:w="0" w:type="auto"/>
            <w:vAlign w:val="bottom"/>
          </w:tcPr>
          <w:p w14:paraId="05872DAB" w14:textId="09717D6D" w:rsidR="008A6844" w:rsidRPr="000E57E3" w:rsidRDefault="008A6844" w:rsidP="000E57E3">
            <w:pPr>
              <w:pStyle w:val="Tabletext"/>
            </w:pPr>
            <w:r w:rsidRPr="000E57E3">
              <w:t> </w:t>
            </w:r>
          </w:p>
        </w:tc>
        <w:tc>
          <w:tcPr>
            <w:tcW w:w="0" w:type="auto"/>
            <w:vAlign w:val="bottom"/>
          </w:tcPr>
          <w:p w14:paraId="2DEFB1EB" w14:textId="61E5614A" w:rsidR="008A6844" w:rsidRPr="000E57E3" w:rsidRDefault="008A6844" w:rsidP="000E57E3">
            <w:pPr>
              <w:pStyle w:val="Tabletext"/>
            </w:pPr>
            <w:r w:rsidRPr="000E57E3">
              <w:t> </w:t>
            </w:r>
          </w:p>
        </w:tc>
        <w:tc>
          <w:tcPr>
            <w:tcW w:w="0" w:type="auto"/>
            <w:vAlign w:val="bottom"/>
          </w:tcPr>
          <w:p w14:paraId="5F895212" w14:textId="37D2318B" w:rsidR="008A6844" w:rsidRPr="000E57E3" w:rsidRDefault="008A6844" w:rsidP="000E57E3">
            <w:pPr>
              <w:pStyle w:val="Tabletext"/>
            </w:pPr>
            <w:r w:rsidRPr="000E57E3">
              <w:t>Y</w:t>
            </w:r>
          </w:p>
        </w:tc>
        <w:tc>
          <w:tcPr>
            <w:tcW w:w="0" w:type="auto"/>
            <w:vAlign w:val="bottom"/>
          </w:tcPr>
          <w:p w14:paraId="321E643E" w14:textId="15C37D49" w:rsidR="008A6844" w:rsidRPr="000E57E3" w:rsidRDefault="008A6844" w:rsidP="000E57E3">
            <w:pPr>
              <w:pStyle w:val="Tabletext"/>
            </w:pPr>
            <w:r w:rsidRPr="000E57E3">
              <w:t> </w:t>
            </w:r>
          </w:p>
        </w:tc>
        <w:tc>
          <w:tcPr>
            <w:tcW w:w="0" w:type="auto"/>
            <w:vAlign w:val="bottom"/>
          </w:tcPr>
          <w:p w14:paraId="52F860FC" w14:textId="07AA208E" w:rsidR="008A6844" w:rsidRPr="000E57E3" w:rsidRDefault="008A6844" w:rsidP="000E57E3">
            <w:pPr>
              <w:pStyle w:val="Tabletext"/>
            </w:pPr>
            <w:r w:rsidRPr="000E57E3">
              <w:t> </w:t>
            </w:r>
          </w:p>
        </w:tc>
        <w:tc>
          <w:tcPr>
            <w:tcW w:w="0" w:type="auto"/>
            <w:vAlign w:val="bottom"/>
          </w:tcPr>
          <w:p w14:paraId="1DAD81CF" w14:textId="24AFA28E" w:rsidR="008A6844" w:rsidRPr="000E57E3" w:rsidRDefault="008A6844" w:rsidP="000E57E3">
            <w:pPr>
              <w:pStyle w:val="Tabletext"/>
            </w:pPr>
            <w:r w:rsidRPr="000E57E3">
              <w:t> </w:t>
            </w:r>
          </w:p>
        </w:tc>
        <w:tc>
          <w:tcPr>
            <w:tcW w:w="0" w:type="auto"/>
            <w:vAlign w:val="bottom"/>
          </w:tcPr>
          <w:p w14:paraId="2459A902" w14:textId="00FBF98E" w:rsidR="008A6844" w:rsidRPr="000E57E3" w:rsidRDefault="008A6844" w:rsidP="000E57E3">
            <w:pPr>
              <w:pStyle w:val="Tabletext"/>
            </w:pPr>
            <w:r w:rsidRPr="000E57E3">
              <w:t> </w:t>
            </w:r>
          </w:p>
        </w:tc>
        <w:tc>
          <w:tcPr>
            <w:tcW w:w="0" w:type="auto"/>
            <w:vAlign w:val="bottom"/>
          </w:tcPr>
          <w:p w14:paraId="1EB57E28" w14:textId="5DA17980" w:rsidR="008A6844" w:rsidRPr="000E57E3" w:rsidRDefault="008A6844" w:rsidP="000E57E3">
            <w:pPr>
              <w:pStyle w:val="Tabletext"/>
            </w:pPr>
            <w:r w:rsidRPr="000E57E3">
              <w:t> </w:t>
            </w:r>
          </w:p>
        </w:tc>
        <w:tc>
          <w:tcPr>
            <w:tcW w:w="0" w:type="auto"/>
            <w:vAlign w:val="bottom"/>
          </w:tcPr>
          <w:p w14:paraId="33B5827F" w14:textId="16BF1731" w:rsidR="008A6844" w:rsidRPr="000E57E3" w:rsidRDefault="008A6844" w:rsidP="000E57E3">
            <w:pPr>
              <w:pStyle w:val="Tabletext"/>
            </w:pPr>
            <w:r w:rsidRPr="000E57E3">
              <w:t>Exemplar</w:t>
            </w:r>
          </w:p>
        </w:tc>
      </w:tr>
      <w:tr w:rsidR="00776CCE" w:rsidRPr="008A6844" w14:paraId="098256D0" w14:textId="77777777" w:rsidTr="00CA44B7">
        <w:tc>
          <w:tcPr>
            <w:tcW w:w="0" w:type="auto"/>
            <w:vAlign w:val="bottom"/>
          </w:tcPr>
          <w:p w14:paraId="2682A537" w14:textId="6849117F" w:rsidR="008A6844" w:rsidRPr="000E57E3" w:rsidRDefault="008A6844" w:rsidP="000E57E3">
            <w:pPr>
              <w:pStyle w:val="Tabletext"/>
            </w:pPr>
            <w:r w:rsidRPr="000E57E3">
              <w:t>NOP10</w:t>
            </w:r>
          </w:p>
        </w:tc>
        <w:tc>
          <w:tcPr>
            <w:tcW w:w="0" w:type="auto"/>
            <w:vAlign w:val="bottom"/>
          </w:tcPr>
          <w:p w14:paraId="7D08EE84" w14:textId="56312E38" w:rsidR="008A6844" w:rsidRPr="000E57E3" w:rsidRDefault="008A6844" w:rsidP="000E57E3">
            <w:pPr>
              <w:pStyle w:val="Tabletext"/>
            </w:pPr>
            <w:r w:rsidRPr="000E57E3">
              <w:t>Y</w:t>
            </w:r>
          </w:p>
        </w:tc>
        <w:tc>
          <w:tcPr>
            <w:tcW w:w="0" w:type="auto"/>
            <w:vAlign w:val="bottom"/>
          </w:tcPr>
          <w:p w14:paraId="5AB33F5A" w14:textId="37C70890" w:rsidR="008A6844" w:rsidRPr="000E57E3" w:rsidRDefault="008A6844" w:rsidP="000E57E3">
            <w:pPr>
              <w:pStyle w:val="Tabletext"/>
            </w:pPr>
            <w:r w:rsidRPr="000E57E3">
              <w:t> </w:t>
            </w:r>
          </w:p>
        </w:tc>
        <w:tc>
          <w:tcPr>
            <w:tcW w:w="0" w:type="auto"/>
            <w:vAlign w:val="bottom"/>
          </w:tcPr>
          <w:p w14:paraId="29925436" w14:textId="69A05D91" w:rsidR="008A6844" w:rsidRPr="000E57E3" w:rsidRDefault="008A6844" w:rsidP="000E57E3">
            <w:pPr>
              <w:pStyle w:val="Tabletext"/>
            </w:pPr>
            <w:r w:rsidRPr="000E57E3">
              <w:t> </w:t>
            </w:r>
          </w:p>
        </w:tc>
        <w:tc>
          <w:tcPr>
            <w:tcW w:w="0" w:type="auto"/>
            <w:vAlign w:val="bottom"/>
          </w:tcPr>
          <w:p w14:paraId="6DB56066" w14:textId="48327B09" w:rsidR="008A6844" w:rsidRPr="000E57E3" w:rsidRDefault="008A6844" w:rsidP="000E57E3">
            <w:pPr>
              <w:pStyle w:val="Tabletext"/>
            </w:pPr>
            <w:r w:rsidRPr="000E57E3">
              <w:t> </w:t>
            </w:r>
          </w:p>
        </w:tc>
        <w:tc>
          <w:tcPr>
            <w:tcW w:w="0" w:type="auto"/>
            <w:vAlign w:val="bottom"/>
          </w:tcPr>
          <w:p w14:paraId="62401F84" w14:textId="53A6EFAB" w:rsidR="008A6844" w:rsidRPr="000E57E3" w:rsidRDefault="008A6844" w:rsidP="000E57E3">
            <w:pPr>
              <w:pStyle w:val="Tabletext"/>
            </w:pPr>
            <w:r w:rsidRPr="000E57E3">
              <w:t> </w:t>
            </w:r>
          </w:p>
        </w:tc>
        <w:tc>
          <w:tcPr>
            <w:tcW w:w="0" w:type="auto"/>
            <w:vAlign w:val="bottom"/>
          </w:tcPr>
          <w:p w14:paraId="5105EB89" w14:textId="46456670" w:rsidR="008A6844" w:rsidRPr="000E57E3" w:rsidRDefault="008A6844" w:rsidP="000E57E3">
            <w:pPr>
              <w:pStyle w:val="Tabletext"/>
            </w:pPr>
            <w:r w:rsidRPr="000E57E3">
              <w:t> </w:t>
            </w:r>
          </w:p>
        </w:tc>
        <w:tc>
          <w:tcPr>
            <w:tcW w:w="0" w:type="auto"/>
            <w:vAlign w:val="bottom"/>
          </w:tcPr>
          <w:p w14:paraId="6B29C5C7" w14:textId="6F779F11" w:rsidR="008A6844" w:rsidRPr="000E57E3" w:rsidRDefault="008A6844" w:rsidP="000E57E3">
            <w:pPr>
              <w:pStyle w:val="Tabletext"/>
            </w:pPr>
            <w:r w:rsidRPr="000E57E3">
              <w:t> </w:t>
            </w:r>
          </w:p>
        </w:tc>
        <w:tc>
          <w:tcPr>
            <w:tcW w:w="0" w:type="auto"/>
            <w:vAlign w:val="bottom"/>
          </w:tcPr>
          <w:p w14:paraId="3C95496C" w14:textId="5B1E3AD9" w:rsidR="008A6844" w:rsidRPr="000E57E3" w:rsidRDefault="008A6844" w:rsidP="000E57E3">
            <w:pPr>
              <w:pStyle w:val="Tabletext"/>
            </w:pPr>
            <w:r w:rsidRPr="000E57E3">
              <w:t> </w:t>
            </w:r>
          </w:p>
        </w:tc>
        <w:tc>
          <w:tcPr>
            <w:tcW w:w="0" w:type="auto"/>
            <w:vAlign w:val="bottom"/>
          </w:tcPr>
          <w:p w14:paraId="462E7DE4" w14:textId="31C4716C" w:rsidR="008A6844" w:rsidRPr="000E57E3" w:rsidRDefault="008A6844" w:rsidP="000E57E3">
            <w:pPr>
              <w:pStyle w:val="Tabletext"/>
            </w:pPr>
            <w:r w:rsidRPr="000E57E3">
              <w:t> </w:t>
            </w:r>
          </w:p>
        </w:tc>
        <w:tc>
          <w:tcPr>
            <w:tcW w:w="0" w:type="auto"/>
            <w:vAlign w:val="bottom"/>
          </w:tcPr>
          <w:p w14:paraId="00A05C83" w14:textId="584006DD" w:rsidR="008A6844" w:rsidRPr="000E57E3" w:rsidRDefault="008A6844" w:rsidP="000E57E3">
            <w:pPr>
              <w:pStyle w:val="Tabletext"/>
            </w:pPr>
            <w:r w:rsidRPr="000E57E3">
              <w:t> </w:t>
            </w:r>
          </w:p>
        </w:tc>
        <w:tc>
          <w:tcPr>
            <w:tcW w:w="0" w:type="auto"/>
            <w:vAlign w:val="bottom"/>
          </w:tcPr>
          <w:p w14:paraId="2309C869" w14:textId="2B5422D4" w:rsidR="008A6844" w:rsidRPr="000E57E3" w:rsidRDefault="008A6844" w:rsidP="000E57E3">
            <w:pPr>
              <w:pStyle w:val="Tabletext"/>
            </w:pPr>
            <w:r w:rsidRPr="000E57E3">
              <w:t> </w:t>
            </w:r>
          </w:p>
        </w:tc>
        <w:tc>
          <w:tcPr>
            <w:tcW w:w="0" w:type="auto"/>
            <w:vAlign w:val="bottom"/>
          </w:tcPr>
          <w:p w14:paraId="495A2E2D" w14:textId="55C8F0FC" w:rsidR="008A6844" w:rsidRPr="000E57E3" w:rsidRDefault="008A6844" w:rsidP="000E57E3">
            <w:pPr>
              <w:pStyle w:val="Tabletext"/>
            </w:pPr>
            <w:r w:rsidRPr="000E57E3">
              <w:t>Exemplar</w:t>
            </w:r>
          </w:p>
        </w:tc>
      </w:tr>
      <w:tr w:rsidR="00776CCE" w:rsidRPr="008A6844" w14:paraId="6E2917F7" w14:textId="77777777" w:rsidTr="00CA44B7">
        <w:tc>
          <w:tcPr>
            <w:tcW w:w="0" w:type="auto"/>
            <w:vAlign w:val="bottom"/>
          </w:tcPr>
          <w:p w14:paraId="7E6D61E1" w14:textId="39895B7D" w:rsidR="008A6844" w:rsidRPr="000E57E3" w:rsidRDefault="008A6844" w:rsidP="000E57E3">
            <w:pPr>
              <w:pStyle w:val="Tabletext"/>
            </w:pPr>
            <w:r w:rsidRPr="000E57E3">
              <w:t>NOTCH1</w:t>
            </w:r>
          </w:p>
        </w:tc>
        <w:tc>
          <w:tcPr>
            <w:tcW w:w="0" w:type="auto"/>
            <w:vAlign w:val="bottom"/>
          </w:tcPr>
          <w:p w14:paraId="4550E8A7" w14:textId="65878E85" w:rsidR="008A6844" w:rsidRPr="000E57E3" w:rsidRDefault="008A6844" w:rsidP="000E57E3">
            <w:pPr>
              <w:pStyle w:val="Tabletext"/>
            </w:pPr>
            <w:r w:rsidRPr="000E57E3">
              <w:t>Y</w:t>
            </w:r>
          </w:p>
        </w:tc>
        <w:tc>
          <w:tcPr>
            <w:tcW w:w="0" w:type="auto"/>
            <w:vAlign w:val="bottom"/>
          </w:tcPr>
          <w:p w14:paraId="4BFA2882" w14:textId="1C73626E" w:rsidR="008A6844" w:rsidRPr="000E57E3" w:rsidRDefault="008A6844" w:rsidP="000E57E3">
            <w:pPr>
              <w:pStyle w:val="Tabletext"/>
            </w:pPr>
            <w:r w:rsidRPr="000E57E3">
              <w:t> </w:t>
            </w:r>
          </w:p>
        </w:tc>
        <w:tc>
          <w:tcPr>
            <w:tcW w:w="0" w:type="auto"/>
            <w:vAlign w:val="bottom"/>
          </w:tcPr>
          <w:p w14:paraId="56F0D4E6" w14:textId="1193CED6" w:rsidR="008A6844" w:rsidRPr="000E57E3" w:rsidRDefault="008A6844" w:rsidP="000E57E3">
            <w:pPr>
              <w:pStyle w:val="Tabletext"/>
            </w:pPr>
            <w:r w:rsidRPr="000E57E3">
              <w:t>Y</w:t>
            </w:r>
          </w:p>
        </w:tc>
        <w:tc>
          <w:tcPr>
            <w:tcW w:w="0" w:type="auto"/>
            <w:vAlign w:val="bottom"/>
          </w:tcPr>
          <w:p w14:paraId="702454F1" w14:textId="6E72960C" w:rsidR="008A6844" w:rsidRPr="000E57E3" w:rsidRDefault="008A6844" w:rsidP="000E57E3">
            <w:pPr>
              <w:pStyle w:val="Tabletext"/>
            </w:pPr>
            <w:r w:rsidRPr="000E57E3">
              <w:t> </w:t>
            </w:r>
          </w:p>
        </w:tc>
        <w:tc>
          <w:tcPr>
            <w:tcW w:w="0" w:type="auto"/>
            <w:vAlign w:val="bottom"/>
          </w:tcPr>
          <w:p w14:paraId="3CDB9624" w14:textId="3CF32DF1" w:rsidR="008A6844" w:rsidRPr="000E57E3" w:rsidRDefault="008A6844" w:rsidP="000E57E3">
            <w:pPr>
              <w:pStyle w:val="Tabletext"/>
            </w:pPr>
            <w:r w:rsidRPr="000E57E3">
              <w:t> </w:t>
            </w:r>
          </w:p>
        </w:tc>
        <w:tc>
          <w:tcPr>
            <w:tcW w:w="0" w:type="auto"/>
            <w:vAlign w:val="bottom"/>
          </w:tcPr>
          <w:p w14:paraId="4F1BAED4" w14:textId="58363976" w:rsidR="008A6844" w:rsidRPr="000E57E3" w:rsidRDefault="008A6844" w:rsidP="000E57E3">
            <w:pPr>
              <w:pStyle w:val="Tabletext"/>
            </w:pPr>
            <w:r w:rsidRPr="000E57E3">
              <w:t> </w:t>
            </w:r>
          </w:p>
        </w:tc>
        <w:tc>
          <w:tcPr>
            <w:tcW w:w="0" w:type="auto"/>
            <w:vAlign w:val="bottom"/>
          </w:tcPr>
          <w:p w14:paraId="740EED5A" w14:textId="33474593" w:rsidR="008A6844" w:rsidRPr="000E57E3" w:rsidRDefault="008A6844" w:rsidP="000E57E3">
            <w:pPr>
              <w:pStyle w:val="Tabletext"/>
            </w:pPr>
            <w:r w:rsidRPr="000E57E3">
              <w:t>Y</w:t>
            </w:r>
          </w:p>
        </w:tc>
        <w:tc>
          <w:tcPr>
            <w:tcW w:w="0" w:type="auto"/>
            <w:vAlign w:val="bottom"/>
          </w:tcPr>
          <w:p w14:paraId="7BB49CF0" w14:textId="5044ECD9" w:rsidR="008A6844" w:rsidRPr="000E57E3" w:rsidRDefault="008A6844" w:rsidP="000E57E3">
            <w:pPr>
              <w:pStyle w:val="Tabletext"/>
            </w:pPr>
            <w:r w:rsidRPr="000E57E3">
              <w:t>Y</w:t>
            </w:r>
          </w:p>
        </w:tc>
        <w:tc>
          <w:tcPr>
            <w:tcW w:w="0" w:type="auto"/>
            <w:vAlign w:val="bottom"/>
          </w:tcPr>
          <w:p w14:paraId="5AF59E25" w14:textId="7F3F0F81" w:rsidR="008A6844" w:rsidRPr="000E57E3" w:rsidRDefault="008A6844" w:rsidP="000E57E3">
            <w:pPr>
              <w:pStyle w:val="Tabletext"/>
            </w:pPr>
            <w:r w:rsidRPr="000E57E3">
              <w:t> </w:t>
            </w:r>
          </w:p>
        </w:tc>
        <w:tc>
          <w:tcPr>
            <w:tcW w:w="0" w:type="auto"/>
            <w:vAlign w:val="bottom"/>
          </w:tcPr>
          <w:p w14:paraId="1BC0CE21" w14:textId="3142BD6D" w:rsidR="008A6844" w:rsidRPr="000E57E3" w:rsidRDefault="008A6844" w:rsidP="000E57E3">
            <w:pPr>
              <w:pStyle w:val="Tabletext"/>
            </w:pPr>
            <w:r w:rsidRPr="000E57E3">
              <w:t>Y</w:t>
            </w:r>
          </w:p>
        </w:tc>
        <w:tc>
          <w:tcPr>
            <w:tcW w:w="0" w:type="auto"/>
            <w:vAlign w:val="bottom"/>
          </w:tcPr>
          <w:p w14:paraId="4EB095EA" w14:textId="6869D849" w:rsidR="008A6844" w:rsidRPr="000E57E3" w:rsidRDefault="008A6844" w:rsidP="000E57E3">
            <w:pPr>
              <w:pStyle w:val="Tabletext"/>
            </w:pPr>
            <w:r w:rsidRPr="000E57E3">
              <w:t>Y</w:t>
            </w:r>
          </w:p>
        </w:tc>
        <w:tc>
          <w:tcPr>
            <w:tcW w:w="0" w:type="auto"/>
            <w:vAlign w:val="bottom"/>
          </w:tcPr>
          <w:p w14:paraId="67740840" w14:textId="3F9B529E" w:rsidR="008A6844" w:rsidRPr="000E57E3" w:rsidRDefault="008A6844" w:rsidP="000E57E3">
            <w:pPr>
              <w:pStyle w:val="Tabletext"/>
            </w:pPr>
            <w:r w:rsidRPr="000E57E3">
              <w:t>Exemplar</w:t>
            </w:r>
          </w:p>
        </w:tc>
      </w:tr>
      <w:tr w:rsidR="00776CCE" w:rsidRPr="008A6844" w14:paraId="69F49468" w14:textId="77777777" w:rsidTr="00CA44B7">
        <w:tc>
          <w:tcPr>
            <w:tcW w:w="0" w:type="auto"/>
            <w:vAlign w:val="bottom"/>
          </w:tcPr>
          <w:p w14:paraId="678D33C8" w14:textId="66EE36FD" w:rsidR="008A6844" w:rsidRPr="000E57E3" w:rsidRDefault="008A6844" w:rsidP="000E57E3">
            <w:pPr>
              <w:pStyle w:val="Tabletext"/>
            </w:pPr>
            <w:r w:rsidRPr="000E57E3">
              <w:t>NPM1</w:t>
            </w:r>
          </w:p>
        </w:tc>
        <w:tc>
          <w:tcPr>
            <w:tcW w:w="0" w:type="auto"/>
            <w:vAlign w:val="bottom"/>
          </w:tcPr>
          <w:p w14:paraId="2F0873CC" w14:textId="5BC0869D" w:rsidR="008A6844" w:rsidRPr="000E57E3" w:rsidRDefault="008A6844" w:rsidP="000E57E3">
            <w:pPr>
              <w:pStyle w:val="Tabletext"/>
            </w:pPr>
            <w:r w:rsidRPr="000E57E3">
              <w:t>Y</w:t>
            </w:r>
          </w:p>
        </w:tc>
        <w:tc>
          <w:tcPr>
            <w:tcW w:w="0" w:type="auto"/>
            <w:vAlign w:val="bottom"/>
          </w:tcPr>
          <w:p w14:paraId="724F216A" w14:textId="03F914CC" w:rsidR="008A6844" w:rsidRPr="000E57E3" w:rsidRDefault="008A6844" w:rsidP="000E57E3">
            <w:pPr>
              <w:pStyle w:val="Tabletext"/>
            </w:pPr>
            <w:r w:rsidRPr="000E57E3">
              <w:t> </w:t>
            </w:r>
          </w:p>
        </w:tc>
        <w:tc>
          <w:tcPr>
            <w:tcW w:w="0" w:type="auto"/>
            <w:vAlign w:val="bottom"/>
          </w:tcPr>
          <w:p w14:paraId="60C1C436" w14:textId="059F8ED6" w:rsidR="008A6844" w:rsidRPr="000E57E3" w:rsidRDefault="008A6844" w:rsidP="000E57E3">
            <w:pPr>
              <w:pStyle w:val="Tabletext"/>
            </w:pPr>
            <w:r w:rsidRPr="000E57E3">
              <w:t>Y</w:t>
            </w:r>
          </w:p>
        </w:tc>
        <w:tc>
          <w:tcPr>
            <w:tcW w:w="0" w:type="auto"/>
            <w:vAlign w:val="bottom"/>
          </w:tcPr>
          <w:p w14:paraId="04912A41" w14:textId="5537481C" w:rsidR="008A6844" w:rsidRPr="000E57E3" w:rsidRDefault="008A6844" w:rsidP="000E57E3">
            <w:pPr>
              <w:pStyle w:val="Tabletext"/>
            </w:pPr>
            <w:r w:rsidRPr="000E57E3">
              <w:t> </w:t>
            </w:r>
          </w:p>
        </w:tc>
        <w:tc>
          <w:tcPr>
            <w:tcW w:w="0" w:type="auto"/>
            <w:vAlign w:val="bottom"/>
          </w:tcPr>
          <w:p w14:paraId="500EC2E6" w14:textId="44D645FE" w:rsidR="008A6844" w:rsidRPr="000E57E3" w:rsidRDefault="008A6844" w:rsidP="000E57E3">
            <w:pPr>
              <w:pStyle w:val="Tabletext"/>
            </w:pPr>
            <w:r w:rsidRPr="000E57E3">
              <w:t>Y</w:t>
            </w:r>
          </w:p>
        </w:tc>
        <w:tc>
          <w:tcPr>
            <w:tcW w:w="0" w:type="auto"/>
            <w:vAlign w:val="bottom"/>
          </w:tcPr>
          <w:p w14:paraId="6157CFBD" w14:textId="6B4809B9" w:rsidR="008A6844" w:rsidRPr="000E57E3" w:rsidRDefault="008A6844" w:rsidP="000E57E3">
            <w:pPr>
              <w:pStyle w:val="Tabletext"/>
            </w:pPr>
            <w:r w:rsidRPr="000E57E3">
              <w:t> </w:t>
            </w:r>
          </w:p>
        </w:tc>
        <w:tc>
          <w:tcPr>
            <w:tcW w:w="0" w:type="auto"/>
            <w:vAlign w:val="bottom"/>
          </w:tcPr>
          <w:p w14:paraId="00C96BDE" w14:textId="45A9DFFD" w:rsidR="008A6844" w:rsidRPr="000E57E3" w:rsidRDefault="008A6844" w:rsidP="000E57E3">
            <w:pPr>
              <w:pStyle w:val="Tabletext"/>
            </w:pPr>
            <w:r w:rsidRPr="000E57E3">
              <w:t>Y</w:t>
            </w:r>
          </w:p>
        </w:tc>
        <w:tc>
          <w:tcPr>
            <w:tcW w:w="0" w:type="auto"/>
            <w:vAlign w:val="bottom"/>
          </w:tcPr>
          <w:p w14:paraId="4A3BCDD5" w14:textId="2102C866" w:rsidR="008A6844" w:rsidRPr="000E57E3" w:rsidRDefault="008A6844" w:rsidP="000E57E3">
            <w:pPr>
              <w:pStyle w:val="Tabletext"/>
            </w:pPr>
            <w:r w:rsidRPr="000E57E3">
              <w:t> </w:t>
            </w:r>
          </w:p>
        </w:tc>
        <w:tc>
          <w:tcPr>
            <w:tcW w:w="0" w:type="auto"/>
            <w:vAlign w:val="bottom"/>
          </w:tcPr>
          <w:p w14:paraId="73544855" w14:textId="02CEC295" w:rsidR="008A6844" w:rsidRPr="000E57E3" w:rsidRDefault="008A6844" w:rsidP="000E57E3">
            <w:pPr>
              <w:pStyle w:val="Tabletext"/>
            </w:pPr>
            <w:r w:rsidRPr="000E57E3">
              <w:t>Y</w:t>
            </w:r>
          </w:p>
        </w:tc>
        <w:tc>
          <w:tcPr>
            <w:tcW w:w="0" w:type="auto"/>
            <w:vAlign w:val="bottom"/>
          </w:tcPr>
          <w:p w14:paraId="0367D606" w14:textId="510B7338" w:rsidR="008A6844" w:rsidRPr="000E57E3" w:rsidRDefault="008A6844" w:rsidP="000E57E3">
            <w:pPr>
              <w:pStyle w:val="Tabletext"/>
            </w:pPr>
            <w:r w:rsidRPr="000E57E3">
              <w:t> </w:t>
            </w:r>
          </w:p>
        </w:tc>
        <w:tc>
          <w:tcPr>
            <w:tcW w:w="0" w:type="auto"/>
            <w:vAlign w:val="bottom"/>
          </w:tcPr>
          <w:p w14:paraId="418A6272" w14:textId="3F5001D0" w:rsidR="008A6844" w:rsidRPr="000E57E3" w:rsidRDefault="008A6844" w:rsidP="000E57E3">
            <w:pPr>
              <w:pStyle w:val="Tabletext"/>
            </w:pPr>
            <w:r w:rsidRPr="000E57E3">
              <w:t>Y</w:t>
            </w:r>
          </w:p>
        </w:tc>
        <w:tc>
          <w:tcPr>
            <w:tcW w:w="0" w:type="auto"/>
            <w:vAlign w:val="bottom"/>
          </w:tcPr>
          <w:p w14:paraId="74EF8714" w14:textId="7B626A91" w:rsidR="008A6844" w:rsidRPr="000E57E3" w:rsidRDefault="008A6844" w:rsidP="000E57E3">
            <w:pPr>
              <w:pStyle w:val="Tabletext"/>
            </w:pPr>
            <w:r w:rsidRPr="000E57E3">
              <w:t>Exemplar</w:t>
            </w:r>
          </w:p>
        </w:tc>
      </w:tr>
      <w:tr w:rsidR="00776CCE" w:rsidRPr="008A6844" w14:paraId="091DC62A" w14:textId="77777777" w:rsidTr="00CA44B7">
        <w:tc>
          <w:tcPr>
            <w:tcW w:w="0" w:type="auto"/>
            <w:vAlign w:val="bottom"/>
          </w:tcPr>
          <w:p w14:paraId="0FEA9CBC" w14:textId="5647F8A5" w:rsidR="008A6844" w:rsidRPr="000E57E3" w:rsidRDefault="008A6844" w:rsidP="000E57E3">
            <w:pPr>
              <w:pStyle w:val="Tabletext"/>
            </w:pPr>
            <w:r w:rsidRPr="000E57E3">
              <w:t>NRAS</w:t>
            </w:r>
          </w:p>
        </w:tc>
        <w:tc>
          <w:tcPr>
            <w:tcW w:w="0" w:type="auto"/>
            <w:vAlign w:val="bottom"/>
          </w:tcPr>
          <w:p w14:paraId="368B8CAC" w14:textId="221AC568" w:rsidR="008A6844" w:rsidRPr="000E57E3" w:rsidRDefault="008A6844" w:rsidP="000E57E3">
            <w:pPr>
              <w:pStyle w:val="Tabletext"/>
            </w:pPr>
            <w:r w:rsidRPr="000E57E3">
              <w:t>Y</w:t>
            </w:r>
          </w:p>
        </w:tc>
        <w:tc>
          <w:tcPr>
            <w:tcW w:w="0" w:type="auto"/>
            <w:vAlign w:val="bottom"/>
          </w:tcPr>
          <w:p w14:paraId="22A07B0D" w14:textId="7813FD18" w:rsidR="008A6844" w:rsidRPr="000E57E3" w:rsidRDefault="008A6844" w:rsidP="000E57E3">
            <w:pPr>
              <w:pStyle w:val="Tabletext"/>
            </w:pPr>
            <w:r w:rsidRPr="000E57E3">
              <w:t> </w:t>
            </w:r>
          </w:p>
        </w:tc>
        <w:tc>
          <w:tcPr>
            <w:tcW w:w="0" w:type="auto"/>
            <w:vAlign w:val="bottom"/>
          </w:tcPr>
          <w:p w14:paraId="019D7007" w14:textId="31E18B83" w:rsidR="008A6844" w:rsidRPr="000E57E3" w:rsidRDefault="008A6844" w:rsidP="000E57E3">
            <w:pPr>
              <w:pStyle w:val="Tabletext"/>
            </w:pPr>
            <w:r w:rsidRPr="000E57E3">
              <w:t>Y</w:t>
            </w:r>
          </w:p>
        </w:tc>
        <w:tc>
          <w:tcPr>
            <w:tcW w:w="0" w:type="auto"/>
            <w:vAlign w:val="bottom"/>
          </w:tcPr>
          <w:p w14:paraId="0FDF68E7" w14:textId="34B1FBEE" w:rsidR="008A6844" w:rsidRPr="000E57E3" w:rsidRDefault="008A6844" w:rsidP="000E57E3">
            <w:pPr>
              <w:pStyle w:val="Tabletext"/>
            </w:pPr>
            <w:r w:rsidRPr="000E57E3">
              <w:t> </w:t>
            </w:r>
          </w:p>
        </w:tc>
        <w:tc>
          <w:tcPr>
            <w:tcW w:w="0" w:type="auto"/>
            <w:vAlign w:val="bottom"/>
          </w:tcPr>
          <w:p w14:paraId="08C82DC7" w14:textId="2B1A9D0C" w:rsidR="008A6844" w:rsidRPr="000E57E3" w:rsidRDefault="008A6844" w:rsidP="000E57E3">
            <w:pPr>
              <w:pStyle w:val="Tabletext"/>
            </w:pPr>
            <w:r w:rsidRPr="000E57E3">
              <w:t>Y</w:t>
            </w:r>
          </w:p>
        </w:tc>
        <w:tc>
          <w:tcPr>
            <w:tcW w:w="0" w:type="auto"/>
            <w:vAlign w:val="bottom"/>
          </w:tcPr>
          <w:p w14:paraId="0290F1B1" w14:textId="3707A90E" w:rsidR="008A6844" w:rsidRPr="000E57E3" w:rsidRDefault="008A6844" w:rsidP="000E57E3">
            <w:pPr>
              <w:pStyle w:val="Tabletext"/>
            </w:pPr>
            <w:r w:rsidRPr="000E57E3">
              <w:t> </w:t>
            </w:r>
          </w:p>
        </w:tc>
        <w:tc>
          <w:tcPr>
            <w:tcW w:w="0" w:type="auto"/>
            <w:vAlign w:val="bottom"/>
          </w:tcPr>
          <w:p w14:paraId="0D94CC96" w14:textId="3BED53CE" w:rsidR="008A6844" w:rsidRPr="000E57E3" w:rsidRDefault="008A6844" w:rsidP="000E57E3">
            <w:pPr>
              <w:pStyle w:val="Tabletext"/>
            </w:pPr>
            <w:r w:rsidRPr="000E57E3">
              <w:t>Y</w:t>
            </w:r>
          </w:p>
        </w:tc>
        <w:tc>
          <w:tcPr>
            <w:tcW w:w="0" w:type="auto"/>
            <w:vAlign w:val="bottom"/>
          </w:tcPr>
          <w:p w14:paraId="207957F2" w14:textId="1AB4D7E3" w:rsidR="008A6844" w:rsidRPr="000E57E3" w:rsidRDefault="008A6844" w:rsidP="000E57E3">
            <w:pPr>
              <w:pStyle w:val="Tabletext"/>
            </w:pPr>
            <w:r w:rsidRPr="000E57E3">
              <w:t>Y</w:t>
            </w:r>
          </w:p>
        </w:tc>
        <w:tc>
          <w:tcPr>
            <w:tcW w:w="0" w:type="auto"/>
            <w:vAlign w:val="bottom"/>
          </w:tcPr>
          <w:p w14:paraId="6A2FAFA6" w14:textId="26CACEF9" w:rsidR="008A6844" w:rsidRPr="000E57E3" w:rsidRDefault="008A6844" w:rsidP="000E57E3">
            <w:pPr>
              <w:pStyle w:val="Tabletext"/>
            </w:pPr>
            <w:r w:rsidRPr="000E57E3">
              <w:t>Y</w:t>
            </w:r>
          </w:p>
        </w:tc>
        <w:tc>
          <w:tcPr>
            <w:tcW w:w="0" w:type="auto"/>
            <w:vAlign w:val="bottom"/>
          </w:tcPr>
          <w:p w14:paraId="42725580" w14:textId="4D72E014" w:rsidR="008A6844" w:rsidRPr="000E57E3" w:rsidRDefault="008A6844" w:rsidP="000E57E3">
            <w:pPr>
              <w:pStyle w:val="Tabletext"/>
            </w:pPr>
            <w:r w:rsidRPr="000E57E3">
              <w:t> </w:t>
            </w:r>
          </w:p>
        </w:tc>
        <w:tc>
          <w:tcPr>
            <w:tcW w:w="0" w:type="auto"/>
            <w:vAlign w:val="bottom"/>
          </w:tcPr>
          <w:p w14:paraId="3746D7BB" w14:textId="4B0B2CE4" w:rsidR="008A6844" w:rsidRPr="000E57E3" w:rsidRDefault="008A6844" w:rsidP="000E57E3">
            <w:pPr>
              <w:pStyle w:val="Tabletext"/>
            </w:pPr>
            <w:r w:rsidRPr="000E57E3">
              <w:t>Y</w:t>
            </w:r>
          </w:p>
        </w:tc>
        <w:tc>
          <w:tcPr>
            <w:tcW w:w="0" w:type="auto"/>
            <w:vAlign w:val="bottom"/>
          </w:tcPr>
          <w:p w14:paraId="33CEFEAC" w14:textId="06C60790" w:rsidR="008A6844" w:rsidRPr="000E57E3" w:rsidRDefault="008A6844" w:rsidP="000E57E3">
            <w:pPr>
              <w:pStyle w:val="Tabletext"/>
            </w:pPr>
            <w:r w:rsidRPr="000E57E3">
              <w:t>Exemplar</w:t>
            </w:r>
          </w:p>
        </w:tc>
      </w:tr>
      <w:tr w:rsidR="00776CCE" w:rsidRPr="008A6844" w14:paraId="3E3AFCAF" w14:textId="77777777" w:rsidTr="00CA44B7">
        <w:tc>
          <w:tcPr>
            <w:tcW w:w="0" w:type="auto"/>
            <w:vAlign w:val="bottom"/>
          </w:tcPr>
          <w:p w14:paraId="392025C9" w14:textId="77FCA28F" w:rsidR="008A6844" w:rsidRPr="000E57E3" w:rsidRDefault="008A6844" w:rsidP="000E57E3">
            <w:pPr>
              <w:pStyle w:val="Tabletext"/>
            </w:pPr>
            <w:r w:rsidRPr="000E57E3">
              <w:t>PALB2</w:t>
            </w:r>
          </w:p>
        </w:tc>
        <w:tc>
          <w:tcPr>
            <w:tcW w:w="0" w:type="auto"/>
            <w:vAlign w:val="bottom"/>
          </w:tcPr>
          <w:p w14:paraId="21566FEE" w14:textId="31F531C0" w:rsidR="008A6844" w:rsidRPr="000E57E3" w:rsidRDefault="008A6844" w:rsidP="000E57E3">
            <w:pPr>
              <w:pStyle w:val="Tabletext"/>
            </w:pPr>
            <w:r w:rsidRPr="000E57E3">
              <w:t>Y</w:t>
            </w:r>
          </w:p>
        </w:tc>
        <w:tc>
          <w:tcPr>
            <w:tcW w:w="0" w:type="auto"/>
            <w:vAlign w:val="bottom"/>
          </w:tcPr>
          <w:p w14:paraId="0C10C41F" w14:textId="26825883" w:rsidR="008A6844" w:rsidRPr="000E57E3" w:rsidRDefault="008A6844" w:rsidP="000E57E3">
            <w:pPr>
              <w:pStyle w:val="Tabletext"/>
            </w:pPr>
            <w:r w:rsidRPr="000E57E3">
              <w:t> </w:t>
            </w:r>
          </w:p>
        </w:tc>
        <w:tc>
          <w:tcPr>
            <w:tcW w:w="0" w:type="auto"/>
            <w:vAlign w:val="bottom"/>
          </w:tcPr>
          <w:p w14:paraId="7A4097C0" w14:textId="718A512F" w:rsidR="008A6844" w:rsidRPr="000E57E3" w:rsidRDefault="008A6844" w:rsidP="000E57E3">
            <w:pPr>
              <w:pStyle w:val="Tabletext"/>
            </w:pPr>
            <w:r w:rsidRPr="000E57E3">
              <w:t> </w:t>
            </w:r>
          </w:p>
        </w:tc>
        <w:tc>
          <w:tcPr>
            <w:tcW w:w="0" w:type="auto"/>
            <w:vAlign w:val="bottom"/>
          </w:tcPr>
          <w:p w14:paraId="1B0A8D53" w14:textId="62596FBC" w:rsidR="008A6844" w:rsidRPr="000E57E3" w:rsidRDefault="008A6844" w:rsidP="000E57E3">
            <w:pPr>
              <w:pStyle w:val="Tabletext"/>
            </w:pPr>
            <w:r w:rsidRPr="000E57E3">
              <w:t> </w:t>
            </w:r>
          </w:p>
        </w:tc>
        <w:tc>
          <w:tcPr>
            <w:tcW w:w="0" w:type="auto"/>
            <w:vAlign w:val="bottom"/>
          </w:tcPr>
          <w:p w14:paraId="7EDC6444" w14:textId="1C205C49" w:rsidR="008A6844" w:rsidRPr="000E57E3" w:rsidRDefault="008A6844" w:rsidP="000E57E3">
            <w:pPr>
              <w:pStyle w:val="Tabletext"/>
            </w:pPr>
            <w:r w:rsidRPr="000E57E3">
              <w:t> </w:t>
            </w:r>
          </w:p>
        </w:tc>
        <w:tc>
          <w:tcPr>
            <w:tcW w:w="0" w:type="auto"/>
            <w:vAlign w:val="bottom"/>
          </w:tcPr>
          <w:p w14:paraId="67FF90F7" w14:textId="20811FF5" w:rsidR="008A6844" w:rsidRPr="000E57E3" w:rsidRDefault="008A6844" w:rsidP="000E57E3">
            <w:pPr>
              <w:pStyle w:val="Tabletext"/>
            </w:pPr>
            <w:r w:rsidRPr="000E57E3">
              <w:t> </w:t>
            </w:r>
          </w:p>
        </w:tc>
        <w:tc>
          <w:tcPr>
            <w:tcW w:w="0" w:type="auto"/>
            <w:vAlign w:val="bottom"/>
          </w:tcPr>
          <w:p w14:paraId="52695521" w14:textId="14B3BFC4" w:rsidR="008A6844" w:rsidRPr="000E57E3" w:rsidRDefault="008A6844" w:rsidP="000E57E3">
            <w:pPr>
              <w:pStyle w:val="Tabletext"/>
            </w:pPr>
            <w:r w:rsidRPr="000E57E3">
              <w:t> </w:t>
            </w:r>
          </w:p>
        </w:tc>
        <w:tc>
          <w:tcPr>
            <w:tcW w:w="0" w:type="auto"/>
            <w:vAlign w:val="bottom"/>
          </w:tcPr>
          <w:p w14:paraId="2DF3C76E" w14:textId="4ED079CD" w:rsidR="008A6844" w:rsidRPr="000E57E3" w:rsidRDefault="008A6844" w:rsidP="000E57E3">
            <w:pPr>
              <w:pStyle w:val="Tabletext"/>
            </w:pPr>
            <w:r w:rsidRPr="000E57E3">
              <w:t> </w:t>
            </w:r>
          </w:p>
        </w:tc>
        <w:tc>
          <w:tcPr>
            <w:tcW w:w="0" w:type="auto"/>
            <w:vAlign w:val="bottom"/>
          </w:tcPr>
          <w:p w14:paraId="7C3684C6" w14:textId="2EDD7EC5" w:rsidR="008A6844" w:rsidRPr="000E57E3" w:rsidRDefault="008A6844" w:rsidP="000E57E3">
            <w:pPr>
              <w:pStyle w:val="Tabletext"/>
            </w:pPr>
            <w:r w:rsidRPr="000E57E3">
              <w:t> </w:t>
            </w:r>
          </w:p>
        </w:tc>
        <w:tc>
          <w:tcPr>
            <w:tcW w:w="0" w:type="auto"/>
            <w:vAlign w:val="bottom"/>
          </w:tcPr>
          <w:p w14:paraId="52909A83" w14:textId="0255287B" w:rsidR="008A6844" w:rsidRPr="000E57E3" w:rsidRDefault="008A6844" w:rsidP="000E57E3">
            <w:pPr>
              <w:pStyle w:val="Tabletext"/>
            </w:pPr>
            <w:r w:rsidRPr="000E57E3">
              <w:t> </w:t>
            </w:r>
          </w:p>
        </w:tc>
        <w:tc>
          <w:tcPr>
            <w:tcW w:w="0" w:type="auto"/>
            <w:vAlign w:val="bottom"/>
          </w:tcPr>
          <w:p w14:paraId="108473BA" w14:textId="17FEB327" w:rsidR="008A6844" w:rsidRPr="000E57E3" w:rsidRDefault="008A6844" w:rsidP="000E57E3">
            <w:pPr>
              <w:pStyle w:val="Tabletext"/>
            </w:pPr>
            <w:r w:rsidRPr="000E57E3">
              <w:t> </w:t>
            </w:r>
          </w:p>
        </w:tc>
        <w:tc>
          <w:tcPr>
            <w:tcW w:w="0" w:type="auto"/>
            <w:vAlign w:val="bottom"/>
          </w:tcPr>
          <w:p w14:paraId="44585BC5" w14:textId="212BA90D" w:rsidR="008A6844" w:rsidRPr="000E57E3" w:rsidRDefault="008A6844" w:rsidP="000E57E3">
            <w:pPr>
              <w:pStyle w:val="Tabletext"/>
            </w:pPr>
            <w:r w:rsidRPr="000E57E3">
              <w:t>Exemplar</w:t>
            </w:r>
          </w:p>
        </w:tc>
      </w:tr>
      <w:tr w:rsidR="00776CCE" w:rsidRPr="008A6844" w14:paraId="12156C6C" w14:textId="77777777" w:rsidTr="00CA44B7">
        <w:tc>
          <w:tcPr>
            <w:tcW w:w="0" w:type="auto"/>
            <w:vAlign w:val="bottom"/>
          </w:tcPr>
          <w:p w14:paraId="0CB56072" w14:textId="5AED283A" w:rsidR="008A6844" w:rsidRPr="000E57E3" w:rsidRDefault="008A6844" w:rsidP="000E57E3">
            <w:pPr>
              <w:pStyle w:val="Tabletext"/>
            </w:pPr>
            <w:r w:rsidRPr="000E57E3">
              <w:t>PCM1-JAK2</w:t>
            </w:r>
          </w:p>
        </w:tc>
        <w:tc>
          <w:tcPr>
            <w:tcW w:w="0" w:type="auto"/>
            <w:vAlign w:val="bottom"/>
          </w:tcPr>
          <w:p w14:paraId="2541A359" w14:textId="572D0D5D" w:rsidR="008A6844" w:rsidRPr="000E57E3" w:rsidRDefault="008A6844" w:rsidP="000E57E3">
            <w:pPr>
              <w:pStyle w:val="Tabletext"/>
            </w:pPr>
            <w:r w:rsidRPr="000E57E3">
              <w:t> </w:t>
            </w:r>
          </w:p>
        </w:tc>
        <w:tc>
          <w:tcPr>
            <w:tcW w:w="0" w:type="auto"/>
            <w:vAlign w:val="bottom"/>
          </w:tcPr>
          <w:p w14:paraId="62244E11" w14:textId="76668FE2" w:rsidR="008A6844" w:rsidRPr="000E57E3" w:rsidRDefault="008A6844" w:rsidP="000E57E3">
            <w:pPr>
              <w:pStyle w:val="Tabletext"/>
            </w:pPr>
            <w:r w:rsidRPr="000E57E3">
              <w:t>Y</w:t>
            </w:r>
          </w:p>
        </w:tc>
        <w:tc>
          <w:tcPr>
            <w:tcW w:w="0" w:type="auto"/>
            <w:vAlign w:val="bottom"/>
          </w:tcPr>
          <w:p w14:paraId="25D3DFFB" w14:textId="57AACEE8" w:rsidR="008A6844" w:rsidRPr="000E57E3" w:rsidRDefault="008A6844" w:rsidP="000E57E3">
            <w:pPr>
              <w:pStyle w:val="Tabletext"/>
            </w:pPr>
            <w:r w:rsidRPr="000E57E3">
              <w:t> </w:t>
            </w:r>
          </w:p>
        </w:tc>
        <w:tc>
          <w:tcPr>
            <w:tcW w:w="0" w:type="auto"/>
            <w:vAlign w:val="bottom"/>
          </w:tcPr>
          <w:p w14:paraId="4C44790C" w14:textId="4ED07338" w:rsidR="008A6844" w:rsidRPr="000E57E3" w:rsidRDefault="008A6844" w:rsidP="000E57E3">
            <w:pPr>
              <w:pStyle w:val="Tabletext"/>
            </w:pPr>
            <w:r w:rsidRPr="000E57E3">
              <w:t> </w:t>
            </w:r>
          </w:p>
        </w:tc>
        <w:tc>
          <w:tcPr>
            <w:tcW w:w="0" w:type="auto"/>
            <w:vAlign w:val="bottom"/>
          </w:tcPr>
          <w:p w14:paraId="79E4AB88" w14:textId="2DE11C7D" w:rsidR="008A6844" w:rsidRPr="000E57E3" w:rsidRDefault="008A6844" w:rsidP="000E57E3">
            <w:pPr>
              <w:pStyle w:val="Tabletext"/>
            </w:pPr>
            <w:r w:rsidRPr="000E57E3">
              <w:t> </w:t>
            </w:r>
          </w:p>
        </w:tc>
        <w:tc>
          <w:tcPr>
            <w:tcW w:w="0" w:type="auto"/>
            <w:vAlign w:val="bottom"/>
          </w:tcPr>
          <w:p w14:paraId="54956901" w14:textId="300EA587" w:rsidR="008A6844" w:rsidRPr="000E57E3" w:rsidRDefault="008A6844" w:rsidP="000E57E3">
            <w:pPr>
              <w:pStyle w:val="Tabletext"/>
            </w:pPr>
            <w:r w:rsidRPr="000E57E3">
              <w:t> </w:t>
            </w:r>
          </w:p>
        </w:tc>
        <w:tc>
          <w:tcPr>
            <w:tcW w:w="0" w:type="auto"/>
            <w:vAlign w:val="bottom"/>
          </w:tcPr>
          <w:p w14:paraId="02EA3B16" w14:textId="3CF0F5C6" w:rsidR="008A6844" w:rsidRPr="000E57E3" w:rsidRDefault="008A6844" w:rsidP="000E57E3">
            <w:pPr>
              <w:pStyle w:val="Tabletext"/>
            </w:pPr>
            <w:r w:rsidRPr="000E57E3">
              <w:t> </w:t>
            </w:r>
          </w:p>
        </w:tc>
        <w:tc>
          <w:tcPr>
            <w:tcW w:w="0" w:type="auto"/>
            <w:vAlign w:val="bottom"/>
          </w:tcPr>
          <w:p w14:paraId="6EE967CC" w14:textId="03117C95" w:rsidR="008A6844" w:rsidRPr="000E57E3" w:rsidRDefault="008A6844" w:rsidP="000E57E3">
            <w:pPr>
              <w:pStyle w:val="Tabletext"/>
            </w:pPr>
            <w:r w:rsidRPr="000E57E3">
              <w:t> </w:t>
            </w:r>
          </w:p>
        </w:tc>
        <w:tc>
          <w:tcPr>
            <w:tcW w:w="0" w:type="auto"/>
            <w:vAlign w:val="bottom"/>
          </w:tcPr>
          <w:p w14:paraId="0B3FEEC8" w14:textId="50E516D3" w:rsidR="008A6844" w:rsidRPr="000E57E3" w:rsidRDefault="008A6844" w:rsidP="000E57E3">
            <w:pPr>
              <w:pStyle w:val="Tabletext"/>
            </w:pPr>
            <w:r w:rsidRPr="000E57E3">
              <w:t> </w:t>
            </w:r>
          </w:p>
        </w:tc>
        <w:tc>
          <w:tcPr>
            <w:tcW w:w="0" w:type="auto"/>
            <w:vAlign w:val="bottom"/>
          </w:tcPr>
          <w:p w14:paraId="2EB827D4" w14:textId="7FA98D6B" w:rsidR="008A6844" w:rsidRPr="000E57E3" w:rsidRDefault="008A6844" w:rsidP="000E57E3">
            <w:pPr>
              <w:pStyle w:val="Tabletext"/>
            </w:pPr>
            <w:r w:rsidRPr="000E57E3">
              <w:t> </w:t>
            </w:r>
          </w:p>
        </w:tc>
        <w:tc>
          <w:tcPr>
            <w:tcW w:w="0" w:type="auto"/>
            <w:vAlign w:val="bottom"/>
          </w:tcPr>
          <w:p w14:paraId="69DCBA31" w14:textId="26A340E0" w:rsidR="008A6844" w:rsidRPr="000E57E3" w:rsidRDefault="008A6844" w:rsidP="000E57E3">
            <w:pPr>
              <w:pStyle w:val="Tabletext"/>
            </w:pPr>
            <w:r w:rsidRPr="000E57E3">
              <w:t> </w:t>
            </w:r>
          </w:p>
        </w:tc>
        <w:tc>
          <w:tcPr>
            <w:tcW w:w="0" w:type="auto"/>
            <w:vAlign w:val="bottom"/>
          </w:tcPr>
          <w:p w14:paraId="53DFE342" w14:textId="5FFCA6B7" w:rsidR="008A6844" w:rsidRPr="000E57E3" w:rsidRDefault="008A6844" w:rsidP="000E57E3">
            <w:pPr>
              <w:pStyle w:val="Tabletext"/>
            </w:pPr>
            <w:r w:rsidRPr="000E57E3">
              <w:t>Exemplar</w:t>
            </w:r>
          </w:p>
        </w:tc>
      </w:tr>
      <w:tr w:rsidR="00776CCE" w:rsidRPr="008A6844" w14:paraId="19699E16" w14:textId="77777777" w:rsidTr="00CA44B7">
        <w:tc>
          <w:tcPr>
            <w:tcW w:w="0" w:type="auto"/>
            <w:vAlign w:val="bottom"/>
          </w:tcPr>
          <w:p w14:paraId="2F1346F2" w14:textId="03E26A6B" w:rsidR="008A6844" w:rsidRPr="000E57E3" w:rsidRDefault="008A6844" w:rsidP="000E57E3">
            <w:pPr>
              <w:pStyle w:val="Tabletext"/>
            </w:pPr>
            <w:r w:rsidRPr="000E57E3">
              <w:t>PDCD1LG2</w:t>
            </w:r>
          </w:p>
        </w:tc>
        <w:tc>
          <w:tcPr>
            <w:tcW w:w="0" w:type="auto"/>
            <w:vAlign w:val="bottom"/>
          </w:tcPr>
          <w:p w14:paraId="1195865D" w14:textId="201935BB" w:rsidR="008A6844" w:rsidRPr="000E57E3" w:rsidRDefault="008A6844" w:rsidP="000E57E3">
            <w:pPr>
              <w:pStyle w:val="Tabletext"/>
            </w:pPr>
            <w:r w:rsidRPr="000E57E3">
              <w:t>Y</w:t>
            </w:r>
          </w:p>
        </w:tc>
        <w:tc>
          <w:tcPr>
            <w:tcW w:w="0" w:type="auto"/>
            <w:vAlign w:val="bottom"/>
          </w:tcPr>
          <w:p w14:paraId="30504619" w14:textId="022F1CE1" w:rsidR="008A6844" w:rsidRPr="000E57E3" w:rsidRDefault="008A6844" w:rsidP="000E57E3">
            <w:pPr>
              <w:pStyle w:val="Tabletext"/>
            </w:pPr>
            <w:r w:rsidRPr="000E57E3">
              <w:t> </w:t>
            </w:r>
          </w:p>
        </w:tc>
        <w:tc>
          <w:tcPr>
            <w:tcW w:w="0" w:type="auto"/>
            <w:vAlign w:val="bottom"/>
          </w:tcPr>
          <w:p w14:paraId="129DFC49" w14:textId="6473A453" w:rsidR="008A6844" w:rsidRPr="000E57E3" w:rsidRDefault="008A6844" w:rsidP="000E57E3">
            <w:pPr>
              <w:pStyle w:val="Tabletext"/>
            </w:pPr>
            <w:r w:rsidRPr="000E57E3">
              <w:t> </w:t>
            </w:r>
          </w:p>
        </w:tc>
        <w:tc>
          <w:tcPr>
            <w:tcW w:w="0" w:type="auto"/>
            <w:vAlign w:val="bottom"/>
          </w:tcPr>
          <w:p w14:paraId="51E42FC5" w14:textId="4373F406" w:rsidR="008A6844" w:rsidRPr="000E57E3" w:rsidRDefault="008A6844" w:rsidP="000E57E3">
            <w:pPr>
              <w:pStyle w:val="Tabletext"/>
            </w:pPr>
            <w:r w:rsidRPr="000E57E3">
              <w:t> </w:t>
            </w:r>
          </w:p>
        </w:tc>
        <w:tc>
          <w:tcPr>
            <w:tcW w:w="0" w:type="auto"/>
            <w:vAlign w:val="bottom"/>
          </w:tcPr>
          <w:p w14:paraId="3A097BB2" w14:textId="52655BED" w:rsidR="008A6844" w:rsidRPr="000E57E3" w:rsidRDefault="008A6844" w:rsidP="000E57E3">
            <w:pPr>
              <w:pStyle w:val="Tabletext"/>
            </w:pPr>
            <w:r w:rsidRPr="000E57E3">
              <w:t> </w:t>
            </w:r>
          </w:p>
        </w:tc>
        <w:tc>
          <w:tcPr>
            <w:tcW w:w="0" w:type="auto"/>
            <w:vAlign w:val="bottom"/>
          </w:tcPr>
          <w:p w14:paraId="18DB416B" w14:textId="15847375" w:rsidR="008A6844" w:rsidRPr="000E57E3" w:rsidRDefault="008A6844" w:rsidP="000E57E3">
            <w:pPr>
              <w:pStyle w:val="Tabletext"/>
            </w:pPr>
            <w:r w:rsidRPr="000E57E3">
              <w:t> </w:t>
            </w:r>
          </w:p>
        </w:tc>
        <w:tc>
          <w:tcPr>
            <w:tcW w:w="0" w:type="auto"/>
            <w:vAlign w:val="bottom"/>
          </w:tcPr>
          <w:p w14:paraId="2E6972F9" w14:textId="154E199C" w:rsidR="008A6844" w:rsidRPr="000E57E3" w:rsidRDefault="008A6844" w:rsidP="000E57E3">
            <w:pPr>
              <w:pStyle w:val="Tabletext"/>
            </w:pPr>
            <w:r w:rsidRPr="000E57E3">
              <w:t>Y</w:t>
            </w:r>
          </w:p>
        </w:tc>
        <w:tc>
          <w:tcPr>
            <w:tcW w:w="0" w:type="auto"/>
            <w:vAlign w:val="bottom"/>
          </w:tcPr>
          <w:p w14:paraId="1E6C90C7" w14:textId="703941CC" w:rsidR="008A6844" w:rsidRPr="000E57E3" w:rsidRDefault="008A6844" w:rsidP="000E57E3">
            <w:pPr>
              <w:pStyle w:val="Tabletext"/>
            </w:pPr>
            <w:r w:rsidRPr="000E57E3">
              <w:t> </w:t>
            </w:r>
          </w:p>
        </w:tc>
        <w:tc>
          <w:tcPr>
            <w:tcW w:w="0" w:type="auto"/>
            <w:vAlign w:val="bottom"/>
          </w:tcPr>
          <w:p w14:paraId="45FADF5C" w14:textId="5F9E1DED" w:rsidR="008A6844" w:rsidRPr="000E57E3" w:rsidRDefault="008A6844" w:rsidP="000E57E3">
            <w:pPr>
              <w:pStyle w:val="Tabletext"/>
            </w:pPr>
            <w:r w:rsidRPr="000E57E3">
              <w:t> </w:t>
            </w:r>
          </w:p>
        </w:tc>
        <w:tc>
          <w:tcPr>
            <w:tcW w:w="0" w:type="auto"/>
            <w:vAlign w:val="bottom"/>
          </w:tcPr>
          <w:p w14:paraId="4457A7AF" w14:textId="4FEEFFD0" w:rsidR="008A6844" w:rsidRPr="000E57E3" w:rsidRDefault="008A6844" w:rsidP="000E57E3">
            <w:pPr>
              <w:pStyle w:val="Tabletext"/>
            </w:pPr>
            <w:r w:rsidRPr="000E57E3">
              <w:t> </w:t>
            </w:r>
          </w:p>
        </w:tc>
        <w:tc>
          <w:tcPr>
            <w:tcW w:w="0" w:type="auto"/>
            <w:vAlign w:val="bottom"/>
          </w:tcPr>
          <w:p w14:paraId="71C8C78D" w14:textId="1ED8ABED" w:rsidR="008A6844" w:rsidRPr="000E57E3" w:rsidRDefault="008A6844" w:rsidP="000E57E3">
            <w:pPr>
              <w:pStyle w:val="Tabletext"/>
            </w:pPr>
            <w:r w:rsidRPr="000E57E3">
              <w:t> </w:t>
            </w:r>
          </w:p>
        </w:tc>
        <w:tc>
          <w:tcPr>
            <w:tcW w:w="0" w:type="auto"/>
            <w:vAlign w:val="bottom"/>
          </w:tcPr>
          <w:p w14:paraId="3E9C6A67" w14:textId="79486302" w:rsidR="008A6844" w:rsidRPr="000E57E3" w:rsidRDefault="008A6844" w:rsidP="000E57E3">
            <w:pPr>
              <w:pStyle w:val="Tabletext"/>
            </w:pPr>
            <w:r w:rsidRPr="000E57E3">
              <w:t>Exemplar</w:t>
            </w:r>
          </w:p>
        </w:tc>
      </w:tr>
      <w:tr w:rsidR="00776CCE" w:rsidRPr="008A6844" w14:paraId="41B30F19" w14:textId="77777777" w:rsidTr="00CA44B7">
        <w:tc>
          <w:tcPr>
            <w:tcW w:w="0" w:type="auto"/>
            <w:vAlign w:val="bottom"/>
          </w:tcPr>
          <w:p w14:paraId="3BA7F6F9" w14:textId="0D570F99" w:rsidR="008A6844" w:rsidRPr="000E57E3" w:rsidRDefault="008A6844" w:rsidP="000E57E3">
            <w:pPr>
              <w:pStyle w:val="Tabletext"/>
            </w:pPr>
            <w:r w:rsidRPr="000E57E3">
              <w:t>PDGFRA</w:t>
            </w:r>
          </w:p>
        </w:tc>
        <w:tc>
          <w:tcPr>
            <w:tcW w:w="0" w:type="auto"/>
            <w:vAlign w:val="bottom"/>
          </w:tcPr>
          <w:p w14:paraId="35BA72B8" w14:textId="5FFE0811" w:rsidR="008A6844" w:rsidRPr="000E57E3" w:rsidRDefault="008A6844" w:rsidP="000E57E3">
            <w:pPr>
              <w:pStyle w:val="Tabletext"/>
            </w:pPr>
            <w:r w:rsidRPr="000E57E3">
              <w:t>Y</w:t>
            </w:r>
          </w:p>
        </w:tc>
        <w:tc>
          <w:tcPr>
            <w:tcW w:w="0" w:type="auto"/>
            <w:vAlign w:val="bottom"/>
          </w:tcPr>
          <w:p w14:paraId="4CCFC287" w14:textId="2F8869D1" w:rsidR="008A6844" w:rsidRPr="000E57E3" w:rsidRDefault="008A6844" w:rsidP="000E57E3">
            <w:pPr>
              <w:pStyle w:val="Tabletext"/>
            </w:pPr>
            <w:r w:rsidRPr="000E57E3">
              <w:t>Y</w:t>
            </w:r>
          </w:p>
        </w:tc>
        <w:tc>
          <w:tcPr>
            <w:tcW w:w="0" w:type="auto"/>
            <w:vAlign w:val="bottom"/>
          </w:tcPr>
          <w:p w14:paraId="59668C09" w14:textId="1F503126" w:rsidR="008A6844" w:rsidRPr="000E57E3" w:rsidRDefault="008A6844" w:rsidP="000E57E3">
            <w:pPr>
              <w:pStyle w:val="Tabletext"/>
            </w:pPr>
            <w:r w:rsidRPr="000E57E3">
              <w:t>Y</w:t>
            </w:r>
          </w:p>
        </w:tc>
        <w:tc>
          <w:tcPr>
            <w:tcW w:w="0" w:type="auto"/>
            <w:vAlign w:val="bottom"/>
          </w:tcPr>
          <w:p w14:paraId="4E170AB0" w14:textId="627A3773" w:rsidR="008A6844" w:rsidRPr="000E57E3" w:rsidRDefault="008A6844" w:rsidP="000E57E3">
            <w:pPr>
              <w:pStyle w:val="Tabletext"/>
            </w:pPr>
            <w:r w:rsidRPr="000E57E3">
              <w:t> </w:t>
            </w:r>
          </w:p>
        </w:tc>
        <w:tc>
          <w:tcPr>
            <w:tcW w:w="0" w:type="auto"/>
            <w:vAlign w:val="bottom"/>
          </w:tcPr>
          <w:p w14:paraId="6501DE79" w14:textId="05AE1CE9" w:rsidR="008A6844" w:rsidRPr="000E57E3" w:rsidRDefault="008A6844" w:rsidP="000E57E3">
            <w:pPr>
              <w:pStyle w:val="Tabletext"/>
            </w:pPr>
            <w:r w:rsidRPr="000E57E3">
              <w:t>Y</w:t>
            </w:r>
          </w:p>
        </w:tc>
        <w:tc>
          <w:tcPr>
            <w:tcW w:w="0" w:type="auto"/>
            <w:vAlign w:val="bottom"/>
          </w:tcPr>
          <w:p w14:paraId="13C0AE50" w14:textId="0397B9DD" w:rsidR="008A6844" w:rsidRPr="000E57E3" w:rsidRDefault="008A6844" w:rsidP="000E57E3">
            <w:pPr>
              <w:pStyle w:val="Tabletext"/>
            </w:pPr>
            <w:r w:rsidRPr="000E57E3">
              <w:t> </w:t>
            </w:r>
          </w:p>
        </w:tc>
        <w:tc>
          <w:tcPr>
            <w:tcW w:w="0" w:type="auto"/>
            <w:vAlign w:val="bottom"/>
          </w:tcPr>
          <w:p w14:paraId="61EBEB2F" w14:textId="6EC214FF" w:rsidR="008A6844" w:rsidRPr="000E57E3" w:rsidRDefault="008A6844" w:rsidP="000E57E3">
            <w:pPr>
              <w:pStyle w:val="Tabletext"/>
            </w:pPr>
            <w:r w:rsidRPr="000E57E3">
              <w:t> </w:t>
            </w:r>
          </w:p>
        </w:tc>
        <w:tc>
          <w:tcPr>
            <w:tcW w:w="0" w:type="auto"/>
            <w:vAlign w:val="bottom"/>
          </w:tcPr>
          <w:p w14:paraId="32AA45CA" w14:textId="26AC5FF1" w:rsidR="008A6844" w:rsidRPr="000E57E3" w:rsidRDefault="008A6844" w:rsidP="000E57E3">
            <w:pPr>
              <w:pStyle w:val="Tabletext"/>
            </w:pPr>
            <w:r w:rsidRPr="000E57E3">
              <w:t> </w:t>
            </w:r>
          </w:p>
        </w:tc>
        <w:tc>
          <w:tcPr>
            <w:tcW w:w="0" w:type="auto"/>
            <w:vAlign w:val="bottom"/>
          </w:tcPr>
          <w:p w14:paraId="49441672" w14:textId="3DE96A35" w:rsidR="008A6844" w:rsidRPr="000E57E3" w:rsidRDefault="008A6844" w:rsidP="000E57E3">
            <w:pPr>
              <w:pStyle w:val="Tabletext"/>
            </w:pPr>
            <w:r w:rsidRPr="000E57E3">
              <w:t> </w:t>
            </w:r>
          </w:p>
        </w:tc>
        <w:tc>
          <w:tcPr>
            <w:tcW w:w="0" w:type="auto"/>
            <w:vAlign w:val="bottom"/>
          </w:tcPr>
          <w:p w14:paraId="541DF8DE" w14:textId="3E9C3BEF" w:rsidR="008A6844" w:rsidRPr="000E57E3" w:rsidRDefault="008A6844" w:rsidP="000E57E3">
            <w:pPr>
              <w:pStyle w:val="Tabletext"/>
            </w:pPr>
            <w:r w:rsidRPr="000E57E3">
              <w:t> </w:t>
            </w:r>
          </w:p>
        </w:tc>
        <w:tc>
          <w:tcPr>
            <w:tcW w:w="0" w:type="auto"/>
            <w:vAlign w:val="bottom"/>
          </w:tcPr>
          <w:p w14:paraId="1CE1343E" w14:textId="0AB42103" w:rsidR="008A6844" w:rsidRPr="000E57E3" w:rsidRDefault="008A6844" w:rsidP="000E57E3">
            <w:pPr>
              <w:pStyle w:val="Tabletext"/>
            </w:pPr>
            <w:r w:rsidRPr="000E57E3">
              <w:t>Y</w:t>
            </w:r>
          </w:p>
        </w:tc>
        <w:tc>
          <w:tcPr>
            <w:tcW w:w="0" w:type="auto"/>
            <w:vAlign w:val="bottom"/>
          </w:tcPr>
          <w:p w14:paraId="069DEEF7" w14:textId="3B6313C2" w:rsidR="008A6844" w:rsidRPr="000E57E3" w:rsidRDefault="008A6844" w:rsidP="000E57E3">
            <w:pPr>
              <w:pStyle w:val="Tabletext"/>
            </w:pPr>
            <w:r w:rsidRPr="000E57E3">
              <w:t>Exemplar</w:t>
            </w:r>
          </w:p>
        </w:tc>
      </w:tr>
      <w:tr w:rsidR="00776CCE" w:rsidRPr="008A6844" w14:paraId="1B72459D" w14:textId="77777777" w:rsidTr="00CA44B7">
        <w:tc>
          <w:tcPr>
            <w:tcW w:w="0" w:type="auto"/>
            <w:vAlign w:val="bottom"/>
          </w:tcPr>
          <w:p w14:paraId="42D07ED9" w14:textId="09E54A17" w:rsidR="008A6844" w:rsidRPr="000E57E3" w:rsidRDefault="008A6844" w:rsidP="000E57E3">
            <w:pPr>
              <w:pStyle w:val="Tabletext"/>
            </w:pPr>
            <w:r w:rsidRPr="000E57E3">
              <w:t>PDGFRB</w:t>
            </w:r>
          </w:p>
        </w:tc>
        <w:tc>
          <w:tcPr>
            <w:tcW w:w="0" w:type="auto"/>
            <w:vAlign w:val="bottom"/>
          </w:tcPr>
          <w:p w14:paraId="539F13BD" w14:textId="3C5814B8" w:rsidR="008A6844" w:rsidRPr="000E57E3" w:rsidRDefault="008A6844" w:rsidP="000E57E3">
            <w:pPr>
              <w:pStyle w:val="Tabletext"/>
            </w:pPr>
            <w:r w:rsidRPr="000E57E3">
              <w:t> </w:t>
            </w:r>
          </w:p>
        </w:tc>
        <w:tc>
          <w:tcPr>
            <w:tcW w:w="0" w:type="auto"/>
            <w:vAlign w:val="bottom"/>
          </w:tcPr>
          <w:p w14:paraId="18C50963" w14:textId="1A1FB1CF" w:rsidR="008A6844" w:rsidRPr="000E57E3" w:rsidRDefault="008A6844" w:rsidP="000E57E3">
            <w:pPr>
              <w:pStyle w:val="Tabletext"/>
            </w:pPr>
            <w:r w:rsidRPr="000E57E3">
              <w:t>Y</w:t>
            </w:r>
          </w:p>
        </w:tc>
        <w:tc>
          <w:tcPr>
            <w:tcW w:w="0" w:type="auto"/>
            <w:vAlign w:val="bottom"/>
          </w:tcPr>
          <w:p w14:paraId="5A05D8A1" w14:textId="4CF5194E" w:rsidR="008A6844" w:rsidRPr="000E57E3" w:rsidRDefault="008A6844" w:rsidP="000E57E3">
            <w:pPr>
              <w:pStyle w:val="Tabletext"/>
            </w:pPr>
            <w:r w:rsidRPr="000E57E3">
              <w:t> </w:t>
            </w:r>
          </w:p>
        </w:tc>
        <w:tc>
          <w:tcPr>
            <w:tcW w:w="0" w:type="auto"/>
            <w:vAlign w:val="bottom"/>
          </w:tcPr>
          <w:p w14:paraId="2D548523" w14:textId="71D8ADA2" w:rsidR="008A6844" w:rsidRPr="000E57E3" w:rsidRDefault="008A6844" w:rsidP="000E57E3">
            <w:pPr>
              <w:pStyle w:val="Tabletext"/>
            </w:pPr>
            <w:r w:rsidRPr="000E57E3">
              <w:t> </w:t>
            </w:r>
          </w:p>
        </w:tc>
        <w:tc>
          <w:tcPr>
            <w:tcW w:w="0" w:type="auto"/>
            <w:vAlign w:val="bottom"/>
          </w:tcPr>
          <w:p w14:paraId="1E8451BB" w14:textId="208A1A10" w:rsidR="008A6844" w:rsidRPr="000E57E3" w:rsidRDefault="008A6844" w:rsidP="000E57E3">
            <w:pPr>
              <w:pStyle w:val="Tabletext"/>
            </w:pPr>
            <w:r w:rsidRPr="000E57E3">
              <w:t>Y</w:t>
            </w:r>
          </w:p>
        </w:tc>
        <w:tc>
          <w:tcPr>
            <w:tcW w:w="0" w:type="auto"/>
            <w:vAlign w:val="bottom"/>
          </w:tcPr>
          <w:p w14:paraId="55402762" w14:textId="6D16952D" w:rsidR="008A6844" w:rsidRPr="000E57E3" w:rsidRDefault="008A6844" w:rsidP="000E57E3">
            <w:pPr>
              <w:pStyle w:val="Tabletext"/>
            </w:pPr>
            <w:r w:rsidRPr="000E57E3">
              <w:t> </w:t>
            </w:r>
          </w:p>
        </w:tc>
        <w:tc>
          <w:tcPr>
            <w:tcW w:w="0" w:type="auto"/>
            <w:vAlign w:val="bottom"/>
          </w:tcPr>
          <w:p w14:paraId="1933BA23" w14:textId="1665D67D" w:rsidR="008A6844" w:rsidRPr="000E57E3" w:rsidRDefault="008A6844" w:rsidP="000E57E3">
            <w:pPr>
              <w:pStyle w:val="Tabletext"/>
            </w:pPr>
            <w:r w:rsidRPr="000E57E3">
              <w:t> </w:t>
            </w:r>
          </w:p>
        </w:tc>
        <w:tc>
          <w:tcPr>
            <w:tcW w:w="0" w:type="auto"/>
            <w:vAlign w:val="bottom"/>
          </w:tcPr>
          <w:p w14:paraId="70789AE4" w14:textId="5BE225B1" w:rsidR="008A6844" w:rsidRPr="000E57E3" w:rsidRDefault="008A6844" w:rsidP="000E57E3">
            <w:pPr>
              <w:pStyle w:val="Tabletext"/>
            </w:pPr>
            <w:r w:rsidRPr="000E57E3">
              <w:t> </w:t>
            </w:r>
          </w:p>
        </w:tc>
        <w:tc>
          <w:tcPr>
            <w:tcW w:w="0" w:type="auto"/>
            <w:vAlign w:val="bottom"/>
          </w:tcPr>
          <w:p w14:paraId="5DDB1649" w14:textId="0DCCDE8E" w:rsidR="008A6844" w:rsidRPr="000E57E3" w:rsidRDefault="008A6844" w:rsidP="000E57E3">
            <w:pPr>
              <w:pStyle w:val="Tabletext"/>
            </w:pPr>
            <w:r w:rsidRPr="000E57E3">
              <w:t> </w:t>
            </w:r>
          </w:p>
        </w:tc>
        <w:tc>
          <w:tcPr>
            <w:tcW w:w="0" w:type="auto"/>
            <w:vAlign w:val="bottom"/>
          </w:tcPr>
          <w:p w14:paraId="38F2D94B" w14:textId="0782AC9B" w:rsidR="008A6844" w:rsidRPr="000E57E3" w:rsidRDefault="008A6844" w:rsidP="000E57E3">
            <w:pPr>
              <w:pStyle w:val="Tabletext"/>
            </w:pPr>
            <w:r w:rsidRPr="000E57E3">
              <w:t> </w:t>
            </w:r>
          </w:p>
        </w:tc>
        <w:tc>
          <w:tcPr>
            <w:tcW w:w="0" w:type="auto"/>
            <w:vAlign w:val="bottom"/>
          </w:tcPr>
          <w:p w14:paraId="5786E5DD" w14:textId="3B246092" w:rsidR="008A6844" w:rsidRPr="000E57E3" w:rsidRDefault="008A6844" w:rsidP="000E57E3">
            <w:pPr>
              <w:pStyle w:val="Tabletext"/>
            </w:pPr>
            <w:r w:rsidRPr="000E57E3">
              <w:t> </w:t>
            </w:r>
          </w:p>
        </w:tc>
        <w:tc>
          <w:tcPr>
            <w:tcW w:w="0" w:type="auto"/>
            <w:vAlign w:val="bottom"/>
          </w:tcPr>
          <w:p w14:paraId="6D2D4465" w14:textId="7D998598" w:rsidR="008A6844" w:rsidRPr="000E57E3" w:rsidRDefault="008A6844" w:rsidP="000E57E3">
            <w:pPr>
              <w:pStyle w:val="Tabletext"/>
            </w:pPr>
            <w:r w:rsidRPr="000E57E3">
              <w:t>Exemplar</w:t>
            </w:r>
          </w:p>
        </w:tc>
      </w:tr>
      <w:tr w:rsidR="00776CCE" w:rsidRPr="008A6844" w14:paraId="5EDC86EC" w14:textId="77777777" w:rsidTr="00CA44B7">
        <w:tc>
          <w:tcPr>
            <w:tcW w:w="0" w:type="auto"/>
            <w:vAlign w:val="bottom"/>
          </w:tcPr>
          <w:p w14:paraId="47CBD6D0" w14:textId="4D3104BE" w:rsidR="008A6844" w:rsidRPr="000E57E3" w:rsidRDefault="008A6844" w:rsidP="000E57E3">
            <w:pPr>
              <w:pStyle w:val="Tabletext"/>
            </w:pPr>
            <w:r w:rsidRPr="000E57E3">
              <w:t>PML-RARA</w:t>
            </w:r>
          </w:p>
        </w:tc>
        <w:tc>
          <w:tcPr>
            <w:tcW w:w="0" w:type="auto"/>
            <w:vAlign w:val="bottom"/>
          </w:tcPr>
          <w:p w14:paraId="71FCC08D" w14:textId="6C8FD446" w:rsidR="008A6844" w:rsidRPr="000E57E3" w:rsidRDefault="008A6844" w:rsidP="000E57E3">
            <w:pPr>
              <w:pStyle w:val="Tabletext"/>
            </w:pPr>
            <w:r w:rsidRPr="000E57E3">
              <w:t> </w:t>
            </w:r>
          </w:p>
        </w:tc>
        <w:tc>
          <w:tcPr>
            <w:tcW w:w="0" w:type="auto"/>
            <w:vAlign w:val="bottom"/>
          </w:tcPr>
          <w:p w14:paraId="0873DD02" w14:textId="64CF66CE" w:rsidR="008A6844" w:rsidRPr="000E57E3" w:rsidRDefault="008A6844" w:rsidP="000E57E3">
            <w:pPr>
              <w:pStyle w:val="Tabletext"/>
            </w:pPr>
            <w:r w:rsidRPr="000E57E3">
              <w:t>Y</w:t>
            </w:r>
          </w:p>
        </w:tc>
        <w:tc>
          <w:tcPr>
            <w:tcW w:w="0" w:type="auto"/>
            <w:vAlign w:val="bottom"/>
          </w:tcPr>
          <w:p w14:paraId="5FF24BE6" w14:textId="03A7E3E7" w:rsidR="008A6844" w:rsidRPr="000E57E3" w:rsidRDefault="008A6844" w:rsidP="000E57E3">
            <w:pPr>
              <w:pStyle w:val="Tabletext"/>
            </w:pPr>
            <w:r w:rsidRPr="000E57E3">
              <w:t> </w:t>
            </w:r>
          </w:p>
        </w:tc>
        <w:tc>
          <w:tcPr>
            <w:tcW w:w="0" w:type="auto"/>
            <w:vAlign w:val="bottom"/>
          </w:tcPr>
          <w:p w14:paraId="6D569CE7" w14:textId="5ADEBA15" w:rsidR="008A6844" w:rsidRPr="000E57E3" w:rsidRDefault="008A6844" w:rsidP="000E57E3">
            <w:pPr>
              <w:pStyle w:val="Tabletext"/>
            </w:pPr>
            <w:r w:rsidRPr="000E57E3">
              <w:t> </w:t>
            </w:r>
          </w:p>
        </w:tc>
        <w:tc>
          <w:tcPr>
            <w:tcW w:w="0" w:type="auto"/>
            <w:vAlign w:val="bottom"/>
          </w:tcPr>
          <w:p w14:paraId="2ECE4EC4" w14:textId="2D959511" w:rsidR="008A6844" w:rsidRPr="000E57E3" w:rsidRDefault="008A6844" w:rsidP="000E57E3">
            <w:pPr>
              <w:pStyle w:val="Tabletext"/>
            </w:pPr>
            <w:r w:rsidRPr="000E57E3">
              <w:t> </w:t>
            </w:r>
          </w:p>
        </w:tc>
        <w:tc>
          <w:tcPr>
            <w:tcW w:w="0" w:type="auto"/>
            <w:vAlign w:val="bottom"/>
          </w:tcPr>
          <w:p w14:paraId="3BB090FE" w14:textId="5E84740E" w:rsidR="008A6844" w:rsidRPr="000E57E3" w:rsidRDefault="008A6844" w:rsidP="000E57E3">
            <w:pPr>
              <w:pStyle w:val="Tabletext"/>
            </w:pPr>
            <w:r w:rsidRPr="000E57E3">
              <w:t> </w:t>
            </w:r>
          </w:p>
        </w:tc>
        <w:tc>
          <w:tcPr>
            <w:tcW w:w="0" w:type="auto"/>
            <w:vAlign w:val="bottom"/>
          </w:tcPr>
          <w:p w14:paraId="7FB7274D" w14:textId="1A6536D9" w:rsidR="008A6844" w:rsidRPr="000E57E3" w:rsidRDefault="008A6844" w:rsidP="000E57E3">
            <w:pPr>
              <w:pStyle w:val="Tabletext"/>
            </w:pPr>
            <w:r w:rsidRPr="000E57E3">
              <w:t> </w:t>
            </w:r>
          </w:p>
        </w:tc>
        <w:tc>
          <w:tcPr>
            <w:tcW w:w="0" w:type="auto"/>
            <w:vAlign w:val="bottom"/>
          </w:tcPr>
          <w:p w14:paraId="306BBCAB" w14:textId="37F5DCAD" w:rsidR="008A6844" w:rsidRPr="000E57E3" w:rsidRDefault="008A6844" w:rsidP="000E57E3">
            <w:pPr>
              <w:pStyle w:val="Tabletext"/>
            </w:pPr>
            <w:r w:rsidRPr="000E57E3">
              <w:t> </w:t>
            </w:r>
          </w:p>
        </w:tc>
        <w:tc>
          <w:tcPr>
            <w:tcW w:w="0" w:type="auto"/>
            <w:vAlign w:val="bottom"/>
          </w:tcPr>
          <w:p w14:paraId="3031C42A" w14:textId="6E1FBB60" w:rsidR="008A6844" w:rsidRPr="000E57E3" w:rsidRDefault="008A6844" w:rsidP="000E57E3">
            <w:pPr>
              <w:pStyle w:val="Tabletext"/>
            </w:pPr>
            <w:r w:rsidRPr="000E57E3">
              <w:t> </w:t>
            </w:r>
          </w:p>
        </w:tc>
        <w:tc>
          <w:tcPr>
            <w:tcW w:w="0" w:type="auto"/>
            <w:vAlign w:val="bottom"/>
          </w:tcPr>
          <w:p w14:paraId="003F4326" w14:textId="52644C9B" w:rsidR="008A6844" w:rsidRPr="000E57E3" w:rsidRDefault="008A6844" w:rsidP="000E57E3">
            <w:pPr>
              <w:pStyle w:val="Tabletext"/>
            </w:pPr>
            <w:r w:rsidRPr="000E57E3">
              <w:t> </w:t>
            </w:r>
          </w:p>
        </w:tc>
        <w:tc>
          <w:tcPr>
            <w:tcW w:w="0" w:type="auto"/>
            <w:vAlign w:val="bottom"/>
          </w:tcPr>
          <w:p w14:paraId="15FFABA6" w14:textId="6CDBC487" w:rsidR="008A6844" w:rsidRPr="000E57E3" w:rsidRDefault="008A6844" w:rsidP="000E57E3">
            <w:pPr>
              <w:pStyle w:val="Tabletext"/>
            </w:pPr>
            <w:r w:rsidRPr="000E57E3">
              <w:t> </w:t>
            </w:r>
          </w:p>
        </w:tc>
        <w:tc>
          <w:tcPr>
            <w:tcW w:w="0" w:type="auto"/>
            <w:vAlign w:val="bottom"/>
          </w:tcPr>
          <w:p w14:paraId="0C68C48B" w14:textId="460F504D" w:rsidR="008A6844" w:rsidRPr="000E57E3" w:rsidRDefault="008A6844" w:rsidP="000E57E3">
            <w:pPr>
              <w:pStyle w:val="Tabletext"/>
            </w:pPr>
            <w:r w:rsidRPr="000E57E3">
              <w:t>Exemplar</w:t>
            </w:r>
          </w:p>
        </w:tc>
      </w:tr>
      <w:tr w:rsidR="00776CCE" w:rsidRPr="008A6844" w14:paraId="294CDA4F" w14:textId="77777777" w:rsidTr="00CA44B7">
        <w:tc>
          <w:tcPr>
            <w:tcW w:w="0" w:type="auto"/>
            <w:vAlign w:val="bottom"/>
          </w:tcPr>
          <w:p w14:paraId="5317B815" w14:textId="045FD85A" w:rsidR="008A6844" w:rsidRPr="000E57E3" w:rsidRDefault="008A6844" w:rsidP="000E57E3">
            <w:pPr>
              <w:pStyle w:val="Tabletext"/>
            </w:pPr>
            <w:r w:rsidRPr="000E57E3">
              <w:t>PTPN11</w:t>
            </w:r>
          </w:p>
        </w:tc>
        <w:tc>
          <w:tcPr>
            <w:tcW w:w="0" w:type="auto"/>
            <w:vAlign w:val="bottom"/>
          </w:tcPr>
          <w:p w14:paraId="4FFDEF12" w14:textId="6BFBAB64" w:rsidR="008A6844" w:rsidRPr="000E57E3" w:rsidRDefault="008A6844" w:rsidP="000E57E3">
            <w:pPr>
              <w:pStyle w:val="Tabletext"/>
            </w:pPr>
            <w:r w:rsidRPr="000E57E3">
              <w:t>Y</w:t>
            </w:r>
          </w:p>
        </w:tc>
        <w:tc>
          <w:tcPr>
            <w:tcW w:w="0" w:type="auto"/>
            <w:vAlign w:val="bottom"/>
          </w:tcPr>
          <w:p w14:paraId="5BC95F87" w14:textId="30EB0C19" w:rsidR="008A6844" w:rsidRPr="000E57E3" w:rsidRDefault="008A6844" w:rsidP="000E57E3">
            <w:pPr>
              <w:pStyle w:val="Tabletext"/>
            </w:pPr>
            <w:r w:rsidRPr="000E57E3">
              <w:t> </w:t>
            </w:r>
          </w:p>
        </w:tc>
        <w:tc>
          <w:tcPr>
            <w:tcW w:w="0" w:type="auto"/>
            <w:vAlign w:val="bottom"/>
          </w:tcPr>
          <w:p w14:paraId="57629DA6" w14:textId="443BDCCB" w:rsidR="008A6844" w:rsidRPr="000E57E3" w:rsidRDefault="008A6844" w:rsidP="000E57E3">
            <w:pPr>
              <w:pStyle w:val="Tabletext"/>
            </w:pPr>
            <w:r w:rsidRPr="000E57E3">
              <w:t>Y</w:t>
            </w:r>
          </w:p>
        </w:tc>
        <w:tc>
          <w:tcPr>
            <w:tcW w:w="0" w:type="auto"/>
            <w:vAlign w:val="bottom"/>
          </w:tcPr>
          <w:p w14:paraId="7D46E0D0" w14:textId="47923D0D" w:rsidR="008A6844" w:rsidRPr="000E57E3" w:rsidRDefault="008A6844" w:rsidP="000E57E3">
            <w:pPr>
              <w:pStyle w:val="Tabletext"/>
            </w:pPr>
            <w:r w:rsidRPr="000E57E3">
              <w:t> </w:t>
            </w:r>
          </w:p>
        </w:tc>
        <w:tc>
          <w:tcPr>
            <w:tcW w:w="0" w:type="auto"/>
            <w:vAlign w:val="bottom"/>
          </w:tcPr>
          <w:p w14:paraId="232B80E7" w14:textId="503CE560" w:rsidR="008A6844" w:rsidRPr="000E57E3" w:rsidRDefault="008A6844" w:rsidP="000E57E3">
            <w:pPr>
              <w:pStyle w:val="Tabletext"/>
            </w:pPr>
            <w:r w:rsidRPr="000E57E3">
              <w:t>Y</w:t>
            </w:r>
          </w:p>
        </w:tc>
        <w:tc>
          <w:tcPr>
            <w:tcW w:w="0" w:type="auto"/>
            <w:vAlign w:val="bottom"/>
          </w:tcPr>
          <w:p w14:paraId="56FCE2C7" w14:textId="4B3882EB" w:rsidR="008A6844" w:rsidRPr="000E57E3" w:rsidRDefault="008A6844" w:rsidP="000E57E3">
            <w:pPr>
              <w:pStyle w:val="Tabletext"/>
            </w:pPr>
            <w:r w:rsidRPr="000E57E3">
              <w:t> </w:t>
            </w:r>
          </w:p>
        </w:tc>
        <w:tc>
          <w:tcPr>
            <w:tcW w:w="0" w:type="auto"/>
            <w:vAlign w:val="bottom"/>
          </w:tcPr>
          <w:p w14:paraId="3E94C35C" w14:textId="5203528D" w:rsidR="008A6844" w:rsidRPr="000E57E3" w:rsidRDefault="008A6844" w:rsidP="000E57E3">
            <w:pPr>
              <w:pStyle w:val="Tabletext"/>
            </w:pPr>
            <w:r w:rsidRPr="000E57E3">
              <w:t>Y</w:t>
            </w:r>
          </w:p>
        </w:tc>
        <w:tc>
          <w:tcPr>
            <w:tcW w:w="0" w:type="auto"/>
            <w:vAlign w:val="bottom"/>
          </w:tcPr>
          <w:p w14:paraId="6C177CCE" w14:textId="6482DB9D" w:rsidR="008A6844" w:rsidRPr="000E57E3" w:rsidRDefault="008A6844" w:rsidP="000E57E3">
            <w:pPr>
              <w:pStyle w:val="Tabletext"/>
            </w:pPr>
            <w:r w:rsidRPr="000E57E3">
              <w:t>Y</w:t>
            </w:r>
          </w:p>
        </w:tc>
        <w:tc>
          <w:tcPr>
            <w:tcW w:w="0" w:type="auto"/>
            <w:vAlign w:val="bottom"/>
          </w:tcPr>
          <w:p w14:paraId="5C1BE99D" w14:textId="0B300190" w:rsidR="008A6844" w:rsidRPr="000E57E3" w:rsidRDefault="008A6844" w:rsidP="000E57E3">
            <w:pPr>
              <w:pStyle w:val="Tabletext"/>
            </w:pPr>
            <w:r w:rsidRPr="000E57E3">
              <w:t>Y</w:t>
            </w:r>
          </w:p>
        </w:tc>
        <w:tc>
          <w:tcPr>
            <w:tcW w:w="0" w:type="auto"/>
            <w:vAlign w:val="bottom"/>
          </w:tcPr>
          <w:p w14:paraId="35DE12C3" w14:textId="4BB89787" w:rsidR="008A6844" w:rsidRPr="000E57E3" w:rsidRDefault="008A6844" w:rsidP="000E57E3">
            <w:pPr>
              <w:pStyle w:val="Tabletext"/>
            </w:pPr>
            <w:r w:rsidRPr="000E57E3">
              <w:t> </w:t>
            </w:r>
          </w:p>
        </w:tc>
        <w:tc>
          <w:tcPr>
            <w:tcW w:w="0" w:type="auto"/>
            <w:vAlign w:val="bottom"/>
          </w:tcPr>
          <w:p w14:paraId="23829DCE" w14:textId="0399E1F3" w:rsidR="008A6844" w:rsidRPr="000E57E3" w:rsidRDefault="008A6844" w:rsidP="000E57E3">
            <w:pPr>
              <w:pStyle w:val="Tabletext"/>
            </w:pPr>
            <w:r w:rsidRPr="000E57E3">
              <w:t>Y</w:t>
            </w:r>
          </w:p>
        </w:tc>
        <w:tc>
          <w:tcPr>
            <w:tcW w:w="0" w:type="auto"/>
            <w:vAlign w:val="bottom"/>
          </w:tcPr>
          <w:p w14:paraId="64ECAEF1" w14:textId="417DDAD4" w:rsidR="008A6844" w:rsidRPr="000E57E3" w:rsidRDefault="008A6844" w:rsidP="000E57E3">
            <w:pPr>
              <w:pStyle w:val="Tabletext"/>
            </w:pPr>
            <w:r w:rsidRPr="000E57E3">
              <w:t>Exemplar</w:t>
            </w:r>
          </w:p>
        </w:tc>
      </w:tr>
      <w:tr w:rsidR="00776CCE" w:rsidRPr="008A6844" w14:paraId="4E0F6165" w14:textId="77777777" w:rsidTr="00CA44B7">
        <w:tc>
          <w:tcPr>
            <w:tcW w:w="0" w:type="auto"/>
            <w:vAlign w:val="bottom"/>
          </w:tcPr>
          <w:p w14:paraId="2A63566B" w14:textId="3F184538" w:rsidR="008A6844" w:rsidRPr="000E57E3" w:rsidRDefault="008A6844" w:rsidP="000E57E3">
            <w:pPr>
              <w:pStyle w:val="Tabletext"/>
            </w:pPr>
            <w:r w:rsidRPr="000E57E3">
              <w:t>RAD51C</w:t>
            </w:r>
          </w:p>
        </w:tc>
        <w:tc>
          <w:tcPr>
            <w:tcW w:w="0" w:type="auto"/>
            <w:vAlign w:val="bottom"/>
          </w:tcPr>
          <w:p w14:paraId="3FF7141F" w14:textId="212453E8" w:rsidR="008A6844" w:rsidRPr="000E57E3" w:rsidRDefault="008A6844" w:rsidP="000E57E3">
            <w:pPr>
              <w:pStyle w:val="Tabletext"/>
            </w:pPr>
            <w:r w:rsidRPr="000E57E3">
              <w:t>Y</w:t>
            </w:r>
          </w:p>
        </w:tc>
        <w:tc>
          <w:tcPr>
            <w:tcW w:w="0" w:type="auto"/>
            <w:vAlign w:val="bottom"/>
          </w:tcPr>
          <w:p w14:paraId="04CBCD85" w14:textId="09B3A79A" w:rsidR="008A6844" w:rsidRPr="000E57E3" w:rsidRDefault="008A6844" w:rsidP="000E57E3">
            <w:pPr>
              <w:pStyle w:val="Tabletext"/>
            </w:pPr>
            <w:r w:rsidRPr="000E57E3">
              <w:t> </w:t>
            </w:r>
          </w:p>
        </w:tc>
        <w:tc>
          <w:tcPr>
            <w:tcW w:w="0" w:type="auto"/>
            <w:vAlign w:val="bottom"/>
          </w:tcPr>
          <w:p w14:paraId="19981C25" w14:textId="4C317AE3" w:rsidR="008A6844" w:rsidRPr="000E57E3" w:rsidRDefault="008A6844" w:rsidP="000E57E3">
            <w:pPr>
              <w:pStyle w:val="Tabletext"/>
            </w:pPr>
            <w:r w:rsidRPr="000E57E3">
              <w:t> </w:t>
            </w:r>
          </w:p>
        </w:tc>
        <w:tc>
          <w:tcPr>
            <w:tcW w:w="0" w:type="auto"/>
            <w:vAlign w:val="bottom"/>
          </w:tcPr>
          <w:p w14:paraId="7B7C6D16" w14:textId="21443C4B" w:rsidR="008A6844" w:rsidRPr="000E57E3" w:rsidRDefault="008A6844" w:rsidP="000E57E3">
            <w:pPr>
              <w:pStyle w:val="Tabletext"/>
            </w:pPr>
            <w:r w:rsidRPr="000E57E3">
              <w:t> </w:t>
            </w:r>
          </w:p>
        </w:tc>
        <w:tc>
          <w:tcPr>
            <w:tcW w:w="0" w:type="auto"/>
            <w:vAlign w:val="bottom"/>
          </w:tcPr>
          <w:p w14:paraId="6F71E74A" w14:textId="51C9DD51" w:rsidR="008A6844" w:rsidRPr="000E57E3" w:rsidRDefault="008A6844" w:rsidP="000E57E3">
            <w:pPr>
              <w:pStyle w:val="Tabletext"/>
            </w:pPr>
            <w:r w:rsidRPr="000E57E3">
              <w:t> </w:t>
            </w:r>
          </w:p>
        </w:tc>
        <w:tc>
          <w:tcPr>
            <w:tcW w:w="0" w:type="auto"/>
            <w:vAlign w:val="bottom"/>
          </w:tcPr>
          <w:p w14:paraId="7FC2FD49" w14:textId="483C3E9F" w:rsidR="008A6844" w:rsidRPr="000E57E3" w:rsidRDefault="008A6844" w:rsidP="000E57E3">
            <w:pPr>
              <w:pStyle w:val="Tabletext"/>
            </w:pPr>
            <w:r w:rsidRPr="000E57E3">
              <w:t> </w:t>
            </w:r>
          </w:p>
        </w:tc>
        <w:tc>
          <w:tcPr>
            <w:tcW w:w="0" w:type="auto"/>
            <w:vAlign w:val="bottom"/>
          </w:tcPr>
          <w:p w14:paraId="767BE003" w14:textId="4A3B3D91" w:rsidR="008A6844" w:rsidRPr="000E57E3" w:rsidRDefault="008A6844" w:rsidP="000E57E3">
            <w:pPr>
              <w:pStyle w:val="Tabletext"/>
            </w:pPr>
            <w:r w:rsidRPr="000E57E3">
              <w:t> </w:t>
            </w:r>
          </w:p>
        </w:tc>
        <w:tc>
          <w:tcPr>
            <w:tcW w:w="0" w:type="auto"/>
            <w:vAlign w:val="bottom"/>
          </w:tcPr>
          <w:p w14:paraId="094DD518" w14:textId="5DB5BB6A" w:rsidR="008A6844" w:rsidRPr="000E57E3" w:rsidRDefault="008A6844" w:rsidP="000E57E3">
            <w:pPr>
              <w:pStyle w:val="Tabletext"/>
            </w:pPr>
            <w:r w:rsidRPr="000E57E3">
              <w:t> </w:t>
            </w:r>
          </w:p>
        </w:tc>
        <w:tc>
          <w:tcPr>
            <w:tcW w:w="0" w:type="auto"/>
            <w:vAlign w:val="bottom"/>
          </w:tcPr>
          <w:p w14:paraId="09F4B2E5" w14:textId="1FE3C640" w:rsidR="008A6844" w:rsidRPr="000E57E3" w:rsidRDefault="008A6844" w:rsidP="000E57E3">
            <w:pPr>
              <w:pStyle w:val="Tabletext"/>
            </w:pPr>
            <w:r w:rsidRPr="000E57E3">
              <w:t> </w:t>
            </w:r>
          </w:p>
        </w:tc>
        <w:tc>
          <w:tcPr>
            <w:tcW w:w="0" w:type="auto"/>
            <w:vAlign w:val="bottom"/>
          </w:tcPr>
          <w:p w14:paraId="0B7F9F03" w14:textId="00393895" w:rsidR="008A6844" w:rsidRPr="000E57E3" w:rsidRDefault="008A6844" w:rsidP="000E57E3">
            <w:pPr>
              <w:pStyle w:val="Tabletext"/>
            </w:pPr>
            <w:r w:rsidRPr="000E57E3">
              <w:t> </w:t>
            </w:r>
          </w:p>
        </w:tc>
        <w:tc>
          <w:tcPr>
            <w:tcW w:w="0" w:type="auto"/>
            <w:vAlign w:val="bottom"/>
          </w:tcPr>
          <w:p w14:paraId="3A03E2D3" w14:textId="2E3C4981" w:rsidR="008A6844" w:rsidRPr="000E57E3" w:rsidRDefault="008A6844" w:rsidP="000E57E3">
            <w:pPr>
              <w:pStyle w:val="Tabletext"/>
            </w:pPr>
            <w:r w:rsidRPr="000E57E3">
              <w:t> </w:t>
            </w:r>
          </w:p>
        </w:tc>
        <w:tc>
          <w:tcPr>
            <w:tcW w:w="0" w:type="auto"/>
            <w:vAlign w:val="bottom"/>
          </w:tcPr>
          <w:p w14:paraId="42217CFD" w14:textId="59DC9522" w:rsidR="008A6844" w:rsidRPr="000E57E3" w:rsidRDefault="008A6844" w:rsidP="000E57E3">
            <w:pPr>
              <w:pStyle w:val="Tabletext"/>
            </w:pPr>
            <w:r w:rsidRPr="000E57E3">
              <w:t>Exemplar</w:t>
            </w:r>
          </w:p>
        </w:tc>
      </w:tr>
      <w:tr w:rsidR="00776CCE" w:rsidRPr="008A6844" w14:paraId="17C7A0D5" w14:textId="77777777" w:rsidTr="00CA44B7">
        <w:tc>
          <w:tcPr>
            <w:tcW w:w="0" w:type="auto"/>
            <w:vAlign w:val="bottom"/>
          </w:tcPr>
          <w:p w14:paraId="699FC102" w14:textId="6071CD3D" w:rsidR="008A6844" w:rsidRPr="000E57E3" w:rsidRDefault="008A6844" w:rsidP="000E57E3">
            <w:pPr>
              <w:pStyle w:val="Tabletext"/>
            </w:pPr>
            <w:r w:rsidRPr="000E57E3">
              <w:t>RBM15-MKL1</w:t>
            </w:r>
          </w:p>
        </w:tc>
        <w:tc>
          <w:tcPr>
            <w:tcW w:w="0" w:type="auto"/>
            <w:vAlign w:val="bottom"/>
          </w:tcPr>
          <w:p w14:paraId="30BC5A32" w14:textId="08DB9067" w:rsidR="008A6844" w:rsidRPr="000E57E3" w:rsidRDefault="008A6844" w:rsidP="000E57E3">
            <w:pPr>
              <w:pStyle w:val="Tabletext"/>
            </w:pPr>
            <w:r w:rsidRPr="000E57E3">
              <w:t> </w:t>
            </w:r>
          </w:p>
        </w:tc>
        <w:tc>
          <w:tcPr>
            <w:tcW w:w="0" w:type="auto"/>
            <w:vAlign w:val="bottom"/>
          </w:tcPr>
          <w:p w14:paraId="44DCFC4B" w14:textId="6A3F80D4" w:rsidR="008A6844" w:rsidRPr="000E57E3" w:rsidRDefault="008A6844" w:rsidP="000E57E3">
            <w:pPr>
              <w:pStyle w:val="Tabletext"/>
            </w:pPr>
            <w:r w:rsidRPr="000E57E3">
              <w:t>Y</w:t>
            </w:r>
          </w:p>
        </w:tc>
        <w:tc>
          <w:tcPr>
            <w:tcW w:w="0" w:type="auto"/>
            <w:vAlign w:val="bottom"/>
          </w:tcPr>
          <w:p w14:paraId="6CC791B3" w14:textId="213E34D0" w:rsidR="008A6844" w:rsidRPr="000E57E3" w:rsidRDefault="008A6844" w:rsidP="000E57E3">
            <w:pPr>
              <w:pStyle w:val="Tabletext"/>
            </w:pPr>
            <w:r w:rsidRPr="000E57E3">
              <w:t> </w:t>
            </w:r>
          </w:p>
        </w:tc>
        <w:tc>
          <w:tcPr>
            <w:tcW w:w="0" w:type="auto"/>
            <w:vAlign w:val="bottom"/>
          </w:tcPr>
          <w:p w14:paraId="3F2D72AB" w14:textId="6A7CC356" w:rsidR="008A6844" w:rsidRPr="000E57E3" w:rsidRDefault="008A6844" w:rsidP="000E57E3">
            <w:pPr>
              <w:pStyle w:val="Tabletext"/>
            </w:pPr>
            <w:r w:rsidRPr="000E57E3">
              <w:t> </w:t>
            </w:r>
          </w:p>
        </w:tc>
        <w:tc>
          <w:tcPr>
            <w:tcW w:w="0" w:type="auto"/>
            <w:vAlign w:val="bottom"/>
          </w:tcPr>
          <w:p w14:paraId="4D94E0AA" w14:textId="4F5EA7C9" w:rsidR="008A6844" w:rsidRPr="000E57E3" w:rsidRDefault="008A6844" w:rsidP="000E57E3">
            <w:pPr>
              <w:pStyle w:val="Tabletext"/>
            </w:pPr>
            <w:r w:rsidRPr="000E57E3">
              <w:t> </w:t>
            </w:r>
          </w:p>
        </w:tc>
        <w:tc>
          <w:tcPr>
            <w:tcW w:w="0" w:type="auto"/>
            <w:vAlign w:val="bottom"/>
          </w:tcPr>
          <w:p w14:paraId="637BABBA" w14:textId="7D57B949" w:rsidR="008A6844" w:rsidRPr="000E57E3" w:rsidRDefault="008A6844" w:rsidP="000E57E3">
            <w:pPr>
              <w:pStyle w:val="Tabletext"/>
            </w:pPr>
            <w:r w:rsidRPr="000E57E3">
              <w:t> </w:t>
            </w:r>
          </w:p>
        </w:tc>
        <w:tc>
          <w:tcPr>
            <w:tcW w:w="0" w:type="auto"/>
            <w:vAlign w:val="bottom"/>
          </w:tcPr>
          <w:p w14:paraId="1A77F3D6" w14:textId="296C1B9C" w:rsidR="008A6844" w:rsidRPr="000E57E3" w:rsidRDefault="008A6844" w:rsidP="000E57E3">
            <w:pPr>
              <w:pStyle w:val="Tabletext"/>
            </w:pPr>
            <w:r w:rsidRPr="000E57E3">
              <w:t> </w:t>
            </w:r>
          </w:p>
        </w:tc>
        <w:tc>
          <w:tcPr>
            <w:tcW w:w="0" w:type="auto"/>
            <w:vAlign w:val="bottom"/>
          </w:tcPr>
          <w:p w14:paraId="06D2167D" w14:textId="336BED57" w:rsidR="008A6844" w:rsidRPr="000E57E3" w:rsidRDefault="008A6844" w:rsidP="000E57E3">
            <w:pPr>
              <w:pStyle w:val="Tabletext"/>
            </w:pPr>
            <w:r w:rsidRPr="000E57E3">
              <w:t> </w:t>
            </w:r>
          </w:p>
        </w:tc>
        <w:tc>
          <w:tcPr>
            <w:tcW w:w="0" w:type="auto"/>
            <w:vAlign w:val="bottom"/>
          </w:tcPr>
          <w:p w14:paraId="44B5604C" w14:textId="4E7CE8E3" w:rsidR="008A6844" w:rsidRPr="000E57E3" w:rsidRDefault="008A6844" w:rsidP="000E57E3">
            <w:pPr>
              <w:pStyle w:val="Tabletext"/>
            </w:pPr>
            <w:r w:rsidRPr="000E57E3">
              <w:t> </w:t>
            </w:r>
          </w:p>
        </w:tc>
        <w:tc>
          <w:tcPr>
            <w:tcW w:w="0" w:type="auto"/>
            <w:vAlign w:val="bottom"/>
          </w:tcPr>
          <w:p w14:paraId="7D3C27DC" w14:textId="28FF34D7" w:rsidR="008A6844" w:rsidRPr="000E57E3" w:rsidRDefault="008A6844" w:rsidP="000E57E3">
            <w:pPr>
              <w:pStyle w:val="Tabletext"/>
            </w:pPr>
            <w:r w:rsidRPr="000E57E3">
              <w:t> </w:t>
            </w:r>
          </w:p>
        </w:tc>
        <w:tc>
          <w:tcPr>
            <w:tcW w:w="0" w:type="auto"/>
            <w:vAlign w:val="bottom"/>
          </w:tcPr>
          <w:p w14:paraId="07D2247A" w14:textId="619AF6EB" w:rsidR="008A6844" w:rsidRPr="000E57E3" w:rsidRDefault="008A6844" w:rsidP="000E57E3">
            <w:pPr>
              <w:pStyle w:val="Tabletext"/>
            </w:pPr>
            <w:r w:rsidRPr="000E57E3">
              <w:t> </w:t>
            </w:r>
          </w:p>
        </w:tc>
        <w:tc>
          <w:tcPr>
            <w:tcW w:w="0" w:type="auto"/>
            <w:vAlign w:val="bottom"/>
          </w:tcPr>
          <w:p w14:paraId="23CE120C" w14:textId="10FF74E8" w:rsidR="008A6844" w:rsidRPr="000E57E3" w:rsidRDefault="008A6844" w:rsidP="000E57E3">
            <w:pPr>
              <w:pStyle w:val="Tabletext"/>
            </w:pPr>
            <w:r w:rsidRPr="000E57E3">
              <w:t>Exemplar</w:t>
            </w:r>
          </w:p>
        </w:tc>
      </w:tr>
      <w:tr w:rsidR="00776CCE" w:rsidRPr="008A6844" w14:paraId="5AF581AE" w14:textId="77777777" w:rsidTr="00CA44B7">
        <w:tc>
          <w:tcPr>
            <w:tcW w:w="0" w:type="auto"/>
            <w:vAlign w:val="bottom"/>
          </w:tcPr>
          <w:p w14:paraId="1350EC50" w14:textId="177CD19F" w:rsidR="008A6844" w:rsidRPr="000E57E3" w:rsidRDefault="008A6844" w:rsidP="000E57E3">
            <w:pPr>
              <w:pStyle w:val="Tabletext"/>
            </w:pPr>
            <w:r w:rsidRPr="000E57E3">
              <w:t>RPL11</w:t>
            </w:r>
          </w:p>
        </w:tc>
        <w:tc>
          <w:tcPr>
            <w:tcW w:w="0" w:type="auto"/>
            <w:vAlign w:val="bottom"/>
          </w:tcPr>
          <w:p w14:paraId="2286681F" w14:textId="2A827956" w:rsidR="008A6844" w:rsidRPr="000E57E3" w:rsidRDefault="008A6844" w:rsidP="000E57E3">
            <w:pPr>
              <w:pStyle w:val="Tabletext"/>
            </w:pPr>
            <w:r w:rsidRPr="000E57E3">
              <w:t>Y</w:t>
            </w:r>
          </w:p>
        </w:tc>
        <w:tc>
          <w:tcPr>
            <w:tcW w:w="0" w:type="auto"/>
            <w:vAlign w:val="bottom"/>
          </w:tcPr>
          <w:p w14:paraId="19552370" w14:textId="6A759109" w:rsidR="008A6844" w:rsidRPr="000E57E3" w:rsidRDefault="008A6844" w:rsidP="000E57E3">
            <w:pPr>
              <w:pStyle w:val="Tabletext"/>
            </w:pPr>
            <w:r w:rsidRPr="000E57E3">
              <w:t> </w:t>
            </w:r>
          </w:p>
        </w:tc>
        <w:tc>
          <w:tcPr>
            <w:tcW w:w="0" w:type="auto"/>
            <w:vAlign w:val="bottom"/>
          </w:tcPr>
          <w:p w14:paraId="723D3FAC" w14:textId="3B49FA56" w:rsidR="008A6844" w:rsidRPr="000E57E3" w:rsidRDefault="008A6844" w:rsidP="000E57E3">
            <w:pPr>
              <w:pStyle w:val="Tabletext"/>
            </w:pPr>
            <w:r w:rsidRPr="000E57E3">
              <w:t> </w:t>
            </w:r>
          </w:p>
        </w:tc>
        <w:tc>
          <w:tcPr>
            <w:tcW w:w="0" w:type="auto"/>
            <w:vAlign w:val="bottom"/>
          </w:tcPr>
          <w:p w14:paraId="32C0AE55" w14:textId="20157695" w:rsidR="008A6844" w:rsidRPr="000E57E3" w:rsidRDefault="008A6844" w:rsidP="000E57E3">
            <w:pPr>
              <w:pStyle w:val="Tabletext"/>
            </w:pPr>
            <w:r w:rsidRPr="000E57E3">
              <w:t> </w:t>
            </w:r>
          </w:p>
        </w:tc>
        <w:tc>
          <w:tcPr>
            <w:tcW w:w="0" w:type="auto"/>
            <w:vAlign w:val="bottom"/>
          </w:tcPr>
          <w:p w14:paraId="24ECCEAB" w14:textId="7272F496" w:rsidR="008A6844" w:rsidRPr="000E57E3" w:rsidRDefault="008A6844" w:rsidP="000E57E3">
            <w:pPr>
              <w:pStyle w:val="Tabletext"/>
            </w:pPr>
            <w:r w:rsidRPr="000E57E3">
              <w:t> </w:t>
            </w:r>
          </w:p>
        </w:tc>
        <w:tc>
          <w:tcPr>
            <w:tcW w:w="0" w:type="auto"/>
            <w:vAlign w:val="bottom"/>
          </w:tcPr>
          <w:p w14:paraId="2BC13D28" w14:textId="3F1E231E" w:rsidR="008A6844" w:rsidRPr="000E57E3" w:rsidRDefault="008A6844" w:rsidP="000E57E3">
            <w:pPr>
              <w:pStyle w:val="Tabletext"/>
            </w:pPr>
            <w:r w:rsidRPr="000E57E3">
              <w:t>Y</w:t>
            </w:r>
          </w:p>
        </w:tc>
        <w:tc>
          <w:tcPr>
            <w:tcW w:w="0" w:type="auto"/>
            <w:vAlign w:val="bottom"/>
          </w:tcPr>
          <w:p w14:paraId="2F53E280" w14:textId="0235FCDC" w:rsidR="008A6844" w:rsidRPr="000E57E3" w:rsidRDefault="008A6844" w:rsidP="000E57E3">
            <w:pPr>
              <w:pStyle w:val="Tabletext"/>
            </w:pPr>
            <w:r w:rsidRPr="000E57E3">
              <w:t> </w:t>
            </w:r>
          </w:p>
        </w:tc>
        <w:tc>
          <w:tcPr>
            <w:tcW w:w="0" w:type="auto"/>
            <w:vAlign w:val="bottom"/>
          </w:tcPr>
          <w:p w14:paraId="40252077" w14:textId="6C3237EB" w:rsidR="008A6844" w:rsidRPr="000E57E3" w:rsidRDefault="008A6844" w:rsidP="000E57E3">
            <w:pPr>
              <w:pStyle w:val="Tabletext"/>
            </w:pPr>
            <w:r w:rsidRPr="000E57E3">
              <w:t> </w:t>
            </w:r>
          </w:p>
        </w:tc>
        <w:tc>
          <w:tcPr>
            <w:tcW w:w="0" w:type="auto"/>
            <w:vAlign w:val="bottom"/>
          </w:tcPr>
          <w:p w14:paraId="6B5B5882" w14:textId="5D9834D2" w:rsidR="008A6844" w:rsidRPr="000E57E3" w:rsidRDefault="008A6844" w:rsidP="000E57E3">
            <w:pPr>
              <w:pStyle w:val="Tabletext"/>
            </w:pPr>
            <w:r w:rsidRPr="000E57E3">
              <w:t> </w:t>
            </w:r>
          </w:p>
        </w:tc>
        <w:tc>
          <w:tcPr>
            <w:tcW w:w="0" w:type="auto"/>
            <w:vAlign w:val="bottom"/>
          </w:tcPr>
          <w:p w14:paraId="2A5F66EB" w14:textId="332F5633" w:rsidR="008A6844" w:rsidRPr="000E57E3" w:rsidRDefault="008A6844" w:rsidP="000E57E3">
            <w:pPr>
              <w:pStyle w:val="Tabletext"/>
            </w:pPr>
            <w:r w:rsidRPr="000E57E3">
              <w:t> </w:t>
            </w:r>
          </w:p>
        </w:tc>
        <w:tc>
          <w:tcPr>
            <w:tcW w:w="0" w:type="auto"/>
            <w:vAlign w:val="bottom"/>
          </w:tcPr>
          <w:p w14:paraId="28FC0A3B" w14:textId="3A0AAA4F" w:rsidR="008A6844" w:rsidRPr="000E57E3" w:rsidRDefault="008A6844" w:rsidP="000E57E3">
            <w:pPr>
              <w:pStyle w:val="Tabletext"/>
            </w:pPr>
            <w:r w:rsidRPr="000E57E3">
              <w:t> </w:t>
            </w:r>
          </w:p>
        </w:tc>
        <w:tc>
          <w:tcPr>
            <w:tcW w:w="0" w:type="auto"/>
            <w:vAlign w:val="bottom"/>
          </w:tcPr>
          <w:p w14:paraId="68215080" w14:textId="463472FD" w:rsidR="008A6844" w:rsidRPr="000E57E3" w:rsidRDefault="008A6844" w:rsidP="000E57E3">
            <w:pPr>
              <w:pStyle w:val="Tabletext"/>
            </w:pPr>
            <w:r w:rsidRPr="000E57E3">
              <w:t>Exemplar</w:t>
            </w:r>
          </w:p>
        </w:tc>
      </w:tr>
      <w:tr w:rsidR="00776CCE" w:rsidRPr="008A6844" w14:paraId="7516C098" w14:textId="77777777" w:rsidTr="00CA44B7">
        <w:tc>
          <w:tcPr>
            <w:tcW w:w="0" w:type="auto"/>
            <w:vAlign w:val="bottom"/>
          </w:tcPr>
          <w:p w14:paraId="571E6905" w14:textId="04E77D4F" w:rsidR="008A6844" w:rsidRPr="000E57E3" w:rsidRDefault="008A6844" w:rsidP="000E57E3">
            <w:pPr>
              <w:pStyle w:val="Tabletext"/>
            </w:pPr>
            <w:r w:rsidRPr="000E57E3">
              <w:t>RPL35A</w:t>
            </w:r>
          </w:p>
        </w:tc>
        <w:tc>
          <w:tcPr>
            <w:tcW w:w="0" w:type="auto"/>
            <w:vAlign w:val="bottom"/>
          </w:tcPr>
          <w:p w14:paraId="44AFC95F" w14:textId="3FBEFD5E" w:rsidR="008A6844" w:rsidRPr="000E57E3" w:rsidRDefault="008A6844" w:rsidP="000E57E3">
            <w:pPr>
              <w:pStyle w:val="Tabletext"/>
            </w:pPr>
            <w:r w:rsidRPr="000E57E3">
              <w:t>Y</w:t>
            </w:r>
          </w:p>
        </w:tc>
        <w:tc>
          <w:tcPr>
            <w:tcW w:w="0" w:type="auto"/>
            <w:vAlign w:val="bottom"/>
          </w:tcPr>
          <w:p w14:paraId="26CD1236" w14:textId="1D0AC56F" w:rsidR="008A6844" w:rsidRPr="000E57E3" w:rsidRDefault="008A6844" w:rsidP="000E57E3">
            <w:pPr>
              <w:pStyle w:val="Tabletext"/>
            </w:pPr>
            <w:r w:rsidRPr="000E57E3">
              <w:t> </w:t>
            </w:r>
          </w:p>
        </w:tc>
        <w:tc>
          <w:tcPr>
            <w:tcW w:w="0" w:type="auto"/>
            <w:vAlign w:val="bottom"/>
          </w:tcPr>
          <w:p w14:paraId="24406D26" w14:textId="4144F556" w:rsidR="008A6844" w:rsidRPr="000E57E3" w:rsidRDefault="008A6844" w:rsidP="000E57E3">
            <w:pPr>
              <w:pStyle w:val="Tabletext"/>
            </w:pPr>
            <w:r w:rsidRPr="000E57E3">
              <w:t> </w:t>
            </w:r>
          </w:p>
        </w:tc>
        <w:tc>
          <w:tcPr>
            <w:tcW w:w="0" w:type="auto"/>
            <w:vAlign w:val="bottom"/>
          </w:tcPr>
          <w:p w14:paraId="56A801E0" w14:textId="0D84BF0F" w:rsidR="008A6844" w:rsidRPr="000E57E3" w:rsidRDefault="008A6844" w:rsidP="000E57E3">
            <w:pPr>
              <w:pStyle w:val="Tabletext"/>
            </w:pPr>
            <w:r w:rsidRPr="000E57E3">
              <w:t> </w:t>
            </w:r>
          </w:p>
        </w:tc>
        <w:tc>
          <w:tcPr>
            <w:tcW w:w="0" w:type="auto"/>
            <w:vAlign w:val="bottom"/>
          </w:tcPr>
          <w:p w14:paraId="065CDBA0" w14:textId="38A25B9F" w:rsidR="008A6844" w:rsidRPr="000E57E3" w:rsidRDefault="008A6844" w:rsidP="000E57E3">
            <w:pPr>
              <w:pStyle w:val="Tabletext"/>
            </w:pPr>
            <w:r w:rsidRPr="000E57E3">
              <w:t> </w:t>
            </w:r>
          </w:p>
        </w:tc>
        <w:tc>
          <w:tcPr>
            <w:tcW w:w="0" w:type="auto"/>
            <w:vAlign w:val="bottom"/>
          </w:tcPr>
          <w:p w14:paraId="33623628" w14:textId="47A1ACF1" w:rsidR="008A6844" w:rsidRPr="000E57E3" w:rsidRDefault="008A6844" w:rsidP="000E57E3">
            <w:pPr>
              <w:pStyle w:val="Tabletext"/>
            </w:pPr>
            <w:r w:rsidRPr="000E57E3">
              <w:t>Y</w:t>
            </w:r>
          </w:p>
        </w:tc>
        <w:tc>
          <w:tcPr>
            <w:tcW w:w="0" w:type="auto"/>
            <w:vAlign w:val="bottom"/>
          </w:tcPr>
          <w:p w14:paraId="59C47CBD" w14:textId="20746CA6" w:rsidR="008A6844" w:rsidRPr="000E57E3" w:rsidRDefault="008A6844" w:rsidP="000E57E3">
            <w:pPr>
              <w:pStyle w:val="Tabletext"/>
            </w:pPr>
            <w:r w:rsidRPr="000E57E3">
              <w:t> </w:t>
            </w:r>
          </w:p>
        </w:tc>
        <w:tc>
          <w:tcPr>
            <w:tcW w:w="0" w:type="auto"/>
            <w:vAlign w:val="bottom"/>
          </w:tcPr>
          <w:p w14:paraId="61F24130" w14:textId="2D78E0A4" w:rsidR="008A6844" w:rsidRPr="000E57E3" w:rsidRDefault="008A6844" w:rsidP="000E57E3">
            <w:pPr>
              <w:pStyle w:val="Tabletext"/>
            </w:pPr>
            <w:r w:rsidRPr="000E57E3">
              <w:t> </w:t>
            </w:r>
          </w:p>
        </w:tc>
        <w:tc>
          <w:tcPr>
            <w:tcW w:w="0" w:type="auto"/>
            <w:vAlign w:val="bottom"/>
          </w:tcPr>
          <w:p w14:paraId="25BBC92C" w14:textId="114EC03C" w:rsidR="008A6844" w:rsidRPr="000E57E3" w:rsidRDefault="008A6844" w:rsidP="000E57E3">
            <w:pPr>
              <w:pStyle w:val="Tabletext"/>
            </w:pPr>
            <w:r w:rsidRPr="000E57E3">
              <w:t> </w:t>
            </w:r>
          </w:p>
        </w:tc>
        <w:tc>
          <w:tcPr>
            <w:tcW w:w="0" w:type="auto"/>
            <w:vAlign w:val="bottom"/>
          </w:tcPr>
          <w:p w14:paraId="302164B1" w14:textId="15316A4F" w:rsidR="008A6844" w:rsidRPr="000E57E3" w:rsidRDefault="008A6844" w:rsidP="000E57E3">
            <w:pPr>
              <w:pStyle w:val="Tabletext"/>
            </w:pPr>
            <w:r w:rsidRPr="000E57E3">
              <w:t> </w:t>
            </w:r>
          </w:p>
        </w:tc>
        <w:tc>
          <w:tcPr>
            <w:tcW w:w="0" w:type="auto"/>
            <w:vAlign w:val="bottom"/>
          </w:tcPr>
          <w:p w14:paraId="0C20ADA0" w14:textId="23C80822" w:rsidR="008A6844" w:rsidRPr="000E57E3" w:rsidRDefault="008A6844" w:rsidP="000E57E3">
            <w:pPr>
              <w:pStyle w:val="Tabletext"/>
            </w:pPr>
            <w:r w:rsidRPr="000E57E3">
              <w:t> </w:t>
            </w:r>
          </w:p>
        </w:tc>
        <w:tc>
          <w:tcPr>
            <w:tcW w:w="0" w:type="auto"/>
            <w:vAlign w:val="bottom"/>
          </w:tcPr>
          <w:p w14:paraId="5CB18600" w14:textId="4BECB301" w:rsidR="008A6844" w:rsidRPr="000E57E3" w:rsidRDefault="008A6844" w:rsidP="000E57E3">
            <w:pPr>
              <w:pStyle w:val="Tabletext"/>
            </w:pPr>
            <w:r w:rsidRPr="000E57E3">
              <w:t>Exemplar</w:t>
            </w:r>
          </w:p>
        </w:tc>
      </w:tr>
      <w:tr w:rsidR="00776CCE" w:rsidRPr="008A6844" w14:paraId="1093C408" w14:textId="77777777" w:rsidTr="00CA44B7">
        <w:tc>
          <w:tcPr>
            <w:tcW w:w="0" w:type="auto"/>
            <w:vAlign w:val="bottom"/>
          </w:tcPr>
          <w:p w14:paraId="71DE9216" w14:textId="0FD426AC" w:rsidR="008A6844" w:rsidRPr="000E57E3" w:rsidRDefault="008A6844" w:rsidP="000E57E3">
            <w:pPr>
              <w:pStyle w:val="Tabletext"/>
            </w:pPr>
            <w:r w:rsidRPr="000E57E3">
              <w:t>RPL5</w:t>
            </w:r>
          </w:p>
        </w:tc>
        <w:tc>
          <w:tcPr>
            <w:tcW w:w="0" w:type="auto"/>
            <w:vAlign w:val="bottom"/>
          </w:tcPr>
          <w:p w14:paraId="02974424" w14:textId="58DC5E10" w:rsidR="008A6844" w:rsidRPr="000E57E3" w:rsidRDefault="008A6844" w:rsidP="000E57E3">
            <w:pPr>
              <w:pStyle w:val="Tabletext"/>
            </w:pPr>
            <w:r w:rsidRPr="000E57E3">
              <w:t>Y</w:t>
            </w:r>
          </w:p>
        </w:tc>
        <w:tc>
          <w:tcPr>
            <w:tcW w:w="0" w:type="auto"/>
            <w:vAlign w:val="bottom"/>
          </w:tcPr>
          <w:p w14:paraId="001DCD28" w14:textId="191173E4" w:rsidR="008A6844" w:rsidRPr="000E57E3" w:rsidRDefault="008A6844" w:rsidP="000E57E3">
            <w:pPr>
              <w:pStyle w:val="Tabletext"/>
            </w:pPr>
            <w:r w:rsidRPr="000E57E3">
              <w:t> </w:t>
            </w:r>
          </w:p>
        </w:tc>
        <w:tc>
          <w:tcPr>
            <w:tcW w:w="0" w:type="auto"/>
            <w:vAlign w:val="bottom"/>
          </w:tcPr>
          <w:p w14:paraId="1254343B" w14:textId="4D97B0C4" w:rsidR="008A6844" w:rsidRPr="000E57E3" w:rsidRDefault="008A6844" w:rsidP="000E57E3">
            <w:pPr>
              <w:pStyle w:val="Tabletext"/>
            </w:pPr>
            <w:r w:rsidRPr="000E57E3">
              <w:t> </w:t>
            </w:r>
          </w:p>
        </w:tc>
        <w:tc>
          <w:tcPr>
            <w:tcW w:w="0" w:type="auto"/>
            <w:vAlign w:val="bottom"/>
          </w:tcPr>
          <w:p w14:paraId="4364647D" w14:textId="4F653F38" w:rsidR="008A6844" w:rsidRPr="000E57E3" w:rsidRDefault="008A6844" w:rsidP="000E57E3">
            <w:pPr>
              <w:pStyle w:val="Tabletext"/>
            </w:pPr>
            <w:r w:rsidRPr="000E57E3">
              <w:t> </w:t>
            </w:r>
          </w:p>
        </w:tc>
        <w:tc>
          <w:tcPr>
            <w:tcW w:w="0" w:type="auto"/>
            <w:vAlign w:val="bottom"/>
          </w:tcPr>
          <w:p w14:paraId="7D6FEDAB" w14:textId="7A373662" w:rsidR="008A6844" w:rsidRPr="000E57E3" w:rsidRDefault="008A6844" w:rsidP="000E57E3">
            <w:pPr>
              <w:pStyle w:val="Tabletext"/>
            </w:pPr>
            <w:r w:rsidRPr="000E57E3">
              <w:t> </w:t>
            </w:r>
          </w:p>
        </w:tc>
        <w:tc>
          <w:tcPr>
            <w:tcW w:w="0" w:type="auto"/>
            <w:vAlign w:val="bottom"/>
          </w:tcPr>
          <w:p w14:paraId="49FDA64B" w14:textId="332E5526" w:rsidR="008A6844" w:rsidRPr="000E57E3" w:rsidRDefault="008A6844" w:rsidP="000E57E3">
            <w:pPr>
              <w:pStyle w:val="Tabletext"/>
            </w:pPr>
            <w:r w:rsidRPr="000E57E3">
              <w:t>Y</w:t>
            </w:r>
          </w:p>
        </w:tc>
        <w:tc>
          <w:tcPr>
            <w:tcW w:w="0" w:type="auto"/>
            <w:vAlign w:val="bottom"/>
          </w:tcPr>
          <w:p w14:paraId="22E157C0" w14:textId="13855CE9" w:rsidR="008A6844" w:rsidRPr="000E57E3" w:rsidRDefault="008A6844" w:rsidP="000E57E3">
            <w:pPr>
              <w:pStyle w:val="Tabletext"/>
            </w:pPr>
            <w:r w:rsidRPr="000E57E3">
              <w:t> </w:t>
            </w:r>
          </w:p>
        </w:tc>
        <w:tc>
          <w:tcPr>
            <w:tcW w:w="0" w:type="auto"/>
            <w:vAlign w:val="bottom"/>
          </w:tcPr>
          <w:p w14:paraId="39F025AF" w14:textId="7E4A22C5" w:rsidR="008A6844" w:rsidRPr="000E57E3" w:rsidRDefault="008A6844" w:rsidP="000E57E3">
            <w:pPr>
              <w:pStyle w:val="Tabletext"/>
            </w:pPr>
            <w:r w:rsidRPr="000E57E3">
              <w:t> </w:t>
            </w:r>
          </w:p>
        </w:tc>
        <w:tc>
          <w:tcPr>
            <w:tcW w:w="0" w:type="auto"/>
            <w:vAlign w:val="bottom"/>
          </w:tcPr>
          <w:p w14:paraId="4CE2889C" w14:textId="7D24CE62" w:rsidR="008A6844" w:rsidRPr="000E57E3" w:rsidRDefault="008A6844" w:rsidP="000E57E3">
            <w:pPr>
              <w:pStyle w:val="Tabletext"/>
            </w:pPr>
            <w:r w:rsidRPr="000E57E3">
              <w:t> </w:t>
            </w:r>
          </w:p>
        </w:tc>
        <w:tc>
          <w:tcPr>
            <w:tcW w:w="0" w:type="auto"/>
            <w:vAlign w:val="bottom"/>
          </w:tcPr>
          <w:p w14:paraId="299FA0F0" w14:textId="080E7852" w:rsidR="008A6844" w:rsidRPr="000E57E3" w:rsidRDefault="008A6844" w:rsidP="000E57E3">
            <w:pPr>
              <w:pStyle w:val="Tabletext"/>
            </w:pPr>
            <w:r w:rsidRPr="000E57E3">
              <w:t> </w:t>
            </w:r>
          </w:p>
        </w:tc>
        <w:tc>
          <w:tcPr>
            <w:tcW w:w="0" w:type="auto"/>
            <w:vAlign w:val="bottom"/>
          </w:tcPr>
          <w:p w14:paraId="6BEDEFFA" w14:textId="2E2A98DD" w:rsidR="008A6844" w:rsidRPr="000E57E3" w:rsidRDefault="008A6844" w:rsidP="000E57E3">
            <w:pPr>
              <w:pStyle w:val="Tabletext"/>
            </w:pPr>
            <w:r w:rsidRPr="000E57E3">
              <w:t> </w:t>
            </w:r>
          </w:p>
        </w:tc>
        <w:tc>
          <w:tcPr>
            <w:tcW w:w="0" w:type="auto"/>
            <w:vAlign w:val="bottom"/>
          </w:tcPr>
          <w:p w14:paraId="221C2D07" w14:textId="33371D2B" w:rsidR="008A6844" w:rsidRPr="000E57E3" w:rsidRDefault="008A6844" w:rsidP="000E57E3">
            <w:pPr>
              <w:pStyle w:val="Tabletext"/>
            </w:pPr>
            <w:r w:rsidRPr="000E57E3">
              <w:t>Exemplar</w:t>
            </w:r>
          </w:p>
        </w:tc>
      </w:tr>
      <w:tr w:rsidR="00776CCE" w:rsidRPr="008A6844" w14:paraId="013FBFA2" w14:textId="77777777" w:rsidTr="00CA44B7">
        <w:tc>
          <w:tcPr>
            <w:tcW w:w="0" w:type="auto"/>
            <w:vAlign w:val="bottom"/>
          </w:tcPr>
          <w:p w14:paraId="23542A9E" w14:textId="05A76174" w:rsidR="008A6844" w:rsidRPr="000E57E3" w:rsidRDefault="008A6844" w:rsidP="000E57E3">
            <w:pPr>
              <w:pStyle w:val="Tabletext"/>
            </w:pPr>
            <w:r w:rsidRPr="000E57E3">
              <w:t>RPS10</w:t>
            </w:r>
          </w:p>
        </w:tc>
        <w:tc>
          <w:tcPr>
            <w:tcW w:w="0" w:type="auto"/>
            <w:vAlign w:val="bottom"/>
          </w:tcPr>
          <w:p w14:paraId="6EF3A8F1" w14:textId="01524A14" w:rsidR="008A6844" w:rsidRPr="000E57E3" w:rsidRDefault="008A6844" w:rsidP="000E57E3">
            <w:pPr>
              <w:pStyle w:val="Tabletext"/>
            </w:pPr>
            <w:r w:rsidRPr="000E57E3">
              <w:t>Y</w:t>
            </w:r>
          </w:p>
        </w:tc>
        <w:tc>
          <w:tcPr>
            <w:tcW w:w="0" w:type="auto"/>
            <w:vAlign w:val="bottom"/>
          </w:tcPr>
          <w:p w14:paraId="14A51293" w14:textId="4CF0A34F" w:rsidR="008A6844" w:rsidRPr="000E57E3" w:rsidRDefault="008A6844" w:rsidP="000E57E3">
            <w:pPr>
              <w:pStyle w:val="Tabletext"/>
            </w:pPr>
            <w:r w:rsidRPr="000E57E3">
              <w:t> </w:t>
            </w:r>
          </w:p>
        </w:tc>
        <w:tc>
          <w:tcPr>
            <w:tcW w:w="0" w:type="auto"/>
            <w:vAlign w:val="bottom"/>
          </w:tcPr>
          <w:p w14:paraId="1BC64FF8" w14:textId="46B5F78D" w:rsidR="008A6844" w:rsidRPr="000E57E3" w:rsidRDefault="008A6844" w:rsidP="000E57E3">
            <w:pPr>
              <w:pStyle w:val="Tabletext"/>
            </w:pPr>
            <w:r w:rsidRPr="000E57E3">
              <w:t> </w:t>
            </w:r>
          </w:p>
        </w:tc>
        <w:tc>
          <w:tcPr>
            <w:tcW w:w="0" w:type="auto"/>
            <w:vAlign w:val="bottom"/>
          </w:tcPr>
          <w:p w14:paraId="21F6AA46" w14:textId="4DE6B4A3" w:rsidR="008A6844" w:rsidRPr="000E57E3" w:rsidRDefault="008A6844" w:rsidP="000E57E3">
            <w:pPr>
              <w:pStyle w:val="Tabletext"/>
            </w:pPr>
            <w:r w:rsidRPr="000E57E3">
              <w:t> </w:t>
            </w:r>
          </w:p>
        </w:tc>
        <w:tc>
          <w:tcPr>
            <w:tcW w:w="0" w:type="auto"/>
            <w:vAlign w:val="bottom"/>
          </w:tcPr>
          <w:p w14:paraId="0EEEF65B" w14:textId="26ACB7F2" w:rsidR="008A6844" w:rsidRPr="000E57E3" w:rsidRDefault="008A6844" w:rsidP="000E57E3">
            <w:pPr>
              <w:pStyle w:val="Tabletext"/>
            </w:pPr>
            <w:r w:rsidRPr="000E57E3">
              <w:t> </w:t>
            </w:r>
          </w:p>
        </w:tc>
        <w:tc>
          <w:tcPr>
            <w:tcW w:w="0" w:type="auto"/>
            <w:vAlign w:val="bottom"/>
          </w:tcPr>
          <w:p w14:paraId="006DBA02" w14:textId="4B197383" w:rsidR="008A6844" w:rsidRPr="000E57E3" w:rsidRDefault="008A6844" w:rsidP="000E57E3">
            <w:pPr>
              <w:pStyle w:val="Tabletext"/>
            </w:pPr>
            <w:r w:rsidRPr="000E57E3">
              <w:t>Y</w:t>
            </w:r>
          </w:p>
        </w:tc>
        <w:tc>
          <w:tcPr>
            <w:tcW w:w="0" w:type="auto"/>
            <w:vAlign w:val="bottom"/>
          </w:tcPr>
          <w:p w14:paraId="0C859401" w14:textId="2A715610" w:rsidR="008A6844" w:rsidRPr="000E57E3" w:rsidRDefault="008A6844" w:rsidP="000E57E3">
            <w:pPr>
              <w:pStyle w:val="Tabletext"/>
            </w:pPr>
            <w:r w:rsidRPr="000E57E3">
              <w:t> </w:t>
            </w:r>
          </w:p>
        </w:tc>
        <w:tc>
          <w:tcPr>
            <w:tcW w:w="0" w:type="auto"/>
            <w:vAlign w:val="bottom"/>
          </w:tcPr>
          <w:p w14:paraId="7B8BA375" w14:textId="58FF65C0" w:rsidR="008A6844" w:rsidRPr="000E57E3" w:rsidRDefault="008A6844" w:rsidP="000E57E3">
            <w:pPr>
              <w:pStyle w:val="Tabletext"/>
            </w:pPr>
            <w:r w:rsidRPr="000E57E3">
              <w:t> </w:t>
            </w:r>
          </w:p>
        </w:tc>
        <w:tc>
          <w:tcPr>
            <w:tcW w:w="0" w:type="auto"/>
            <w:vAlign w:val="bottom"/>
          </w:tcPr>
          <w:p w14:paraId="370AB495" w14:textId="58EF4A98" w:rsidR="008A6844" w:rsidRPr="000E57E3" w:rsidRDefault="008A6844" w:rsidP="000E57E3">
            <w:pPr>
              <w:pStyle w:val="Tabletext"/>
            </w:pPr>
            <w:r w:rsidRPr="000E57E3">
              <w:t> </w:t>
            </w:r>
          </w:p>
        </w:tc>
        <w:tc>
          <w:tcPr>
            <w:tcW w:w="0" w:type="auto"/>
            <w:vAlign w:val="bottom"/>
          </w:tcPr>
          <w:p w14:paraId="30BE77BF" w14:textId="6F0D8CDF" w:rsidR="008A6844" w:rsidRPr="000E57E3" w:rsidRDefault="008A6844" w:rsidP="000E57E3">
            <w:pPr>
              <w:pStyle w:val="Tabletext"/>
            </w:pPr>
            <w:r w:rsidRPr="000E57E3">
              <w:t> </w:t>
            </w:r>
          </w:p>
        </w:tc>
        <w:tc>
          <w:tcPr>
            <w:tcW w:w="0" w:type="auto"/>
            <w:vAlign w:val="bottom"/>
          </w:tcPr>
          <w:p w14:paraId="16049608" w14:textId="75E2372D" w:rsidR="008A6844" w:rsidRPr="000E57E3" w:rsidRDefault="008A6844" w:rsidP="000E57E3">
            <w:pPr>
              <w:pStyle w:val="Tabletext"/>
            </w:pPr>
            <w:r w:rsidRPr="000E57E3">
              <w:t> </w:t>
            </w:r>
          </w:p>
        </w:tc>
        <w:tc>
          <w:tcPr>
            <w:tcW w:w="0" w:type="auto"/>
            <w:vAlign w:val="bottom"/>
          </w:tcPr>
          <w:p w14:paraId="48FC7ADC" w14:textId="026BB668" w:rsidR="008A6844" w:rsidRPr="000E57E3" w:rsidRDefault="008A6844" w:rsidP="000E57E3">
            <w:pPr>
              <w:pStyle w:val="Tabletext"/>
            </w:pPr>
            <w:r w:rsidRPr="000E57E3">
              <w:t>Exemplar</w:t>
            </w:r>
          </w:p>
        </w:tc>
      </w:tr>
      <w:tr w:rsidR="00776CCE" w:rsidRPr="008A6844" w14:paraId="12183E9D" w14:textId="77777777" w:rsidTr="00CA44B7">
        <w:tc>
          <w:tcPr>
            <w:tcW w:w="0" w:type="auto"/>
            <w:vAlign w:val="bottom"/>
          </w:tcPr>
          <w:p w14:paraId="73816D76" w14:textId="4726C12F" w:rsidR="008A6844" w:rsidRPr="000E57E3" w:rsidRDefault="008A6844" w:rsidP="000E57E3">
            <w:pPr>
              <w:pStyle w:val="Tabletext"/>
            </w:pPr>
            <w:r w:rsidRPr="000E57E3">
              <w:t>RPS17</w:t>
            </w:r>
          </w:p>
        </w:tc>
        <w:tc>
          <w:tcPr>
            <w:tcW w:w="0" w:type="auto"/>
            <w:vAlign w:val="bottom"/>
          </w:tcPr>
          <w:p w14:paraId="4751411A" w14:textId="34CE1219" w:rsidR="008A6844" w:rsidRPr="000E57E3" w:rsidRDefault="008A6844" w:rsidP="000E57E3">
            <w:pPr>
              <w:pStyle w:val="Tabletext"/>
            </w:pPr>
            <w:r w:rsidRPr="000E57E3">
              <w:t>Y</w:t>
            </w:r>
          </w:p>
        </w:tc>
        <w:tc>
          <w:tcPr>
            <w:tcW w:w="0" w:type="auto"/>
            <w:vAlign w:val="bottom"/>
          </w:tcPr>
          <w:p w14:paraId="133B5864" w14:textId="609923BE" w:rsidR="008A6844" w:rsidRPr="000E57E3" w:rsidRDefault="008A6844" w:rsidP="000E57E3">
            <w:pPr>
              <w:pStyle w:val="Tabletext"/>
            </w:pPr>
            <w:r w:rsidRPr="000E57E3">
              <w:t> </w:t>
            </w:r>
          </w:p>
        </w:tc>
        <w:tc>
          <w:tcPr>
            <w:tcW w:w="0" w:type="auto"/>
            <w:vAlign w:val="bottom"/>
          </w:tcPr>
          <w:p w14:paraId="66BAB4EA" w14:textId="6DFD27FB" w:rsidR="008A6844" w:rsidRPr="000E57E3" w:rsidRDefault="008A6844" w:rsidP="000E57E3">
            <w:pPr>
              <w:pStyle w:val="Tabletext"/>
            </w:pPr>
            <w:r w:rsidRPr="000E57E3">
              <w:t> </w:t>
            </w:r>
          </w:p>
        </w:tc>
        <w:tc>
          <w:tcPr>
            <w:tcW w:w="0" w:type="auto"/>
            <w:vAlign w:val="bottom"/>
          </w:tcPr>
          <w:p w14:paraId="23BB64E1" w14:textId="23F3C0F8" w:rsidR="008A6844" w:rsidRPr="000E57E3" w:rsidRDefault="008A6844" w:rsidP="000E57E3">
            <w:pPr>
              <w:pStyle w:val="Tabletext"/>
            </w:pPr>
            <w:r w:rsidRPr="000E57E3">
              <w:t> </w:t>
            </w:r>
          </w:p>
        </w:tc>
        <w:tc>
          <w:tcPr>
            <w:tcW w:w="0" w:type="auto"/>
            <w:vAlign w:val="bottom"/>
          </w:tcPr>
          <w:p w14:paraId="6719C67B" w14:textId="593EBC70" w:rsidR="008A6844" w:rsidRPr="000E57E3" w:rsidRDefault="008A6844" w:rsidP="000E57E3">
            <w:pPr>
              <w:pStyle w:val="Tabletext"/>
            </w:pPr>
            <w:r w:rsidRPr="000E57E3">
              <w:t> </w:t>
            </w:r>
          </w:p>
        </w:tc>
        <w:tc>
          <w:tcPr>
            <w:tcW w:w="0" w:type="auto"/>
            <w:vAlign w:val="bottom"/>
          </w:tcPr>
          <w:p w14:paraId="62E0461B" w14:textId="56D0066D" w:rsidR="008A6844" w:rsidRPr="000E57E3" w:rsidRDefault="008A6844" w:rsidP="000E57E3">
            <w:pPr>
              <w:pStyle w:val="Tabletext"/>
            </w:pPr>
            <w:r w:rsidRPr="000E57E3">
              <w:t> </w:t>
            </w:r>
          </w:p>
        </w:tc>
        <w:tc>
          <w:tcPr>
            <w:tcW w:w="0" w:type="auto"/>
            <w:vAlign w:val="bottom"/>
          </w:tcPr>
          <w:p w14:paraId="50EE6973" w14:textId="05937977" w:rsidR="008A6844" w:rsidRPr="000E57E3" w:rsidRDefault="008A6844" w:rsidP="000E57E3">
            <w:pPr>
              <w:pStyle w:val="Tabletext"/>
            </w:pPr>
            <w:r w:rsidRPr="000E57E3">
              <w:t> </w:t>
            </w:r>
          </w:p>
        </w:tc>
        <w:tc>
          <w:tcPr>
            <w:tcW w:w="0" w:type="auto"/>
            <w:vAlign w:val="bottom"/>
          </w:tcPr>
          <w:p w14:paraId="65505357" w14:textId="05A772FF" w:rsidR="008A6844" w:rsidRPr="000E57E3" w:rsidRDefault="008A6844" w:rsidP="000E57E3">
            <w:pPr>
              <w:pStyle w:val="Tabletext"/>
            </w:pPr>
            <w:r w:rsidRPr="000E57E3">
              <w:t> </w:t>
            </w:r>
          </w:p>
        </w:tc>
        <w:tc>
          <w:tcPr>
            <w:tcW w:w="0" w:type="auto"/>
            <w:vAlign w:val="bottom"/>
          </w:tcPr>
          <w:p w14:paraId="559A2664" w14:textId="03F34CEC" w:rsidR="008A6844" w:rsidRPr="000E57E3" w:rsidRDefault="008A6844" w:rsidP="000E57E3">
            <w:pPr>
              <w:pStyle w:val="Tabletext"/>
            </w:pPr>
            <w:r w:rsidRPr="000E57E3">
              <w:t> </w:t>
            </w:r>
          </w:p>
        </w:tc>
        <w:tc>
          <w:tcPr>
            <w:tcW w:w="0" w:type="auto"/>
            <w:vAlign w:val="bottom"/>
          </w:tcPr>
          <w:p w14:paraId="15BFB8DA" w14:textId="27DABAA0" w:rsidR="008A6844" w:rsidRPr="000E57E3" w:rsidRDefault="008A6844" w:rsidP="000E57E3">
            <w:pPr>
              <w:pStyle w:val="Tabletext"/>
            </w:pPr>
            <w:r w:rsidRPr="000E57E3">
              <w:t> </w:t>
            </w:r>
          </w:p>
        </w:tc>
        <w:tc>
          <w:tcPr>
            <w:tcW w:w="0" w:type="auto"/>
            <w:vAlign w:val="bottom"/>
          </w:tcPr>
          <w:p w14:paraId="77233399" w14:textId="0D364B25" w:rsidR="008A6844" w:rsidRPr="000E57E3" w:rsidRDefault="008A6844" w:rsidP="000E57E3">
            <w:pPr>
              <w:pStyle w:val="Tabletext"/>
            </w:pPr>
            <w:r w:rsidRPr="000E57E3">
              <w:t> </w:t>
            </w:r>
          </w:p>
        </w:tc>
        <w:tc>
          <w:tcPr>
            <w:tcW w:w="0" w:type="auto"/>
            <w:vAlign w:val="bottom"/>
          </w:tcPr>
          <w:p w14:paraId="1C7F5B76" w14:textId="76ED74B3" w:rsidR="008A6844" w:rsidRPr="000E57E3" w:rsidRDefault="008A6844" w:rsidP="000E57E3">
            <w:pPr>
              <w:pStyle w:val="Tabletext"/>
            </w:pPr>
            <w:r w:rsidRPr="000E57E3">
              <w:t>Exemplar</w:t>
            </w:r>
          </w:p>
        </w:tc>
      </w:tr>
      <w:tr w:rsidR="00776CCE" w:rsidRPr="008A6844" w14:paraId="1C0075BD" w14:textId="77777777" w:rsidTr="00CA44B7">
        <w:tc>
          <w:tcPr>
            <w:tcW w:w="0" w:type="auto"/>
            <w:vAlign w:val="bottom"/>
          </w:tcPr>
          <w:p w14:paraId="35A0CC0D" w14:textId="58B1A0E9" w:rsidR="008A6844" w:rsidRPr="000E57E3" w:rsidRDefault="008A6844" w:rsidP="000E57E3">
            <w:pPr>
              <w:pStyle w:val="Tabletext"/>
            </w:pPr>
            <w:r w:rsidRPr="000E57E3">
              <w:t>RPS19</w:t>
            </w:r>
          </w:p>
        </w:tc>
        <w:tc>
          <w:tcPr>
            <w:tcW w:w="0" w:type="auto"/>
            <w:vAlign w:val="bottom"/>
          </w:tcPr>
          <w:p w14:paraId="74C0DC58" w14:textId="3176EEE6" w:rsidR="008A6844" w:rsidRPr="000E57E3" w:rsidRDefault="008A6844" w:rsidP="000E57E3">
            <w:pPr>
              <w:pStyle w:val="Tabletext"/>
            </w:pPr>
            <w:r w:rsidRPr="000E57E3">
              <w:t>Y</w:t>
            </w:r>
          </w:p>
        </w:tc>
        <w:tc>
          <w:tcPr>
            <w:tcW w:w="0" w:type="auto"/>
            <w:vAlign w:val="bottom"/>
          </w:tcPr>
          <w:p w14:paraId="25D22311" w14:textId="3AB7C8BE" w:rsidR="008A6844" w:rsidRPr="000E57E3" w:rsidRDefault="008A6844" w:rsidP="000E57E3">
            <w:pPr>
              <w:pStyle w:val="Tabletext"/>
            </w:pPr>
            <w:r w:rsidRPr="000E57E3">
              <w:t> </w:t>
            </w:r>
          </w:p>
        </w:tc>
        <w:tc>
          <w:tcPr>
            <w:tcW w:w="0" w:type="auto"/>
            <w:vAlign w:val="bottom"/>
          </w:tcPr>
          <w:p w14:paraId="099809D6" w14:textId="379CFD09" w:rsidR="008A6844" w:rsidRPr="000E57E3" w:rsidRDefault="008A6844" w:rsidP="000E57E3">
            <w:pPr>
              <w:pStyle w:val="Tabletext"/>
            </w:pPr>
            <w:r w:rsidRPr="000E57E3">
              <w:t> </w:t>
            </w:r>
          </w:p>
        </w:tc>
        <w:tc>
          <w:tcPr>
            <w:tcW w:w="0" w:type="auto"/>
            <w:vAlign w:val="bottom"/>
          </w:tcPr>
          <w:p w14:paraId="28BE153C" w14:textId="1CA41E36" w:rsidR="008A6844" w:rsidRPr="000E57E3" w:rsidRDefault="008A6844" w:rsidP="000E57E3">
            <w:pPr>
              <w:pStyle w:val="Tabletext"/>
            </w:pPr>
            <w:r w:rsidRPr="000E57E3">
              <w:t> </w:t>
            </w:r>
          </w:p>
        </w:tc>
        <w:tc>
          <w:tcPr>
            <w:tcW w:w="0" w:type="auto"/>
            <w:vAlign w:val="bottom"/>
          </w:tcPr>
          <w:p w14:paraId="1F416502" w14:textId="5F27AC39" w:rsidR="008A6844" w:rsidRPr="000E57E3" w:rsidRDefault="008A6844" w:rsidP="000E57E3">
            <w:pPr>
              <w:pStyle w:val="Tabletext"/>
            </w:pPr>
            <w:r w:rsidRPr="000E57E3">
              <w:t> </w:t>
            </w:r>
          </w:p>
        </w:tc>
        <w:tc>
          <w:tcPr>
            <w:tcW w:w="0" w:type="auto"/>
            <w:vAlign w:val="bottom"/>
          </w:tcPr>
          <w:p w14:paraId="2ACCB8C6" w14:textId="1006DFCD" w:rsidR="008A6844" w:rsidRPr="000E57E3" w:rsidRDefault="008A6844" w:rsidP="000E57E3">
            <w:pPr>
              <w:pStyle w:val="Tabletext"/>
            </w:pPr>
            <w:r w:rsidRPr="000E57E3">
              <w:t>Y</w:t>
            </w:r>
          </w:p>
        </w:tc>
        <w:tc>
          <w:tcPr>
            <w:tcW w:w="0" w:type="auto"/>
            <w:vAlign w:val="bottom"/>
          </w:tcPr>
          <w:p w14:paraId="0AD93C81" w14:textId="72C46DD2" w:rsidR="008A6844" w:rsidRPr="000E57E3" w:rsidRDefault="008A6844" w:rsidP="000E57E3">
            <w:pPr>
              <w:pStyle w:val="Tabletext"/>
            </w:pPr>
            <w:r w:rsidRPr="000E57E3">
              <w:t> </w:t>
            </w:r>
          </w:p>
        </w:tc>
        <w:tc>
          <w:tcPr>
            <w:tcW w:w="0" w:type="auto"/>
            <w:vAlign w:val="bottom"/>
          </w:tcPr>
          <w:p w14:paraId="4AF2D9A9" w14:textId="74B613E3" w:rsidR="008A6844" w:rsidRPr="000E57E3" w:rsidRDefault="008A6844" w:rsidP="000E57E3">
            <w:pPr>
              <w:pStyle w:val="Tabletext"/>
            </w:pPr>
            <w:r w:rsidRPr="000E57E3">
              <w:t> </w:t>
            </w:r>
          </w:p>
        </w:tc>
        <w:tc>
          <w:tcPr>
            <w:tcW w:w="0" w:type="auto"/>
            <w:vAlign w:val="bottom"/>
          </w:tcPr>
          <w:p w14:paraId="6194F618" w14:textId="0825DC63" w:rsidR="008A6844" w:rsidRPr="000E57E3" w:rsidRDefault="008A6844" w:rsidP="000E57E3">
            <w:pPr>
              <w:pStyle w:val="Tabletext"/>
            </w:pPr>
            <w:r w:rsidRPr="000E57E3">
              <w:t> </w:t>
            </w:r>
          </w:p>
        </w:tc>
        <w:tc>
          <w:tcPr>
            <w:tcW w:w="0" w:type="auto"/>
            <w:vAlign w:val="bottom"/>
          </w:tcPr>
          <w:p w14:paraId="2AB1DE6C" w14:textId="2F846B40" w:rsidR="008A6844" w:rsidRPr="000E57E3" w:rsidRDefault="008A6844" w:rsidP="000E57E3">
            <w:pPr>
              <w:pStyle w:val="Tabletext"/>
            </w:pPr>
            <w:r w:rsidRPr="000E57E3">
              <w:t> </w:t>
            </w:r>
          </w:p>
        </w:tc>
        <w:tc>
          <w:tcPr>
            <w:tcW w:w="0" w:type="auto"/>
            <w:vAlign w:val="bottom"/>
          </w:tcPr>
          <w:p w14:paraId="04AE97B3" w14:textId="06135351" w:rsidR="008A6844" w:rsidRPr="000E57E3" w:rsidRDefault="008A6844" w:rsidP="000E57E3">
            <w:pPr>
              <w:pStyle w:val="Tabletext"/>
            </w:pPr>
            <w:r w:rsidRPr="000E57E3">
              <w:t> </w:t>
            </w:r>
          </w:p>
        </w:tc>
        <w:tc>
          <w:tcPr>
            <w:tcW w:w="0" w:type="auto"/>
            <w:vAlign w:val="bottom"/>
          </w:tcPr>
          <w:p w14:paraId="38FE65ED" w14:textId="2E6FEE78" w:rsidR="008A6844" w:rsidRPr="000E57E3" w:rsidRDefault="008A6844" w:rsidP="000E57E3">
            <w:pPr>
              <w:pStyle w:val="Tabletext"/>
            </w:pPr>
            <w:r w:rsidRPr="000E57E3">
              <w:t>Exemplar</w:t>
            </w:r>
          </w:p>
        </w:tc>
      </w:tr>
      <w:tr w:rsidR="00776CCE" w:rsidRPr="008A6844" w14:paraId="6420E98D" w14:textId="77777777" w:rsidTr="00CA44B7">
        <w:tc>
          <w:tcPr>
            <w:tcW w:w="0" w:type="auto"/>
            <w:vAlign w:val="bottom"/>
          </w:tcPr>
          <w:p w14:paraId="245BC841" w14:textId="5DACB62A" w:rsidR="008A6844" w:rsidRPr="000E57E3" w:rsidRDefault="008A6844" w:rsidP="000E57E3">
            <w:pPr>
              <w:pStyle w:val="Tabletext"/>
            </w:pPr>
            <w:r w:rsidRPr="000E57E3">
              <w:t>RPS24</w:t>
            </w:r>
          </w:p>
        </w:tc>
        <w:tc>
          <w:tcPr>
            <w:tcW w:w="0" w:type="auto"/>
            <w:vAlign w:val="bottom"/>
          </w:tcPr>
          <w:p w14:paraId="701E2F7D" w14:textId="45D55155" w:rsidR="008A6844" w:rsidRPr="000E57E3" w:rsidRDefault="008A6844" w:rsidP="000E57E3">
            <w:pPr>
              <w:pStyle w:val="Tabletext"/>
            </w:pPr>
            <w:r w:rsidRPr="000E57E3">
              <w:t>Y</w:t>
            </w:r>
          </w:p>
        </w:tc>
        <w:tc>
          <w:tcPr>
            <w:tcW w:w="0" w:type="auto"/>
            <w:vAlign w:val="bottom"/>
          </w:tcPr>
          <w:p w14:paraId="5110D25C" w14:textId="239E0F2F" w:rsidR="008A6844" w:rsidRPr="000E57E3" w:rsidRDefault="008A6844" w:rsidP="000E57E3">
            <w:pPr>
              <w:pStyle w:val="Tabletext"/>
            </w:pPr>
            <w:r w:rsidRPr="000E57E3">
              <w:t> </w:t>
            </w:r>
          </w:p>
        </w:tc>
        <w:tc>
          <w:tcPr>
            <w:tcW w:w="0" w:type="auto"/>
            <w:vAlign w:val="bottom"/>
          </w:tcPr>
          <w:p w14:paraId="0D62E852" w14:textId="01B947BC" w:rsidR="008A6844" w:rsidRPr="000E57E3" w:rsidRDefault="008A6844" w:rsidP="000E57E3">
            <w:pPr>
              <w:pStyle w:val="Tabletext"/>
            </w:pPr>
            <w:r w:rsidRPr="000E57E3">
              <w:t> </w:t>
            </w:r>
          </w:p>
        </w:tc>
        <w:tc>
          <w:tcPr>
            <w:tcW w:w="0" w:type="auto"/>
            <w:vAlign w:val="bottom"/>
          </w:tcPr>
          <w:p w14:paraId="26773D8D" w14:textId="3C01999D" w:rsidR="008A6844" w:rsidRPr="000E57E3" w:rsidRDefault="008A6844" w:rsidP="000E57E3">
            <w:pPr>
              <w:pStyle w:val="Tabletext"/>
            </w:pPr>
            <w:r w:rsidRPr="000E57E3">
              <w:t> </w:t>
            </w:r>
          </w:p>
        </w:tc>
        <w:tc>
          <w:tcPr>
            <w:tcW w:w="0" w:type="auto"/>
            <w:vAlign w:val="bottom"/>
          </w:tcPr>
          <w:p w14:paraId="478100B2" w14:textId="246EFD39" w:rsidR="008A6844" w:rsidRPr="000E57E3" w:rsidRDefault="008A6844" w:rsidP="000E57E3">
            <w:pPr>
              <w:pStyle w:val="Tabletext"/>
            </w:pPr>
            <w:r w:rsidRPr="000E57E3">
              <w:t> </w:t>
            </w:r>
          </w:p>
        </w:tc>
        <w:tc>
          <w:tcPr>
            <w:tcW w:w="0" w:type="auto"/>
            <w:vAlign w:val="bottom"/>
          </w:tcPr>
          <w:p w14:paraId="3B048887" w14:textId="50F52E60" w:rsidR="008A6844" w:rsidRPr="000E57E3" w:rsidRDefault="008A6844" w:rsidP="000E57E3">
            <w:pPr>
              <w:pStyle w:val="Tabletext"/>
            </w:pPr>
            <w:r w:rsidRPr="000E57E3">
              <w:t>Y</w:t>
            </w:r>
          </w:p>
        </w:tc>
        <w:tc>
          <w:tcPr>
            <w:tcW w:w="0" w:type="auto"/>
            <w:vAlign w:val="bottom"/>
          </w:tcPr>
          <w:p w14:paraId="37F6710B" w14:textId="6900FB54" w:rsidR="008A6844" w:rsidRPr="000E57E3" w:rsidRDefault="008A6844" w:rsidP="000E57E3">
            <w:pPr>
              <w:pStyle w:val="Tabletext"/>
            </w:pPr>
            <w:r w:rsidRPr="000E57E3">
              <w:t> </w:t>
            </w:r>
          </w:p>
        </w:tc>
        <w:tc>
          <w:tcPr>
            <w:tcW w:w="0" w:type="auto"/>
            <w:vAlign w:val="bottom"/>
          </w:tcPr>
          <w:p w14:paraId="045B9036" w14:textId="65B6B947" w:rsidR="008A6844" w:rsidRPr="000E57E3" w:rsidRDefault="008A6844" w:rsidP="000E57E3">
            <w:pPr>
              <w:pStyle w:val="Tabletext"/>
            </w:pPr>
            <w:r w:rsidRPr="000E57E3">
              <w:t> </w:t>
            </w:r>
          </w:p>
        </w:tc>
        <w:tc>
          <w:tcPr>
            <w:tcW w:w="0" w:type="auto"/>
            <w:vAlign w:val="bottom"/>
          </w:tcPr>
          <w:p w14:paraId="47B81998" w14:textId="2DEECAFC" w:rsidR="008A6844" w:rsidRPr="000E57E3" w:rsidRDefault="008A6844" w:rsidP="000E57E3">
            <w:pPr>
              <w:pStyle w:val="Tabletext"/>
            </w:pPr>
            <w:r w:rsidRPr="000E57E3">
              <w:t> </w:t>
            </w:r>
          </w:p>
        </w:tc>
        <w:tc>
          <w:tcPr>
            <w:tcW w:w="0" w:type="auto"/>
            <w:vAlign w:val="bottom"/>
          </w:tcPr>
          <w:p w14:paraId="7CBABBF9" w14:textId="3CEDF87E" w:rsidR="008A6844" w:rsidRPr="000E57E3" w:rsidRDefault="008A6844" w:rsidP="000E57E3">
            <w:pPr>
              <w:pStyle w:val="Tabletext"/>
            </w:pPr>
            <w:r w:rsidRPr="000E57E3">
              <w:t> </w:t>
            </w:r>
          </w:p>
        </w:tc>
        <w:tc>
          <w:tcPr>
            <w:tcW w:w="0" w:type="auto"/>
            <w:vAlign w:val="bottom"/>
          </w:tcPr>
          <w:p w14:paraId="22CA44E8" w14:textId="1062D68A" w:rsidR="008A6844" w:rsidRPr="000E57E3" w:rsidRDefault="008A6844" w:rsidP="000E57E3">
            <w:pPr>
              <w:pStyle w:val="Tabletext"/>
            </w:pPr>
            <w:r w:rsidRPr="000E57E3">
              <w:t> </w:t>
            </w:r>
          </w:p>
        </w:tc>
        <w:tc>
          <w:tcPr>
            <w:tcW w:w="0" w:type="auto"/>
            <w:vAlign w:val="bottom"/>
          </w:tcPr>
          <w:p w14:paraId="44C23F17" w14:textId="3ACD1AAA" w:rsidR="008A6844" w:rsidRPr="000E57E3" w:rsidRDefault="008A6844" w:rsidP="000E57E3">
            <w:pPr>
              <w:pStyle w:val="Tabletext"/>
            </w:pPr>
            <w:r w:rsidRPr="000E57E3">
              <w:t>Exemplar</w:t>
            </w:r>
          </w:p>
        </w:tc>
      </w:tr>
      <w:tr w:rsidR="00776CCE" w:rsidRPr="008A6844" w14:paraId="0C0D30D7" w14:textId="77777777" w:rsidTr="00CA44B7">
        <w:tc>
          <w:tcPr>
            <w:tcW w:w="0" w:type="auto"/>
            <w:vAlign w:val="bottom"/>
          </w:tcPr>
          <w:p w14:paraId="799C2F9C" w14:textId="71174E51" w:rsidR="008A6844" w:rsidRPr="000E57E3" w:rsidRDefault="008A6844" w:rsidP="000E57E3">
            <w:pPr>
              <w:pStyle w:val="Tabletext"/>
            </w:pPr>
            <w:r w:rsidRPr="000E57E3">
              <w:t>RPS26</w:t>
            </w:r>
          </w:p>
        </w:tc>
        <w:tc>
          <w:tcPr>
            <w:tcW w:w="0" w:type="auto"/>
            <w:vAlign w:val="bottom"/>
          </w:tcPr>
          <w:p w14:paraId="77DB5C0B" w14:textId="26246BB1" w:rsidR="008A6844" w:rsidRPr="000E57E3" w:rsidRDefault="008A6844" w:rsidP="000E57E3">
            <w:pPr>
              <w:pStyle w:val="Tabletext"/>
            </w:pPr>
            <w:r w:rsidRPr="000E57E3">
              <w:t>Y</w:t>
            </w:r>
          </w:p>
        </w:tc>
        <w:tc>
          <w:tcPr>
            <w:tcW w:w="0" w:type="auto"/>
            <w:vAlign w:val="bottom"/>
          </w:tcPr>
          <w:p w14:paraId="35671340" w14:textId="5E443F4A" w:rsidR="008A6844" w:rsidRPr="000E57E3" w:rsidRDefault="008A6844" w:rsidP="000E57E3">
            <w:pPr>
              <w:pStyle w:val="Tabletext"/>
            </w:pPr>
            <w:r w:rsidRPr="000E57E3">
              <w:t> </w:t>
            </w:r>
          </w:p>
        </w:tc>
        <w:tc>
          <w:tcPr>
            <w:tcW w:w="0" w:type="auto"/>
            <w:vAlign w:val="bottom"/>
          </w:tcPr>
          <w:p w14:paraId="4E5A3E77" w14:textId="7B3CD97D" w:rsidR="008A6844" w:rsidRPr="000E57E3" w:rsidRDefault="008A6844" w:rsidP="000E57E3">
            <w:pPr>
              <w:pStyle w:val="Tabletext"/>
            </w:pPr>
            <w:r w:rsidRPr="000E57E3">
              <w:t> </w:t>
            </w:r>
          </w:p>
        </w:tc>
        <w:tc>
          <w:tcPr>
            <w:tcW w:w="0" w:type="auto"/>
            <w:vAlign w:val="bottom"/>
          </w:tcPr>
          <w:p w14:paraId="771B2841" w14:textId="687087EB" w:rsidR="008A6844" w:rsidRPr="000E57E3" w:rsidRDefault="008A6844" w:rsidP="000E57E3">
            <w:pPr>
              <w:pStyle w:val="Tabletext"/>
            </w:pPr>
            <w:r w:rsidRPr="000E57E3">
              <w:t> </w:t>
            </w:r>
          </w:p>
        </w:tc>
        <w:tc>
          <w:tcPr>
            <w:tcW w:w="0" w:type="auto"/>
            <w:vAlign w:val="bottom"/>
          </w:tcPr>
          <w:p w14:paraId="67E43B53" w14:textId="401B37C9" w:rsidR="008A6844" w:rsidRPr="000E57E3" w:rsidRDefault="008A6844" w:rsidP="000E57E3">
            <w:pPr>
              <w:pStyle w:val="Tabletext"/>
            </w:pPr>
            <w:r w:rsidRPr="000E57E3">
              <w:t> </w:t>
            </w:r>
          </w:p>
        </w:tc>
        <w:tc>
          <w:tcPr>
            <w:tcW w:w="0" w:type="auto"/>
            <w:vAlign w:val="bottom"/>
          </w:tcPr>
          <w:p w14:paraId="39C4C6C7" w14:textId="6F37E5B2" w:rsidR="008A6844" w:rsidRPr="000E57E3" w:rsidRDefault="008A6844" w:rsidP="000E57E3">
            <w:pPr>
              <w:pStyle w:val="Tabletext"/>
            </w:pPr>
            <w:r w:rsidRPr="000E57E3">
              <w:t>Y</w:t>
            </w:r>
          </w:p>
        </w:tc>
        <w:tc>
          <w:tcPr>
            <w:tcW w:w="0" w:type="auto"/>
            <w:vAlign w:val="bottom"/>
          </w:tcPr>
          <w:p w14:paraId="4D0AA226" w14:textId="4E73C909" w:rsidR="008A6844" w:rsidRPr="000E57E3" w:rsidRDefault="008A6844" w:rsidP="000E57E3">
            <w:pPr>
              <w:pStyle w:val="Tabletext"/>
            </w:pPr>
            <w:r w:rsidRPr="000E57E3">
              <w:t> </w:t>
            </w:r>
          </w:p>
        </w:tc>
        <w:tc>
          <w:tcPr>
            <w:tcW w:w="0" w:type="auto"/>
            <w:vAlign w:val="bottom"/>
          </w:tcPr>
          <w:p w14:paraId="2BFB6E30" w14:textId="4AF44359" w:rsidR="008A6844" w:rsidRPr="000E57E3" w:rsidRDefault="008A6844" w:rsidP="000E57E3">
            <w:pPr>
              <w:pStyle w:val="Tabletext"/>
            </w:pPr>
            <w:r w:rsidRPr="000E57E3">
              <w:t> </w:t>
            </w:r>
          </w:p>
        </w:tc>
        <w:tc>
          <w:tcPr>
            <w:tcW w:w="0" w:type="auto"/>
            <w:vAlign w:val="bottom"/>
          </w:tcPr>
          <w:p w14:paraId="67BEEDDE" w14:textId="17C88873" w:rsidR="008A6844" w:rsidRPr="000E57E3" w:rsidRDefault="008A6844" w:rsidP="000E57E3">
            <w:pPr>
              <w:pStyle w:val="Tabletext"/>
            </w:pPr>
            <w:r w:rsidRPr="000E57E3">
              <w:t> </w:t>
            </w:r>
          </w:p>
        </w:tc>
        <w:tc>
          <w:tcPr>
            <w:tcW w:w="0" w:type="auto"/>
            <w:vAlign w:val="bottom"/>
          </w:tcPr>
          <w:p w14:paraId="22B853F6" w14:textId="03275276" w:rsidR="008A6844" w:rsidRPr="000E57E3" w:rsidRDefault="008A6844" w:rsidP="000E57E3">
            <w:pPr>
              <w:pStyle w:val="Tabletext"/>
            </w:pPr>
            <w:r w:rsidRPr="000E57E3">
              <w:t> </w:t>
            </w:r>
          </w:p>
        </w:tc>
        <w:tc>
          <w:tcPr>
            <w:tcW w:w="0" w:type="auto"/>
            <w:vAlign w:val="bottom"/>
          </w:tcPr>
          <w:p w14:paraId="1479D6F1" w14:textId="16933291" w:rsidR="008A6844" w:rsidRPr="000E57E3" w:rsidRDefault="008A6844" w:rsidP="000E57E3">
            <w:pPr>
              <w:pStyle w:val="Tabletext"/>
            </w:pPr>
            <w:r w:rsidRPr="000E57E3">
              <w:t> </w:t>
            </w:r>
          </w:p>
        </w:tc>
        <w:tc>
          <w:tcPr>
            <w:tcW w:w="0" w:type="auto"/>
            <w:vAlign w:val="bottom"/>
          </w:tcPr>
          <w:p w14:paraId="21379579" w14:textId="280792E9" w:rsidR="008A6844" w:rsidRPr="000E57E3" w:rsidRDefault="008A6844" w:rsidP="000E57E3">
            <w:pPr>
              <w:pStyle w:val="Tabletext"/>
            </w:pPr>
            <w:r w:rsidRPr="000E57E3">
              <w:t>Exemplar</w:t>
            </w:r>
          </w:p>
        </w:tc>
      </w:tr>
      <w:tr w:rsidR="00776CCE" w:rsidRPr="008A6844" w14:paraId="5D451B28" w14:textId="77777777" w:rsidTr="00CA44B7">
        <w:tc>
          <w:tcPr>
            <w:tcW w:w="0" w:type="auto"/>
            <w:vAlign w:val="bottom"/>
          </w:tcPr>
          <w:p w14:paraId="2A9B58A3" w14:textId="3F2FBB14" w:rsidR="008A6844" w:rsidRPr="000E57E3" w:rsidRDefault="008A6844" w:rsidP="000E57E3">
            <w:pPr>
              <w:pStyle w:val="Tabletext"/>
            </w:pPr>
            <w:r w:rsidRPr="000E57E3">
              <w:t>RPS7</w:t>
            </w:r>
          </w:p>
        </w:tc>
        <w:tc>
          <w:tcPr>
            <w:tcW w:w="0" w:type="auto"/>
            <w:vAlign w:val="bottom"/>
          </w:tcPr>
          <w:p w14:paraId="24A420DC" w14:textId="2528B72C" w:rsidR="008A6844" w:rsidRPr="000E57E3" w:rsidRDefault="008A6844" w:rsidP="000E57E3">
            <w:pPr>
              <w:pStyle w:val="Tabletext"/>
            </w:pPr>
            <w:r w:rsidRPr="000E57E3">
              <w:t>Y</w:t>
            </w:r>
          </w:p>
        </w:tc>
        <w:tc>
          <w:tcPr>
            <w:tcW w:w="0" w:type="auto"/>
            <w:vAlign w:val="bottom"/>
          </w:tcPr>
          <w:p w14:paraId="478D61E0" w14:textId="2607E2B6" w:rsidR="008A6844" w:rsidRPr="000E57E3" w:rsidRDefault="008A6844" w:rsidP="000E57E3">
            <w:pPr>
              <w:pStyle w:val="Tabletext"/>
            </w:pPr>
            <w:r w:rsidRPr="000E57E3">
              <w:t> </w:t>
            </w:r>
          </w:p>
        </w:tc>
        <w:tc>
          <w:tcPr>
            <w:tcW w:w="0" w:type="auto"/>
            <w:vAlign w:val="bottom"/>
          </w:tcPr>
          <w:p w14:paraId="15F0B2EF" w14:textId="17911DC9" w:rsidR="008A6844" w:rsidRPr="000E57E3" w:rsidRDefault="008A6844" w:rsidP="000E57E3">
            <w:pPr>
              <w:pStyle w:val="Tabletext"/>
            </w:pPr>
            <w:r w:rsidRPr="000E57E3">
              <w:t> </w:t>
            </w:r>
          </w:p>
        </w:tc>
        <w:tc>
          <w:tcPr>
            <w:tcW w:w="0" w:type="auto"/>
            <w:vAlign w:val="bottom"/>
          </w:tcPr>
          <w:p w14:paraId="4E0D2528" w14:textId="35306E4E" w:rsidR="008A6844" w:rsidRPr="000E57E3" w:rsidRDefault="008A6844" w:rsidP="000E57E3">
            <w:pPr>
              <w:pStyle w:val="Tabletext"/>
            </w:pPr>
            <w:r w:rsidRPr="000E57E3">
              <w:t> </w:t>
            </w:r>
          </w:p>
        </w:tc>
        <w:tc>
          <w:tcPr>
            <w:tcW w:w="0" w:type="auto"/>
            <w:vAlign w:val="bottom"/>
          </w:tcPr>
          <w:p w14:paraId="6957616C" w14:textId="1E04685A" w:rsidR="008A6844" w:rsidRPr="000E57E3" w:rsidRDefault="008A6844" w:rsidP="000E57E3">
            <w:pPr>
              <w:pStyle w:val="Tabletext"/>
            </w:pPr>
            <w:r w:rsidRPr="000E57E3">
              <w:t> </w:t>
            </w:r>
          </w:p>
        </w:tc>
        <w:tc>
          <w:tcPr>
            <w:tcW w:w="0" w:type="auto"/>
            <w:vAlign w:val="bottom"/>
          </w:tcPr>
          <w:p w14:paraId="584149AB" w14:textId="2A23F926" w:rsidR="008A6844" w:rsidRPr="000E57E3" w:rsidRDefault="008A6844" w:rsidP="000E57E3">
            <w:pPr>
              <w:pStyle w:val="Tabletext"/>
            </w:pPr>
            <w:r w:rsidRPr="000E57E3">
              <w:t>Y</w:t>
            </w:r>
          </w:p>
        </w:tc>
        <w:tc>
          <w:tcPr>
            <w:tcW w:w="0" w:type="auto"/>
            <w:vAlign w:val="bottom"/>
          </w:tcPr>
          <w:p w14:paraId="5BB4125D" w14:textId="4119DFFA" w:rsidR="008A6844" w:rsidRPr="000E57E3" w:rsidRDefault="008A6844" w:rsidP="000E57E3">
            <w:pPr>
              <w:pStyle w:val="Tabletext"/>
            </w:pPr>
            <w:r w:rsidRPr="000E57E3">
              <w:t> </w:t>
            </w:r>
          </w:p>
        </w:tc>
        <w:tc>
          <w:tcPr>
            <w:tcW w:w="0" w:type="auto"/>
            <w:vAlign w:val="bottom"/>
          </w:tcPr>
          <w:p w14:paraId="2631738C" w14:textId="18B24401" w:rsidR="008A6844" w:rsidRPr="000E57E3" w:rsidRDefault="008A6844" w:rsidP="000E57E3">
            <w:pPr>
              <w:pStyle w:val="Tabletext"/>
            </w:pPr>
            <w:r w:rsidRPr="000E57E3">
              <w:t> </w:t>
            </w:r>
          </w:p>
        </w:tc>
        <w:tc>
          <w:tcPr>
            <w:tcW w:w="0" w:type="auto"/>
            <w:vAlign w:val="bottom"/>
          </w:tcPr>
          <w:p w14:paraId="522A7BB4" w14:textId="09E78719" w:rsidR="008A6844" w:rsidRPr="000E57E3" w:rsidRDefault="008A6844" w:rsidP="000E57E3">
            <w:pPr>
              <w:pStyle w:val="Tabletext"/>
            </w:pPr>
            <w:r w:rsidRPr="000E57E3">
              <w:t> </w:t>
            </w:r>
          </w:p>
        </w:tc>
        <w:tc>
          <w:tcPr>
            <w:tcW w:w="0" w:type="auto"/>
            <w:vAlign w:val="bottom"/>
          </w:tcPr>
          <w:p w14:paraId="42D88AEC" w14:textId="12368E6B" w:rsidR="008A6844" w:rsidRPr="000E57E3" w:rsidRDefault="008A6844" w:rsidP="000E57E3">
            <w:pPr>
              <w:pStyle w:val="Tabletext"/>
            </w:pPr>
            <w:r w:rsidRPr="000E57E3">
              <w:t> </w:t>
            </w:r>
          </w:p>
        </w:tc>
        <w:tc>
          <w:tcPr>
            <w:tcW w:w="0" w:type="auto"/>
            <w:vAlign w:val="bottom"/>
          </w:tcPr>
          <w:p w14:paraId="0856541B" w14:textId="52026B86" w:rsidR="008A6844" w:rsidRPr="000E57E3" w:rsidRDefault="008A6844" w:rsidP="000E57E3">
            <w:pPr>
              <w:pStyle w:val="Tabletext"/>
            </w:pPr>
            <w:r w:rsidRPr="000E57E3">
              <w:t> </w:t>
            </w:r>
          </w:p>
        </w:tc>
        <w:tc>
          <w:tcPr>
            <w:tcW w:w="0" w:type="auto"/>
            <w:vAlign w:val="bottom"/>
          </w:tcPr>
          <w:p w14:paraId="72E55783" w14:textId="41E3C68D" w:rsidR="008A6844" w:rsidRPr="000E57E3" w:rsidRDefault="008A6844" w:rsidP="000E57E3">
            <w:pPr>
              <w:pStyle w:val="Tabletext"/>
            </w:pPr>
            <w:r w:rsidRPr="000E57E3">
              <w:t>Exemplar</w:t>
            </w:r>
          </w:p>
        </w:tc>
      </w:tr>
      <w:tr w:rsidR="00776CCE" w:rsidRPr="008A6844" w14:paraId="79E4DD30" w14:textId="77777777" w:rsidTr="00CA44B7">
        <w:tc>
          <w:tcPr>
            <w:tcW w:w="0" w:type="auto"/>
            <w:vAlign w:val="bottom"/>
          </w:tcPr>
          <w:p w14:paraId="6729AEBD" w14:textId="5C0664AF" w:rsidR="008A6844" w:rsidRPr="000E57E3" w:rsidRDefault="008A6844" w:rsidP="000E57E3">
            <w:pPr>
              <w:pStyle w:val="Tabletext"/>
            </w:pPr>
            <w:r w:rsidRPr="000E57E3">
              <w:t>RTEL1</w:t>
            </w:r>
          </w:p>
        </w:tc>
        <w:tc>
          <w:tcPr>
            <w:tcW w:w="0" w:type="auto"/>
            <w:vAlign w:val="bottom"/>
          </w:tcPr>
          <w:p w14:paraId="45217648" w14:textId="7C517D4A" w:rsidR="008A6844" w:rsidRPr="000E57E3" w:rsidRDefault="008A6844" w:rsidP="000E57E3">
            <w:pPr>
              <w:pStyle w:val="Tabletext"/>
            </w:pPr>
            <w:r w:rsidRPr="000E57E3">
              <w:t>Y</w:t>
            </w:r>
          </w:p>
        </w:tc>
        <w:tc>
          <w:tcPr>
            <w:tcW w:w="0" w:type="auto"/>
            <w:vAlign w:val="bottom"/>
          </w:tcPr>
          <w:p w14:paraId="2FC37808" w14:textId="5D40796A" w:rsidR="008A6844" w:rsidRPr="000E57E3" w:rsidRDefault="008A6844" w:rsidP="000E57E3">
            <w:pPr>
              <w:pStyle w:val="Tabletext"/>
            </w:pPr>
            <w:r w:rsidRPr="000E57E3">
              <w:t> </w:t>
            </w:r>
          </w:p>
        </w:tc>
        <w:tc>
          <w:tcPr>
            <w:tcW w:w="0" w:type="auto"/>
            <w:vAlign w:val="bottom"/>
          </w:tcPr>
          <w:p w14:paraId="78E09681" w14:textId="0D7EC954" w:rsidR="008A6844" w:rsidRPr="000E57E3" w:rsidRDefault="008A6844" w:rsidP="000E57E3">
            <w:pPr>
              <w:pStyle w:val="Tabletext"/>
            </w:pPr>
            <w:r w:rsidRPr="000E57E3">
              <w:t> </w:t>
            </w:r>
          </w:p>
        </w:tc>
        <w:tc>
          <w:tcPr>
            <w:tcW w:w="0" w:type="auto"/>
            <w:vAlign w:val="bottom"/>
          </w:tcPr>
          <w:p w14:paraId="5AFADDA1" w14:textId="53FE4B9E" w:rsidR="008A6844" w:rsidRPr="000E57E3" w:rsidRDefault="008A6844" w:rsidP="000E57E3">
            <w:pPr>
              <w:pStyle w:val="Tabletext"/>
            </w:pPr>
            <w:r w:rsidRPr="000E57E3">
              <w:t> </w:t>
            </w:r>
          </w:p>
        </w:tc>
        <w:tc>
          <w:tcPr>
            <w:tcW w:w="0" w:type="auto"/>
            <w:vAlign w:val="bottom"/>
          </w:tcPr>
          <w:p w14:paraId="6515529C" w14:textId="5DA7DDC3" w:rsidR="008A6844" w:rsidRPr="000E57E3" w:rsidRDefault="008A6844" w:rsidP="000E57E3">
            <w:pPr>
              <w:pStyle w:val="Tabletext"/>
            </w:pPr>
            <w:r w:rsidRPr="000E57E3">
              <w:t> </w:t>
            </w:r>
          </w:p>
        </w:tc>
        <w:tc>
          <w:tcPr>
            <w:tcW w:w="0" w:type="auto"/>
            <w:vAlign w:val="bottom"/>
          </w:tcPr>
          <w:p w14:paraId="7E0F24CD" w14:textId="0BF37B3A" w:rsidR="008A6844" w:rsidRPr="000E57E3" w:rsidRDefault="008A6844" w:rsidP="000E57E3">
            <w:pPr>
              <w:pStyle w:val="Tabletext"/>
            </w:pPr>
            <w:r w:rsidRPr="000E57E3">
              <w:t>Y</w:t>
            </w:r>
          </w:p>
        </w:tc>
        <w:tc>
          <w:tcPr>
            <w:tcW w:w="0" w:type="auto"/>
            <w:vAlign w:val="bottom"/>
          </w:tcPr>
          <w:p w14:paraId="2603CF86" w14:textId="16CB1D70" w:rsidR="008A6844" w:rsidRPr="000E57E3" w:rsidRDefault="008A6844" w:rsidP="000E57E3">
            <w:pPr>
              <w:pStyle w:val="Tabletext"/>
            </w:pPr>
            <w:r w:rsidRPr="000E57E3">
              <w:t> </w:t>
            </w:r>
          </w:p>
        </w:tc>
        <w:tc>
          <w:tcPr>
            <w:tcW w:w="0" w:type="auto"/>
            <w:vAlign w:val="bottom"/>
          </w:tcPr>
          <w:p w14:paraId="7B3D15AD" w14:textId="09352277" w:rsidR="008A6844" w:rsidRPr="000E57E3" w:rsidRDefault="008A6844" w:rsidP="000E57E3">
            <w:pPr>
              <w:pStyle w:val="Tabletext"/>
            </w:pPr>
            <w:r w:rsidRPr="000E57E3">
              <w:t> </w:t>
            </w:r>
          </w:p>
        </w:tc>
        <w:tc>
          <w:tcPr>
            <w:tcW w:w="0" w:type="auto"/>
            <w:vAlign w:val="bottom"/>
          </w:tcPr>
          <w:p w14:paraId="7175916B" w14:textId="5677DB5D" w:rsidR="008A6844" w:rsidRPr="000E57E3" w:rsidRDefault="008A6844" w:rsidP="000E57E3">
            <w:pPr>
              <w:pStyle w:val="Tabletext"/>
            </w:pPr>
            <w:r w:rsidRPr="000E57E3">
              <w:t> </w:t>
            </w:r>
          </w:p>
        </w:tc>
        <w:tc>
          <w:tcPr>
            <w:tcW w:w="0" w:type="auto"/>
            <w:vAlign w:val="bottom"/>
          </w:tcPr>
          <w:p w14:paraId="4658B493" w14:textId="4F275819" w:rsidR="008A6844" w:rsidRPr="000E57E3" w:rsidRDefault="008A6844" w:rsidP="000E57E3">
            <w:pPr>
              <w:pStyle w:val="Tabletext"/>
            </w:pPr>
            <w:r w:rsidRPr="000E57E3">
              <w:t> </w:t>
            </w:r>
          </w:p>
        </w:tc>
        <w:tc>
          <w:tcPr>
            <w:tcW w:w="0" w:type="auto"/>
            <w:vAlign w:val="bottom"/>
          </w:tcPr>
          <w:p w14:paraId="54144B3C" w14:textId="336BA4B4" w:rsidR="008A6844" w:rsidRPr="000E57E3" w:rsidRDefault="008A6844" w:rsidP="000E57E3">
            <w:pPr>
              <w:pStyle w:val="Tabletext"/>
            </w:pPr>
            <w:r w:rsidRPr="000E57E3">
              <w:t> </w:t>
            </w:r>
          </w:p>
        </w:tc>
        <w:tc>
          <w:tcPr>
            <w:tcW w:w="0" w:type="auto"/>
            <w:vAlign w:val="bottom"/>
          </w:tcPr>
          <w:p w14:paraId="299722DA" w14:textId="439A5D44" w:rsidR="008A6844" w:rsidRPr="000E57E3" w:rsidRDefault="008A6844" w:rsidP="000E57E3">
            <w:pPr>
              <w:pStyle w:val="Tabletext"/>
            </w:pPr>
            <w:r w:rsidRPr="000E57E3">
              <w:t>Exemplar</w:t>
            </w:r>
          </w:p>
        </w:tc>
      </w:tr>
      <w:tr w:rsidR="00776CCE" w:rsidRPr="008A6844" w14:paraId="51432C6F" w14:textId="77777777" w:rsidTr="00CA44B7">
        <w:tc>
          <w:tcPr>
            <w:tcW w:w="0" w:type="auto"/>
            <w:vAlign w:val="bottom"/>
          </w:tcPr>
          <w:p w14:paraId="0E5A0583" w14:textId="190C6D87" w:rsidR="008A6844" w:rsidRPr="000E57E3" w:rsidRDefault="008A6844" w:rsidP="000E57E3">
            <w:pPr>
              <w:pStyle w:val="Tabletext"/>
            </w:pPr>
            <w:r w:rsidRPr="000E57E3">
              <w:t>RUNX1</w:t>
            </w:r>
          </w:p>
        </w:tc>
        <w:tc>
          <w:tcPr>
            <w:tcW w:w="0" w:type="auto"/>
            <w:vAlign w:val="bottom"/>
          </w:tcPr>
          <w:p w14:paraId="2E9223AB" w14:textId="0CD2874C" w:rsidR="008A6844" w:rsidRPr="000E57E3" w:rsidRDefault="008A6844" w:rsidP="000E57E3">
            <w:pPr>
              <w:pStyle w:val="Tabletext"/>
            </w:pPr>
            <w:r w:rsidRPr="000E57E3">
              <w:t>Y</w:t>
            </w:r>
          </w:p>
        </w:tc>
        <w:tc>
          <w:tcPr>
            <w:tcW w:w="0" w:type="auto"/>
            <w:vAlign w:val="bottom"/>
          </w:tcPr>
          <w:p w14:paraId="376F2FFD" w14:textId="039D2B61" w:rsidR="008A6844" w:rsidRPr="000E57E3" w:rsidRDefault="008A6844" w:rsidP="000E57E3">
            <w:pPr>
              <w:pStyle w:val="Tabletext"/>
            </w:pPr>
            <w:r w:rsidRPr="000E57E3">
              <w:t> </w:t>
            </w:r>
          </w:p>
        </w:tc>
        <w:tc>
          <w:tcPr>
            <w:tcW w:w="0" w:type="auto"/>
            <w:vAlign w:val="bottom"/>
          </w:tcPr>
          <w:p w14:paraId="3F90C0B8" w14:textId="3F95E7A1" w:rsidR="008A6844" w:rsidRPr="000E57E3" w:rsidRDefault="008A6844" w:rsidP="000E57E3">
            <w:pPr>
              <w:pStyle w:val="Tabletext"/>
            </w:pPr>
            <w:r w:rsidRPr="000E57E3">
              <w:t>Y</w:t>
            </w:r>
          </w:p>
        </w:tc>
        <w:tc>
          <w:tcPr>
            <w:tcW w:w="0" w:type="auto"/>
            <w:vAlign w:val="bottom"/>
          </w:tcPr>
          <w:p w14:paraId="2F3E3B72" w14:textId="74E3D896" w:rsidR="008A6844" w:rsidRPr="000E57E3" w:rsidRDefault="008A6844" w:rsidP="000E57E3">
            <w:pPr>
              <w:pStyle w:val="Tabletext"/>
            </w:pPr>
            <w:r w:rsidRPr="000E57E3">
              <w:t> </w:t>
            </w:r>
          </w:p>
        </w:tc>
        <w:tc>
          <w:tcPr>
            <w:tcW w:w="0" w:type="auto"/>
            <w:vAlign w:val="bottom"/>
          </w:tcPr>
          <w:p w14:paraId="017B4DC6" w14:textId="63F8EF2C" w:rsidR="008A6844" w:rsidRPr="000E57E3" w:rsidRDefault="008A6844" w:rsidP="000E57E3">
            <w:pPr>
              <w:pStyle w:val="Tabletext"/>
            </w:pPr>
            <w:r w:rsidRPr="000E57E3">
              <w:t>Y</w:t>
            </w:r>
          </w:p>
        </w:tc>
        <w:tc>
          <w:tcPr>
            <w:tcW w:w="0" w:type="auto"/>
            <w:vAlign w:val="bottom"/>
          </w:tcPr>
          <w:p w14:paraId="726351BC" w14:textId="5FFC4E6A" w:rsidR="008A6844" w:rsidRPr="000E57E3" w:rsidRDefault="008A6844" w:rsidP="000E57E3">
            <w:pPr>
              <w:pStyle w:val="Tabletext"/>
            </w:pPr>
            <w:r w:rsidRPr="000E57E3">
              <w:t>Y</w:t>
            </w:r>
          </w:p>
        </w:tc>
        <w:tc>
          <w:tcPr>
            <w:tcW w:w="0" w:type="auto"/>
            <w:vAlign w:val="bottom"/>
          </w:tcPr>
          <w:p w14:paraId="67438AF6" w14:textId="6D5913C5" w:rsidR="008A6844" w:rsidRPr="000E57E3" w:rsidRDefault="008A6844" w:rsidP="000E57E3">
            <w:pPr>
              <w:pStyle w:val="Tabletext"/>
            </w:pPr>
            <w:r w:rsidRPr="000E57E3">
              <w:t>Y</w:t>
            </w:r>
          </w:p>
        </w:tc>
        <w:tc>
          <w:tcPr>
            <w:tcW w:w="0" w:type="auto"/>
            <w:vAlign w:val="bottom"/>
          </w:tcPr>
          <w:p w14:paraId="2536F9E0" w14:textId="0D584F8D" w:rsidR="008A6844" w:rsidRPr="000E57E3" w:rsidRDefault="008A6844" w:rsidP="000E57E3">
            <w:pPr>
              <w:pStyle w:val="Tabletext"/>
            </w:pPr>
            <w:r w:rsidRPr="000E57E3">
              <w:t> </w:t>
            </w:r>
          </w:p>
        </w:tc>
        <w:tc>
          <w:tcPr>
            <w:tcW w:w="0" w:type="auto"/>
            <w:vAlign w:val="bottom"/>
          </w:tcPr>
          <w:p w14:paraId="491CDF8A" w14:textId="0FF085C1" w:rsidR="008A6844" w:rsidRPr="000E57E3" w:rsidRDefault="008A6844" w:rsidP="000E57E3">
            <w:pPr>
              <w:pStyle w:val="Tabletext"/>
            </w:pPr>
            <w:r w:rsidRPr="000E57E3">
              <w:t>Y</w:t>
            </w:r>
          </w:p>
        </w:tc>
        <w:tc>
          <w:tcPr>
            <w:tcW w:w="0" w:type="auto"/>
            <w:vAlign w:val="bottom"/>
          </w:tcPr>
          <w:p w14:paraId="73B890D0" w14:textId="1947F310" w:rsidR="008A6844" w:rsidRPr="000E57E3" w:rsidRDefault="008A6844" w:rsidP="000E57E3">
            <w:pPr>
              <w:pStyle w:val="Tabletext"/>
            </w:pPr>
            <w:r w:rsidRPr="000E57E3">
              <w:t> </w:t>
            </w:r>
          </w:p>
        </w:tc>
        <w:tc>
          <w:tcPr>
            <w:tcW w:w="0" w:type="auto"/>
            <w:vAlign w:val="bottom"/>
          </w:tcPr>
          <w:p w14:paraId="0A987A0C" w14:textId="78447E42" w:rsidR="008A6844" w:rsidRPr="000E57E3" w:rsidRDefault="008A6844" w:rsidP="000E57E3">
            <w:pPr>
              <w:pStyle w:val="Tabletext"/>
            </w:pPr>
            <w:r w:rsidRPr="000E57E3">
              <w:t>Y</w:t>
            </w:r>
          </w:p>
        </w:tc>
        <w:tc>
          <w:tcPr>
            <w:tcW w:w="0" w:type="auto"/>
            <w:vAlign w:val="bottom"/>
          </w:tcPr>
          <w:p w14:paraId="168EC2DA" w14:textId="76AC94D2" w:rsidR="008A6844" w:rsidRPr="000E57E3" w:rsidRDefault="008A6844" w:rsidP="000E57E3">
            <w:pPr>
              <w:pStyle w:val="Tabletext"/>
            </w:pPr>
            <w:r w:rsidRPr="000E57E3">
              <w:t>Exemplar</w:t>
            </w:r>
          </w:p>
        </w:tc>
      </w:tr>
      <w:tr w:rsidR="00776CCE" w:rsidRPr="008A6844" w14:paraId="0E132565" w14:textId="77777777" w:rsidTr="00CA44B7">
        <w:tc>
          <w:tcPr>
            <w:tcW w:w="0" w:type="auto"/>
            <w:vAlign w:val="bottom"/>
          </w:tcPr>
          <w:p w14:paraId="6CEE7AEF" w14:textId="0F8E53AF" w:rsidR="008A6844" w:rsidRPr="000E57E3" w:rsidRDefault="008A6844" w:rsidP="000E57E3">
            <w:pPr>
              <w:pStyle w:val="Tabletext"/>
            </w:pPr>
            <w:r w:rsidRPr="000E57E3">
              <w:t>RUNX1-RUNX1T1</w:t>
            </w:r>
          </w:p>
        </w:tc>
        <w:tc>
          <w:tcPr>
            <w:tcW w:w="0" w:type="auto"/>
            <w:vAlign w:val="bottom"/>
          </w:tcPr>
          <w:p w14:paraId="13EF21FB" w14:textId="622D18B2" w:rsidR="008A6844" w:rsidRPr="000E57E3" w:rsidRDefault="008A6844" w:rsidP="000E57E3">
            <w:pPr>
              <w:pStyle w:val="Tabletext"/>
            </w:pPr>
            <w:r w:rsidRPr="000E57E3">
              <w:t> </w:t>
            </w:r>
          </w:p>
        </w:tc>
        <w:tc>
          <w:tcPr>
            <w:tcW w:w="0" w:type="auto"/>
            <w:vAlign w:val="bottom"/>
          </w:tcPr>
          <w:p w14:paraId="57F75719" w14:textId="77194060" w:rsidR="008A6844" w:rsidRPr="000E57E3" w:rsidRDefault="008A6844" w:rsidP="000E57E3">
            <w:pPr>
              <w:pStyle w:val="Tabletext"/>
            </w:pPr>
            <w:r w:rsidRPr="000E57E3">
              <w:t>Y</w:t>
            </w:r>
          </w:p>
        </w:tc>
        <w:tc>
          <w:tcPr>
            <w:tcW w:w="0" w:type="auto"/>
            <w:vAlign w:val="bottom"/>
          </w:tcPr>
          <w:p w14:paraId="46D54DC5" w14:textId="1EC7894E" w:rsidR="008A6844" w:rsidRPr="000E57E3" w:rsidRDefault="008A6844" w:rsidP="000E57E3">
            <w:pPr>
              <w:pStyle w:val="Tabletext"/>
            </w:pPr>
            <w:r w:rsidRPr="000E57E3">
              <w:t> </w:t>
            </w:r>
          </w:p>
        </w:tc>
        <w:tc>
          <w:tcPr>
            <w:tcW w:w="0" w:type="auto"/>
            <w:vAlign w:val="bottom"/>
          </w:tcPr>
          <w:p w14:paraId="001569CB" w14:textId="67EB3480" w:rsidR="008A6844" w:rsidRPr="000E57E3" w:rsidRDefault="008A6844" w:rsidP="000E57E3">
            <w:pPr>
              <w:pStyle w:val="Tabletext"/>
            </w:pPr>
            <w:r w:rsidRPr="000E57E3">
              <w:t> </w:t>
            </w:r>
          </w:p>
        </w:tc>
        <w:tc>
          <w:tcPr>
            <w:tcW w:w="0" w:type="auto"/>
            <w:vAlign w:val="bottom"/>
          </w:tcPr>
          <w:p w14:paraId="50884173" w14:textId="4549F10F" w:rsidR="008A6844" w:rsidRPr="000E57E3" w:rsidRDefault="008A6844" w:rsidP="000E57E3">
            <w:pPr>
              <w:pStyle w:val="Tabletext"/>
            </w:pPr>
            <w:r w:rsidRPr="000E57E3">
              <w:t> </w:t>
            </w:r>
          </w:p>
        </w:tc>
        <w:tc>
          <w:tcPr>
            <w:tcW w:w="0" w:type="auto"/>
            <w:vAlign w:val="bottom"/>
          </w:tcPr>
          <w:p w14:paraId="1643B52B" w14:textId="40B1AF21" w:rsidR="008A6844" w:rsidRPr="000E57E3" w:rsidRDefault="008A6844" w:rsidP="000E57E3">
            <w:pPr>
              <w:pStyle w:val="Tabletext"/>
            </w:pPr>
            <w:r w:rsidRPr="000E57E3">
              <w:t> </w:t>
            </w:r>
          </w:p>
        </w:tc>
        <w:tc>
          <w:tcPr>
            <w:tcW w:w="0" w:type="auto"/>
            <w:vAlign w:val="bottom"/>
          </w:tcPr>
          <w:p w14:paraId="3E89F250" w14:textId="7B98674A" w:rsidR="008A6844" w:rsidRPr="000E57E3" w:rsidRDefault="008A6844" w:rsidP="000E57E3">
            <w:pPr>
              <w:pStyle w:val="Tabletext"/>
            </w:pPr>
            <w:r w:rsidRPr="000E57E3">
              <w:t> </w:t>
            </w:r>
          </w:p>
        </w:tc>
        <w:tc>
          <w:tcPr>
            <w:tcW w:w="0" w:type="auto"/>
            <w:vAlign w:val="bottom"/>
          </w:tcPr>
          <w:p w14:paraId="4D21A9AC" w14:textId="20BF8E13" w:rsidR="008A6844" w:rsidRPr="000E57E3" w:rsidRDefault="008A6844" w:rsidP="000E57E3">
            <w:pPr>
              <w:pStyle w:val="Tabletext"/>
            </w:pPr>
            <w:r w:rsidRPr="000E57E3">
              <w:t> </w:t>
            </w:r>
          </w:p>
        </w:tc>
        <w:tc>
          <w:tcPr>
            <w:tcW w:w="0" w:type="auto"/>
            <w:vAlign w:val="bottom"/>
          </w:tcPr>
          <w:p w14:paraId="1F7717AF" w14:textId="6FBA430B" w:rsidR="008A6844" w:rsidRPr="000E57E3" w:rsidRDefault="008A6844" w:rsidP="000E57E3">
            <w:pPr>
              <w:pStyle w:val="Tabletext"/>
            </w:pPr>
            <w:r w:rsidRPr="000E57E3">
              <w:t> </w:t>
            </w:r>
          </w:p>
        </w:tc>
        <w:tc>
          <w:tcPr>
            <w:tcW w:w="0" w:type="auto"/>
            <w:vAlign w:val="bottom"/>
          </w:tcPr>
          <w:p w14:paraId="36D45324" w14:textId="57AAFC86" w:rsidR="008A6844" w:rsidRPr="000E57E3" w:rsidRDefault="008A6844" w:rsidP="000E57E3">
            <w:pPr>
              <w:pStyle w:val="Tabletext"/>
            </w:pPr>
            <w:r w:rsidRPr="000E57E3">
              <w:t> </w:t>
            </w:r>
          </w:p>
        </w:tc>
        <w:tc>
          <w:tcPr>
            <w:tcW w:w="0" w:type="auto"/>
            <w:vAlign w:val="bottom"/>
          </w:tcPr>
          <w:p w14:paraId="0A865942" w14:textId="55A68083" w:rsidR="008A6844" w:rsidRPr="000E57E3" w:rsidRDefault="008A6844" w:rsidP="000E57E3">
            <w:pPr>
              <w:pStyle w:val="Tabletext"/>
            </w:pPr>
            <w:r w:rsidRPr="000E57E3">
              <w:t> </w:t>
            </w:r>
          </w:p>
        </w:tc>
        <w:tc>
          <w:tcPr>
            <w:tcW w:w="0" w:type="auto"/>
            <w:vAlign w:val="bottom"/>
          </w:tcPr>
          <w:p w14:paraId="5F1AEFE6" w14:textId="6F9D07A4" w:rsidR="008A6844" w:rsidRPr="000E57E3" w:rsidRDefault="008A6844" w:rsidP="000E57E3">
            <w:pPr>
              <w:pStyle w:val="Tabletext"/>
            </w:pPr>
            <w:r w:rsidRPr="000E57E3">
              <w:t>Exemplar</w:t>
            </w:r>
          </w:p>
        </w:tc>
      </w:tr>
      <w:tr w:rsidR="00776CCE" w:rsidRPr="008A6844" w14:paraId="31847022" w14:textId="77777777" w:rsidTr="00CA44B7">
        <w:tc>
          <w:tcPr>
            <w:tcW w:w="0" w:type="auto"/>
            <w:vAlign w:val="bottom"/>
          </w:tcPr>
          <w:p w14:paraId="15E0EFE9" w14:textId="40CE86C4" w:rsidR="008A6844" w:rsidRPr="000E57E3" w:rsidRDefault="008A6844" w:rsidP="000E57E3">
            <w:pPr>
              <w:pStyle w:val="Tabletext"/>
            </w:pPr>
            <w:r w:rsidRPr="000E57E3">
              <w:t>SBDS</w:t>
            </w:r>
          </w:p>
        </w:tc>
        <w:tc>
          <w:tcPr>
            <w:tcW w:w="0" w:type="auto"/>
            <w:vAlign w:val="bottom"/>
          </w:tcPr>
          <w:p w14:paraId="71607337" w14:textId="4E14F2CE" w:rsidR="008A6844" w:rsidRPr="000E57E3" w:rsidRDefault="008A6844" w:rsidP="000E57E3">
            <w:pPr>
              <w:pStyle w:val="Tabletext"/>
            </w:pPr>
            <w:r w:rsidRPr="000E57E3">
              <w:t>Y</w:t>
            </w:r>
          </w:p>
        </w:tc>
        <w:tc>
          <w:tcPr>
            <w:tcW w:w="0" w:type="auto"/>
            <w:vAlign w:val="bottom"/>
          </w:tcPr>
          <w:p w14:paraId="1C310051" w14:textId="14B3AE5E" w:rsidR="008A6844" w:rsidRPr="000E57E3" w:rsidRDefault="008A6844" w:rsidP="000E57E3">
            <w:pPr>
              <w:pStyle w:val="Tabletext"/>
            </w:pPr>
            <w:r w:rsidRPr="000E57E3">
              <w:t> </w:t>
            </w:r>
          </w:p>
        </w:tc>
        <w:tc>
          <w:tcPr>
            <w:tcW w:w="0" w:type="auto"/>
            <w:vAlign w:val="bottom"/>
          </w:tcPr>
          <w:p w14:paraId="1EE5D64E" w14:textId="4C350458" w:rsidR="008A6844" w:rsidRPr="000E57E3" w:rsidRDefault="008A6844" w:rsidP="000E57E3">
            <w:pPr>
              <w:pStyle w:val="Tabletext"/>
            </w:pPr>
            <w:r w:rsidRPr="000E57E3">
              <w:t> </w:t>
            </w:r>
          </w:p>
        </w:tc>
        <w:tc>
          <w:tcPr>
            <w:tcW w:w="0" w:type="auto"/>
            <w:vAlign w:val="bottom"/>
          </w:tcPr>
          <w:p w14:paraId="725B2E9F" w14:textId="28F486A7" w:rsidR="008A6844" w:rsidRPr="000E57E3" w:rsidRDefault="008A6844" w:rsidP="000E57E3">
            <w:pPr>
              <w:pStyle w:val="Tabletext"/>
            </w:pPr>
            <w:r w:rsidRPr="000E57E3">
              <w:t> </w:t>
            </w:r>
          </w:p>
        </w:tc>
        <w:tc>
          <w:tcPr>
            <w:tcW w:w="0" w:type="auto"/>
            <w:vAlign w:val="bottom"/>
          </w:tcPr>
          <w:p w14:paraId="2F18841F" w14:textId="47DE709C" w:rsidR="008A6844" w:rsidRPr="000E57E3" w:rsidRDefault="008A6844" w:rsidP="000E57E3">
            <w:pPr>
              <w:pStyle w:val="Tabletext"/>
            </w:pPr>
            <w:r w:rsidRPr="000E57E3">
              <w:t> </w:t>
            </w:r>
          </w:p>
        </w:tc>
        <w:tc>
          <w:tcPr>
            <w:tcW w:w="0" w:type="auto"/>
            <w:vAlign w:val="bottom"/>
          </w:tcPr>
          <w:p w14:paraId="5A916490" w14:textId="3B92F680" w:rsidR="008A6844" w:rsidRPr="000E57E3" w:rsidRDefault="008A6844" w:rsidP="000E57E3">
            <w:pPr>
              <w:pStyle w:val="Tabletext"/>
            </w:pPr>
            <w:r w:rsidRPr="000E57E3">
              <w:t>Y</w:t>
            </w:r>
          </w:p>
        </w:tc>
        <w:tc>
          <w:tcPr>
            <w:tcW w:w="0" w:type="auto"/>
            <w:vAlign w:val="bottom"/>
          </w:tcPr>
          <w:p w14:paraId="16CBD736" w14:textId="10076093" w:rsidR="008A6844" w:rsidRPr="000E57E3" w:rsidRDefault="008A6844" w:rsidP="000E57E3">
            <w:pPr>
              <w:pStyle w:val="Tabletext"/>
            </w:pPr>
            <w:r w:rsidRPr="000E57E3">
              <w:t> </w:t>
            </w:r>
          </w:p>
        </w:tc>
        <w:tc>
          <w:tcPr>
            <w:tcW w:w="0" w:type="auto"/>
            <w:vAlign w:val="bottom"/>
          </w:tcPr>
          <w:p w14:paraId="250BDF80" w14:textId="0610933D" w:rsidR="008A6844" w:rsidRPr="000E57E3" w:rsidRDefault="008A6844" w:rsidP="000E57E3">
            <w:pPr>
              <w:pStyle w:val="Tabletext"/>
            </w:pPr>
            <w:r w:rsidRPr="000E57E3">
              <w:t> </w:t>
            </w:r>
          </w:p>
        </w:tc>
        <w:tc>
          <w:tcPr>
            <w:tcW w:w="0" w:type="auto"/>
            <w:vAlign w:val="bottom"/>
          </w:tcPr>
          <w:p w14:paraId="538A03C5" w14:textId="44ED489A" w:rsidR="008A6844" w:rsidRPr="000E57E3" w:rsidRDefault="008A6844" w:rsidP="000E57E3">
            <w:pPr>
              <w:pStyle w:val="Tabletext"/>
            </w:pPr>
            <w:r w:rsidRPr="000E57E3">
              <w:t> </w:t>
            </w:r>
          </w:p>
        </w:tc>
        <w:tc>
          <w:tcPr>
            <w:tcW w:w="0" w:type="auto"/>
            <w:vAlign w:val="bottom"/>
          </w:tcPr>
          <w:p w14:paraId="70BF8756" w14:textId="5E0713AF" w:rsidR="008A6844" w:rsidRPr="000E57E3" w:rsidRDefault="008A6844" w:rsidP="000E57E3">
            <w:pPr>
              <w:pStyle w:val="Tabletext"/>
            </w:pPr>
            <w:r w:rsidRPr="000E57E3">
              <w:t> </w:t>
            </w:r>
          </w:p>
        </w:tc>
        <w:tc>
          <w:tcPr>
            <w:tcW w:w="0" w:type="auto"/>
            <w:vAlign w:val="bottom"/>
          </w:tcPr>
          <w:p w14:paraId="7EB7E839" w14:textId="508B1550" w:rsidR="008A6844" w:rsidRPr="000E57E3" w:rsidRDefault="008A6844" w:rsidP="000E57E3">
            <w:pPr>
              <w:pStyle w:val="Tabletext"/>
            </w:pPr>
            <w:r w:rsidRPr="000E57E3">
              <w:t> </w:t>
            </w:r>
          </w:p>
        </w:tc>
        <w:tc>
          <w:tcPr>
            <w:tcW w:w="0" w:type="auto"/>
            <w:vAlign w:val="bottom"/>
          </w:tcPr>
          <w:p w14:paraId="7054C7D1" w14:textId="02BD77C1" w:rsidR="008A6844" w:rsidRPr="000E57E3" w:rsidRDefault="008A6844" w:rsidP="000E57E3">
            <w:pPr>
              <w:pStyle w:val="Tabletext"/>
            </w:pPr>
            <w:r w:rsidRPr="000E57E3">
              <w:t>Exemplar</w:t>
            </w:r>
          </w:p>
        </w:tc>
      </w:tr>
      <w:tr w:rsidR="00776CCE" w:rsidRPr="008A6844" w14:paraId="379048E4" w14:textId="77777777" w:rsidTr="00CA44B7">
        <w:tc>
          <w:tcPr>
            <w:tcW w:w="0" w:type="auto"/>
            <w:vAlign w:val="bottom"/>
          </w:tcPr>
          <w:p w14:paraId="759F72A9" w14:textId="35491A50" w:rsidR="008A6844" w:rsidRPr="000E57E3" w:rsidRDefault="008A6844" w:rsidP="000E57E3">
            <w:pPr>
              <w:pStyle w:val="Tabletext"/>
            </w:pPr>
            <w:r w:rsidRPr="000E57E3">
              <w:t>SETBP1</w:t>
            </w:r>
          </w:p>
        </w:tc>
        <w:tc>
          <w:tcPr>
            <w:tcW w:w="0" w:type="auto"/>
            <w:vAlign w:val="bottom"/>
          </w:tcPr>
          <w:p w14:paraId="00FEB728" w14:textId="50832D7A" w:rsidR="008A6844" w:rsidRPr="000E57E3" w:rsidRDefault="008A6844" w:rsidP="000E57E3">
            <w:pPr>
              <w:pStyle w:val="Tabletext"/>
            </w:pPr>
            <w:r w:rsidRPr="000E57E3">
              <w:t>Y</w:t>
            </w:r>
          </w:p>
        </w:tc>
        <w:tc>
          <w:tcPr>
            <w:tcW w:w="0" w:type="auto"/>
            <w:vAlign w:val="bottom"/>
          </w:tcPr>
          <w:p w14:paraId="46C53373" w14:textId="537486EC" w:rsidR="008A6844" w:rsidRPr="000E57E3" w:rsidRDefault="008A6844" w:rsidP="000E57E3">
            <w:pPr>
              <w:pStyle w:val="Tabletext"/>
            </w:pPr>
            <w:r w:rsidRPr="000E57E3">
              <w:t> </w:t>
            </w:r>
          </w:p>
        </w:tc>
        <w:tc>
          <w:tcPr>
            <w:tcW w:w="0" w:type="auto"/>
            <w:vAlign w:val="bottom"/>
          </w:tcPr>
          <w:p w14:paraId="1653AC48" w14:textId="3868F143" w:rsidR="008A6844" w:rsidRPr="000E57E3" w:rsidRDefault="008A6844" w:rsidP="000E57E3">
            <w:pPr>
              <w:pStyle w:val="Tabletext"/>
            </w:pPr>
            <w:r w:rsidRPr="000E57E3">
              <w:t>Y</w:t>
            </w:r>
          </w:p>
        </w:tc>
        <w:tc>
          <w:tcPr>
            <w:tcW w:w="0" w:type="auto"/>
            <w:vAlign w:val="bottom"/>
          </w:tcPr>
          <w:p w14:paraId="2304FB82" w14:textId="2CFC75E7" w:rsidR="008A6844" w:rsidRPr="000E57E3" w:rsidRDefault="008A6844" w:rsidP="000E57E3">
            <w:pPr>
              <w:pStyle w:val="Tabletext"/>
            </w:pPr>
            <w:r w:rsidRPr="000E57E3">
              <w:t> </w:t>
            </w:r>
          </w:p>
        </w:tc>
        <w:tc>
          <w:tcPr>
            <w:tcW w:w="0" w:type="auto"/>
            <w:vAlign w:val="bottom"/>
          </w:tcPr>
          <w:p w14:paraId="11316A4B" w14:textId="6C43DB3C" w:rsidR="008A6844" w:rsidRPr="000E57E3" w:rsidRDefault="008A6844" w:rsidP="000E57E3">
            <w:pPr>
              <w:pStyle w:val="Tabletext"/>
            </w:pPr>
            <w:r w:rsidRPr="000E57E3">
              <w:t>Y</w:t>
            </w:r>
          </w:p>
        </w:tc>
        <w:tc>
          <w:tcPr>
            <w:tcW w:w="0" w:type="auto"/>
            <w:vAlign w:val="bottom"/>
          </w:tcPr>
          <w:p w14:paraId="2FC77E56" w14:textId="023E6F1B" w:rsidR="008A6844" w:rsidRPr="000E57E3" w:rsidRDefault="008A6844" w:rsidP="000E57E3">
            <w:pPr>
              <w:pStyle w:val="Tabletext"/>
            </w:pPr>
            <w:r w:rsidRPr="000E57E3">
              <w:t> </w:t>
            </w:r>
          </w:p>
        </w:tc>
        <w:tc>
          <w:tcPr>
            <w:tcW w:w="0" w:type="auto"/>
            <w:vAlign w:val="bottom"/>
          </w:tcPr>
          <w:p w14:paraId="134680D6" w14:textId="30391E46" w:rsidR="008A6844" w:rsidRPr="000E57E3" w:rsidRDefault="008A6844" w:rsidP="000E57E3">
            <w:pPr>
              <w:pStyle w:val="Tabletext"/>
            </w:pPr>
            <w:r w:rsidRPr="000E57E3">
              <w:t>Y</w:t>
            </w:r>
          </w:p>
        </w:tc>
        <w:tc>
          <w:tcPr>
            <w:tcW w:w="0" w:type="auto"/>
            <w:vAlign w:val="bottom"/>
          </w:tcPr>
          <w:p w14:paraId="12C9522F" w14:textId="1A4B3781" w:rsidR="008A6844" w:rsidRPr="000E57E3" w:rsidRDefault="008A6844" w:rsidP="000E57E3">
            <w:pPr>
              <w:pStyle w:val="Tabletext"/>
            </w:pPr>
            <w:r w:rsidRPr="000E57E3">
              <w:t> </w:t>
            </w:r>
          </w:p>
        </w:tc>
        <w:tc>
          <w:tcPr>
            <w:tcW w:w="0" w:type="auto"/>
            <w:vAlign w:val="bottom"/>
          </w:tcPr>
          <w:p w14:paraId="506290A4" w14:textId="529D12B3" w:rsidR="008A6844" w:rsidRPr="000E57E3" w:rsidRDefault="008A6844" w:rsidP="000E57E3">
            <w:pPr>
              <w:pStyle w:val="Tabletext"/>
            </w:pPr>
            <w:r w:rsidRPr="000E57E3">
              <w:t>Y</w:t>
            </w:r>
          </w:p>
        </w:tc>
        <w:tc>
          <w:tcPr>
            <w:tcW w:w="0" w:type="auto"/>
            <w:vAlign w:val="bottom"/>
          </w:tcPr>
          <w:p w14:paraId="7053CCED" w14:textId="6EE337C3" w:rsidR="008A6844" w:rsidRPr="000E57E3" w:rsidRDefault="008A6844" w:rsidP="000E57E3">
            <w:pPr>
              <w:pStyle w:val="Tabletext"/>
            </w:pPr>
            <w:r w:rsidRPr="000E57E3">
              <w:t> </w:t>
            </w:r>
          </w:p>
        </w:tc>
        <w:tc>
          <w:tcPr>
            <w:tcW w:w="0" w:type="auto"/>
            <w:vAlign w:val="bottom"/>
          </w:tcPr>
          <w:p w14:paraId="59E988C5" w14:textId="1DDF32C5" w:rsidR="008A6844" w:rsidRPr="000E57E3" w:rsidRDefault="008A6844" w:rsidP="000E57E3">
            <w:pPr>
              <w:pStyle w:val="Tabletext"/>
            </w:pPr>
            <w:r w:rsidRPr="000E57E3">
              <w:t>Y</w:t>
            </w:r>
          </w:p>
        </w:tc>
        <w:tc>
          <w:tcPr>
            <w:tcW w:w="0" w:type="auto"/>
            <w:vAlign w:val="bottom"/>
          </w:tcPr>
          <w:p w14:paraId="6F30E453" w14:textId="16AB7E05" w:rsidR="008A6844" w:rsidRPr="000E57E3" w:rsidRDefault="008A6844" w:rsidP="000E57E3">
            <w:pPr>
              <w:pStyle w:val="Tabletext"/>
            </w:pPr>
            <w:r w:rsidRPr="000E57E3">
              <w:t>Exemplar</w:t>
            </w:r>
          </w:p>
        </w:tc>
      </w:tr>
      <w:tr w:rsidR="00776CCE" w:rsidRPr="008A6844" w14:paraId="20C734C6" w14:textId="77777777" w:rsidTr="00CA44B7">
        <w:tc>
          <w:tcPr>
            <w:tcW w:w="0" w:type="auto"/>
            <w:vAlign w:val="bottom"/>
          </w:tcPr>
          <w:p w14:paraId="5D955172" w14:textId="15405B89" w:rsidR="008A6844" w:rsidRPr="000E57E3" w:rsidRDefault="008A6844" w:rsidP="000E57E3">
            <w:pPr>
              <w:pStyle w:val="Tabletext"/>
            </w:pPr>
            <w:r w:rsidRPr="000E57E3">
              <w:t>SF3B1</w:t>
            </w:r>
          </w:p>
        </w:tc>
        <w:tc>
          <w:tcPr>
            <w:tcW w:w="0" w:type="auto"/>
            <w:vAlign w:val="bottom"/>
          </w:tcPr>
          <w:p w14:paraId="44626BD7" w14:textId="610454CF" w:rsidR="008A6844" w:rsidRPr="000E57E3" w:rsidRDefault="008A6844" w:rsidP="000E57E3">
            <w:pPr>
              <w:pStyle w:val="Tabletext"/>
            </w:pPr>
            <w:r w:rsidRPr="000E57E3">
              <w:t>Y</w:t>
            </w:r>
          </w:p>
        </w:tc>
        <w:tc>
          <w:tcPr>
            <w:tcW w:w="0" w:type="auto"/>
            <w:vAlign w:val="bottom"/>
          </w:tcPr>
          <w:p w14:paraId="0ECFE063" w14:textId="7E367252" w:rsidR="008A6844" w:rsidRPr="000E57E3" w:rsidRDefault="008A6844" w:rsidP="000E57E3">
            <w:pPr>
              <w:pStyle w:val="Tabletext"/>
            </w:pPr>
            <w:r w:rsidRPr="000E57E3">
              <w:t> </w:t>
            </w:r>
          </w:p>
        </w:tc>
        <w:tc>
          <w:tcPr>
            <w:tcW w:w="0" w:type="auto"/>
            <w:vAlign w:val="bottom"/>
          </w:tcPr>
          <w:p w14:paraId="57E0022A" w14:textId="09CCADED" w:rsidR="008A6844" w:rsidRPr="000E57E3" w:rsidRDefault="008A6844" w:rsidP="000E57E3">
            <w:pPr>
              <w:pStyle w:val="Tabletext"/>
            </w:pPr>
            <w:r w:rsidRPr="000E57E3">
              <w:t>Y</w:t>
            </w:r>
          </w:p>
        </w:tc>
        <w:tc>
          <w:tcPr>
            <w:tcW w:w="0" w:type="auto"/>
            <w:vAlign w:val="bottom"/>
          </w:tcPr>
          <w:p w14:paraId="47BFFB0C" w14:textId="0C391393" w:rsidR="008A6844" w:rsidRPr="000E57E3" w:rsidRDefault="008A6844" w:rsidP="000E57E3">
            <w:pPr>
              <w:pStyle w:val="Tabletext"/>
            </w:pPr>
            <w:r w:rsidRPr="000E57E3">
              <w:t>Y</w:t>
            </w:r>
          </w:p>
        </w:tc>
        <w:tc>
          <w:tcPr>
            <w:tcW w:w="0" w:type="auto"/>
            <w:vAlign w:val="bottom"/>
          </w:tcPr>
          <w:p w14:paraId="2B0EC384" w14:textId="04B0A3E8" w:rsidR="008A6844" w:rsidRPr="000E57E3" w:rsidRDefault="008A6844" w:rsidP="000E57E3">
            <w:pPr>
              <w:pStyle w:val="Tabletext"/>
            </w:pPr>
            <w:r w:rsidRPr="000E57E3">
              <w:t>Y</w:t>
            </w:r>
          </w:p>
        </w:tc>
        <w:tc>
          <w:tcPr>
            <w:tcW w:w="0" w:type="auto"/>
            <w:vAlign w:val="bottom"/>
          </w:tcPr>
          <w:p w14:paraId="706F75B8" w14:textId="078CA2EC" w:rsidR="008A6844" w:rsidRPr="000E57E3" w:rsidRDefault="008A6844" w:rsidP="000E57E3">
            <w:pPr>
              <w:pStyle w:val="Tabletext"/>
            </w:pPr>
            <w:r w:rsidRPr="000E57E3">
              <w:t> </w:t>
            </w:r>
          </w:p>
        </w:tc>
        <w:tc>
          <w:tcPr>
            <w:tcW w:w="0" w:type="auto"/>
            <w:vAlign w:val="bottom"/>
          </w:tcPr>
          <w:p w14:paraId="7F03FAB7" w14:textId="3952EE95" w:rsidR="008A6844" w:rsidRPr="000E57E3" w:rsidRDefault="008A6844" w:rsidP="000E57E3">
            <w:pPr>
              <w:pStyle w:val="Tabletext"/>
            </w:pPr>
            <w:r w:rsidRPr="000E57E3">
              <w:t>Y</w:t>
            </w:r>
          </w:p>
        </w:tc>
        <w:tc>
          <w:tcPr>
            <w:tcW w:w="0" w:type="auto"/>
            <w:vAlign w:val="bottom"/>
          </w:tcPr>
          <w:p w14:paraId="56B64DD1" w14:textId="3D97A278" w:rsidR="008A6844" w:rsidRPr="000E57E3" w:rsidRDefault="008A6844" w:rsidP="000E57E3">
            <w:pPr>
              <w:pStyle w:val="Tabletext"/>
            </w:pPr>
            <w:r w:rsidRPr="000E57E3">
              <w:t>Y</w:t>
            </w:r>
          </w:p>
        </w:tc>
        <w:tc>
          <w:tcPr>
            <w:tcW w:w="0" w:type="auto"/>
            <w:vAlign w:val="bottom"/>
          </w:tcPr>
          <w:p w14:paraId="2AD43733" w14:textId="7D40B559" w:rsidR="008A6844" w:rsidRPr="000E57E3" w:rsidRDefault="008A6844" w:rsidP="000E57E3">
            <w:pPr>
              <w:pStyle w:val="Tabletext"/>
            </w:pPr>
            <w:r w:rsidRPr="000E57E3">
              <w:t>Y</w:t>
            </w:r>
          </w:p>
        </w:tc>
        <w:tc>
          <w:tcPr>
            <w:tcW w:w="0" w:type="auto"/>
            <w:vAlign w:val="bottom"/>
          </w:tcPr>
          <w:p w14:paraId="2A566510" w14:textId="367A1CC8" w:rsidR="008A6844" w:rsidRPr="000E57E3" w:rsidRDefault="008A6844" w:rsidP="000E57E3">
            <w:pPr>
              <w:pStyle w:val="Tabletext"/>
            </w:pPr>
            <w:r w:rsidRPr="000E57E3">
              <w:t>Y</w:t>
            </w:r>
          </w:p>
        </w:tc>
        <w:tc>
          <w:tcPr>
            <w:tcW w:w="0" w:type="auto"/>
            <w:vAlign w:val="bottom"/>
          </w:tcPr>
          <w:p w14:paraId="4F6FDFDE" w14:textId="05AEEB78" w:rsidR="008A6844" w:rsidRPr="000E57E3" w:rsidRDefault="008A6844" w:rsidP="000E57E3">
            <w:pPr>
              <w:pStyle w:val="Tabletext"/>
            </w:pPr>
            <w:r w:rsidRPr="000E57E3">
              <w:t>Y</w:t>
            </w:r>
          </w:p>
        </w:tc>
        <w:tc>
          <w:tcPr>
            <w:tcW w:w="0" w:type="auto"/>
            <w:vAlign w:val="bottom"/>
          </w:tcPr>
          <w:p w14:paraId="11EC2550" w14:textId="228C00A9" w:rsidR="008A6844" w:rsidRPr="000E57E3" w:rsidRDefault="008A6844" w:rsidP="000E57E3">
            <w:pPr>
              <w:pStyle w:val="Tabletext"/>
            </w:pPr>
            <w:r w:rsidRPr="000E57E3">
              <w:t>Exemplar</w:t>
            </w:r>
          </w:p>
        </w:tc>
      </w:tr>
      <w:tr w:rsidR="00776CCE" w:rsidRPr="008A6844" w14:paraId="0228DD49" w14:textId="77777777" w:rsidTr="00CA44B7">
        <w:tc>
          <w:tcPr>
            <w:tcW w:w="0" w:type="auto"/>
            <w:vAlign w:val="bottom"/>
          </w:tcPr>
          <w:p w14:paraId="19F58244" w14:textId="74BDF9E1" w:rsidR="008A6844" w:rsidRPr="000E57E3" w:rsidRDefault="008A6844" w:rsidP="000E57E3">
            <w:pPr>
              <w:pStyle w:val="Tabletext"/>
            </w:pPr>
            <w:r w:rsidRPr="000E57E3">
              <w:t>SLX4</w:t>
            </w:r>
          </w:p>
        </w:tc>
        <w:tc>
          <w:tcPr>
            <w:tcW w:w="0" w:type="auto"/>
            <w:vAlign w:val="bottom"/>
          </w:tcPr>
          <w:p w14:paraId="7A93309C" w14:textId="37282E11" w:rsidR="008A6844" w:rsidRPr="000E57E3" w:rsidRDefault="008A6844" w:rsidP="000E57E3">
            <w:pPr>
              <w:pStyle w:val="Tabletext"/>
            </w:pPr>
            <w:r w:rsidRPr="000E57E3">
              <w:t>Y</w:t>
            </w:r>
          </w:p>
        </w:tc>
        <w:tc>
          <w:tcPr>
            <w:tcW w:w="0" w:type="auto"/>
            <w:vAlign w:val="bottom"/>
          </w:tcPr>
          <w:p w14:paraId="7BBCBC91" w14:textId="1B7C205D" w:rsidR="008A6844" w:rsidRPr="000E57E3" w:rsidRDefault="008A6844" w:rsidP="000E57E3">
            <w:pPr>
              <w:pStyle w:val="Tabletext"/>
            </w:pPr>
            <w:r w:rsidRPr="000E57E3">
              <w:t> </w:t>
            </w:r>
          </w:p>
        </w:tc>
        <w:tc>
          <w:tcPr>
            <w:tcW w:w="0" w:type="auto"/>
            <w:vAlign w:val="bottom"/>
          </w:tcPr>
          <w:p w14:paraId="129AF619" w14:textId="03F24FA1" w:rsidR="008A6844" w:rsidRPr="000E57E3" w:rsidRDefault="008A6844" w:rsidP="000E57E3">
            <w:pPr>
              <w:pStyle w:val="Tabletext"/>
            </w:pPr>
            <w:r w:rsidRPr="000E57E3">
              <w:t> </w:t>
            </w:r>
          </w:p>
        </w:tc>
        <w:tc>
          <w:tcPr>
            <w:tcW w:w="0" w:type="auto"/>
            <w:vAlign w:val="bottom"/>
          </w:tcPr>
          <w:p w14:paraId="5DDFD474" w14:textId="01E57DAD" w:rsidR="008A6844" w:rsidRPr="000E57E3" w:rsidRDefault="008A6844" w:rsidP="000E57E3">
            <w:pPr>
              <w:pStyle w:val="Tabletext"/>
            </w:pPr>
            <w:r w:rsidRPr="000E57E3">
              <w:t> </w:t>
            </w:r>
          </w:p>
        </w:tc>
        <w:tc>
          <w:tcPr>
            <w:tcW w:w="0" w:type="auto"/>
            <w:vAlign w:val="bottom"/>
          </w:tcPr>
          <w:p w14:paraId="6EE648E5" w14:textId="5C131370" w:rsidR="008A6844" w:rsidRPr="000E57E3" w:rsidRDefault="008A6844" w:rsidP="000E57E3">
            <w:pPr>
              <w:pStyle w:val="Tabletext"/>
            </w:pPr>
            <w:r w:rsidRPr="000E57E3">
              <w:t> </w:t>
            </w:r>
          </w:p>
        </w:tc>
        <w:tc>
          <w:tcPr>
            <w:tcW w:w="0" w:type="auto"/>
            <w:vAlign w:val="bottom"/>
          </w:tcPr>
          <w:p w14:paraId="13876278" w14:textId="62DD955E" w:rsidR="008A6844" w:rsidRPr="000E57E3" w:rsidRDefault="008A6844" w:rsidP="000E57E3">
            <w:pPr>
              <w:pStyle w:val="Tabletext"/>
            </w:pPr>
            <w:r w:rsidRPr="000E57E3">
              <w:t> </w:t>
            </w:r>
          </w:p>
        </w:tc>
        <w:tc>
          <w:tcPr>
            <w:tcW w:w="0" w:type="auto"/>
            <w:vAlign w:val="bottom"/>
          </w:tcPr>
          <w:p w14:paraId="4BD95103" w14:textId="69B81448" w:rsidR="008A6844" w:rsidRPr="000E57E3" w:rsidRDefault="008A6844" w:rsidP="000E57E3">
            <w:pPr>
              <w:pStyle w:val="Tabletext"/>
            </w:pPr>
            <w:r w:rsidRPr="000E57E3">
              <w:t> </w:t>
            </w:r>
          </w:p>
        </w:tc>
        <w:tc>
          <w:tcPr>
            <w:tcW w:w="0" w:type="auto"/>
            <w:vAlign w:val="bottom"/>
          </w:tcPr>
          <w:p w14:paraId="6B05BB80" w14:textId="55EF05E4" w:rsidR="008A6844" w:rsidRPr="000E57E3" w:rsidRDefault="008A6844" w:rsidP="000E57E3">
            <w:pPr>
              <w:pStyle w:val="Tabletext"/>
            </w:pPr>
            <w:r w:rsidRPr="000E57E3">
              <w:t> </w:t>
            </w:r>
          </w:p>
        </w:tc>
        <w:tc>
          <w:tcPr>
            <w:tcW w:w="0" w:type="auto"/>
            <w:vAlign w:val="bottom"/>
          </w:tcPr>
          <w:p w14:paraId="55F70E6A" w14:textId="4DC1DFB5" w:rsidR="008A6844" w:rsidRPr="000E57E3" w:rsidRDefault="008A6844" w:rsidP="000E57E3">
            <w:pPr>
              <w:pStyle w:val="Tabletext"/>
            </w:pPr>
            <w:r w:rsidRPr="000E57E3">
              <w:t> </w:t>
            </w:r>
          </w:p>
        </w:tc>
        <w:tc>
          <w:tcPr>
            <w:tcW w:w="0" w:type="auto"/>
            <w:vAlign w:val="bottom"/>
          </w:tcPr>
          <w:p w14:paraId="01F0EE86" w14:textId="21B00177" w:rsidR="008A6844" w:rsidRPr="000E57E3" w:rsidRDefault="008A6844" w:rsidP="000E57E3">
            <w:pPr>
              <w:pStyle w:val="Tabletext"/>
            </w:pPr>
            <w:r w:rsidRPr="000E57E3">
              <w:t> </w:t>
            </w:r>
          </w:p>
        </w:tc>
        <w:tc>
          <w:tcPr>
            <w:tcW w:w="0" w:type="auto"/>
            <w:vAlign w:val="bottom"/>
          </w:tcPr>
          <w:p w14:paraId="12FB4161" w14:textId="7834FC7B" w:rsidR="008A6844" w:rsidRPr="000E57E3" w:rsidRDefault="008A6844" w:rsidP="000E57E3">
            <w:pPr>
              <w:pStyle w:val="Tabletext"/>
            </w:pPr>
            <w:r w:rsidRPr="000E57E3">
              <w:t> </w:t>
            </w:r>
          </w:p>
        </w:tc>
        <w:tc>
          <w:tcPr>
            <w:tcW w:w="0" w:type="auto"/>
            <w:vAlign w:val="bottom"/>
          </w:tcPr>
          <w:p w14:paraId="4C07F0A5" w14:textId="23C6FB1D" w:rsidR="008A6844" w:rsidRPr="000E57E3" w:rsidRDefault="008A6844" w:rsidP="000E57E3">
            <w:pPr>
              <w:pStyle w:val="Tabletext"/>
            </w:pPr>
            <w:r w:rsidRPr="000E57E3">
              <w:t>Exemplar</w:t>
            </w:r>
          </w:p>
        </w:tc>
      </w:tr>
      <w:tr w:rsidR="00776CCE" w:rsidRPr="008A6844" w14:paraId="386D869A" w14:textId="77777777" w:rsidTr="00CA44B7">
        <w:tc>
          <w:tcPr>
            <w:tcW w:w="0" w:type="auto"/>
            <w:vAlign w:val="bottom"/>
          </w:tcPr>
          <w:p w14:paraId="70CB82AB" w14:textId="5CD1829B" w:rsidR="008A6844" w:rsidRPr="000E57E3" w:rsidRDefault="008A6844" w:rsidP="000E57E3">
            <w:pPr>
              <w:pStyle w:val="Tabletext"/>
            </w:pPr>
            <w:r w:rsidRPr="000E57E3">
              <w:t>SRSF2</w:t>
            </w:r>
          </w:p>
        </w:tc>
        <w:tc>
          <w:tcPr>
            <w:tcW w:w="0" w:type="auto"/>
            <w:vAlign w:val="bottom"/>
          </w:tcPr>
          <w:p w14:paraId="4A60C33F" w14:textId="6C8C6B24" w:rsidR="008A6844" w:rsidRPr="000E57E3" w:rsidRDefault="008A6844" w:rsidP="000E57E3">
            <w:pPr>
              <w:pStyle w:val="Tabletext"/>
            </w:pPr>
            <w:r w:rsidRPr="000E57E3">
              <w:t>Y</w:t>
            </w:r>
          </w:p>
        </w:tc>
        <w:tc>
          <w:tcPr>
            <w:tcW w:w="0" w:type="auto"/>
            <w:vAlign w:val="bottom"/>
          </w:tcPr>
          <w:p w14:paraId="7D2F1BBA" w14:textId="61F7476D" w:rsidR="008A6844" w:rsidRPr="000E57E3" w:rsidRDefault="008A6844" w:rsidP="000E57E3">
            <w:pPr>
              <w:pStyle w:val="Tabletext"/>
            </w:pPr>
            <w:r w:rsidRPr="000E57E3">
              <w:t> </w:t>
            </w:r>
          </w:p>
        </w:tc>
        <w:tc>
          <w:tcPr>
            <w:tcW w:w="0" w:type="auto"/>
            <w:vAlign w:val="bottom"/>
          </w:tcPr>
          <w:p w14:paraId="1347B897" w14:textId="667C0A78" w:rsidR="008A6844" w:rsidRPr="000E57E3" w:rsidRDefault="008A6844" w:rsidP="000E57E3">
            <w:pPr>
              <w:pStyle w:val="Tabletext"/>
            </w:pPr>
            <w:r w:rsidRPr="000E57E3">
              <w:t>Y</w:t>
            </w:r>
          </w:p>
        </w:tc>
        <w:tc>
          <w:tcPr>
            <w:tcW w:w="0" w:type="auto"/>
            <w:vAlign w:val="bottom"/>
          </w:tcPr>
          <w:p w14:paraId="418142CF" w14:textId="3FAA90AF" w:rsidR="008A6844" w:rsidRPr="000E57E3" w:rsidRDefault="008A6844" w:rsidP="000E57E3">
            <w:pPr>
              <w:pStyle w:val="Tabletext"/>
            </w:pPr>
            <w:r w:rsidRPr="000E57E3">
              <w:t> </w:t>
            </w:r>
          </w:p>
        </w:tc>
        <w:tc>
          <w:tcPr>
            <w:tcW w:w="0" w:type="auto"/>
            <w:vAlign w:val="bottom"/>
          </w:tcPr>
          <w:p w14:paraId="16ECE3C1" w14:textId="0D7D636B" w:rsidR="008A6844" w:rsidRPr="000E57E3" w:rsidRDefault="008A6844" w:rsidP="000E57E3">
            <w:pPr>
              <w:pStyle w:val="Tabletext"/>
            </w:pPr>
            <w:r w:rsidRPr="000E57E3">
              <w:t>Y</w:t>
            </w:r>
          </w:p>
        </w:tc>
        <w:tc>
          <w:tcPr>
            <w:tcW w:w="0" w:type="auto"/>
            <w:vAlign w:val="bottom"/>
          </w:tcPr>
          <w:p w14:paraId="18EA33D0" w14:textId="1E5BAB2F" w:rsidR="008A6844" w:rsidRPr="000E57E3" w:rsidRDefault="008A6844" w:rsidP="000E57E3">
            <w:pPr>
              <w:pStyle w:val="Tabletext"/>
            </w:pPr>
            <w:r w:rsidRPr="000E57E3">
              <w:t> </w:t>
            </w:r>
          </w:p>
        </w:tc>
        <w:tc>
          <w:tcPr>
            <w:tcW w:w="0" w:type="auto"/>
            <w:vAlign w:val="bottom"/>
          </w:tcPr>
          <w:p w14:paraId="6BD27E16" w14:textId="3DC2DD1A" w:rsidR="008A6844" w:rsidRPr="000E57E3" w:rsidRDefault="008A6844" w:rsidP="000E57E3">
            <w:pPr>
              <w:pStyle w:val="Tabletext"/>
            </w:pPr>
            <w:r w:rsidRPr="000E57E3">
              <w:t>Y</w:t>
            </w:r>
          </w:p>
        </w:tc>
        <w:tc>
          <w:tcPr>
            <w:tcW w:w="0" w:type="auto"/>
            <w:vAlign w:val="bottom"/>
          </w:tcPr>
          <w:p w14:paraId="053C15CC" w14:textId="77A8FCAB" w:rsidR="008A6844" w:rsidRPr="000E57E3" w:rsidRDefault="008A6844" w:rsidP="000E57E3">
            <w:pPr>
              <w:pStyle w:val="Tabletext"/>
            </w:pPr>
            <w:r w:rsidRPr="000E57E3">
              <w:t> </w:t>
            </w:r>
          </w:p>
        </w:tc>
        <w:tc>
          <w:tcPr>
            <w:tcW w:w="0" w:type="auto"/>
            <w:vAlign w:val="bottom"/>
          </w:tcPr>
          <w:p w14:paraId="6D1CD3B3" w14:textId="28F21E3D" w:rsidR="008A6844" w:rsidRPr="000E57E3" w:rsidRDefault="008A6844" w:rsidP="000E57E3">
            <w:pPr>
              <w:pStyle w:val="Tabletext"/>
            </w:pPr>
            <w:r w:rsidRPr="000E57E3">
              <w:t>Y</w:t>
            </w:r>
          </w:p>
        </w:tc>
        <w:tc>
          <w:tcPr>
            <w:tcW w:w="0" w:type="auto"/>
            <w:vAlign w:val="bottom"/>
          </w:tcPr>
          <w:p w14:paraId="05F27AC2" w14:textId="6B7ED636" w:rsidR="008A6844" w:rsidRPr="000E57E3" w:rsidRDefault="008A6844" w:rsidP="000E57E3">
            <w:pPr>
              <w:pStyle w:val="Tabletext"/>
            </w:pPr>
            <w:r w:rsidRPr="000E57E3">
              <w:t> </w:t>
            </w:r>
          </w:p>
        </w:tc>
        <w:tc>
          <w:tcPr>
            <w:tcW w:w="0" w:type="auto"/>
            <w:vAlign w:val="bottom"/>
          </w:tcPr>
          <w:p w14:paraId="425C1A5A" w14:textId="7BECBD77" w:rsidR="008A6844" w:rsidRPr="000E57E3" w:rsidRDefault="008A6844" w:rsidP="000E57E3">
            <w:pPr>
              <w:pStyle w:val="Tabletext"/>
            </w:pPr>
            <w:r w:rsidRPr="000E57E3">
              <w:t>Y</w:t>
            </w:r>
          </w:p>
        </w:tc>
        <w:tc>
          <w:tcPr>
            <w:tcW w:w="0" w:type="auto"/>
            <w:vAlign w:val="bottom"/>
          </w:tcPr>
          <w:p w14:paraId="626BB92C" w14:textId="442D7524" w:rsidR="008A6844" w:rsidRPr="000E57E3" w:rsidRDefault="008A6844" w:rsidP="000E57E3">
            <w:pPr>
              <w:pStyle w:val="Tabletext"/>
            </w:pPr>
            <w:r w:rsidRPr="000E57E3">
              <w:t>Exemplar</w:t>
            </w:r>
          </w:p>
        </w:tc>
      </w:tr>
      <w:tr w:rsidR="00776CCE" w:rsidRPr="008A6844" w14:paraId="7D087EA4" w14:textId="77777777" w:rsidTr="00CA44B7">
        <w:tc>
          <w:tcPr>
            <w:tcW w:w="0" w:type="auto"/>
            <w:vAlign w:val="bottom"/>
          </w:tcPr>
          <w:p w14:paraId="4F0C8C56" w14:textId="49EF433A" w:rsidR="008A6844" w:rsidRPr="000E57E3" w:rsidRDefault="008A6844" w:rsidP="000E57E3">
            <w:pPr>
              <w:pStyle w:val="Tabletext"/>
            </w:pPr>
            <w:r w:rsidRPr="000E57E3">
              <w:lastRenderedPageBreak/>
              <w:t>STAT3</w:t>
            </w:r>
          </w:p>
        </w:tc>
        <w:tc>
          <w:tcPr>
            <w:tcW w:w="0" w:type="auto"/>
            <w:vAlign w:val="bottom"/>
          </w:tcPr>
          <w:p w14:paraId="2F70B1BC" w14:textId="7AF2E667" w:rsidR="008A6844" w:rsidRPr="000E57E3" w:rsidRDefault="008A6844" w:rsidP="000E57E3">
            <w:pPr>
              <w:pStyle w:val="Tabletext"/>
            </w:pPr>
            <w:r w:rsidRPr="000E57E3">
              <w:t>Y</w:t>
            </w:r>
          </w:p>
        </w:tc>
        <w:tc>
          <w:tcPr>
            <w:tcW w:w="0" w:type="auto"/>
            <w:vAlign w:val="bottom"/>
          </w:tcPr>
          <w:p w14:paraId="115F41C1" w14:textId="537DF18E" w:rsidR="008A6844" w:rsidRPr="000E57E3" w:rsidRDefault="008A6844" w:rsidP="000E57E3">
            <w:pPr>
              <w:pStyle w:val="Tabletext"/>
            </w:pPr>
            <w:r w:rsidRPr="000E57E3">
              <w:t> </w:t>
            </w:r>
          </w:p>
        </w:tc>
        <w:tc>
          <w:tcPr>
            <w:tcW w:w="0" w:type="auto"/>
            <w:vAlign w:val="bottom"/>
          </w:tcPr>
          <w:p w14:paraId="0E6A5565" w14:textId="21A8C368" w:rsidR="008A6844" w:rsidRPr="000E57E3" w:rsidRDefault="008A6844" w:rsidP="000E57E3">
            <w:pPr>
              <w:pStyle w:val="Tabletext"/>
            </w:pPr>
            <w:r w:rsidRPr="000E57E3">
              <w:t>Y</w:t>
            </w:r>
          </w:p>
        </w:tc>
        <w:tc>
          <w:tcPr>
            <w:tcW w:w="0" w:type="auto"/>
            <w:vAlign w:val="bottom"/>
          </w:tcPr>
          <w:p w14:paraId="205AB3B9" w14:textId="625D390E" w:rsidR="008A6844" w:rsidRPr="000E57E3" w:rsidRDefault="008A6844" w:rsidP="000E57E3">
            <w:pPr>
              <w:pStyle w:val="Tabletext"/>
            </w:pPr>
            <w:r w:rsidRPr="000E57E3">
              <w:t> </w:t>
            </w:r>
          </w:p>
        </w:tc>
        <w:tc>
          <w:tcPr>
            <w:tcW w:w="0" w:type="auto"/>
            <w:vAlign w:val="bottom"/>
          </w:tcPr>
          <w:p w14:paraId="52AD843E" w14:textId="2D62CAD8" w:rsidR="008A6844" w:rsidRPr="000E57E3" w:rsidRDefault="008A6844" w:rsidP="000E57E3">
            <w:pPr>
              <w:pStyle w:val="Tabletext"/>
            </w:pPr>
            <w:r w:rsidRPr="000E57E3">
              <w:t> </w:t>
            </w:r>
          </w:p>
        </w:tc>
        <w:tc>
          <w:tcPr>
            <w:tcW w:w="0" w:type="auto"/>
            <w:vAlign w:val="bottom"/>
          </w:tcPr>
          <w:p w14:paraId="65B715AA" w14:textId="420C8481" w:rsidR="008A6844" w:rsidRPr="000E57E3" w:rsidRDefault="008A6844" w:rsidP="000E57E3">
            <w:pPr>
              <w:pStyle w:val="Tabletext"/>
            </w:pPr>
            <w:r w:rsidRPr="000E57E3">
              <w:t> </w:t>
            </w:r>
          </w:p>
        </w:tc>
        <w:tc>
          <w:tcPr>
            <w:tcW w:w="0" w:type="auto"/>
            <w:vAlign w:val="bottom"/>
          </w:tcPr>
          <w:p w14:paraId="3BC6FE1D" w14:textId="75442001" w:rsidR="008A6844" w:rsidRPr="000E57E3" w:rsidRDefault="008A6844" w:rsidP="000E57E3">
            <w:pPr>
              <w:pStyle w:val="Tabletext"/>
            </w:pPr>
            <w:r w:rsidRPr="000E57E3">
              <w:t>Y</w:t>
            </w:r>
          </w:p>
        </w:tc>
        <w:tc>
          <w:tcPr>
            <w:tcW w:w="0" w:type="auto"/>
            <w:vAlign w:val="bottom"/>
          </w:tcPr>
          <w:p w14:paraId="5C0F72D4" w14:textId="518CA9B8" w:rsidR="008A6844" w:rsidRPr="000E57E3" w:rsidRDefault="008A6844" w:rsidP="000E57E3">
            <w:pPr>
              <w:pStyle w:val="Tabletext"/>
            </w:pPr>
            <w:r w:rsidRPr="000E57E3">
              <w:t> </w:t>
            </w:r>
          </w:p>
        </w:tc>
        <w:tc>
          <w:tcPr>
            <w:tcW w:w="0" w:type="auto"/>
            <w:vAlign w:val="bottom"/>
          </w:tcPr>
          <w:p w14:paraId="57B5161E" w14:textId="1C57CC4A" w:rsidR="008A6844" w:rsidRPr="000E57E3" w:rsidRDefault="008A6844" w:rsidP="000E57E3">
            <w:pPr>
              <w:pStyle w:val="Tabletext"/>
            </w:pPr>
            <w:r w:rsidRPr="000E57E3">
              <w:t> </w:t>
            </w:r>
          </w:p>
        </w:tc>
        <w:tc>
          <w:tcPr>
            <w:tcW w:w="0" w:type="auto"/>
            <w:vAlign w:val="bottom"/>
          </w:tcPr>
          <w:p w14:paraId="591E5457" w14:textId="6F45018E" w:rsidR="008A6844" w:rsidRPr="000E57E3" w:rsidRDefault="008A6844" w:rsidP="000E57E3">
            <w:pPr>
              <w:pStyle w:val="Tabletext"/>
            </w:pPr>
            <w:r w:rsidRPr="000E57E3">
              <w:t>Y</w:t>
            </w:r>
          </w:p>
        </w:tc>
        <w:tc>
          <w:tcPr>
            <w:tcW w:w="0" w:type="auto"/>
            <w:vAlign w:val="bottom"/>
          </w:tcPr>
          <w:p w14:paraId="7B966678" w14:textId="45599A26" w:rsidR="008A6844" w:rsidRPr="000E57E3" w:rsidRDefault="008A6844" w:rsidP="000E57E3">
            <w:pPr>
              <w:pStyle w:val="Tabletext"/>
            </w:pPr>
            <w:r w:rsidRPr="000E57E3">
              <w:t> </w:t>
            </w:r>
          </w:p>
        </w:tc>
        <w:tc>
          <w:tcPr>
            <w:tcW w:w="0" w:type="auto"/>
            <w:vAlign w:val="bottom"/>
          </w:tcPr>
          <w:p w14:paraId="53E5F3C4" w14:textId="197B7D7F" w:rsidR="008A6844" w:rsidRPr="000E57E3" w:rsidRDefault="008A6844" w:rsidP="000E57E3">
            <w:pPr>
              <w:pStyle w:val="Tabletext"/>
            </w:pPr>
            <w:r w:rsidRPr="000E57E3">
              <w:t>Exemplar</w:t>
            </w:r>
          </w:p>
        </w:tc>
      </w:tr>
      <w:tr w:rsidR="00776CCE" w:rsidRPr="008A6844" w14:paraId="1328A6EF" w14:textId="77777777" w:rsidTr="00CA44B7">
        <w:tc>
          <w:tcPr>
            <w:tcW w:w="0" w:type="auto"/>
            <w:vAlign w:val="bottom"/>
          </w:tcPr>
          <w:p w14:paraId="7F65EFA5" w14:textId="1998E4CF" w:rsidR="008A6844" w:rsidRPr="000E57E3" w:rsidRDefault="008A6844" w:rsidP="000E57E3">
            <w:pPr>
              <w:pStyle w:val="Tabletext"/>
            </w:pPr>
            <w:r w:rsidRPr="000E57E3">
              <w:t>STAT5B</w:t>
            </w:r>
          </w:p>
        </w:tc>
        <w:tc>
          <w:tcPr>
            <w:tcW w:w="0" w:type="auto"/>
            <w:vAlign w:val="bottom"/>
          </w:tcPr>
          <w:p w14:paraId="04A78B80" w14:textId="198EA5B4" w:rsidR="008A6844" w:rsidRPr="000E57E3" w:rsidRDefault="008A6844" w:rsidP="000E57E3">
            <w:pPr>
              <w:pStyle w:val="Tabletext"/>
            </w:pPr>
            <w:r w:rsidRPr="000E57E3">
              <w:t>Y</w:t>
            </w:r>
          </w:p>
        </w:tc>
        <w:tc>
          <w:tcPr>
            <w:tcW w:w="0" w:type="auto"/>
            <w:vAlign w:val="bottom"/>
          </w:tcPr>
          <w:p w14:paraId="2A9F5909" w14:textId="1077AF54" w:rsidR="008A6844" w:rsidRPr="000E57E3" w:rsidRDefault="008A6844" w:rsidP="000E57E3">
            <w:pPr>
              <w:pStyle w:val="Tabletext"/>
            </w:pPr>
            <w:r w:rsidRPr="000E57E3">
              <w:t> </w:t>
            </w:r>
          </w:p>
        </w:tc>
        <w:tc>
          <w:tcPr>
            <w:tcW w:w="0" w:type="auto"/>
            <w:vAlign w:val="bottom"/>
          </w:tcPr>
          <w:p w14:paraId="3E277633" w14:textId="5A8DE130" w:rsidR="008A6844" w:rsidRPr="000E57E3" w:rsidRDefault="008A6844" w:rsidP="000E57E3">
            <w:pPr>
              <w:pStyle w:val="Tabletext"/>
            </w:pPr>
            <w:r w:rsidRPr="000E57E3">
              <w:t> </w:t>
            </w:r>
          </w:p>
        </w:tc>
        <w:tc>
          <w:tcPr>
            <w:tcW w:w="0" w:type="auto"/>
            <w:vAlign w:val="bottom"/>
          </w:tcPr>
          <w:p w14:paraId="0AEE6AC2" w14:textId="1004C6B5" w:rsidR="008A6844" w:rsidRPr="000E57E3" w:rsidRDefault="008A6844" w:rsidP="000E57E3">
            <w:pPr>
              <w:pStyle w:val="Tabletext"/>
            </w:pPr>
            <w:r w:rsidRPr="000E57E3">
              <w:t> </w:t>
            </w:r>
          </w:p>
        </w:tc>
        <w:tc>
          <w:tcPr>
            <w:tcW w:w="0" w:type="auto"/>
            <w:vAlign w:val="bottom"/>
          </w:tcPr>
          <w:p w14:paraId="77823AFD" w14:textId="2247C02F" w:rsidR="008A6844" w:rsidRPr="000E57E3" w:rsidRDefault="008A6844" w:rsidP="000E57E3">
            <w:pPr>
              <w:pStyle w:val="Tabletext"/>
            </w:pPr>
            <w:r w:rsidRPr="000E57E3">
              <w:t> </w:t>
            </w:r>
          </w:p>
        </w:tc>
        <w:tc>
          <w:tcPr>
            <w:tcW w:w="0" w:type="auto"/>
            <w:vAlign w:val="bottom"/>
          </w:tcPr>
          <w:p w14:paraId="5A1DE3AF" w14:textId="35A487EB" w:rsidR="008A6844" w:rsidRPr="000E57E3" w:rsidRDefault="008A6844" w:rsidP="000E57E3">
            <w:pPr>
              <w:pStyle w:val="Tabletext"/>
            </w:pPr>
            <w:r w:rsidRPr="000E57E3">
              <w:t> </w:t>
            </w:r>
          </w:p>
        </w:tc>
        <w:tc>
          <w:tcPr>
            <w:tcW w:w="0" w:type="auto"/>
            <w:vAlign w:val="bottom"/>
          </w:tcPr>
          <w:p w14:paraId="47B4A071" w14:textId="03FF08BC" w:rsidR="008A6844" w:rsidRPr="000E57E3" w:rsidRDefault="008A6844" w:rsidP="000E57E3">
            <w:pPr>
              <w:pStyle w:val="Tabletext"/>
            </w:pPr>
            <w:r w:rsidRPr="000E57E3">
              <w:t>Y</w:t>
            </w:r>
          </w:p>
        </w:tc>
        <w:tc>
          <w:tcPr>
            <w:tcW w:w="0" w:type="auto"/>
            <w:vAlign w:val="bottom"/>
          </w:tcPr>
          <w:p w14:paraId="777BF028" w14:textId="69FEB6E9" w:rsidR="008A6844" w:rsidRPr="000E57E3" w:rsidRDefault="008A6844" w:rsidP="000E57E3">
            <w:pPr>
              <w:pStyle w:val="Tabletext"/>
            </w:pPr>
            <w:r w:rsidRPr="000E57E3">
              <w:t> </w:t>
            </w:r>
          </w:p>
        </w:tc>
        <w:tc>
          <w:tcPr>
            <w:tcW w:w="0" w:type="auto"/>
            <w:vAlign w:val="bottom"/>
          </w:tcPr>
          <w:p w14:paraId="68B917F4" w14:textId="6BBC05B3" w:rsidR="008A6844" w:rsidRPr="000E57E3" w:rsidRDefault="008A6844" w:rsidP="000E57E3">
            <w:pPr>
              <w:pStyle w:val="Tabletext"/>
            </w:pPr>
            <w:r w:rsidRPr="000E57E3">
              <w:t> </w:t>
            </w:r>
          </w:p>
        </w:tc>
        <w:tc>
          <w:tcPr>
            <w:tcW w:w="0" w:type="auto"/>
            <w:vAlign w:val="bottom"/>
          </w:tcPr>
          <w:p w14:paraId="1FD8DB5C" w14:textId="273383F0" w:rsidR="008A6844" w:rsidRPr="000E57E3" w:rsidRDefault="008A6844" w:rsidP="000E57E3">
            <w:pPr>
              <w:pStyle w:val="Tabletext"/>
            </w:pPr>
            <w:r w:rsidRPr="000E57E3">
              <w:t>Y</w:t>
            </w:r>
          </w:p>
        </w:tc>
        <w:tc>
          <w:tcPr>
            <w:tcW w:w="0" w:type="auto"/>
            <w:vAlign w:val="bottom"/>
          </w:tcPr>
          <w:p w14:paraId="5D642B97" w14:textId="7E5954D7" w:rsidR="008A6844" w:rsidRPr="000E57E3" w:rsidRDefault="008A6844" w:rsidP="000E57E3">
            <w:pPr>
              <w:pStyle w:val="Tabletext"/>
            </w:pPr>
            <w:r w:rsidRPr="000E57E3">
              <w:t> </w:t>
            </w:r>
          </w:p>
        </w:tc>
        <w:tc>
          <w:tcPr>
            <w:tcW w:w="0" w:type="auto"/>
            <w:vAlign w:val="bottom"/>
          </w:tcPr>
          <w:p w14:paraId="66E93185" w14:textId="4418C753" w:rsidR="008A6844" w:rsidRPr="000E57E3" w:rsidRDefault="008A6844" w:rsidP="000E57E3">
            <w:pPr>
              <w:pStyle w:val="Tabletext"/>
            </w:pPr>
            <w:r w:rsidRPr="000E57E3">
              <w:t>Exemplar</w:t>
            </w:r>
          </w:p>
        </w:tc>
      </w:tr>
      <w:tr w:rsidR="00776CCE" w:rsidRPr="008A6844" w14:paraId="2DDA1C60" w14:textId="77777777" w:rsidTr="00CA44B7">
        <w:tc>
          <w:tcPr>
            <w:tcW w:w="0" w:type="auto"/>
            <w:vAlign w:val="bottom"/>
          </w:tcPr>
          <w:p w14:paraId="62E84A11" w14:textId="237F6B57" w:rsidR="008A6844" w:rsidRPr="000E57E3" w:rsidRDefault="008A6844" w:rsidP="000E57E3">
            <w:pPr>
              <w:pStyle w:val="Tabletext"/>
            </w:pPr>
            <w:r w:rsidRPr="000E57E3">
              <w:t>STAT6</w:t>
            </w:r>
          </w:p>
        </w:tc>
        <w:tc>
          <w:tcPr>
            <w:tcW w:w="0" w:type="auto"/>
            <w:vAlign w:val="bottom"/>
          </w:tcPr>
          <w:p w14:paraId="046E51E9" w14:textId="6A45A1A0" w:rsidR="008A6844" w:rsidRPr="000E57E3" w:rsidRDefault="008A6844" w:rsidP="000E57E3">
            <w:pPr>
              <w:pStyle w:val="Tabletext"/>
            </w:pPr>
            <w:r w:rsidRPr="000E57E3">
              <w:t>Y</w:t>
            </w:r>
          </w:p>
        </w:tc>
        <w:tc>
          <w:tcPr>
            <w:tcW w:w="0" w:type="auto"/>
            <w:vAlign w:val="bottom"/>
          </w:tcPr>
          <w:p w14:paraId="1749020F" w14:textId="0C5659BC" w:rsidR="008A6844" w:rsidRPr="000E57E3" w:rsidRDefault="008A6844" w:rsidP="000E57E3">
            <w:pPr>
              <w:pStyle w:val="Tabletext"/>
            </w:pPr>
            <w:r w:rsidRPr="000E57E3">
              <w:t> </w:t>
            </w:r>
          </w:p>
        </w:tc>
        <w:tc>
          <w:tcPr>
            <w:tcW w:w="0" w:type="auto"/>
            <w:vAlign w:val="bottom"/>
          </w:tcPr>
          <w:p w14:paraId="66E0A594" w14:textId="67BD3645" w:rsidR="008A6844" w:rsidRPr="000E57E3" w:rsidRDefault="008A6844" w:rsidP="000E57E3">
            <w:pPr>
              <w:pStyle w:val="Tabletext"/>
            </w:pPr>
            <w:r w:rsidRPr="000E57E3">
              <w:t> </w:t>
            </w:r>
          </w:p>
        </w:tc>
        <w:tc>
          <w:tcPr>
            <w:tcW w:w="0" w:type="auto"/>
            <w:vAlign w:val="bottom"/>
          </w:tcPr>
          <w:p w14:paraId="533D1E71" w14:textId="60D7DF03" w:rsidR="008A6844" w:rsidRPr="000E57E3" w:rsidRDefault="008A6844" w:rsidP="000E57E3">
            <w:pPr>
              <w:pStyle w:val="Tabletext"/>
            </w:pPr>
            <w:r w:rsidRPr="000E57E3">
              <w:t> </w:t>
            </w:r>
          </w:p>
        </w:tc>
        <w:tc>
          <w:tcPr>
            <w:tcW w:w="0" w:type="auto"/>
            <w:vAlign w:val="bottom"/>
          </w:tcPr>
          <w:p w14:paraId="6AC5C2AB" w14:textId="54937026" w:rsidR="008A6844" w:rsidRPr="000E57E3" w:rsidRDefault="008A6844" w:rsidP="000E57E3">
            <w:pPr>
              <w:pStyle w:val="Tabletext"/>
            </w:pPr>
            <w:r w:rsidRPr="000E57E3">
              <w:t> </w:t>
            </w:r>
          </w:p>
        </w:tc>
        <w:tc>
          <w:tcPr>
            <w:tcW w:w="0" w:type="auto"/>
            <w:vAlign w:val="bottom"/>
          </w:tcPr>
          <w:p w14:paraId="3FCA105C" w14:textId="37423786" w:rsidR="008A6844" w:rsidRPr="000E57E3" w:rsidRDefault="008A6844" w:rsidP="000E57E3">
            <w:pPr>
              <w:pStyle w:val="Tabletext"/>
            </w:pPr>
            <w:r w:rsidRPr="000E57E3">
              <w:t> </w:t>
            </w:r>
          </w:p>
        </w:tc>
        <w:tc>
          <w:tcPr>
            <w:tcW w:w="0" w:type="auto"/>
            <w:vAlign w:val="bottom"/>
          </w:tcPr>
          <w:p w14:paraId="45E2652D" w14:textId="0258E1BB" w:rsidR="008A6844" w:rsidRPr="000E57E3" w:rsidRDefault="008A6844" w:rsidP="000E57E3">
            <w:pPr>
              <w:pStyle w:val="Tabletext"/>
            </w:pPr>
            <w:r w:rsidRPr="000E57E3">
              <w:t>Y</w:t>
            </w:r>
          </w:p>
        </w:tc>
        <w:tc>
          <w:tcPr>
            <w:tcW w:w="0" w:type="auto"/>
            <w:vAlign w:val="bottom"/>
          </w:tcPr>
          <w:p w14:paraId="19503B54" w14:textId="26D87271" w:rsidR="008A6844" w:rsidRPr="000E57E3" w:rsidRDefault="008A6844" w:rsidP="000E57E3">
            <w:pPr>
              <w:pStyle w:val="Tabletext"/>
            </w:pPr>
            <w:r w:rsidRPr="000E57E3">
              <w:t>Y</w:t>
            </w:r>
          </w:p>
        </w:tc>
        <w:tc>
          <w:tcPr>
            <w:tcW w:w="0" w:type="auto"/>
            <w:vAlign w:val="bottom"/>
          </w:tcPr>
          <w:p w14:paraId="3600C009" w14:textId="58AB12AC" w:rsidR="008A6844" w:rsidRPr="000E57E3" w:rsidRDefault="008A6844" w:rsidP="000E57E3">
            <w:pPr>
              <w:pStyle w:val="Tabletext"/>
            </w:pPr>
            <w:r w:rsidRPr="000E57E3">
              <w:t> </w:t>
            </w:r>
          </w:p>
        </w:tc>
        <w:tc>
          <w:tcPr>
            <w:tcW w:w="0" w:type="auto"/>
            <w:vAlign w:val="bottom"/>
          </w:tcPr>
          <w:p w14:paraId="55D3EDCA" w14:textId="35F8351D" w:rsidR="008A6844" w:rsidRPr="000E57E3" w:rsidRDefault="008A6844" w:rsidP="000E57E3">
            <w:pPr>
              <w:pStyle w:val="Tabletext"/>
            </w:pPr>
            <w:r w:rsidRPr="000E57E3">
              <w:t> </w:t>
            </w:r>
          </w:p>
        </w:tc>
        <w:tc>
          <w:tcPr>
            <w:tcW w:w="0" w:type="auto"/>
            <w:vAlign w:val="bottom"/>
          </w:tcPr>
          <w:p w14:paraId="3E563407" w14:textId="0E1A7134" w:rsidR="008A6844" w:rsidRPr="000E57E3" w:rsidRDefault="008A6844" w:rsidP="000E57E3">
            <w:pPr>
              <w:pStyle w:val="Tabletext"/>
            </w:pPr>
            <w:r w:rsidRPr="000E57E3">
              <w:t> </w:t>
            </w:r>
          </w:p>
        </w:tc>
        <w:tc>
          <w:tcPr>
            <w:tcW w:w="0" w:type="auto"/>
            <w:vAlign w:val="bottom"/>
          </w:tcPr>
          <w:p w14:paraId="0C16BBA0" w14:textId="27759F4D" w:rsidR="008A6844" w:rsidRPr="000E57E3" w:rsidRDefault="008A6844" w:rsidP="000E57E3">
            <w:pPr>
              <w:pStyle w:val="Tabletext"/>
            </w:pPr>
            <w:r w:rsidRPr="000E57E3">
              <w:t>Exemplar</w:t>
            </w:r>
          </w:p>
        </w:tc>
      </w:tr>
      <w:tr w:rsidR="00776CCE" w:rsidRPr="008A6844" w14:paraId="00CE70AA" w14:textId="77777777" w:rsidTr="00CA44B7">
        <w:tc>
          <w:tcPr>
            <w:tcW w:w="0" w:type="auto"/>
            <w:vAlign w:val="bottom"/>
          </w:tcPr>
          <w:p w14:paraId="19E22DCD" w14:textId="0AC4E9D3" w:rsidR="008A6844" w:rsidRPr="000E57E3" w:rsidRDefault="008A6844" w:rsidP="000E57E3">
            <w:pPr>
              <w:pStyle w:val="Tabletext"/>
            </w:pPr>
            <w:r w:rsidRPr="000E57E3">
              <w:t>TCF3-PBX1</w:t>
            </w:r>
          </w:p>
        </w:tc>
        <w:tc>
          <w:tcPr>
            <w:tcW w:w="0" w:type="auto"/>
            <w:vAlign w:val="bottom"/>
          </w:tcPr>
          <w:p w14:paraId="1503C6C8" w14:textId="3F4B02BE" w:rsidR="008A6844" w:rsidRPr="000E57E3" w:rsidRDefault="008A6844" w:rsidP="000E57E3">
            <w:pPr>
              <w:pStyle w:val="Tabletext"/>
            </w:pPr>
            <w:r w:rsidRPr="000E57E3">
              <w:t> </w:t>
            </w:r>
          </w:p>
        </w:tc>
        <w:tc>
          <w:tcPr>
            <w:tcW w:w="0" w:type="auto"/>
            <w:vAlign w:val="bottom"/>
          </w:tcPr>
          <w:p w14:paraId="4CEDAECB" w14:textId="3BB5161E" w:rsidR="008A6844" w:rsidRPr="000E57E3" w:rsidRDefault="008A6844" w:rsidP="000E57E3">
            <w:pPr>
              <w:pStyle w:val="Tabletext"/>
            </w:pPr>
            <w:r w:rsidRPr="000E57E3">
              <w:t>Y</w:t>
            </w:r>
          </w:p>
        </w:tc>
        <w:tc>
          <w:tcPr>
            <w:tcW w:w="0" w:type="auto"/>
            <w:vAlign w:val="bottom"/>
          </w:tcPr>
          <w:p w14:paraId="5557805C" w14:textId="2D1E4C06" w:rsidR="008A6844" w:rsidRPr="000E57E3" w:rsidRDefault="008A6844" w:rsidP="000E57E3">
            <w:pPr>
              <w:pStyle w:val="Tabletext"/>
            </w:pPr>
            <w:r w:rsidRPr="000E57E3">
              <w:t> </w:t>
            </w:r>
          </w:p>
        </w:tc>
        <w:tc>
          <w:tcPr>
            <w:tcW w:w="0" w:type="auto"/>
            <w:vAlign w:val="bottom"/>
          </w:tcPr>
          <w:p w14:paraId="18E43AF1" w14:textId="7E5754D2" w:rsidR="008A6844" w:rsidRPr="000E57E3" w:rsidRDefault="008A6844" w:rsidP="000E57E3">
            <w:pPr>
              <w:pStyle w:val="Tabletext"/>
            </w:pPr>
            <w:r w:rsidRPr="000E57E3">
              <w:t> </w:t>
            </w:r>
          </w:p>
        </w:tc>
        <w:tc>
          <w:tcPr>
            <w:tcW w:w="0" w:type="auto"/>
            <w:vAlign w:val="bottom"/>
          </w:tcPr>
          <w:p w14:paraId="06B5EA26" w14:textId="775E09E7" w:rsidR="008A6844" w:rsidRPr="000E57E3" w:rsidRDefault="008A6844" w:rsidP="000E57E3">
            <w:pPr>
              <w:pStyle w:val="Tabletext"/>
            </w:pPr>
            <w:r w:rsidRPr="000E57E3">
              <w:t> </w:t>
            </w:r>
          </w:p>
        </w:tc>
        <w:tc>
          <w:tcPr>
            <w:tcW w:w="0" w:type="auto"/>
            <w:vAlign w:val="bottom"/>
          </w:tcPr>
          <w:p w14:paraId="0BE468EF" w14:textId="6DAEC871" w:rsidR="008A6844" w:rsidRPr="000E57E3" w:rsidRDefault="008A6844" w:rsidP="000E57E3">
            <w:pPr>
              <w:pStyle w:val="Tabletext"/>
            </w:pPr>
            <w:r w:rsidRPr="000E57E3">
              <w:t> </w:t>
            </w:r>
          </w:p>
        </w:tc>
        <w:tc>
          <w:tcPr>
            <w:tcW w:w="0" w:type="auto"/>
            <w:vAlign w:val="bottom"/>
          </w:tcPr>
          <w:p w14:paraId="549A43FB" w14:textId="654C9C0C" w:rsidR="008A6844" w:rsidRPr="000E57E3" w:rsidRDefault="008A6844" w:rsidP="000E57E3">
            <w:pPr>
              <w:pStyle w:val="Tabletext"/>
            </w:pPr>
            <w:r w:rsidRPr="000E57E3">
              <w:t> </w:t>
            </w:r>
          </w:p>
        </w:tc>
        <w:tc>
          <w:tcPr>
            <w:tcW w:w="0" w:type="auto"/>
            <w:vAlign w:val="bottom"/>
          </w:tcPr>
          <w:p w14:paraId="3D2EE600" w14:textId="470B6215" w:rsidR="008A6844" w:rsidRPr="000E57E3" w:rsidRDefault="008A6844" w:rsidP="000E57E3">
            <w:pPr>
              <w:pStyle w:val="Tabletext"/>
            </w:pPr>
            <w:r w:rsidRPr="000E57E3">
              <w:t> </w:t>
            </w:r>
          </w:p>
        </w:tc>
        <w:tc>
          <w:tcPr>
            <w:tcW w:w="0" w:type="auto"/>
            <w:vAlign w:val="bottom"/>
          </w:tcPr>
          <w:p w14:paraId="4B3A6478" w14:textId="1ABEA4C9" w:rsidR="008A6844" w:rsidRPr="000E57E3" w:rsidRDefault="008A6844" w:rsidP="000E57E3">
            <w:pPr>
              <w:pStyle w:val="Tabletext"/>
            </w:pPr>
            <w:r w:rsidRPr="000E57E3">
              <w:t> </w:t>
            </w:r>
          </w:p>
        </w:tc>
        <w:tc>
          <w:tcPr>
            <w:tcW w:w="0" w:type="auto"/>
            <w:vAlign w:val="bottom"/>
          </w:tcPr>
          <w:p w14:paraId="1A2D1A99" w14:textId="1EC46EBD" w:rsidR="008A6844" w:rsidRPr="000E57E3" w:rsidRDefault="008A6844" w:rsidP="000E57E3">
            <w:pPr>
              <w:pStyle w:val="Tabletext"/>
            </w:pPr>
            <w:r w:rsidRPr="000E57E3">
              <w:t> </w:t>
            </w:r>
          </w:p>
        </w:tc>
        <w:tc>
          <w:tcPr>
            <w:tcW w:w="0" w:type="auto"/>
            <w:vAlign w:val="bottom"/>
          </w:tcPr>
          <w:p w14:paraId="4F62329A" w14:textId="70D91994" w:rsidR="008A6844" w:rsidRPr="000E57E3" w:rsidRDefault="008A6844" w:rsidP="000E57E3">
            <w:pPr>
              <w:pStyle w:val="Tabletext"/>
            </w:pPr>
            <w:r w:rsidRPr="000E57E3">
              <w:t> </w:t>
            </w:r>
          </w:p>
        </w:tc>
        <w:tc>
          <w:tcPr>
            <w:tcW w:w="0" w:type="auto"/>
            <w:vAlign w:val="bottom"/>
          </w:tcPr>
          <w:p w14:paraId="053C21AE" w14:textId="53B74990" w:rsidR="008A6844" w:rsidRPr="000E57E3" w:rsidRDefault="008A6844" w:rsidP="000E57E3">
            <w:pPr>
              <w:pStyle w:val="Tabletext"/>
            </w:pPr>
            <w:r w:rsidRPr="000E57E3">
              <w:t>Exemplar</w:t>
            </w:r>
          </w:p>
        </w:tc>
      </w:tr>
      <w:tr w:rsidR="00776CCE" w:rsidRPr="008A6844" w14:paraId="488519F2" w14:textId="77777777" w:rsidTr="00CA44B7">
        <w:tc>
          <w:tcPr>
            <w:tcW w:w="0" w:type="auto"/>
            <w:vAlign w:val="bottom"/>
          </w:tcPr>
          <w:p w14:paraId="797E569E" w14:textId="35412CD6" w:rsidR="008A6844" w:rsidRPr="000E57E3" w:rsidRDefault="008A6844" w:rsidP="000E57E3">
            <w:pPr>
              <w:pStyle w:val="Tabletext"/>
            </w:pPr>
            <w:r w:rsidRPr="000E57E3">
              <w:t>TERC</w:t>
            </w:r>
          </w:p>
        </w:tc>
        <w:tc>
          <w:tcPr>
            <w:tcW w:w="0" w:type="auto"/>
            <w:vAlign w:val="bottom"/>
          </w:tcPr>
          <w:p w14:paraId="7ECDE621" w14:textId="2061D201" w:rsidR="008A6844" w:rsidRPr="000E57E3" w:rsidRDefault="008A6844" w:rsidP="000E57E3">
            <w:pPr>
              <w:pStyle w:val="Tabletext"/>
            </w:pPr>
            <w:r w:rsidRPr="000E57E3">
              <w:t>Y</w:t>
            </w:r>
          </w:p>
        </w:tc>
        <w:tc>
          <w:tcPr>
            <w:tcW w:w="0" w:type="auto"/>
            <w:vAlign w:val="bottom"/>
          </w:tcPr>
          <w:p w14:paraId="3C026E35" w14:textId="63C2360B" w:rsidR="008A6844" w:rsidRPr="000E57E3" w:rsidRDefault="008A6844" w:rsidP="000E57E3">
            <w:pPr>
              <w:pStyle w:val="Tabletext"/>
            </w:pPr>
            <w:r w:rsidRPr="000E57E3">
              <w:t> </w:t>
            </w:r>
          </w:p>
        </w:tc>
        <w:tc>
          <w:tcPr>
            <w:tcW w:w="0" w:type="auto"/>
            <w:vAlign w:val="bottom"/>
          </w:tcPr>
          <w:p w14:paraId="444AC896" w14:textId="2CA0415A" w:rsidR="008A6844" w:rsidRPr="000E57E3" w:rsidRDefault="008A6844" w:rsidP="000E57E3">
            <w:pPr>
              <w:pStyle w:val="Tabletext"/>
            </w:pPr>
            <w:r w:rsidRPr="000E57E3">
              <w:t> </w:t>
            </w:r>
          </w:p>
        </w:tc>
        <w:tc>
          <w:tcPr>
            <w:tcW w:w="0" w:type="auto"/>
            <w:vAlign w:val="bottom"/>
          </w:tcPr>
          <w:p w14:paraId="03FDFA76" w14:textId="1AF7EF1E" w:rsidR="008A6844" w:rsidRPr="000E57E3" w:rsidRDefault="008A6844" w:rsidP="000E57E3">
            <w:pPr>
              <w:pStyle w:val="Tabletext"/>
            </w:pPr>
            <w:r w:rsidRPr="000E57E3">
              <w:t> </w:t>
            </w:r>
          </w:p>
        </w:tc>
        <w:tc>
          <w:tcPr>
            <w:tcW w:w="0" w:type="auto"/>
            <w:vAlign w:val="bottom"/>
          </w:tcPr>
          <w:p w14:paraId="417E3DC9" w14:textId="349D0813" w:rsidR="008A6844" w:rsidRPr="000E57E3" w:rsidRDefault="008A6844" w:rsidP="000E57E3">
            <w:pPr>
              <w:pStyle w:val="Tabletext"/>
            </w:pPr>
            <w:r w:rsidRPr="000E57E3">
              <w:t> </w:t>
            </w:r>
          </w:p>
        </w:tc>
        <w:tc>
          <w:tcPr>
            <w:tcW w:w="0" w:type="auto"/>
            <w:vAlign w:val="bottom"/>
          </w:tcPr>
          <w:p w14:paraId="23151559" w14:textId="074B80E5" w:rsidR="008A6844" w:rsidRPr="000E57E3" w:rsidRDefault="008A6844" w:rsidP="000E57E3">
            <w:pPr>
              <w:pStyle w:val="Tabletext"/>
            </w:pPr>
            <w:r w:rsidRPr="000E57E3">
              <w:t>Y</w:t>
            </w:r>
          </w:p>
        </w:tc>
        <w:tc>
          <w:tcPr>
            <w:tcW w:w="0" w:type="auto"/>
            <w:vAlign w:val="bottom"/>
          </w:tcPr>
          <w:p w14:paraId="7AE0BC30" w14:textId="769C894F" w:rsidR="008A6844" w:rsidRPr="000E57E3" w:rsidRDefault="008A6844" w:rsidP="000E57E3">
            <w:pPr>
              <w:pStyle w:val="Tabletext"/>
            </w:pPr>
            <w:r w:rsidRPr="000E57E3">
              <w:t> </w:t>
            </w:r>
          </w:p>
        </w:tc>
        <w:tc>
          <w:tcPr>
            <w:tcW w:w="0" w:type="auto"/>
            <w:vAlign w:val="bottom"/>
          </w:tcPr>
          <w:p w14:paraId="1AA07ADF" w14:textId="6E4C9DC6" w:rsidR="008A6844" w:rsidRPr="000E57E3" w:rsidRDefault="008A6844" w:rsidP="000E57E3">
            <w:pPr>
              <w:pStyle w:val="Tabletext"/>
            </w:pPr>
            <w:r w:rsidRPr="000E57E3">
              <w:t> </w:t>
            </w:r>
          </w:p>
        </w:tc>
        <w:tc>
          <w:tcPr>
            <w:tcW w:w="0" w:type="auto"/>
            <w:vAlign w:val="bottom"/>
          </w:tcPr>
          <w:p w14:paraId="19967330" w14:textId="0C4D9B5C" w:rsidR="008A6844" w:rsidRPr="000E57E3" w:rsidRDefault="008A6844" w:rsidP="000E57E3">
            <w:pPr>
              <w:pStyle w:val="Tabletext"/>
            </w:pPr>
            <w:r w:rsidRPr="000E57E3">
              <w:t> </w:t>
            </w:r>
          </w:p>
        </w:tc>
        <w:tc>
          <w:tcPr>
            <w:tcW w:w="0" w:type="auto"/>
            <w:vAlign w:val="bottom"/>
          </w:tcPr>
          <w:p w14:paraId="3BCDB86D" w14:textId="184DD797" w:rsidR="008A6844" w:rsidRPr="000E57E3" w:rsidRDefault="008A6844" w:rsidP="000E57E3">
            <w:pPr>
              <w:pStyle w:val="Tabletext"/>
            </w:pPr>
            <w:r w:rsidRPr="000E57E3">
              <w:t> </w:t>
            </w:r>
          </w:p>
        </w:tc>
        <w:tc>
          <w:tcPr>
            <w:tcW w:w="0" w:type="auto"/>
            <w:vAlign w:val="bottom"/>
          </w:tcPr>
          <w:p w14:paraId="5E290C15" w14:textId="7D54740C" w:rsidR="008A6844" w:rsidRPr="000E57E3" w:rsidRDefault="008A6844" w:rsidP="000E57E3">
            <w:pPr>
              <w:pStyle w:val="Tabletext"/>
            </w:pPr>
            <w:r w:rsidRPr="000E57E3">
              <w:t> </w:t>
            </w:r>
          </w:p>
        </w:tc>
        <w:tc>
          <w:tcPr>
            <w:tcW w:w="0" w:type="auto"/>
            <w:vAlign w:val="bottom"/>
          </w:tcPr>
          <w:p w14:paraId="67C15D57" w14:textId="2BF4F968" w:rsidR="008A6844" w:rsidRPr="000E57E3" w:rsidRDefault="008A6844" w:rsidP="000E57E3">
            <w:pPr>
              <w:pStyle w:val="Tabletext"/>
            </w:pPr>
            <w:r w:rsidRPr="000E57E3">
              <w:t>Exemplar</w:t>
            </w:r>
          </w:p>
        </w:tc>
      </w:tr>
      <w:tr w:rsidR="00776CCE" w:rsidRPr="008A6844" w14:paraId="075C1644" w14:textId="77777777" w:rsidTr="00CA44B7">
        <w:tc>
          <w:tcPr>
            <w:tcW w:w="0" w:type="auto"/>
            <w:vAlign w:val="bottom"/>
          </w:tcPr>
          <w:p w14:paraId="4AD089ED" w14:textId="72CEE5C6" w:rsidR="008A6844" w:rsidRPr="000E57E3" w:rsidRDefault="008A6844" w:rsidP="000E57E3">
            <w:pPr>
              <w:pStyle w:val="Tabletext"/>
            </w:pPr>
            <w:r w:rsidRPr="000E57E3">
              <w:t>TERT</w:t>
            </w:r>
          </w:p>
        </w:tc>
        <w:tc>
          <w:tcPr>
            <w:tcW w:w="0" w:type="auto"/>
            <w:vAlign w:val="bottom"/>
          </w:tcPr>
          <w:p w14:paraId="3D481D51" w14:textId="0651CA2E" w:rsidR="008A6844" w:rsidRPr="000E57E3" w:rsidRDefault="008A6844" w:rsidP="000E57E3">
            <w:pPr>
              <w:pStyle w:val="Tabletext"/>
            </w:pPr>
            <w:r w:rsidRPr="000E57E3">
              <w:t>Y</w:t>
            </w:r>
          </w:p>
        </w:tc>
        <w:tc>
          <w:tcPr>
            <w:tcW w:w="0" w:type="auto"/>
            <w:vAlign w:val="bottom"/>
          </w:tcPr>
          <w:p w14:paraId="12998C90" w14:textId="0AC5F3E5" w:rsidR="008A6844" w:rsidRPr="000E57E3" w:rsidRDefault="008A6844" w:rsidP="000E57E3">
            <w:pPr>
              <w:pStyle w:val="Tabletext"/>
            </w:pPr>
            <w:r w:rsidRPr="000E57E3">
              <w:t> </w:t>
            </w:r>
          </w:p>
        </w:tc>
        <w:tc>
          <w:tcPr>
            <w:tcW w:w="0" w:type="auto"/>
            <w:vAlign w:val="bottom"/>
          </w:tcPr>
          <w:p w14:paraId="27B22583" w14:textId="672A5FF8" w:rsidR="008A6844" w:rsidRPr="000E57E3" w:rsidRDefault="008A6844" w:rsidP="000E57E3">
            <w:pPr>
              <w:pStyle w:val="Tabletext"/>
            </w:pPr>
            <w:r w:rsidRPr="000E57E3">
              <w:t> </w:t>
            </w:r>
          </w:p>
        </w:tc>
        <w:tc>
          <w:tcPr>
            <w:tcW w:w="0" w:type="auto"/>
            <w:vAlign w:val="bottom"/>
          </w:tcPr>
          <w:p w14:paraId="7855EB14" w14:textId="5FB0ADBE" w:rsidR="008A6844" w:rsidRPr="000E57E3" w:rsidRDefault="008A6844" w:rsidP="000E57E3">
            <w:pPr>
              <w:pStyle w:val="Tabletext"/>
            </w:pPr>
            <w:r w:rsidRPr="000E57E3">
              <w:t> </w:t>
            </w:r>
          </w:p>
        </w:tc>
        <w:tc>
          <w:tcPr>
            <w:tcW w:w="0" w:type="auto"/>
            <w:vAlign w:val="bottom"/>
          </w:tcPr>
          <w:p w14:paraId="13284BF7" w14:textId="18064D82" w:rsidR="008A6844" w:rsidRPr="000E57E3" w:rsidRDefault="008A6844" w:rsidP="000E57E3">
            <w:pPr>
              <w:pStyle w:val="Tabletext"/>
            </w:pPr>
            <w:r w:rsidRPr="000E57E3">
              <w:t> </w:t>
            </w:r>
          </w:p>
        </w:tc>
        <w:tc>
          <w:tcPr>
            <w:tcW w:w="0" w:type="auto"/>
            <w:vAlign w:val="bottom"/>
          </w:tcPr>
          <w:p w14:paraId="0BF6F336" w14:textId="44D834E4" w:rsidR="008A6844" w:rsidRPr="000E57E3" w:rsidRDefault="008A6844" w:rsidP="000E57E3">
            <w:pPr>
              <w:pStyle w:val="Tabletext"/>
            </w:pPr>
            <w:r w:rsidRPr="000E57E3">
              <w:t>Y</w:t>
            </w:r>
          </w:p>
        </w:tc>
        <w:tc>
          <w:tcPr>
            <w:tcW w:w="0" w:type="auto"/>
            <w:vAlign w:val="bottom"/>
          </w:tcPr>
          <w:p w14:paraId="1BDD261A" w14:textId="3571DF4D" w:rsidR="008A6844" w:rsidRPr="000E57E3" w:rsidRDefault="008A6844" w:rsidP="000E57E3">
            <w:pPr>
              <w:pStyle w:val="Tabletext"/>
            </w:pPr>
            <w:r w:rsidRPr="000E57E3">
              <w:t> </w:t>
            </w:r>
          </w:p>
        </w:tc>
        <w:tc>
          <w:tcPr>
            <w:tcW w:w="0" w:type="auto"/>
            <w:vAlign w:val="bottom"/>
          </w:tcPr>
          <w:p w14:paraId="0E0B71DD" w14:textId="6C9069F5" w:rsidR="008A6844" w:rsidRPr="000E57E3" w:rsidRDefault="008A6844" w:rsidP="000E57E3">
            <w:pPr>
              <w:pStyle w:val="Tabletext"/>
            </w:pPr>
            <w:r w:rsidRPr="000E57E3">
              <w:t> </w:t>
            </w:r>
          </w:p>
        </w:tc>
        <w:tc>
          <w:tcPr>
            <w:tcW w:w="0" w:type="auto"/>
            <w:vAlign w:val="bottom"/>
          </w:tcPr>
          <w:p w14:paraId="681BEA86" w14:textId="7B3DC5CD" w:rsidR="008A6844" w:rsidRPr="000E57E3" w:rsidRDefault="008A6844" w:rsidP="000E57E3">
            <w:pPr>
              <w:pStyle w:val="Tabletext"/>
            </w:pPr>
            <w:r w:rsidRPr="000E57E3">
              <w:t> </w:t>
            </w:r>
          </w:p>
        </w:tc>
        <w:tc>
          <w:tcPr>
            <w:tcW w:w="0" w:type="auto"/>
            <w:vAlign w:val="bottom"/>
          </w:tcPr>
          <w:p w14:paraId="1200FC36" w14:textId="0BDA3599" w:rsidR="008A6844" w:rsidRPr="000E57E3" w:rsidRDefault="008A6844" w:rsidP="000E57E3">
            <w:pPr>
              <w:pStyle w:val="Tabletext"/>
            </w:pPr>
            <w:r w:rsidRPr="000E57E3">
              <w:t> </w:t>
            </w:r>
          </w:p>
        </w:tc>
        <w:tc>
          <w:tcPr>
            <w:tcW w:w="0" w:type="auto"/>
            <w:vAlign w:val="bottom"/>
          </w:tcPr>
          <w:p w14:paraId="4AD85BD0" w14:textId="4D46E641" w:rsidR="008A6844" w:rsidRPr="000E57E3" w:rsidRDefault="008A6844" w:rsidP="000E57E3">
            <w:pPr>
              <w:pStyle w:val="Tabletext"/>
            </w:pPr>
            <w:r w:rsidRPr="000E57E3">
              <w:t> </w:t>
            </w:r>
          </w:p>
        </w:tc>
        <w:tc>
          <w:tcPr>
            <w:tcW w:w="0" w:type="auto"/>
            <w:vAlign w:val="bottom"/>
          </w:tcPr>
          <w:p w14:paraId="69471D3E" w14:textId="33FC23E1" w:rsidR="008A6844" w:rsidRPr="000E57E3" w:rsidRDefault="008A6844" w:rsidP="000E57E3">
            <w:pPr>
              <w:pStyle w:val="Tabletext"/>
            </w:pPr>
            <w:r w:rsidRPr="000E57E3">
              <w:t>Exemplar</w:t>
            </w:r>
          </w:p>
        </w:tc>
      </w:tr>
      <w:tr w:rsidR="00776CCE" w:rsidRPr="008A6844" w14:paraId="230BE9A7" w14:textId="77777777" w:rsidTr="00CA44B7">
        <w:tc>
          <w:tcPr>
            <w:tcW w:w="0" w:type="auto"/>
            <w:vAlign w:val="bottom"/>
          </w:tcPr>
          <w:p w14:paraId="276E7E1C" w14:textId="1B0F7A45" w:rsidR="008A6844" w:rsidRPr="000E57E3" w:rsidRDefault="008A6844" w:rsidP="000E57E3">
            <w:pPr>
              <w:pStyle w:val="Tabletext"/>
            </w:pPr>
            <w:r w:rsidRPr="000E57E3">
              <w:t>TET2</w:t>
            </w:r>
          </w:p>
        </w:tc>
        <w:tc>
          <w:tcPr>
            <w:tcW w:w="0" w:type="auto"/>
            <w:vAlign w:val="bottom"/>
          </w:tcPr>
          <w:p w14:paraId="54E8B397" w14:textId="3BD2714C" w:rsidR="008A6844" w:rsidRPr="000E57E3" w:rsidRDefault="008A6844" w:rsidP="000E57E3">
            <w:pPr>
              <w:pStyle w:val="Tabletext"/>
            </w:pPr>
            <w:r w:rsidRPr="000E57E3">
              <w:t>Y</w:t>
            </w:r>
          </w:p>
        </w:tc>
        <w:tc>
          <w:tcPr>
            <w:tcW w:w="0" w:type="auto"/>
            <w:vAlign w:val="bottom"/>
          </w:tcPr>
          <w:p w14:paraId="7E3E8344" w14:textId="13514E59" w:rsidR="008A6844" w:rsidRPr="000E57E3" w:rsidRDefault="008A6844" w:rsidP="000E57E3">
            <w:pPr>
              <w:pStyle w:val="Tabletext"/>
            </w:pPr>
            <w:r w:rsidRPr="000E57E3">
              <w:t> </w:t>
            </w:r>
          </w:p>
        </w:tc>
        <w:tc>
          <w:tcPr>
            <w:tcW w:w="0" w:type="auto"/>
            <w:vAlign w:val="bottom"/>
          </w:tcPr>
          <w:p w14:paraId="3F3EB89F" w14:textId="313768BA" w:rsidR="008A6844" w:rsidRPr="000E57E3" w:rsidRDefault="008A6844" w:rsidP="000E57E3">
            <w:pPr>
              <w:pStyle w:val="Tabletext"/>
            </w:pPr>
            <w:r w:rsidRPr="000E57E3">
              <w:t>Y</w:t>
            </w:r>
          </w:p>
        </w:tc>
        <w:tc>
          <w:tcPr>
            <w:tcW w:w="0" w:type="auto"/>
            <w:vAlign w:val="bottom"/>
          </w:tcPr>
          <w:p w14:paraId="643D7B69" w14:textId="35B96A7B" w:rsidR="008A6844" w:rsidRPr="000E57E3" w:rsidRDefault="008A6844" w:rsidP="000E57E3">
            <w:pPr>
              <w:pStyle w:val="Tabletext"/>
            </w:pPr>
            <w:r w:rsidRPr="000E57E3">
              <w:t> </w:t>
            </w:r>
          </w:p>
        </w:tc>
        <w:tc>
          <w:tcPr>
            <w:tcW w:w="0" w:type="auto"/>
            <w:vAlign w:val="bottom"/>
          </w:tcPr>
          <w:p w14:paraId="25B44835" w14:textId="2536D264" w:rsidR="008A6844" w:rsidRPr="000E57E3" w:rsidRDefault="008A6844" w:rsidP="000E57E3">
            <w:pPr>
              <w:pStyle w:val="Tabletext"/>
            </w:pPr>
            <w:r w:rsidRPr="000E57E3">
              <w:t>Y</w:t>
            </w:r>
          </w:p>
        </w:tc>
        <w:tc>
          <w:tcPr>
            <w:tcW w:w="0" w:type="auto"/>
            <w:vAlign w:val="bottom"/>
          </w:tcPr>
          <w:p w14:paraId="1042E3A9" w14:textId="43321AC6" w:rsidR="008A6844" w:rsidRPr="000E57E3" w:rsidRDefault="008A6844" w:rsidP="000E57E3">
            <w:pPr>
              <w:pStyle w:val="Tabletext"/>
            </w:pPr>
            <w:r w:rsidRPr="000E57E3">
              <w:t> </w:t>
            </w:r>
          </w:p>
        </w:tc>
        <w:tc>
          <w:tcPr>
            <w:tcW w:w="0" w:type="auto"/>
            <w:vAlign w:val="bottom"/>
          </w:tcPr>
          <w:p w14:paraId="71248C07" w14:textId="7439EC9A" w:rsidR="008A6844" w:rsidRPr="000E57E3" w:rsidRDefault="008A6844" w:rsidP="000E57E3">
            <w:pPr>
              <w:pStyle w:val="Tabletext"/>
            </w:pPr>
            <w:r w:rsidRPr="000E57E3">
              <w:t>Y</w:t>
            </w:r>
          </w:p>
        </w:tc>
        <w:tc>
          <w:tcPr>
            <w:tcW w:w="0" w:type="auto"/>
            <w:vAlign w:val="bottom"/>
          </w:tcPr>
          <w:p w14:paraId="221CED3E" w14:textId="6D36C581" w:rsidR="008A6844" w:rsidRPr="000E57E3" w:rsidRDefault="008A6844" w:rsidP="000E57E3">
            <w:pPr>
              <w:pStyle w:val="Tabletext"/>
            </w:pPr>
            <w:r w:rsidRPr="000E57E3">
              <w:t> </w:t>
            </w:r>
          </w:p>
        </w:tc>
        <w:tc>
          <w:tcPr>
            <w:tcW w:w="0" w:type="auto"/>
            <w:vAlign w:val="bottom"/>
          </w:tcPr>
          <w:p w14:paraId="4AC63160" w14:textId="6943E5EA" w:rsidR="008A6844" w:rsidRPr="000E57E3" w:rsidRDefault="008A6844" w:rsidP="000E57E3">
            <w:pPr>
              <w:pStyle w:val="Tabletext"/>
            </w:pPr>
            <w:r w:rsidRPr="000E57E3">
              <w:t>Y</w:t>
            </w:r>
          </w:p>
        </w:tc>
        <w:tc>
          <w:tcPr>
            <w:tcW w:w="0" w:type="auto"/>
            <w:vAlign w:val="bottom"/>
          </w:tcPr>
          <w:p w14:paraId="3060FF27" w14:textId="6CD82C2E" w:rsidR="008A6844" w:rsidRPr="000E57E3" w:rsidRDefault="008A6844" w:rsidP="000E57E3">
            <w:pPr>
              <w:pStyle w:val="Tabletext"/>
            </w:pPr>
            <w:r w:rsidRPr="000E57E3">
              <w:t>Y</w:t>
            </w:r>
          </w:p>
        </w:tc>
        <w:tc>
          <w:tcPr>
            <w:tcW w:w="0" w:type="auto"/>
            <w:vAlign w:val="bottom"/>
          </w:tcPr>
          <w:p w14:paraId="14293564" w14:textId="3C23C950" w:rsidR="008A6844" w:rsidRPr="000E57E3" w:rsidRDefault="008A6844" w:rsidP="000E57E3">
            <w:pPr>
              <w:pStyle w:val="Tabletext"/>
            </w:pPr>
            <w:r w:rsidRPr="000E57E3">
              <w:t>Y</w:t>
            </w:r>
          </w:p>
        </w:tc>
        <w:tc>
          <w:tcPr>
            <w:tcW w:w="0" w:type="auto"/>
            <w:vAlign w:val="bottom"/>
          </w:tcPr>
          <w:p w14:paraId="0BF1F5FA" w14:textId="43EECB6B" w:rsidR="008A6844" w:rsidRPr="000E57E3" w:rsidRDefault="008A6844" w:rsidP="000E57E3">
            <w:pPr>
              <w:pStyle w:val="Tabletext"/>
            </w:pPr>
            <w:r w:rsidRPr="000E57E3">
              <w:t>Exemplar</w:t>
            </w:r>
          </w:p>
        </w:tc>
      </w:tr>
      <w:tr w:rsidR="00776CCE" w:rsidRPr="008A6844" w14:paraId="0AC2C0B2" w14:textId="77777777" w:rsidTr="00CA44B7">
        <w:tc>
          <w:tcPr>
            <w:tcW w:w="0" w:type="auto"/>
            <w:vAlign w:val="bottom"/>
          </w:tcPr>
          <w:p w14:paraId="359B68F6" w14:textId="6C672515" w:rsidR="008A6844" w:rsidRPr="000E57E3" w:rsidRDefault="008A6844" w:rsidP="000E57E3">
            <w:pPr>
              <w:pStyle w:val="Tabletext"/>
            </w:pPr>
            <w:r w:rsidRPr="000E57E3">
              <w:t>TINF2</w:t>
            </w:r>
          </w:p>
        </w:tc>
        <w:tc>
          <w:tcPr>
            <w:tcW w:w="0" w:type="auto"/>
            <w:vAlign w:val="bottom"/>
          </w:tcPr>
          <w:p w14:paraId="26166C8D" w14:textId="4C068E37" w:rsidR="008A6844" w:rsidRPr="000E57E3" w:rsidRDefault="008A6844" w:rsidP="000E57E3">
            <w:pPr>
              <w:pStyle w:val="Tabletext"/>
            </w:pPr>
            <w:r w:rsidRPr="000E57E3">
              <w:t>Y</w:t>
            </w:r>
          </w:p>
        </w:tc>
        <w:tc>
          <w:tcPr>
            <w:tcW w:w="0" w:type="auto"/>
            <w:vAlign w:val="bottom"/>
          </w:tcPr>
          <w:p w14:paraId="454F2621" w14:textId="328AA9ED" w:rsidR="008A6844" w:rsidRPr="000E57E3" w:rsidRDefault="008A6844" w:rsidP="000E57E3">
            <w:pPr>
              <w:pStyle w:val="Tabletext"/>
            </w:pPr>
            <w:r w:rsidRPr="000E57E3">
              <w:t> </w:t>
            </w:r>
          </w:p>
        </w:tc>
        <w:tc>
          <w:tcPr>
            <w:tcW w:w="0" w:type="auto"/>
            <w:vAlign w:val="bottom"/>
          </w:tcPr>
          <w:p w14:paraId="08768FB7" w14:textId="0CA5A9B0" w:rsidR="008A6844" w:rsidRPr="000E57E3" w:rsidRDefault="008A6844" w:rsidP="000E57E3">
            <w:pPr>
              <w:pStyle w:val="Tabletext"/>
            </w:pPr>
            <w:r w:rsidRPr="000E57E3">
              <w:t> </w:t>
            </w:r>
          </w:p>
        </w:tc>
        <w:tc>
          <w:tcPr>
            <w:tcW w:w="0" w:type="auto"/>
            <w:vAlign w:val="bottom"/>
          </w:tcPr>
          <w:p w14:paraId="47741D25" w14:textId="4A6B8E71" w:rsidR="008A6844" w:rsidRPr="000E57E3" w:rsidRDefault="008A6844" w:rsidP="000E57E3">
            <w:pPr>
              <w:pStyle w:val="Tabletext"/>
            </w:pPr>
            <w:r w:rsidRPr="000E57E3">
              <w:t> </w:t>
            </w:r>
          </w:p>
        </w:tc>
        <w:tc>
          <w:tcPr>
            <w:tcW w:w="0" w:type="auto"/>
            <w:vAlign w:val="bottom"/>
          </w:tcPr>
          <w:p w14:paraId="4C8F0116" w14:textId="1B446629" w:rsidR="008A6844" w:rsidRPr="000E57E3" w:rsidRDefault="008A6844" w:rsidP="000E57E3">
            <w:pPr>
              <w:pStyle w:val="Tabletext"/>
            </w:pPr>
            <w:r w:rsidRPr="000E57E3">
              <w:t> </w:t>
            </w:r>
          </w:p>
        </w:tc>
        <w:tc>
          <w:tcPr>
            <w:tcW w:w="0" w:type="auto"/>
            <w:vAlign w:val="bottom"/>
          </w:tcPr>
          <w:p w14:paraId="2529915F" w14:textId="2A0FF5F5" w:rsidR="008A6844" w:rsidRPr="000E57E3" w:rsidRDefault="008A6844" w:rsidP="000E57E3">
            <w:pPr>
              <w:pStyle w:val="Tabletext"/>
            </w:pPr>
            <w:r w:rsidRPr="000E57E3">
              <w:t>Y</w:t>
            </w:r>
          </w:p>
        </w:tc>
        <w:tc>
          <w:tcPr>
            <w:tcW w:w="0" w:type="auto"/>
            <w:vAlign w:val="bottom"/>
          </w:tcPr>
          <w:p w14:paraId="46BA9DF6" w14:textId="415B8149" w:rsidR="008A6844" w:rsidRPr="000E57E3" w:rsidRDefault="008A6844" w:rsidP="000E57E3">
            <w:pPr>
              <w:pStyle w:val="Tabletext"/>
            </w:pPr>
            <w:r w:rsidRPr="000E57E3">
              <w:t> </w:t>
            </w:r>
          </w:p>
        </w:tc>
        <w:tc>
          <w:tcPr>
            <w:tcW w:w="0" w:type="auto"/>
            <w:vAlign w:val="bottom"/>
          </w:tcPr>
          <w:p w14:paraId="004AC5E8" w14:textId="6E7B99B8" w:rsidR="008A6844" w:rsidRPr="000E57E3" w:rsidRDefault="008A6844" w:rsidP="000E57E3">
            <w:pPr>
              <w:pStyle w:val="Tabletext"/>
            </w:pPr>
            <w:r w:rsidRPr="000E57E3">
              <w:t> </w:t>
            </w:r>
          </w:p>
        </w:tc>
        <w:tc>
          <w:tcPr>
            <w:tcW w:w="0" w:type="auto"/>
            <w:vAlign w:val="bottom"/>
          </w:tcPr>
          <w:p w14:paraId="4F96F919" w14:textId="16C51DA2" w:rsidR="008A6844" w:rsidRPr="000E57E3" w:rsidRDefault="008A6844" w:rsidP="000E57E3">
            <w:pPr>
              <w:pStyle w:val="Tabletext"/>
            </w:pPr>
            <w:r w:rsidRPr="000E57E3">
              <w:t> </w:t>
            </w:r>
          </w:p>
        </w:tc>
        <w:tc>
          <w:tcPr>
            <w:tcW w:w="0" w:type="auto"/>
            <w:vAlign w:val="bottom"/>
          </w:tcPr>
          <w:p w14:paraId="6DDF072D" w14:textId="230E9802" w:rsidR="008A6844" w:rsidRPr="000E57E3" w:rsidRDefault="008A6844" w:rsidP="000E57E3">
            <w:pPr>
              <w:pStyle w:val="Tabletext"/>
            </w:pPr>
            <w:r w:rsidRPr="000E57E3">
              <w:t> </w:t>
            </w:r>
          </w:p>
        </w:tc>
        <w:tc>
          <w:tcPr>
            <w:tcW w:w="0" w:type="auto"/>
            <w:vAlign w:val="bottom"/>
          </w:tcPr>
          <w:p w14:paraId="2023426F" w14:textId="01EA5B7F" w:rsidR="008A6844" w:rsidRPr="000E57E3" w:rsidRDefault="008A6844" w:rsidP="000E57E3">
            <w:pPr>
              <w:pStyle w:val="Tabletext"/>
            </w:pPr>
            <w:r w:rsidRPr="000E57E3">
              <w:t> </w:t>
            </w:r>
          </w:p>
        </w:tc>
        <w:tc>
          <w:tcPr>
            <w:tcW w:w="0" w:type="auto"/>
            <w:vAlign w:val="bottom"/>
          </w:tcPr>
          <w:p w14:paraId="03B8642F" w14:textId="16C4D7A7" w:rsidR="008A6844" w:rsidRPr="000E57E3" w:rsidRDefault="008A6844" w:rsidP="000E57E3">
            <w:pPr>
              <w:pStyle w:val="Tabletext"/>
            </w:pPr>
            <w:r w:rsidRPr="000E57E3">
              <w:t>Exemplar</w:t>
            </w:r>
          </w:p>
        </w:tc>
      </w:tr>
      <w:tr w:rsidR="00776CCE" w:rsidRPr="008A6844" w14:paraId="081BAD16" w14:textId="77777777" w:rsidTr="00CA44B7">
        <w:tc>
          <w:tcPr>
            <w:tcW w:w="0" w:type="auto"/>
            <w:vAlign w:val="bottom"/>
          </w:tcPr>
          <w:p w14:paraId="72DD72B0" w14:textId="28CBD326" w:rsidR="008A6844" w:rsidRPr="000E57E3" w:rsidRDefault="008A6844" w:rsidP="000E57E3">
            <w:pPr>
              <w:pStyle w:val="Tabletext"/>
            </w:pPr>
            <w:r w:rsidRPr="000E57E3">
              <w:t>WAS</w:t>
            </w:r>
          </w:p>
        </w:tc>
        <w:tc>
          <w:tcPr>
            <w:tcW w:w="0" w:type="auto"/>
            <w:vAlign w:val="bottom"/>
          </w:tcPr>
          <w:p w14:paraId="3485BFCD" w14:textId="2E702E73" w:rsidR="008A6844" w:rsidRPr="000E57E3" w:rsidRDefault="008A6844" w:rsidP="000E57E3">
            <w:pPr>
              <w:pStyle w:val="Tabletext"/>
            </w:pPr>
            <w:r w:rsidRPr="000E57E3">
              <w:t>Y</w:t>
            </w:r>
          </w:p>
        </w:tc>
        <w:tc>
          <w:tcPr>
            <w:tcW w:w="0" w:type="auto"/>
            <w:vAlign w:val="bottom"/>
          </w:tcPr>
          <w:p w14:paraId="0A1BEAAD" w14:textId="20B2BCDC" w:rsidR="008A6844" w:rsidRPr="000E57E3" w:rsidRDefault="008A6844" w:rsidP="000E57E3">
            <w:pPr>
              <w:pStyle w:val="Tabletext"/>
            </w:pPr>
            <w:r w:rsidRPr="000E57E3">
              <w:t> </w:t>
            </w:r>
          </w:p>
        </w:tc>
        <w:tc>
          <w:tcPr>
            <w:tcW w:w="0" w:type="auto"/>
            <w:vAlign w:val="bottom"/>
          </w:tcPr>
          <w:p w14:paraId="6C06A219" w14:textId="0403F78D" w:rsidR="008A6844" w:rsidRPr="000E57E3" w:rsidRDefault="008A6844" w:rsidP="000E57E3">
            <w:pPr>
              <w:pStyle w:val="Tabletext"/>
            </w:pPr>
            <w:r w:rsidRPr="000E57E3">
              <w:t> </w:t>
            </w:r>
          </w:p>
        </w:tc>
        <w:tc>
          <w:tcPr>
            <w:tcW w:w="0" w:type="auto"/>
            <w:vAlign w:val="bottom"/>
          </w:tcPr>
          <w:p w14:paraId="55857C36" w14:textId="273C9578" w:rsidR="008A6844" w:rsidRPr="000E57E3" w:rsidRDefault="008A6844" w:rsidP="000E57E3">
            <w:pPr>
              <w:pStyle w:val="Tabletext"/>
            </w:pPr>
            <w:r w:rsidRPr="000E57E3">
              <w:t> </w:t>
            </w:r>
          </w:p>
        </w:tc>
        <w:tc>
          <w:tcPr>
            <w:tcW w:w="0" w:type="auto"/>
            <w:vAlign w:val="bottom"/>
          </w:tcPr>
          <w:p w14:paraId="7CFB0971" w14:textId="5A3EEDBD" w:rsidR="008A6844" w:rsidRPr="000E57E3" w:rsidRDefault="008A6844" w:rsidP="000E57E3">
            <w:pPr>
              <w:pStyle w:val="Tabletext"/>
            </w:pPr>
            <w:r w:rsidRPr="000E57E3">
              <w:t> </w:t>
            </w:r>
          </w:p>
        </w:tc>
        <w:tc>
          <w:tcPr>
            <w:tcW w:w="0" w:type="auto"/>
            <w:vAlign w:val="bottom"/>
          </w:tcPr>
          <w:p w14:paraId="45A62E7C" w14:textId="3B336100" w:rsidR="008A6844" w:rsidRPr="000E57E3" w:rsidRDefault="008A6844" w:rsidP="000E57E3">
            <w:pPr>
              <w:pStyle w:val="Tabletext"/>
            </w:pPr>
            <w:r w:rsidRPr="000E57E3">
              <w:t>Y</w:t>
            </w:r>
          </w:p>
        </w:tc>
        <w:tc>
          <w:tcPr>
            <w:tcW w:w="0" w:type="auto"/>
            <w:vAlign w:val="bottom"/>
          </w:tcPr>
          <w:p w14:paraId="13521D65" w14:textId="3D1D01B6" w:rsidR="008A6844" w:rsidRPr="000E57E3" w:rsidRDefault="008A6844" w:rsidP="000E57E3">
            <w:pPr>
              <w:pStyle w:val="Tabletext"/>
            </w:pPr>
            <w:r w:rsidRPr="000E57E3">
              <w:t> </w:t>
            </w:r>
          </w:p>
        </w:tc>
        <w:tc>
          <w:tcPr>
            <w:tcW w:w="0" w:type="auto"/>
            <w:vAlign w:val="bottom"/>
          </w:tcPr>
          <w:p w14:paraId="503E7712" w14:textId="1CD76C40" w:rsidR="008A6844" w:rsidRPr="000E57E3" w:rsidRDefault="008A6844" w:rsidP="000E57E3">
            <w:pPr>
              <w:pStyle w:val="Tabletext"/>
            </w:pPr>
            <w:r w:rsidRPr="000E57E3">
              <w:t> </w:t>
            </w:r>
          </w:p>
        </w:tc>
        <w:tc>
          <w:tcPr>
            <w:tcW w:w="0" w:type="auto"/>
            <w:vAlign w:val="bottom"/>
          </w:tcPr>
          <w:p w14:paraId="076ABD0B" w14:textId="0F609185" w:rsidR="008A6844" w:rsidRPr="000E57E3" w:rsidRDefault="008A6844" w:rsidP="000E57E3">
            <w:pPr>
              <w:pStyle w:val="Tabletext"/>
            </w:pPr>
            <w:r w:rsidRPr="000E57E3">
              <w:t> </w:t>
            </w:r>
          </w:p>
        </w:tc>
        <w:tc>
          <w:tcPr>
            <w:tcW w:w="0" w:type="auto"/>
            <w:vAlign w:val="bottom"/>
          </w:tcPr>
          <w:p w14:paraId="24E2F7C2" w14:textId="06BB4CA0" w:rsidR="008A6844" w:rsidRPr="000E57E3" w:rsidRDefault="008A6844" w:rsidP="000E57E3">
            <w:pPr>
              <w:pStyle w:val="Tabletext"/>
            </w:pPr>
            <w:r w:rsidRPr="000E57E3">
              <w:t> </w:t>
            </w:r>
          </w:p>
        </w:tc>
        <w:tc>
          <w:tcPr>
            <w:tcW w:w="0" w:type="auto"/>
            <w:vAlign w:val="bottom"/>
          </w:tcPr>
          <w:p w14:paraId="3247A020" w14:textId="5A77372B" w:rsidR="008A6844" w:rsidRPr="000E57E3" w:rsidRDefault="008A6844" w:rsidP="000E57E3">
            <w:pPr>
              <w:pStyle w:val="Tabletext"/>
            </w:pPr>
            <w:r w:rsidRPr="000E57E3">
              <w:t> </w:t>
            </w:r>
          </w:p>
        </w:tc>
        <w:tc>
          <w:tcPr>
            <w:tcW w:w="0" w:type="auto"/>
            <w:vAlign w:val="bottom"/>
          </w:tcPr>
          <w:p w14:paraId="00D6AC84" w14:textId="2A8C4A6F" w:rsidR="008A6844" w:rsidRPr="000E57E3" w:rsidRDefault="008A6844" w:rsidP="000E57E3">
            <w:pPr>
              <w:pStyle w:val="Tabletext"/>
            </w:pPr>
            <w:r w:rsidRPr="000E57E3">
              <w:t>Exemplar</w:t>
            </w:r>
          </w:p>
        </w:tc>
      </w:tr>
      <w:tr w:rsidR="00776CCE" w:rsidRPr="008A6844" w14:paraId="42A05429" w14:textId="77777777" w:rsidTr="00CA44B7">
        <w:tc>
          <w:tcPr>
            <w:tcW w:w="0" w:type="auto"/>
            <w:vAlign w:val="bottom"/>
          </w:tcPr>
          <w:p w14:paraId="3DBD69DA" w14:textId="1BC98BF4" w:rsidR="008A6844" w:rsidRPr="000E57E3" w:rsidRDefault="008A6844" w:rsidP="000E57E3">
            <w:pPr>
              <w:pStyle w:val="Tabletext"/>
            </w:pPr>
            <w:r w:rsidRPr="000E57E3">
              <w:t>WRAP53</w:t>
            </w:r>
          </w:p>
        </w:tc>
        <w:tc>
          <w:tcPr>
            <w:tcW w:w="0" w:type="auto"/>
            <w:vAlign w:val="bottom"/>
          </w:tcPr>
          <w:p w14:paraId="2692B161" w14:textId="1E0AC810" w:rsidR="008A6844" w:rsidRPr="000E57E3" w:rsidRDefault="008A6844" w:rsidP="000E57E3">
            <w:pPr>
              <w:pStyle w:val="Tabletext"/>
            </w:pPr>
            <w:r w:rsidRPr="000E57E3">
              <w:t>Y</w:t>
            </w:r>
          </w:p>
        </w:tc>
        <w:tc>
          <w:tcPr>
            <w:tcW w:w="0" w:type="auto"/>
            <w:vAlign w:val="bottom"/>
          </w:tcPr>
          <w:p w14:paraId="64ABA044" w14:textId="1EA9DF0A" w:rsidR="008A6844" w:rsidRPr="000E57E3" w:rsidRDefault="008A6844" w:rsidP="000E57E3">
            <w:pPr>
              <w:pStyle w:val="Tabletext"/>
            </w:pPr>
            <w:r w:rsidRPr="000E57E3">
              <w:t> </w:t>
            </w:r>
          </w:p>
        </w:tc>
        <w:tc>
          <w:tcPr>
            <w:tcW w:w="0" w:type="auto"/>
            <w:vAlign w:val="bottom"/>
          </w:tcPr>
          <w:p w14:paraId="27303C3A" w14:textId="75DE3236" w:rsidR="008A6844" w:rsidRPr="000E57E3" w:rsidRDefault="008A6844" w:rsidP="000E57E3">
            <w:pPr>
              <w:pStyle w:val="Tabletext"/>
            </w:pPr>
            <w:r w:rsidRPr="000E57E3">
              <w:t> </w:t>
            </w:r>
          </w:p>
        </w:tc>
        <w:tc>
          <w:tcPr>
            <w:tcW w:w="0" w:type="auto"/>
            <w:vAlign w:val="bottom"/>
          </w:tcPr>
          <w:p w14:paraId="008349A7" w14:textId="68392891" w:rsidR="008A6844" w:rsidRPr="000E57E3" w:rsidRDefault="008A6844" w:rsidP="000E57E3">
            <w:pPr>
              <w:pStyle w:val="Tabletext"/>
            </w:pPr>
            <w:r w:rsidRPr="000E57E3">
              <w:t> </w:t>
            </w:r>
          </w:p>
        </w:tc>
        <w:tc>
          <w:tcPr>
            <w:tcW w:w="0" w:type="auto"/>
            <w:vAlign w:val="bottom"/>
          </w:tcPr>
          <w:p w14:paraId="47AD3135" w14:textId="73D632B1" w:rsidR="008A6844" w:rsidRPr="000E57E3" w:rsidRDefault="008A6844" w:rsidP="000E57E3">
            <w:pPr>
              <w:pStyle w:val="Tabletext"/>
            </w:pPr>
            <w:r w:rsidRPr="000E57E3">
              <w:t> </w:t>
            </w:r>
          </w:p>
        </w:tc>
        <w:tc>
          <w:tcPr>
            <w:tcW w:w="0" w:type="auto"/>
            <w:vAlign w:val="bottom"/>
          </w:tcPr>
          <w:p w14:paraId="5A45982B" w14:textId="7B639F57" w:rsidR="008A6844" w:rsidRPr="000E57E3" w:rsidRDefault="008A6844" w:rsidP="000E57E3">
            <w:pPr>
              <w:pStyle w:val="Tabletext"/>
            </w:pPr>
            <w:r w:rsidRPr="000E57E3">
              <w:t> </w:t>
            </w:r>
          </w:p>
        </w:tc>
        <w:tc>
          <w:tcPr>
            <w:tcW w:w="0" w:type="auto"/>
            <w:vAlign w:val="bottom"/>
          </w:tcPr>
          <w:p w14:paraId="3AEB8DBA" w14:textId="37E4D44D" w:rsidR="008A6844" w:rsidRPr="000E57E3" w:rsidRDefault="008A6844" w:rsidP="000E57E3">
            <w:pPr>
              <w:pStyle w:val="Tabletext"/>
            </w:pPr>
            <w:r w:rsidRPr="000E57E3">
              <w:t> </w:t>
            </w:r>
          </w:p>
        </w:tc>
        <w:tc>
          <w:tcPr>
            <w:tcW w:w="0" w:type="auto"/>
            <w:vAlign w:val="bottom"/>
          </w:tcPr>
          <w:p w14:paraId="79A8E5D1" w14:textId="60B16603" w:rsidR="008A6844" w:rsidRPr="000E57E3" w:rsidRDefault="008A6844" w:rsidP="000E57E3">
            <w:pPr>
              <w:pStyle w:val="Tabletext"/>
            </w:pPr>
            <w:r w:rsidRPr="000E57E3">
              <w:t> </w:t>
            </w:r>
          </w:p>
        </w:tc>
        <w:tc>
          <w:tcPr>
            <w:tcW w:w="0" w:type="auto"/>
            <w:vAlign w:val="bottom"/>
          </w:tcPr>
          <w:p w14:paraId="5F858D8B" w14:textId="10A36B57" w:rsidR="008A6844" w:rsidRPr="000E57E3" w:rsidRDefault="008A6844" w:rsidP="000E57E3">
            <w:pPr>
              <w:pStyle w:val="Tabletext"/>
            </w:pPr>
            <w:r w:rsidRPr="000E57E3">
              <w:t> </w:t>
            </w:r>
          </w:p>
        </w:tc>
        <w:tc>
          <w:tcPr>
            <w:tcW w:w="0" w:type="auto"/>
            <w:vAlign w:val="bottom"/>
          </w:tcPr>
          <w:p w14:paraId="2193E8D6" w14:textId="6859B1CF" w:rsidR="008A6844" w:rsidRPr="000E57E3" w:rsidRDefault="008A6844" w:rsidP="000E57E3">
            <w:pPr>
              <w:pStyle w:val="Tabletext"/>
            </w:pPr>
            <w:r w:rsidRPr="000E57E3">
              <w:t> </w:t>
            </w:r>
          </w:p>
        </w:tc>
        <w:tc>
          <w:tcPr>
            <w:tcW w:w="0" w:type="auto"/>
            <w:vAlign w:val="bottom"/>
          </w:tcPr>
          <w:p w14:paraId="42581D54" w14:textId="54073DCC" w:rsidR="008A6844" w:rsidRPr="000E57E3" w:rsidRDefault="008A6844" w:rsidP="000E57E3">
            <w:pPr>
              <w:pStyle w:val="Tabletext"/>
            </w:pPr>
            <w:r w:rsidRPr="000E57E3">
              <w:t> </w:t>
            </w:r>
          </w:p>
        </w:tc>
        <w:tc>
          <w:tcPr>
            <w:tcW w:w="0" w:type="auto"/>
            <w:vAlign w:val="bottom"/>
          </w:tcPr>
          <w:p w14:paraId="4969F336" w14:textId="34DA8EA8" w:rsidR="008A6844" w:rsidRPr="000E57E3" w:rsidRDefault="008A6844" w:rsidP="000E57E3">
            <w:pPr>
              <w:pStyle w:val="Tabletext"/>
            </w:pPr>
            <w:r w:rsidRPr="000E57E3">
              <w:t>Exemplar</w:t>
            </w:r>
          </w:p>
        </w:tc>
      </w:tr>
      <w:tr w:rsidR="00776CCE" w:rsidRPr="008A6844" w14:paraId="14C03BA4" w14:textId="77777777" w:rsidTr="00CA44B7">
        <w:tc>
          <w:tcPr>
            <w:tcW w:w="0" w:type="auto"/>
            <w:vAlign w:val="bottom"/>
          </w:tcPr>
          <w:p w14:paraId="3F3DCF2A" w14:textId="2DBCC797" w:rsidR="008A6844" w:rsidRPr="000E57E3" w:rsidRDefault="008A6844" w:rsidP="000E57E3">
            <w:pPr>
              <w:pStyle w:val="Tabletext"/>
            </w:pPr>
            <w:r w:rsidRPr="000E57E3">
              <w:t>ABL1</w:t>
            </w:r>
          </w:p>
        </w:tc>
        <w:tc>
          <w:tcPr>
            <w:tcW w:w="0" w:type="auto"/>
            <w:vAlign w:val="bottom"/>
          </w:tcPr>
          <w:p w14:paraId="4141430B" w14:textId="3E41AA7F" w:rsidR="008A6844" w:rsidRPr="000E57E3" w:rsidRDefault="008A6844" w:rsidP="000E57E3">
            <w:pPr>
              <w:pStyle w:val="Tabletext"/>
            </w:pPr>
            <w:r w:rsidRPr="000E57E3">
              <w:t> </w:t>
            </w:r>
          </w:p>
        </w:tc>
        <w:tc>
          <w:tcPr>
            <w:tcW w:w="0" w:type="auto"/>
            <w:vAlign w:val="bottom"/>
          </w:tcPr>
          <w:p w14:paraId="7FB5CD17" w14:textId="78369E47" w:rsidR="008A6844" w:rsidRPr="000E57E3" w:rsidRDefault="008A6844" w:rsidP="000E57E3">
            <w:pPr>
              <w:pStyle w:val="Tabletext"/>
            </w:pPr>
            <w:r w:rsidRPr="000E57E3">
              <w:t> </w:t>
            </w:r>
          </w:p>
        </w:tc>
        <w:tc>
          <w:tcPr>
            <w:tcW w:w="0" w:type="auto"/>
            <w:vAlign w:val="bottom"/>
          </w:tcPr>
          <w:p w14:paraId="7C89F239" w14:textId="62630952" w:rsidR="008A6844" w:rsidRPr="000E57E3" w:rsidRDefault="008A6844" w:rsidP="000E57E3">
            <w:pPr>
              <w:pStyle w:val="Tabletext"/>
            </w:pPr>
            <w:r w:rsidRPr="000E57E3">
              <w:t>Y</w:t>
            </w:r>
          </w:p>
        </w:tc>
        <w:tc>
          <w:tcPr>
            <w:tcW w:w="0" w:type="auto"/>
            <w:vAlign w:val="bottom"/>
          </w:tcPr>
          <w:p w14:paraId="531E731C" w14:textId="0C696EA0" w:rsidR="008A6844" w:rsidRPr="000E57E3" w:rsidRDefault="008A6844" w:rsidP="000E57E3">
            <w:pPr>
              <w:pStyle w:val="Tabletext"/>
            </w:pPr>
            <w:r w:rsidRPr="000E57E3">
              <w:t> </w:t>
            </w:r>
          </w:p>
        </w:tc>
        <w:tc>
          <w:tcPr>
            <w:tcW w:w="0" w:type="auto"/>
            <w:vAlign w:val="bottom"/>
          </w:tcPr>
          <w:p w14:paraId="5232E37F" w14:textId="43C5AFD0" w:rsidR="008A6844" w:rsidRPr="000E57E3" w:rsidRDefault="008A6844" w:rsidP="000E57E3">
            <w:pPr>
              <w:pStyle w:val="Tabletext"/>
            </w:pPr>
            <w:r w:rsidRPr="000E57E3">
              <w:t>Y</w:t>
            </w:r>
          </w:p>
        </w:tc>
        <w:tc>
          <w:tcPr>
            <w:tcW w:w="0" w:type="auto"/>
            <w:vAlign w:val="bottom"/>
          </w:tcPr>
          <w:p w14:paraId="054E4F50" w14:textId="11F6A78A" w:rsidR="008A6844" w:rsidRPr="000E57E3" w:rsidRDefault="008A6844" w:rsidP="000E57E3">
            <w:pPr>
              <w:pStyle w:val="Tabletext"/>
            </w:pPr>
            <w:r w:rsidRPr="000E57E3">
              <w:t> </w:t>
            </w:r>
          </w:p>
        </w:tc>
        <w:tc>
          <w:tcPr>
            <w:tcW w:w="0" w:type="auto"/>
            <w:vAlign w:val="bottom"/>
          </w:tcPr>
          <w:p w14:paraId="2845712D" w14:textId="3E861EF7" w:rsidR="008A6844" w:rsidRPr="000E57E3" w:rsidRDefault="008A6844" w:rsidP="000E57E3">
            <w:pPr>
              <w:pStyle w:val="Tabletext"/>
            </w:pPr>
            <w:r w:rsidRPr="000E57E3">
              <w:t>Y</w:t>
            </w:r>
          </w:p>
        </w:tc>
        <w:tc>
          <w:tcPr>
            <w:tcW w:w="0" w:type="auto"/>
            <w:vAlign w:val="bottom"/>
          </w:tcPr>
          <w:p w14:paraId="0B139F45" w14:textId="3A5ECEA9" w:rsidR="008A6844" w:rsidRPr="000E57E3" w:rsidRDefault="008A6844" w:rsidP="000E57E3">
            <w:pPr>
              <w:pStyle w:val="Tabletext"/>
            </w:pPr>
            <w:r w:rsidRPr="000E57E3">
              <w:t> </w:t>
            </w:r>
          </w:p>
        </w:tc>
        <w:tc>
          <w:tcPr>
            <w:tcW w:w="0" w:type="auto"/>
            <w:vAlign w:val="bottom"/>
          </w:tcPr>
          <w:p w14:paraId="0AD1DE54" w14:textId="622AF692" w:rsidR="008A6844" w:rsidRPr="000E57E3" w:rsidRDefault="008A6844" w:rsidP="000E57E3">
            <w:pPr>
              <w:pStyle w:val="Tabletext"/>
            </w:pPr>
            <w:r w:rsidRPr="000E57E3">
              <w:t>Y</w:t>
            </w:r>
          </w:p>
        </w:tc>
        <w:tc>
          <w:tcPr>
            <w:tcW w:w="0" w:type="auto"/>
            <w:vAlign w:val="bottom"/>
          </w:tcPr>
          <w:p w14:paraId="304B0233" w14:textId="25421C54" w:rsidR="008A6844" w:rsidRPr="000E57E3" w:rsidRDefault="008A6844" w:rsidP="000E57E3">
            <w:pPr>
              <w:pStyle w:val="Tabletext"/>
            </w:pPr>
            <w:r w:rsidRPr="000E57E3">
              <w:t> </w:t>
            </w:r>
          </w:p>
        </w:tc>
        <w:tc>
          <w:tcPr>
            <w:tcW w:w="0" w:type="auto"/>
            <w:vAlign w:val="bottom"/>
          </w:tcPr>
          <w:p w14:paraId="48A03585" w14:textId="74457B75" w:rsidR="008A6844" w:rsidRPr="000E57E3" w:rsidRDefault="008A6844" w:rsidP="000E57E3">
            <w:pPr>
              <w:pStyle w:val="Tabletext"/>
            </w:pPr>
            <w:r w:rsidRPr="000E57E3">
              <w:t>Y</w:t>
            </w:r>
          </w:p>
        </w:tc>
        <w:tc>
          <w:tcPr>
            <w:tcW w:w="0" w:type="auto"/>
            <w:vAlign w:val="bottom"/>
          </w:tcPr>
          <w:p w14:paraId="453204BC" w14:textId="289E3982" w:rsidR="008A6844" w:rsidRPr="000E57E3" w:rsidRDefault="008A6844" w:rsidP="000E57E3">
            <w:pPr>
              <w:pStyle w:val="Tabletext"/>
            </w:pPr>
            <w:r w:rsidRPr="000E57E3">
              <w:t>Facilitated</w:t>
            </w:r>
          </w:p>
        </w:tc>
      </w:tr>
      <w:tr w:rsidR="00776CCE" w:rsidRPr="008A6844" w14:paraId="7BC73CAA" w14:textId="77777777" w:rsidTr="00CA44B7">
        <w:tc>
          <w:tcPr>
            <w:tcW w:w="0" w:type="auto"/>
            <w:vAlign w:val="bottom"/>
          </w:tcPr>
          <w:p w14:paraId="75C977F0" w14:textId="256F2D9C" w:rsidR="008A6844" w:rsidRPr="000E57E3" w:rsidRDefault="008A6844" w:rsidP="000E57E3">
            <w:pPr>
              <w:pStyle w:val="Tabletext"/>
            </w:pPr>
            <w:r w:rsidRPr="000E57E3">
              <w:t>ACD</w:t>
            </w:r>
          </w:p>
        </w:tc>
        <w:tc>
          <w:tcPr>
            <w:tcW w:w="0" w:type="auto"/>
            <w:vAlign w:val="bottom"/>
          </w:tcPr>
          <w:p w14:paraId="4D0B383C" w14:textId="35358A39" w:rsidR="008A6844" w:rsidRPr="000E57E3" w:rsidRDefault="008A6844" w:rsidP="000E57E3">
            <w:pPr>
              <w:pStyle w:val="Tabletext"/>
            </w:pPr>
            <w:r w:rsidRPr="000E57E3">
              <w:t> </w:t>
            </w:r>
          </w:p>
        </w:tc>
        <w:tc>
          <w:tcPr>
            <w:tcW w:w="0" w:type="auto"/>
            <w:vAlign w:val="bottom"/>
          </w:tcPr>
          <w:p w14:paraId="42792DFD" w14:textId="62046A4C" w:rsidR="008A6844" w:rsidRPr="000E57E3" w:rsidRDefault="008A6844" w:rsidP="000E57E3">
            <w:pPr>
              <w:pStyle w:val="Tabletext"/>
            </w:pPr>
            <w:r w:rsidRPr="000E57E3">
              <w:t> </w:t>
            </w:r>
          </w:p>
        </w:tc>
        <w:tc>
          <w:tcPr>
            <w:tcW w:w="0" w:type="auto"/>
            <w:vAlign w:val="bottom"/>
          </w:tcPr>
          <w:p w14:paraId="3DE614BB" w14:textId="5E6ECB49" w:rsidR="008A6844" w:rsidRPr="000E57E3" w:rsidRDefault="008A6844" w:rsidP="000E57E3">
            <w:pPr>
              <w:pStyle w:val="Tabletext"/>
            </w:pPr>
            <w:r w:rsidRPr="000E57E3">
              <w:t> </w:t>
            </w:r>
          </w:p>
        </w:tc>
        <w:tc>
          <w:tcPr>
            <w:tcW w:w="0" w:type="auto"/>
            <w:vAlign w:val="bottom"/>
          </w:tcPr>
          <w:p w14:paraId="3EB63143" w14:textId="5B799C04" w:rsidR="008A6844" w:rsidRPr="000E57E3" w:rsidRDefault="008A6844" w:rsidP="000E57E3">
            <w:pPr>
              <w:pStyle w:val="Tabletext"/>
            </w:pPr>
            <w:r w:rsidRPr="000E57E3">
              <w:t> </w:t>
            </w:r>
          </w:p>
        </w:tc>
        <w:tc>
          <w:tcPr>
            <w:tcW w:w="0" w:type="auto"/>
            <w:vAlign w:val="bottom"/>
          </w:tcPr>
          <w:p w14:paraId="6E8C9D52" w14:textId="63631FE4" w:rsidR="008A6844" w:rsidRPr="000E57E3" w:rsidRDefault="008A6844" w:rsidP="000E57E3">
            <w:pPr>
              <w:pStyle w:val="Tabletext"/>
            </w:pPr>
            <w:r w:rsidRPr="000E57E3">
              <w:t> </w:t>
            </w:r>
          </w:p>
        </w:tc>
        <w:tc>
          <w:tcPr>
            <w:tcW w:w="0" w:type="auto"/>
            <w:vAlign w:val="bottom"/>
          </w:tcPr>
          <w:p w14:paraId="237C45A8" w14:textId="6CCB50E2" w:rsidR="008A6844" w:rsidRPr="000E57E3" w:rsidRDefault="008A6844" w:rsidP="000E57E3">
            <w:pPr>
              <w:pStyle w:val="Tabletext"/>
            </w:pPr>
            <w:r w:rsidRPr="000E57E3">
              <w:t>Y</w:t>
            </w:r>
          </w:p>
        </w:tc>
        <w:tc>
          <w:tcPr>
            <w:tcW w:w="0" w:type="auto"/>
            <w:vAlign w:val="bottom"/>
          </w:tcPr>
          <w:p w14:paraId="7189030A" w14:textId="4EEACCE3" w:rsidR="008A6844" w:rsidRPr="000E57E3" w:rsidRDefault="008A6844" w:rsidP="000E57E3">
            <w:pPr>
              <w:pStyle w:val="Tabletext"/>
            </w:pPr>
            <w:r w:rsidRPr="000E57E3">
              <w:t> </w:t>
            </w:r>
          </w:p>
        </w:tc>
        <w:tc>
          <w:tcPr>
            <w:tcW w:w="0" w:type="auto"/>
            <w:vAlign w:val="bottom"/>
          </w:tcPr>
          <w:p w14:paraId="30467BA3" w14:textId="20C2F1C4" w:rsidR="008A6844" w:rsidRPr="000E57E3" w:rsidRDefault="008A6844" w:rsidP="000E57E3">
            <w:pPr>
              <w:pStyle w:val="Tabletext"/>
            </w:pPr>
            <w:r w:rsidRPr="000E57E3">
              <w:t> </w:t>
            </w:r>
          </w:p>
        </w:tc>
        <w:tc>
          <w:tcPr>
            <w:tcW w:w="0" w:type="auto"/>
            <w:vAlign w:val="bottom"/>
          </w:tcPr>
          <w:p w14:paraId="1B01F05D" w14:textId="71C1A2C0" w:rsidR="008A6844" w:rsidRPr="000E57E3" w:rsidRDefault="008A6844" w:rsidP="000E57E3">
            <w:pPr>
              <w:pStyle w:val="Tabletext"/>
            </w:pPr>
            <w:r w:rsidRPr="000E57E3">
              <w:t> </w:t>
            </w:r>
          </w:p>
        </w:tc>
        <w:tc>
          <w:tcPr>
            <w:tcW w:w="0" w:type="auto"/>
            <w:vAlign w:val="bottom"/>
          </w:tcPr>
          <w:p w14:paraId="346ED296" w14:textId="2C8D8295" w:rsidR="008A6844" w:rsidRPr="000E57E3" w:rsidRDefault="008A6844" w:rsidP="000E57E3">
            <w:pPr>
              <w:pStyle w:val="Tabletext"/>
            </w:pPr>
            <w:r w:rsidRPr="000E57E3">
              <w:t> </w:t>
            </w:r>
          </w:p>
        </w:tc>
        <w:tc>
          <w:tcPr>
            <w:tcW w:w="0" w:type="auto"/>
            <w:vAlign w:val="bottom"/>
          </w:tcPr>
          <w:p w14:paraId="1A91A42E" w14:textId="4BD75815" w:rsidR="008A6844" w:rsidRPr="000E57E3" w:rsidRDefault="008A6844" w:rsidP="000E57E3">
            <w:pPr>
              <w:pStyle w:val="Tabletext"/>
            </w:pPr>
            <w:r w:rsidRPr="000E57E3">
              <w:t> </w:t>
            </w:r>
          </w:p>
        </w:tc>
        <w:tc>
          <w:tcPr>
            <w:tcW w:w="0" w:type="auto"/>
            <w:vAlign w:val="bottom"/>
          </w:tcPr>
          <w:p w14:paraId="60542A76" w14:textId="1F5B022F" w:rsidR="008A6844" w:rsidRPr="000E57E3" w:rsidRDefault="008A6844" w:rsidP="000E57E3">
            <w:pPr>
              <w:pStyle w:val="Tabletext"/>
            </w:pPr>
            <w:r w:rsidRPr="000E57E3">
              <w:t>Facilitated</w:t>
            </w:r>
          </w:p>
        </w:tc>
      </w:tr>
      <w:tr w:rsidR="00776CCE" w:rsidRPr="008A6844" w14:paraId="0D2ED9C7" w14:textId="77777777" w:rsidTr="00CA44B7">
        <w:tc>
          <w:tcPr>
            <w:tcW w:w="0" w:type="auto"/>
            <w:vAlign w:val="bottom"/>
          </w:tcPr>
          <w:p w14:paraId="5EE6AB7D" w14:textId="596569FA" w:rsidR="008A6844" w:rsidRPr="000E57E3" w:rsidRDefault="008A6844" w:rsidP="000E57E3">
            <w:pPr>
              <w:pStyle w:val="Tabletext"/>
            </w:pPr>
            <w:r w:rsidRPr="000E57E3">
              <w:t>ADA2</w:t>
            </w:r>
          </w:p>
        </w:tc>
        <w:tc>
          <w:tcPr>
            <w:tcW w:w="0" w:type="auto"/>
            <w:vAlign w:val="bottom"/>
          </w:tcPr>
          <w:p w14:paraId="524DC482" w14:textId="229F8EFD" w:rsidR="008A6844" w:rsidRPr="000E57E3" w:rsidRDefault="008A6844" w:rsidP="000E57E3">
            <w:pPr>
              <w:pStyle w:val="Tabletext"/>
            </w:pPr>
            <w:r w:rsidRPr="000E57E3">
              <w:t> </w:t>
            </w:r>
          </w:p>
        </w:tc>
        <w:tc>
          <w:tcPr>
            <w:tcW w:w="0" w:type="auto"/>
            <w:vAlign w:val="bottom"/>
          </w:tcPr>
          <w:p w14:paraId="0C7890DD" w14:textId="5E3D3A5A" w:rsidR="008A6844" w:rsidRPr="000E57E3" w:rsidRDefault="008A6844" w:rsidP="000E57E3">
            <w:pPr>
              <w:pStyle w:val="Tabletext"/>
            </w:pPr>
            <w:r w:rsidRPr="000E57E3">
              <w:t> </w:t>
            </w:r>
          </w:p>
        </w:tc>
        <w:tc>
          <w:tcPr>
            <w:tcW w:w="0" w:type="auto"/>
            <w:vAlign w:val="bottom"/>
          </w:tcPr>
          <w:p w14:paraId="085A1567" w14:textId="6DF4829B" w:rsidR="008A6844" w:rsidRPr="000E57E3" w:rsidRDefault="008A6844" w:rsidP="000E57E3">
            <w:pPr>
              <w:pStyle w:val="Tabletext"/>
            </w:pPr>
            <w:r w:rsidRPr="000E57E3">
              <w:t> </w:t>
            </w:r>
          </w:p>
        </w:tc>
        <w:tc>
          <w:tcPr>
            <w:tcW w:w="0" w:type="auto"/>
            <w:vAlign w:val="bottom"/>
          </w:tcPr>
          <w:p w14:paraId="02F3BCDB" w14:textId="5843746F" w:rsidR="008A6844" w:rsidRPr="000E57E3" w:rsidRDefault="008A6844" w:rsidP="000E57E3">
            <w:pPr>
              <w:pStyle w:val="Tabletext"/>
            </w:pPr>
            <w:r w:rsidRPr="000E57E3">
              <w:t> </w:t>
            </w:r>
          </w:p>
        </w:tc>
        <w:tc>
          <w:tcPr>
            <w:tcW w:w="0" w:type="auto"/>
            <w:vAlign w:val="bottom"/>
          </w:tcPr>
          <w:p w14:paraId="5BA0C605" w14:textId="2ED6B78B" w:rsidR="008A6844" w:rsidRPr="000E57E3" w:rsidRDefault="008A6844" w:rsidP="000E57E3">
            <w:pPr>
              <w:pStyle w:val="Tabletext"/>
            </w:pPr>
            <w:r w:rsidRPr="000E57E3">
              <w:t> </w:t>
            </w:r>
          </w:p>
        </w:tc>
        <w:tc>
          <w:tcPr>
            <w:tcW w:w="0" w:type="auto"/>
            <w:vAlign w:val="bottom"/>
          </w:tcPr>
          <w:p w14:paraId="41D98AF4" w14:textId="7E4C1494" w:rsidR="008A6844" w:rsidRPr="000E57E3" w:rsidRDefault="008A6844" w:rsidP="000E57E3">
            <w:pPr>
              <w:pStyle w:val="Tabletext"/>
            </w:pPr>
            <w:r w:rsidRPr="000E57E3">
              <w:t>Y</w:t>
            </w:r>
          </w:p>
        </w:tc>
        <w:tc>
          <w:tcPr>
            <w:tcW w:w="0" w:type="auto"/>
            <w:vAlign w:val="bottom"/>
          </w:tcPr>
          <w:p w14:paraId="51B49B04" w14:textId="47BE5DBD" w:rsidR="008A6844" w:rsidRPr="000E57E3" w:rsidRDefault="008A6844" w:rsidP="000E57E3">
            <w:pPr>
              <w:pStyle w:val="Tabletext"/>
            </w:pPr>
            <w:r w:rsidRPr="000E57E3">
              <w:t> </w:t>
            </w:r>
          </w:p>
        </w:tc>
        <w:tc>
          <w:tcPr>
            <w:tcW w:w="0" w:type="auto"/>
            <w:vAlign w:val="bottom"/>
          </w:tcPr>
          <w:p w14:paraId="18ABC345" w14:textId="6D1EEBC2" w:rsidR="008A6844" w:rsidRPr="000E57E3" w:rsidRDefault="008A6844" w:rsidP="000E57E3">
            <w:pPr>
              <w:pStyle w:val="Tabletext"/>
            </w:pPr>
            <w:r w:rsidRPr="000E57E3">
              <w:t> </w:t>
            </w:r>
          </w:p>
        </w:tc>
        <w:tc>
          <w:tcPr>
            <w:tcW w:w="0" w:type="auto"/>
            <w:vAlign w:val="bottom"/>
          </w:tcPr>
          <w:p w14:paraId="106EE73D" w14:textId="564751FC" w:rsidR="008A6844" w:rsidRPr="000E57E3" w:rsidRDefault="008A6844" w:rsidP="000E57E3">
            <w:pPr>
              <w:pStyle w:val="Tabletext"/>
            </w:pPr>
            <w:r w:rsidRPr="000E57E3">
              <w:t> </w:t>
            </w:r>
          </w:p>
        </w:tc>
        <w:tc>
          <w:tcPr>
            <w:tcW w:w="0" w:type="auto"/>
            <w:vAlign w:val="bottom"/>
          </w:tcPr>
          <w:p w14:paraId="09A9D958" w14:textId="09210897" w:rsidR="008A6844" w:rsidRPr="000E57E3" w:rsidRDefault="008A6844" w:rsidP="000E57E3">
            <w:pPr>
              <w:pStyle w:val="Tabletext"/>
            </w:pPr>
            <w:r w:rsidRPr="000E57E3">
              <w:t> </w:t>
            </w:r>
          </w:p>
        </w:tc>
        <w:tc>
          <w:tcPr>
            <w:tcW w:w="0" w:type="auto"/>
            <w:vAlign w:val="bottom"/>
          </w:tcPr>
          <w:p w14:paraId="5403B1B3" w14:textId="53534CBD" w:rsidR="008A6844" w:rsidRPr="000E57E3" w:rsidRDefault="008A6844" w:rsidP="000E57E3">
            <w:pPr>
              <w:pStyle w:val="Tabletext"/>
            </w:pPr>
            <w:r w:rsidRPr="000E57E3">
              <w:t> </w:t>
            </w:r>
          </w:p>
        </w:tc>
        <w:tc>
          <w:tcPr>
            <w:tcW w:w="0" w:type="auto"/>
            <w:vAlign w:val="bottom"/>
          </w:tcPr>
          <w:p w14:paraId="2CC50ABA" w14:textId="3DB3DE3B" w:rsidR="008A6844" w:rsidRPr="000E57E3" w:rsidRDefault="008A6844" w:rsidP="000E57E3">
            <w:pPr>
              <w:pStyle w:val="Tabletext"/>
            </w:pPr>
            <w:r w:rsidRPr="000E57E3">
              <w:t>Facilitated</w:t>
            </w:r>
          </w:p>
        </w:tc>
      </w:tr>
      <w:tr w:rsidR="00776CCE" w:rsidRPr="008A6844" w14:paraId="3F402B0C" w14:textId="77777777" w:rsidTr="00CA44B7">
        <w:tc>
          <w:tcPr>
            <w:tcW w:w="0" w:type="auto"/>
            <w:vAlign w:val="bottom"/>
          </w:tcPr>
          <w:p w14:paraId="3BDE790B" w14:textId="1BC03D7C" w:rsidR="008A6844" w:rsidRPr="000E57E3" w:rsidRDefault="008A6844" w:rsidP="000E57E3">
            <w:pPr>
              <w:pStyle w:val="Tabletext"/>
            </w:pPr>
            <w:r w:rsidRPr="000E57E3">
              <w:t>ARAF</w:t>
            </w:r>
          </w:p>
        </w:tc>
        <w:tc>
          <w:tcPr>
            <w:tcW w:w="0" w:type="auto"/>
            <w:vAlign w:val="bottom"/>
          </w:tcPr>
          <w:p w14:paraId="60D66F70" w14:textId="39037485" w:rsidR="008A6844" w:rsidRPr="000E57E3" w:rsidRDefault="008A6844" w:rsidP="000E57E3">
            <w:pPr>
              <w:pStyle w:val="Tabletext"/>
            </w:pPr>
            <w:r w:rsidRPr="000E57E3">
              <w:t> </w:t>
            </w:r>
          </w:p>
        </w:tc>
        <w:tc>
          <w:tcPr>
            <w:tcW w:w="0" w:type="auto"/>
            <w:vAlign w:val="bottom"/>
          </w:tcPr>
          <w:p w14:paraId="1D7E10BA" w14:textId="5499EE2D" w:rsidR="008A6844" w:rsidRPr="000E57E3" w:rsidRDefault="008A6844" w:rsidP="000E57E3">
            <w:pPr>
              <w:pStyle w:val="Tabletext"/>
            </w:pPr>
            <w:r w:rsidRPr="000E57E3">
              <w:t> </w:t>
            </w:r>
          </w:p>
        </w:tc>
        <w:tc>
          <w:tcPr>
            <w:tcW w:w="0" w:type="auto"/>
            <w:vAlign w:val="bottom"/>
          </w:tcPr>
          <w:p w14:paraId="08547EC6" w14:textId="305328B6" w:rsidR="008A6844" w:rsidRPr="000E57E3" w:rsidRDefault="008A6844" w:rsidP="000E57E3">
            <w:pPr>
              <w:pStyle w:val="Tabletext"/>
            </w:pPr>
            <w:r w:rsidRPr="000E57E3">
              <w:t> </w:t>
            </w:r>
          </w:p>
        </w:tc>
        <w:tc>
          <w:tcPr>
            <w:tcW w:w="0" w:type="auto"/>
            <w:vAlign w:val="bottom"/>
          </w:tcPr>
          <w:p w14:paraId="2C90252F" w14:textId="014DAB55" w:rsidR="008A6844" w:rsidRPr="000E57E3" w:rsidRDefault="008A6844" w:rsidP="000E57E3">
            <w:pPr>
              <w:pStyle w:val="Tabletext"/>
            </w:pPr>
            <w:r w:rsidRPr="000E57E3">
              <w:t> </w:t>
            </w:r>
          </w:p>
        </w:tc>
        <w:tc>
          <w:tcPr>
            <w:tcW w:w="0" w:type="auto"/>
            <w:vAlign w:val="bottom"/>
          </w:tcPr>
          <w:p w14:paraId="30EF38D8" w14:textId="1BB28DDC" w:rsidR="008A6844" w:rsidRPr="000E57E3" w:rsidRDefault="008A6844" w:rsidP="000E57E3">
            <w:pPr>
              <w:pStyle w:val="Tabletext"/>
            </w:pPr>
            <w:r w:rsidRPr="000E57E3">
              <w:t> </w:t>
            </w:r>
          </w:p>
        </w:tc>
        <w:tc>
          <w:tcPr>
            <w:tcW w:w="0" w:type="auto"/>
            <w:vAlign w:val="bottom"/>
          </w:tcPr>
          <w:p w14:paraId="646475DB" w14:textId="2BF8EA52" w:rsidR="008A6844" w:rsidRPr="000E57E3" w:rsidRDefault="008A6844" w:rsidP="000E57E3">
            <w:pPr>
              <w:pStyle w:val="Tabletext"/>
            </w:pPr>
            <w:r w:rsidRPr="000E57E3">
              <w:t> </w:t>
            </w:r>
          </w:p>
        </w:tc>
        <w:tc>
          <w:tcPr>
            <w:tcW w:w="0" w:type="auto"/>
            <w:vAlign w:val="bottom"/>
          </w:tcPr>
          <w:p w14:paraId="7D0A4605" w14:textId="07421004" w:rsidR="008A6844" w:rsidRPr="000E57E3" w:rsidRDefault="008A6844" w:rsidP="000E57E3">
            <w:pPr>
              <w:pStyle w:val="Tabletext"/>
            </w:pPr>
            <w:r w:rsidRPr="000E57E3">
              <w:t>Y</w:t>
            </w:r>
          </w:p>
        </w:tc>
        <w:tc>
          <w:tcPr>
            <w:tcW w:w="0" w:type="auto"/>
            <w:vAlign w:val="bottom"/>
          </w:tcPr>
          <w:p w14:paraId="0E2D2A80" w14:textId="0C6D1879" w:rsidR="008A6844" w:rsidRPr="000E57E3" w:rsidRDefault="008A6844" w:rsidP="000E57E3">
            <w:pPr>
              <w:pStyle w:val="Tabletext"/>
            </w:pPr>
            <w:r w:rsidRPr="000E57E3">
              <w:t> </w:t>
            </w:r>
          </w:p>
        </w:tc>
        <w:tc>
          <w:tcPr>
            <w:tcW w:w="0" w:type="auto"/>
            <w:vAlign w:val="bottom"/>
          </w:tcPr>
          <w:p w14:paraId="75C42D90" w14:textId="50509FD4" w:rsidR="008A6844" w:rsidRPr="000E57E3" w:rsidRDefault="008A6844" w:rsidP="000E57E3">
            <w:pPr>
              <w:pStyle w:val="Tabletext"/>
            </w:pPr>
            <w:r w:rsidRPr="000E57E3">
              <w:t> </w:t>
            </w:r>
          </w:p>
        </w:tc>
        <w:tc>
          <w:tcPr>
            <w:tcW w:w="0" w:type="auto"/>
            <w:vAlign w:val="bottom"/>
          </w:tcPr>
          <w:p w14:paraId="0214EEF1" w14:textId="40105D3F" w:rsidR="008A6844" w:rsidRPr="000E57E3" w:rsidRDefault="008A6844" w:rsidP="000E57E3">
            <w:pPr>
              <w:pStyle w:val="Tabletext"/>
            </w:pPr>
            <w:r w:rsidRPr="000E57E3">
              <w:t> </w:t>
            </w:r>
          </w:p>
        </w:tc>
        <w:tc>
          <w:tcPr>
            <w:tcW w:w="0" w:type="auto"/>
            <w:vAlign w:val="bottom"/>
          </w:tcPr>
          <w:p w14:paraId="781F5051" w14:textId="4ED61825" w:rsidR="008A6844" w:rsidRPr="000E57E3" w:rsidRDefault="008A6844" w:rsidP="000E57E3">
            <w:pPr>
              <w:pStyle w:val="Tabletext"/>
            </w:pPr>
            <w:r w:rsidRPr="000E57E3">
              <w:t> </w:t>
            </w:r>
          </w:p>
        </w:tc>
        <w:tc>
          <w:tcPr>
            <w:tcW w:w="0" w:type="auto"/>
            <w:vAlign w:val="bottom"/>
          </w:tcPr>
          <w:p w14:paraId="6459192E" w14:textId="0669309E" w:rsidR="008A6844" w:rsidRPr="000E57E3" w:rsidRDefault="008A6844" w:rsidP="000E57E3">
            <w:pPr>
              <w:pStyle w:val="Tabletext"/>
            </w:pPr>
            <w:r w:rsidRPr="000E57E3">
              <w:t>Facilitated</w:t>
            </w:r>
          </w:p>
        </w:tc>
      </w:tr>
      <w:tr w:rsidR="00776CCE" w:rsidRPr="008A6844" w14:paraId="3F49C29E" w14:textId="77777777" w:rsidTr="00CA44B7">
        <w:tc>
          <w:tcPr>
            <w:tcW w:w="0" w:type="auto"/>
            <w:vAlign w:val="bottom"/>
          </w:tcPr>
          <w:p w14:paraId="35B04FCE" w14:textId="0BBBEFC8" w:rsidR="008A6844" w:rsidRPr="000E57E3" w:rsidRDefault="008A6844" w:rsidP="000E57E3">
            <w:pPr>
              <w:pStyle w:val="Tabletext"/>
            </w:pPr>
            <w:r w:rsidRPr="000E57E3">
              <w:t>ARID1A</w:t>
            </w:r>
          </w:p>
        </w:tc>
        <w:tc>
          <w:tcPr>
            <w:tcW w:w="0" w:type="auto"/>
            <w:vAlign w:val="bottom"/>
          </w:tcPr>
          <w:p w14:paraId="47F25E6A" w14:textId="43EA90F7" w:rsidR="008A6844" w:rsidRPr="000E57E3" w:rsidRDefault="008A6844" w:rsidP="000E57E3">
            <w:pPr>
              <w:pStyle w:val="Tabletext"/>
            </w:pPr>
            <w:r w:rsidRPr="000E57E3">
              <w:t> </w:t>
            </w:r>
          </w:p>
        </w:tc>
        <w:tc>
          <w:tcPr>
            <w:tcW w:w="0" w:type="auto"/>
            <w:vAlign w:val="bottom"/>
          </w:tcPr>
          <w:p w14:paraId="381CD469" w14:textId="18C82E3F" w:rsidR="008A6844" w:rsidRPr="000E57E3" w:rsidRDefault="008A6844" w:rsidP="000E57E3">
            <w:pPr>
              <w:pStyle w:val="Tabletext"/>
            </w:pPr>
            <w:r w:rsidRPr="000E57E3">
              <w:t> </w:t>
            </w:r>
          </w:p>
        </w:tc>
        <w:tc>
          <w:tcPr>
            <w:tcW w:w="0" w:type="auto"/>
            <w:vAlign w:val="bottom"/>
          </w:tcPr>
          <w:p w14:paraId="450D9A0F" w14:textId="52A2EA8C" w:rsidR="008A6844" w:rsidRPr="000E57E3" w:rsidRDefault="008A6844" w:rsidP="000E57E3">
            <w:pPr>
              <w:pStyle w:val="Tabletext"/>
            </w:pPr>
            <w:r w:rsidRPr="000E57E3">
              <w:t> </w:t>
            </w:r>
          </w:p>
        </w:tc>
        <w:tc>
          <w:tcPr>
            <w:tcW w:w="0" w:type="auto"/>
            <w:vAlign w:val="bottom"/>
          </w:tcPr>
          <w:p w14:paraId="35DC0A17" w14:textId="4F0CD786" w:rsidR="008A6844" w:rsidRPr="000E57E3" w:rsidRDefault="008A6844" w:rsidP="000E57E3">
            <w:pPr>
              <w:pStyle w:val="Tabletext"/>
            </w:pPr>
            <w:r w:rsidRPr="000E57E3">
              <w:t>Y</w:t>
            </w:r>
          </w:p>
        </w:tc>
        <w:tc>
          <w:tcPr>
            <w:tcW w:w="0" w:type="auto"/>
            <w:vAlign w:val="bottom"/>
          </w:tcPr>
          <w:p w14:paraId="557BE99F" w14:textId="3AB50147" w:rsidR="008A6844" w:rsidRPr="000E57E3" w:rsidRDefault="008A6844" w:rsidP="000E57E3">
            <w:pPr>
              <w:pStyle w:val="Tabletext"/>
            </w:pPr>
            <w:r w:rsidRPr="000E57E3">
              <w:t> </w:t>
            </w:r>
          </w:p>
        </w:tc>
        <w:tc>
          <w:tcPr>
            <w:tcW w:w="0" w:type="auto"/>
            <w:vAlign w:val="bottom"/>
          </w:tcPr>
          <w:p w14:paraId="0DBE6DBA" w14:textId="4CFED337" w:rsidR="008A6844" w:rsidRPr="000E57E3" w:rsidRDefault="008A6844" w:rsidP="000E57E3">
            <w:pPr>
              <w:pStyle w:val="Tabletext"/>
            </w:pPr>
            <w:r w:rsidRPr="000E57E3">
              <w:t> </w:t>
            </w:r>
          </w:p>
        </w:tc>
        <w:tc>
          <w:tcPr>
            <w:tcW w:w="0" w:type="auto"/>
            <w:vAlign w:val="bottom"/>
          </w:tcPr>
          <w:p w14:paraId="5D8440CD" w14:textId="66F9B753" w:rsidR="008A6844" w:rsidRPr="000E57E3" w:rsidRDefault="008A6844" w:rsidP="000E57E3">
            <w:pPr>
              <w:pStyle w:val="Tabletext"/>
            </w:pPr>
            <w:r w:rsidRPr="000E57E3">
              <w:t> </w:t>
            </w:r>
          </w:p>
        </w:tc>
        <w:tc>
          <w:tcPr>
            <w:tcW w:w="0" w:type="auto"/>
            <w:vAlign w:val="bottom"/>
          </w:tcPr>
          <w:p w14:paraId="35B6D635" w14:textId="14FADCE5" w:rsidR="008A6844" w:rsidRPr="000E57E3" w:rsidRDefault="008A6844" w:rsidP="000E57E3">
            <w:pPr>
              <w:pStyle w:val="Tabletext"/>
            </w:pPr>
            <w:r w:rsidRPr="000E57E3">
              <w:t>Y</w:t>
            </w:r>
          </w:p>
        </w:tc>
        <w:tc>
          <w:tcPr>
            <w:tcW w:w="0" w:type="auto"/>
            <w:vAlign w:val="bottom"/>
          </w:tcPr>
          <w:p w14:paraId="42449202" w14:textId="76F90CB0" w:rsidR="008A6844" w:rsidRPr="000E57E3" w:rsidRDefault="008A6844" w:rsidP="000E57E3">
            <w:pPr>
              <w:pStyle w:val="Tabletext"/>
            </w:pPr>
            <w:r w:rsidRPr="000E57E3">
              <w:t> </w:t>
            </w:r>
          </w:p>
        </w:tc>
        <w:tc>
          <w:tcPr>
            <w:tcW w:w="0" w:type="auto"/>
            <w:vAlign w:val="bottom"/>
          </w:tcPr>
          <w:p w14:paraId="5BA24000" w14:textId="4B68B16D" w:rsidR="008A6844" w:rsidRPr="000E57E3" w:rsidRDefault="008A6844" w:rsidP="000E57E3">
            <w:pPr>
              <w:pStyle w:val="Tabletext"/>
            </w:pPr>
            <w:r w:rsidRPr="000E57E3">
              <w:t> </w:t>
            </w:r>
          </w:p>
        </w:tc>
        <w:tc>
          <w:tcPr>
            <w:tcW w:w="0" w:type="auto"/>
            <w:vAlign w:val="bottom"/>
          </w:tcPr>
          <w:p w14:paraId="7A7E21B4" w14:textId="0A6B753F" w:rsidR="008A6844" w:rsidRPr="000E57E3" w:rsidRDefault="008A6844" w:rsidP="000E57E3">
            <w:pPr>
              <w:pStyle w:val="Tabletext"/>
            </w:pPr>
            <w:r w:rsidRPr="000E57E3">
              <w:t> </w:t>
            </w:r>
          </w:p>
        </w:tc>
        <w:tc>
          <w:tcPr>
            <w:tcW w:w="0" w:type="auto"/>
            <w:vAlign w:val="bottom"/>
          </w:tcPr>
          <w:p w14:paraId="53DFF132" w14:textId="577DB2C6" w:rsidR="008A6844" w:rsidRPr="000E57E3" w:rsidRDefault="008A6844" w:rsidP="000E57E3">
            <w:pPr>
              <w:pStyle w:val="Tabletext"/>
            </w:pPr>
            <w:r w:rsidRPr="000E57E3">
              <w:t>Facilitated</w:t>
            </w:r>
          </w:p>
        </w:tc>
      </w:tr>
      <w:tr w:rsidR="00776CCE" w:rsidRPr="008A6844" w14:paraId="2F77AE37" w14:textId="77777777" w:rsidTr="00CA44B7">
        <w:tc>
          <w:tcPr>
            <w:tcW w:w="0" w:type="auto"/>
            <w:vAlign w:val="bottom"/>
          </w:tcPr>
          <w:p w14:paraId="025EDC93" w14:textId="1D632FB3" w:rsidR="008A6844" w:rsidRPr="000E57E3" w:rsidRDefault="008A6844" w:rsidP="000E57E3">
            <w:pPr>
              <w:pStyle w:val="Tabletext"/>
            </w:pPr>
            <w:r w:rsidRPr="000E57E3">
              <w:t>ATM</w:t>
            </w:r>
          </w:p>
        </w:tc>
        <w:tc>
          <w:tcPr>
            <w:tcW w:w="0" w:type="auto"/>
            <w:vAlign w:val="bottom"/>
          </w:tcPr>
          <w:p w14:paraId="0C40A994" w14:textId="0129B6F4" w:rsidR="008A6844" w:rsidRPr="000E57E3" w:rsidRDefault="008A6844" w:rsidP="000E57E3">
            <w:pPr>
              <w:pStyle w:val="Tabletext"/>
            </w:pPr>
            <w:r w:rsidRPr="000E57E3">
              <w:t> </w:t>
            </w:r>
          </w:p>
        </w:tc>
        <w:tc>
          <w:tcPr>
            <w:tcW w:w="0" w:type="auto"/>
            <w:vAlign w:val="bottom"/>
          </w:tcPr>
          <w:p w14:paraId="27B652C2" w14:textId="385C68B6" w:rsidR="008A6844" w:rsidRPr="000E57E3" w:rsidRDefault="008A6844" w:rsidP="000E57E3">
            <w:pPr>
              <w:pStyle w:val="Tabletext"/>
            </w:pPr>
            <w:r w:rsidRPr="000E57E3">
              <w:t> </w:t>
            </w:r>
          </w:p>
        </w:tc>
        <w:tc>
          <w:tcPr>
            <w:tcW w:w="0" w:type="auto"/>
            <w:vAlign w:val="bottom"/>
          </w:tcPr>
          <w:p w14:paraId="1891AB98" w14:textId="4C29DF31" w:rsidR="008A6844" w:rsidRPr="000E57E3" w:rsidRDefault="008A6844" w:rsidP="000E57E3">
            <w:pPr>
              <w:pStyle w:val="Tabletext"/>
            </w:pPr>
            <w:r w:rsidRPr="000E57E3">
              <w:t> </w:t>
            </w:r>
          </w:p>
        </w:tc>
        <w:tc>
          <w:tcPr>
            <w:tcW w:w="0" w:type="auto"/>
            <w:vAlign w:val="bottom"/>
          </w:tcPr>
          <w:p w14:paraId="2770A99E" w14:textId="7D642E44" w:rsidR="008A6844" w:rsidRPr="000E57E3" w:rsidRDefault="008A6844" w:rsidP="000E57E3">
            <w:pPr>
              <w:pStyle w:val="Tabletext"/>
            </w:pPr>
            <w:r w:rsidRPr="000E57E3">
              <w:t>Y</w:t>
            </w:r>
          </w:p>
        </w:tc>
        <w:tc>
          <w:tcPr>
            <w:tcW w:w="0" w:type="auto"/>
            <w:vAlign w:val="bottom"/>
          </w:tcPr>
          <w:p w14:paraId="2827E7DB" w14:textId="074FF43F" w:rsidR="008A6844" w:rsidRPr="000E57E3" w:rsidRDefault="008A6844" w:rsidP="000E57E3">
            <w:pPr>
              <w:pStyle w:val="Tabletext"/>
            </w:pPr>
            <w:r w:rsidRPr="000E57E3">
              <w:t> </w:t>
            </w:r>
          </w:p>
        </w:tc>
        <w:tc>
          <w:tcPr>
            <w:tcW w:w="0" w:type="auto"/>
            <w:vAlign w:val="bottom"/>
          </w:tcPr>
          <w:p w14:paraId="1DF68966" w14:textId="2159CD03" w:rsidR="008A6844" w:rsidRPr="000E57E3" w:rsidRDefault="008A6844" w:rsidP="000E57E3">
            <w:pPr>
              <w:pStyle w:val="Tabletext"/>
            </w:pPr>
            <w:r w:rsidRPr="000E57E3">
              <w:t> </w:t>
            </w:r>
          </w:p>
        </w:tc>
        <w:tc>
          <w:tcPr>
            <w:tcW w:w="0" w:type="auto"/>
            <w:vAlign w:val="bottom"/>
          </w:tcPr>
          <w:p w14:paraId="1601DF2B" w14:textId="0D1AA171" w:rsidR="008A6844" w:rsidRPr="000E57E3" w:rsidRDefault="008A6844" w:rsidP="000E57E3">
            <w:pPr>
              <w:pStyle w:val="Tabletext"/>
            </w:pPr>
            <w:r w:rsidRPr="000E57E3">
              <w:t>Y</w:t>
            </w:r>
          </w:p>
        </w:tc>
        <w:tc>
          <w:tcPr>
            <w:tcW w:w="0" w:type="auto"/>
            <w:vAlign w:val="bottom"/>
          </w:tcPr>
          <w:p w14:paraId="60DB2CEE" w14:textId="51B02C1D" w:rsidR="008A6844" w:rsidRPr="000E57E3" w:rsidRDefault="008A6844" w:rsidP="000E57E3">
            <w:pPr>
              <w:pStyle w:val="Tabletext"/>
            </w:pPr>
            <w:r w:rsidRPr="000E57E3">
              <w:t>Y</w:t>
            </w:r>
          </w:p>
        </w:tc>
        <w:tc>
          <w:tcPr>
            <w:tcW w:w="0" w:type="auto"/>
            <w:vAlign w:val="bottom"/>
          </w:tcPr>
          <w:p w14:paraId="53578069" w14:textId="6E9939FC" w:rsidR="008A6844" w:rsidRPr="000E57E3" w:rsidRDefault="008A6844" w:rsidP="000E57E3">
            <w:pPr>
              <w:pStyle w:val="Tabletext"/>
            </w:pPr>
            <w:r w:rsidRPr="000E57E3">
              <w:t> </w:t>
            </w:r>
          </w:p>
        </w:tc>
        <w:tc>
          <w:tcPr>
            <w:tcW w:w="0" w:type="auto"/>
            <w:vAlign w:val="bottom"/>
          </w:tcPr>
          <w:p w14:paraId="5EE62B7D" w14:textId="07527681" w:rsidR="008A6844" w:rsidRPr="000E57E3" w:rsidRDefault="008A6844" w:rsidP="000E57E3">
            <w:pPr>
              <w:pStyle w:val="Tabletext"/>
            </w:pPr>
            <w:r w:rsidRPr="000E57E3">
              <w:t>Y</w:t>
            </w:r>
          </w:p>
        </w:tc>
        <w:tc>
          <w:tcPr>
            <w:tcW w:w="0" w:type="auto"/>
            <w:vAlign w:val="bottom"/>
          </w:tcPr>
          <w:p w14:paraId="3F1F311A" w14:textId="0198F361" w:rsidR="008A6844" w:rsidRPr="000E57E3" w:rsidRDefault="008A6844" w:rsidP="000E57E3">
            <w:pPr>
              <w:pStyle w:val="Tabletext"/>
            </w:pPr>
            <w:r w:rsidRPr="000E57E3">
              <w:t> </w:t>
            </w:r>
          </w:p>
        </w:tc>
        <w:tc>
          <w:tcPr>
            <w:tcW w:w="0" w:type="auto"/>
            <w:vAlign w:val="bottom"/>
          </w:tcPr>
          <w:p w14:paraId="2AAB925B" w14:textId="63BD92C6" w:rsidR="008A6844" w:rsidRPr="000E57E3" w:rsidRDefault="008A6844" w:rsidP="000E57E3">
            <w:pPr>
              <w:pStyle w:val="Tabletext"/>
            </w:pPr>
            <w:r w:rsidRPr="000E57E3">
              <w:t>Facilitated</w:t>
            </w:r>
          </w:p>
        </w:tc>
      </w:tr>
      <w:tr w:rsidR="00776CCE" w:rsidRPr="008A6844" w14:paraId="07C6ABFB" w14:textId="77777777" w:rsidTr="00CA44B7">
        <w:tc>
          <w:tcPr>
            <w:tcW w:w="0" w:type="auto"/>
            <w:vAlign w:val="bottom"/>
          </w:tcPr>
          <w:p w14:paraId="2CC70063" w14:textId="6BC072A7" w:rsidR="008A6844" w:rsidRPr="000E57E3" w:rsidRDefault="008A6844" w:rsidP="000E57E3">
            <w:pPr>
              <w:pStyle w:val="Tabletext"/>
            </w:pPr>
            <w:r w:rsidRPr="000E57E3">
              <w:t>ATR</w:t>
            </w:r>
          </w:p>
        </w:tc>
        <w:tc>
          <w:tcPr>
            <w:tcW w:w="0" w:type="auto"/>
            <w:vAlign w:val="bottom"/>
          </w:tcPr>
          <w:p w14:paraId="6966A1CA" w14:textId="50FB72E5" w:rsidR="008A6844" w:rsidRPr="000E57E3" w:rsidRDefault="008A6844" w:rsidP="000E57E3">
            <w:pPr>
              <w:pStyle w:val="Tabletext"/>
            </w:pPr>
            <w:r w:rsidRPr="000E57E3">
              <w:t> </w:t>
            </w:r>
          </w:p>
        </w:tc>
        <w:tc>
          <w:tcPr>
            <w:tcW w:w="0" w:type="auto"/>
            <w:vAlign w:val="bottom"/>
          </w:tcPr>
          <w:p w14:paraId="2159BBB2" w14:textId="59738957" w:rsidR="008A6844" w:rsidRPr="000E57E3" w:rsidRDefault="008A6844" w:rsidP="000E57E3">
            <w:pPr>
              <w:pStyle w:val="Tabletext"/>
            </w:pPr>
            <w:r w:rsidRPr="000E57E3">
              <w:t> </w:t>
            </w:r>
          </w:p>
        </w:tc>
        <w:tc>
          <w:tcPr>
            <w:tcW w:w="0" w:type="auto"/>
            <w:vAlign w:val="bottom"/>
          </w:tcPr>
          <w:p w14:paraId="0A825211" w14:textId="4068B9C1" w:rsidR="008A6844" w:rsidRPr="000E57E3" w:rsidRDefault="008A6844" w:rsidP="000E57E3">
            <w:pPr>
              <w:pStyle w:val="Tabletext"/>
            </w:pPr>
            <w:r w:rsidRPr="000E57E3">
              <w:t> </w:t>
            </w:r>
          </w:p>
        </w:tc>
        <w:tc>
          <w:tcPr>
            <w:tcW w:w="0" w:type="auto"/>
            <w:vAlign w:val="bottom"/>
          </w:tcPr>
          <w:p w14:paraId="449304B5" w14:textId="0CAAF137" w:rsidR="008A6844" w:rsidRPr="000E57E3" w:rsidRDefault="008A6844" w:rsidP="000E57E3">
            <w:pPr>
              <w:pStyle w:val="Tabletext"/>
            </w:pPr>
            <w:r w:rsidRPr="000E57E3">
              <w:t> </w:t>
            </w:r>
          </w:p>
        </w:tc>
        <w:tc>
          <w:tcPr>
            <w:tcW w:w="0" w:type="auto"/>
            <w:vAlign w:val="bottom"/>
          </w:tcPr>
          <w:p w14:paraId="572865E0" w14:textId="14F48521" w:rsidR="008A6844" w:rsidRPr="000E57E3" w:rsidRDefault="008A6844" w:rsidP="000E57E3">
            <w:pPr>
              <w:pStyle w:val="Tabletext"/>
            </w:pPr>
            <w:r w:rsidRPr="000E57E3">
              <w:t> </w:t>
            </w:r>
          </w:p>
        </w:tc>
        <w:tc>
          <w:tcPr>
            <w:tcW w:w="0" w:type="auto"/>
            <w:vAlign w:val="bottom"/>
          </w:tcPr>
          <w:p w14:paraId="43D91F36" w14:textId="03A3F4AB" w:rsidR="008A6844" w:rsidRPr="000E57E3" w:rsidRDefault="008A6844" w:rsidP="000E57E3">
            <w:pPr>
              <w:pStyle w:val="Tabletext"/>
            </w:pPr>
            <w:r w:rsidRPr="000E57E3">
              <w:t> </w:t>
            </w:r>
          </w:p>
        </w:tc>
        <w:tc>
          <w:tcPr>
            <w:tcW w:w="0" w:type="auto"/>
            <w:vAlign w:val="bottom"/>
          </w:tcPr>
          <w:p w14:paraId="7B8F367A" w14:textId="43EE0802" w:rsidR="008A6844" w:rsidRPr="000E57E3" w:rsidRDefault="008A6844" w:rsidP="000E57E3">
            <w:pPr>
              <w:pStyle w:val="Tabletext"/>
            </w:pPr>
            <w:r w:rsidRPr="000E57E3">
              <w:t>Y</w:t>
            </w:r>
          </w:p>
        </w:tc>
        <w:tc>
          <w:tcPr>
            <w:tcW w:w="0" w:type="auto"/>
            <w:vAlign w:val="bottom"/>
          </w:tcPr>
          <w:p w14:paraId="4029DAAF" w14:textId="1DB5FDEF" w:rsidR="008A6844" w:rsidRPr="000E57E3" w:rsidRDefault="008A6844" w:rsidP="000E57E3">
            <w:pPr>
              <w:pStyle w:val="Tabletext"/>
            </w:pPr>
            <w:r w:rsidRPr="000E57E3">
              <w:t> </w:t>
            </w:r>
          </w:p>
        </w:tc>
        <w:tc>
          <w:tcPr>
            <w:tcW w:w="0" w:type="auto"/>
            <w:vAlign w:val="bottom"/>
          </w:tcPr>
          <w:p w14:paraId="20B748DD" w14:textId="69DB7F0E" w:rsidR="008A6844" w:rsidRPr="000E57E3" w:rsidRDefault="008A6844" w:rsidP="000E57E3">
            <w:pPr>
              <w:pStyle w:val="Tabletext"/>
            </w:pPr>
            <w:r w:rsidRPr="000E57E3">
              <w:t> </w:t>
            </w:r>
          </w:p>
        </w:tc>
        <w:tc>
          <w:tcPr>
            <w:tcW w:w="0" w:type="auto"/>
            <w:vAlign w:val="bottom"/>
          </w:tcPr>
          <w:p w14:paraId="3272FF3B" w14:textId="24A635FF" w:rsidR="008A6844" w:rsidRPr="000E57E3" w:rsidRDefault="008A6844" w:rsidP="000E57E3">
            <w:pPr>
              <w:pStyle w:val="Tabletext"/>
            </w:pPr>
            <w:r w:rsidRPr="000E57E3">
              <w:t> </w:t>
            </w:r>
          </w:p>
        </w:tc>
        <w:tc>
          <w:tcPr>
            <w:tcW w:w="0" w:type="auto"/>
            <w:vAlign w:val="bottom"/>
          </w:tcPr>
          <w:p w14:paraId="00B65613" w14:textId="17723F6C" w:rsidR="008A6844" w:rsidRPr="000E57E3" w:rsidRDefault="008A6844" w:rsidP="000E57E3">
            <w:pPr>
              <w:pStyle w:val="Tabletext"/>
            </w:pPr>
            <w:r w:rsidRPr="000E57E3">
              <w:t> </w:t>
            </w:r>
          </w:p>
        </w:tc>
        <w:tc>
          <w:tcPr>
            <w:tcW w:w="0" w:type="auto"/>
            <w:vAlign w:val="bottom"/>
          </w:tcPr>
          <w:p w14:paraId="6E10CFFF" w14:textId="14F7C62A" w:rsidR="008A6844" w:rsidRPr="000E57E3" w:rsidRDefault="008A6844" w:rsidP="000E57E3">
            <w:pPr>
              <w:pStyle w:val="Tabletext"/>
            </w:pPr>
            <w:r w:rsidRPr="000E57E3">
              <w:t>Facilitated</w:t>
            </w:r>
          </w:p>
        </w:tc>
      </w:tr>
      <w:tr w:rsidR="00776CCE" w:rsidRPr="008A6844" w14:paraId="70ACA9EA" w14:textId="77777777" w:rsidTr="00CA44B7">
        <w:tc>
          <w:tcPr>
            <w:tcW w:w="0" w:type="auto"/>
            <w:vAlign w:val="bottom"/>
          </w:tcPr>
          <w:p w14:paraId="047E81E0" w14:textId="2AFF5D8F" w:rsidR="008A6844" w:rsidRPr="000E57E3" w:rsidRDefault="008A6844" w:rsidP="000E57E3">
            <w:pPr>
              <w:pStyle w:val="Tabletext"/>
            </w:pPr>
            <w:r w:rsidRPr="000E57E3">
              <w:t>ATRX</w:t>
            </w:r>
          </w:p>
        </w:tc>
        <w:tc>
          <w:tcPr>
            <w:tcW w:w="0" w:type="auto"/>
            <w:vAlign w:val="bottom"/>
          </w:tcPr>
          <w:p w14:paraId="0449157E" w14:textId="21B511FD" w:rsidR="008A6844" w:rsidRPr="000E57E3" w:rsidRDefault="008A6844" w:rsidP="000E57E3">
            <w:pPr>
              <w:pStyle w:val="Tabletext"/>
            </w:pPr>
            <w:r w:rsidRPr="000E57E3">
              <w:t> </w:t>
            </w:r>
          </w:p>
        </w:tc>
        <w:tc>
          <w:tcPr>
            <w:tcW w:w="0" w:type="auto"/>
            <w:vAlign w:val="bottom"/>
          </w:tcPr>
          <w:p w14:paraId="02CA2F36" w14:textId="3A7FE4FC" w:rsidR="008A6844" w:rsidRPr="000E57E3" w:rsidRDefault="008A6844" w:rsidP="000E57E3">
            <w:pPr>
              <w:pStyle w:val="Tabletext"/>
            </w:pPr>
            <w:r w:rsidRPr="000E57E3">
              <w:t> </w:t>
            </w:r>
          </w:p>
        </w:tc>
        <w:tc>
          <w:tcPr>
            <w:tcW w:w="0" w:type="auto"/>
            <w:vAlign w:val="bottom"/>
          </w:tcPr>
          <w:p w14:paraId="2181D315" w14:textId="57807BBA" w:rsidR="008A6844" w:rsidRPr="000E57E3" w:rsidRDefault="008A6844" w:rsidP="000E57E3">
            <w:pPr>
              <w:pStyle w:val="Tabletext"/>
            </w:pPr>
            <w:r w:rsidRPr="000E57E3">
              <w:t>Y</w:t>
            </w:r>
          </w:p>
        </w:tc>
        <w:tc>
          <w:tcPr>
            <w:tcW w:w="0" w:type="auto"/>
            <w:vAlign w:val="bottom"/>
          </w:tcPr>
          <w:p w14:paraId="0C8B8368" w14:textId="771762C9" w:rsidR="008A6844" w:rsidRPr="000E57E3" w:rsidRDefault="008A6844" w:rsidP="000E57E3">
            <w:pPr>
              <w:pStyle w:val="Tabletext"/>
            </w:pPr>
            <w:r w:rsidRPr="000E57E3">
              <w:t> </w:t>
            </w:r>
          </w:p>
        </w:tc>
        <w:tc>
          <w:tcPr>
            <w:tcW w:w="0" w:type="auto"/>
            <w:vAlign w:val="bottom"/>
          </w:tcPr>
          <w:p w14:paraId="5F3CEECB" w14:textId="5735BF84" w:rsidR="008A6844" w:rsidRPr="000E57E3" w:rsidRDefault="008A6844" w:rsidP="000E57E3">
            <w:pPr>
              <w:pStyle w:val="Tabletext"/>
            </w:pPr>
            <w:r w:rsidRPr="000E57E3">
              <w:t> </w:t>
            </w:r>
          </w:p>
        </w:tc>
        <w:tc>
          <w:tcPr>
            <w:tcW w:w="0" w:type="auto"/>
            <w:vAlign w:val="bottom"/>
          </w:tcPr>
          <w:p w14:paraId="3FA1BC8F" w14:textId="44010697" w:rsidR="008A6844" w:rsidRPr="000E57E3" w:rsidRDefault="008A6844" w:rsidP="000E57E3">
            <w:pPr>
              <w:pStyle w:val="Tabletext"/>
            </w:pPr>
            <w:r w:rsidRPr="000E57E3">
              <w:t> </w:t>
            </w:r>
          </w:p>
        </w:tc>
        <w:tc>
          <w:tcPr>
            <w:tcW w:w="0" w:type="auto"/>
            <w:vAlign w:val="bottom"/>
          </w:tcPr>
          <w:p w14:paraId="3ACB997C" w14:textId="7666AE50" w:rsidR="008A6844" w:rsidRPr="000E57E3" w:rsidRDefault="008A6844" w:rsidP="000E57E3">
            <w:pPr>
              <w:pStyle w:val="Tabletext"/>
            </w:pPr>
            <w:r w:rsidRPr="000E57E3">
              <w:t> </w:t>
            </w:r>
          </w:p>
        </w:tc>
        <w:tc>
          <w:tcPr>
            <w:tcW w:w="0" w:type="auto"/>
            <w:vAlign w:val="bottom"/>
          </w:tcPr>
          <w:p w14:paraId="2FCBF43A" w14:textId="5C3A1CA3" w:rsidR="008A6844" w:rsidRPr="000E57E3" w:rsidRDefault="008A6844" w:rsidP="000E57E3">
            <w:pPr>
              <w:pStyle w:val="Tabletext"/>
            </w:pPr>
            <w:r w:rsidRPr="000E57E3">
              <w:t> </w:t>
            </w:r>
          </w:p>
        </w:tc>
        <w:tc>
          <w:tcPr>
            <w:tcW w:w="0" w:type="auto"/>
            <w:vAlign w:val="bottom"/>
          </w:tcPr>
          <w:p w14:paraId="3E65282B" w14:textId="3C697082" w:rsidR="008A6844" w:rsidRPr="000E57E3" w:rsidRDefault="008A6844" w:rsidP="000E57E3">
            <w:pPr>
              <w:pStyle w:val="Tabletext"/>
            </w:pPr>
            <w:r w:rsidRPr="000E57E3">
              <w:t> </w:t>
            </w:r>
          </w:p>
        </w:tc>
        <w:tc>
          <w:tcPr>
            <w:tcW w:w="0" w:type="auto"/>
            <w:vAlign w:val="bottom"/>
          </w:tcPr>
          <w:p w14:paraId="49C2BDF5" w14:textId="340DF628" w:rsidR="008A6844" w:rsidRPr="000E57E3" w:rsidRDefault="008A6844" w:rsidP="000E57E3">
            <w:pPr>
              <w:pStyle w:val="Tabletext"/>
            </w:pPr>
            <w:r w:rsidRPr="000E57E3">
              <w:t> </w:t>
            </w:r>
          </w:p>
        </w:tc>
        <w:tc>
          <w:tcPr>
            <w:tcW w:w="0" w:type="auto"/>
            <w:vAlign w:val="bottom"/>
          </w:tcPr>
          <w:p w14:paraId="4EFE2CA8" w14:textId="16A92896" w:rsidR="008A6844" w:rsidRPr="000E57E3" w:rsidRDefault="008A6844" w:rsidP="000E57E3">
            <w:pPr>
              <w:pStyle w:val="Tabletext"/>
            </w:pPr>
            <w:r w:rsidRPr="000E57E3">
              <w:t>Y</w:t>
            </w:r>
          </w:p>
        </w:tc>
        <w:tc>
          <w:tcPr>
            <w:tcW w:w="0" w:type="auto"/>
            <w:vAlign w:val="bottom"/>
          </w:tcPr>
          <w:p w14:paraId="0803FBE8" w14:textId="7286C3FA" w:rsidR="008A6844" w:rsidRPr="000E57E3" w:rsidRDefault="008A6844" w:rsidP="000E57E3">
            <w:pPr>
              <w:pStyle w:val="Tabletext"/>
            </w:pPr>
            <w:r w:rsidRPr="000E57E3">
              <w:t>Facilitated</w:t>
            </w:r>
          </w:p>
        </w:tc>
      </w:tr>
      <w:tr w:rsidR="00776CCE" w:rsidRPr="008A6844" w14:paraId="49DBB682" w14:textId="77777777" w:rsidTr="00CA44B7">
        <w:tc>
          <w:tcPr>
            <w:tcW w:w="0" w:type="auto"/>
            <w:vAlign w:val="bottom"/>
          </w:tcPr>
          <w:p w14:paraId="6C667754" w14:textId="0CF566B5" w:rsidR="008A6844" w:rsidRPr="000E57E3" w:rsidRDefault="008A6844" w:rsidP="000E57E3">
            <w:pPr>
              <w:pStyle w:val="Tabletext"/>
            </w:pPr>
            <w:r w:rsidRPr="000E57E3">
              <w:t>B2M</w:t>
            </w:r>
          </w:p>
        </w:tc>
        <w:tc>
          <w:tcPr>
            <w:tcW w:w="0" w:type="auto"/>
            <w:vAlign w:val="bottom"/>
          </w:tcPr>
          <w:p w14:paraId="31FCBE76" w14:textId="3D71DA30" w:rsidR="008A6844" w:rsidRPr="000E57E3" w:rsidRDefault="008A6844" w:rsidP="000E57E3">
            <w:pPr>
              <w:pStyle w:val="Tabletext"/>
            </w:pPr>
            <w:r w:rsidRPr="000E57E3">
              <w:t> </w:t>
            </w:r>
          </w:p>
        </w:tc>
        <w:tc>
          <w:tcPr>
            <w:tcW w:w="0" w:type="auto"/>
            <w:vAlign w:val="bottom"/>
          </w:tcPr>
          <w:p w14:paraId="482392E7" w14:textId="53CC3243" w:rsidR="008A6844" w:rsidRPr="000E57E3" w:rsidRDefault="008A6844" w:rsidP="000E57E3">
            <w:pPr>
              <w:pStyle w:val="Tabletext"/>
            </w:pPr>
            <w:r w:rsidRPr="000E57E3">
              <w:t> </w:t>
            </w:r>
          </w:p>
        </w:tc>
        <w:tc>
          <w:tcPr>
            <w:tcW w:w="0" w:type="auto"/>
            <w:vAlign w:val="bottom"/>
          </w:tcPr>
          <w:p w14:paraId="17C78030" w14:textId="5BB11179" w:rsidR="008A6844" w:rsidRPr="000E57E3" w:rsidRDefault="008A6844" w:rsidP="000E57E3">
            <w:pPr>
              <w:pStyle w:val="Tabletext"/>
            </w:pPr>
            <w:r w:rsidRPr="000E57E3">
              <w:t> </w:t>
            </w:r>
          </w:p>
        </w:tc>
        <w:tc>
          <w:tcPr>
            <w:tcW w:w="0" w:type="auto"/>
            <w:vAlign w:val="bottom"/>
          </w:tcPr>
          <w:p w14:paraId="5B8D63DD" w14:textId="32F846B2" w:rsidR="008A6844" w:rsidRPr="000E57E3" w:rsidRDefault="008A6844" w:rsidP="000E57E3">
            <w:pPr>
              <w:pStyle w:val="Tabletext"/>
            </w:pPr>
            <w:r w:rsidRPr="000E57E3">
              <w:t>Y</w:t>
            </w:r>
          </w:p>
        </w:tc>
        <w:tc>
          <w:tcPr>
            <w:tcW w:w="0" w:type="auto"/>
            <w:vAlign w:val="bottom"/>
          </w:tcPr>
          <w:p w14:paraId="5A3CF87D" w14:textId="79BCD82D" w:rsidR="008A6844" w:rsidRPr="000E57E3" w:rsidRDefault="008A6844" w:rsidP="000E57E3">
            <w:pPr>
              <w:pStyle w:val="Tabletext"/>
            </w:pPr>
            <w:r w:rsidRPr="000E57E3">
              <w:t> </w:t>
            </w:r>
          </w:p>
        </w:tc>
        <w:tc>
          <w:tcPr>
            <w:tcW w:w="0" w:type="auto"/>
            <w:vAlign w:val="bottom"/>
          </w:tcPr>
          <w:p w14:paraId="7015C021" w14:textId="5CBE3B6B" w:rsidR="008A6844" w:rsidRPr="000E57E3" w:rsidRDefault="008A6844" w:rsidP="000E57E3">
            <w:pPr>
              <w:pStyle w:val="Tabletext"/>
            </w:pPr>
            <w:r w:rsidRPr="000E57E3">
              <w:t> </w:t>
            </w:r>
          </w:p>
        </w:tc>
        <w:tc>
          <w:tcPr>
            <w:tcW w:w="0" w:type="auto"/>
            <w:vAlign w:val="bottom"/>
          </w:tcPr>
          <w:p w14:paraId="0D78A156" w14:textId="08FA687E" w:rsidR="008A6844" w:rsidRPr="000E57E3" w:rsidRDefault="008A6844" w:rsidP="000E57E3">
            <w:pPr>
              <w:pStyle w:val="Tabletext"/>
            </w:pPr>
            <w:r w:rsidRPr="000E57E3">
              <w:t> </w:t>
            </w:r>
          </w:p>
        </w:tc>
        <w:tc>
          <w:tcPr>
            <w:tcW w:w="0" w:type="auto"/>
            <w:vAlign w:val="bottom"/>
          </w:tcPr>
          <w:p w14:paraId="67D210B8" w14:textId="09875D7A" w:rsidR="008A6844" w:rsidRPr="000E57E3" w:rsidRDefault="008A6844" w:rsidP="000E57E3">
            <w:pPr>
              <w:pStyle w:val="Tabletext"/>
            </w:pPr>
            <w:r w:rsidRPr="000E57E3">
              <w:t>Y</w:t>
            </w:r>
          </w:p>
        </w:tc>
        <w:tc>
          <w:tcPr>
            <w:tcW w:w="0" w:type="auto"/>
            <w:vAlign w:val="bottom"/>
          </w:tcPr>
          <w:p w14:paraId="00D850B1" w14:textId="2919D189" w:rsidR="008A6844" w:rsidRPr="000E57E3" w:rsidRDefault="008A6844" w:rsidP="000E57E3">
            <w:pPr>
              <w:pStyle w:val="Tabletext"/>
            </w:pPr>
            <w:r w:rsidRPr="000E57E3">
              <w:t> </w:t>
            </w:r>
          </w:p>
        </w:tc>
        <w:tc>
          <w:tcPr>
            <w:tcW w:w="0" w:type="auto"/>
            <w:vAlign w:val="bottom"/>
          </w:tcPr>
          <w:p w14:paraId="059C54B8" w14:textId="5E8841CB" w:rsidR="008A6844" w:rsidRPr="000E57E3" w:rsidRDefault="008A6844" w:rsidP="000E57E3">
            <w:pPr>
              <w:pStyle w:val="Tabletext"/>
            </w:pPr>
            <w:r w:rsidRPr="000E57E3">
              <w:t>Y</w:t>
            </w:r>
          </w:p>
        </w:tc>
        <w:tc>
          <w:tcPr>
            <w:tcW w:w="0" w:type="auto"/>
            <w:vAlign w:val="bottom"/>
          </w:tcPr>
          <w:p w14:paraId="596AD615" w14:textId="2C50FE76" w:rsidR="008A6844" w:rsidRPr="000E57E3" w:rsidRDefault="008A6844" w:rsidP="000E57E3">
            <w:pPr>
              <w:pStyle w:val="Tabletext"/>
            </w:pPr>
            <w:r w:rsidRPr="000E57E3">
              <w:t> </w:t>
            </w:r>
          </w:p>
        </w:tc>
        <w:tc>
          <w:tcPr>
            <w:tcW w:w="0" w:type="auto"/>
            <w:vAlign w:val="bottom"/>
          </w:tcPr>
          <w:p w14:paraId="72A3D4A7" w14:textId="3A3EB60E" w:rsidR="008A6844" w:rsidRPr="000E57E3" w:rsidRDefault="008A6844" w:rsidP="000E57E3">
            <w:pPr>
              <w:pStyle w:val="Tabletext"/>
            </w:pPr>
            <w:r w:rsidRPr="000E57E3">
              <w:t>Facilitated</w:t>
            </w:r>
          </w:p>
        </w:tc>
      </w:tr>
      <w:tr w:rsidR="00776CCE" w:rsidRPr="008A6844" w14:paraId="6C177853" w14:textId="77777777" w:rsidTr="00CA44B7">
        <w:tc>
          <w:tcPr>
            <w:tcW w:w="0" w:type="auto"/>
            <w:vAlign w:val="bottom"/>
          </w:tcPr>
          <w:p w14:paraId="3F4E11EC" w14:textId="5B6FFB17" w:rsidR="008A6844" w:rsidRPr="000E57E3" w:rsidRDefault="008A6844" w:rsidP="000E57E3">
            <w:pPr>
              <w:pStyle w:val="Tabletext"/>
            </w:pPr>
            <w:r w:rsidRPr="000E57E3">
              <w:t>BCL2</w:t>
            </w:r>
          </w:p>
        </w:tc>
        <w:tc>
          <w:tcPr>
            <w:tcW w:w="0" w:type="auto"/>
            <w:vAlign w:val="bottom"/>
          </w:tcPr>
          <w:p w14:paraId="31127283" w14:textId="720093C5" w:rsidR="008A6844" w:rsidRPr="000E57E3" w:rsidRDefault="008A6844" w:rsidP="000E57E3">
            <w:pPr>
              <w:pStyle w:val="Tabletext"/>
            </w:pPr>
            <w:r w:rsidRPr="000E57E3">
              <w:t> </w:t>
            </w:r>
          </w:p>
        </w:tc>
        <w:tc>
          <w:tcPr>
            <w:tcW w:w="0" w:type="auto"/>
            <w:vAlign w:val="bottom"/>
          </w:tcPr>
          <w:p w14:paraId="2BBFD505" w14:textId="1B31D46B" w:rsidR="008A6844" w:rsidRPr="000E57E3" w:rsidRDefault="008A6844" w:rsidP="000E57E3">
            <w:pPr>
              <w:pStyle w:val="Tabletext"/>
            </w:pPr>
            <w:r w:rsidRPr="000E57E3">
              <w:t> </w:t>
            </w:r>
          </w:p>
        </w:tc>
        <w:tc>
          <w:tcPr>
            <w:tcW w:w="0" w:type="auto"/>
            <w:vAlign w:val="bottom"/>
          </w:tcPr>
          <w:p w14:paraId="795BFAF4" w14:textId="61AEDD6B" w:rsidR="008A6844" w:rsidRPr="000E57E3" w:rsidRDefault="008A6844" w:rsidP="000E57E3">
            <w:pPr>
              <w:pStyle w:val="Tabletext"/>
            </w:pPr>
            <w:r w:rsidRPr="000E57E3">
              <w:t> </w:t>
            </w:r>
          </w:p>
        </w:tc>
        <w:tc>
          <w:tcPr>
            <w:tcW w:w="0" w:type="auto"/>
            <w:vAlign w:val="bottom"/>
          </w:tcPr>
          <w:p w14:paraId="58B7502F" w14:textId="0C7135D4" w:rsidR="008A6844" w:rsidRPr="000E57E3" w:rsidRDefault="008A6844" w:rsidP="000E57E3">
            <w:pPr>
              <w:pStyle w:val="Tabletext"/>
            </w:pPr>
            <w:r w:rsidRPr="000E57E3">
              <w:t>Y</w:t>
            </w:r>
          </w:p>
        </w:tc>
        <w:tc>
          <w:tcPr>
            <w:tcW w:w="0" w:type="auto"/>
            <w:vAlign w:val="bottom"/>
          </w:tcPr>
          <w:p w14:paraId="0B8C0A7F" w14:textId="6E2AC554" w:rsidR="008A6844" w:rsidRPr="000E57E3" w:rsidRDefault="008A6844" w:rsidP="000E57E3">
            <w:pPr>
              <w:pStyle w:val="Tabletext"/>
            </w:pPr>
            <w:r w:rsidRPr="000E57E3">
              <w:t>Y</w:t>
            </w:r>
          </w:p>
        </w:tc>
        <w:tc>
          <w:tcPr>
            <w:tcW w:w="0" w:type="auto"/>
            <w:vAlign w:val="bottom"/>
          </w:tcPr>
          <w:p w14:paraId="167B6170" w14:textId="79E11402" w:rsidR="008A6844" w:rsidRPr="000E57E3" w:rsidRDefault="008A6844" w:rsidP="000E57E3">
            <w:pPr>
              <w:pStyle w:val="Tabletext"/>
            </w:pPr>
            <w:r w:rsidRPr="000E57E3">
              <w:t> </w:t>
            </w:r>
          </w:p>
        </w:tc>
        <w:tc>
          <w:tcPr>
            <w:tcW w:w="0" w:type="auto"/>
            <w:vAlign w:val="bottom"/>
          </w:tcPr>
          <w:p w14:paraId="1655BB1D" w14:textId="4AC99187" w:rsidR="008A6844" w:rsidRPr="000E57E3" w:rsidRDefault="008A6844" w:rsidP="000E57E3">
            <w:pPr>
              <w:pStyle w:val="Tabletext"/>
            </w:pPr>
            <w:r w:rsidRPr="000E57E3">
              <w:t>Y</w:t>
            </w:r>
          </w:p>
        </w:tc>
        <w:tc>
          <w:tcPr>
            <w:tcW w:w="0" w:type="auto"/>
            <w:vAlign w:val="bottom"/>
          </w:tcPr>
          <w:p w14:paraId="71F80E91" w14:textId="31E0CB2D" w:rsidR="008A6844" w:rsidRPr="000E57E3" w:rsidRDefault="008A6844" w:rsidP="000E57E3">
            <w:pPr>
              <w:pStyle w:val="Tabletext"/>
            </w:pPr>
            <w:r w:rsidRPr="000E57E3">
              <w:t>Y</w:t>
            </w:r>
          </w:p>
        </w:tc>
        <w:tc>
          <w:tcPr>
            <w:tcW w:w="0" w:type="auto"/>
            <w:vAlign w:val="bottom"/>
          </w:tcPr>
          <w:p w14:paraId="5453B202" w14:textId="17DF3CBD" w:rsidR="008A6844" w:rsidRPr="000E57E3" w:rsidRDefault="008A6844" w:rsidP="000E57E3">
            <w:pPr>
              <w:pStyle w:val="Tabletext"/>
            </w:pPr>
            <w:r w:rsidRPr="000E57E3">
              <w:t> </w:t>
            </w:r>
          </w:p>
        </w:tc>
        <w:tc>
          <w:tcPr>
            <w:tcW w:w="0" w:type="auto"/>
            <w:vAlign w:val="bottom"/>
          </w:tcPr>
          <w:p w14:paraId="29E0CEC5" w14:textId="6A29EBC2" w:rsidR="008A6844" w:rsidRPr="000E57E3" w:rsidRDefault="008A6844" w:rsidP="000E57E3">
            <w:pPr>
              <w:pStyle w:val="Tabletext"/>
            </w:pPr>
            <w:r w:rsidRPr="000E57E3">
              <w:t> </w:t>
            </w:r>
          </w:p>
        </w:tc>
        <w:tc>
          <w:tcPr>
            <w:tcW w:w="0" w:type="auto"/>
            <w:vAlign w:val="bottom"/>
          </w:tcPr>
          <w:p w14:paraId="30691F74" w14:textId="65466E28" w:rsidR="008A6844" w:rsidRPr="000E57E3" w:rsidRDefault="008A6844" w:rsidP="000E57E3">
            <w:pPr>
              <w:pStyle w:val="Tabletext"/>
            </w:pPr>
            <w:r w:rsidRPr="000E57E3">
              <w:t> </w:t>
            </w:r>
          </w:p>
        </w:tc>
        <w:tc>
          <w:tcPr>
            <w:tcW w:w="0" w:type="auto"/>
            <w:vAlign w:val="bottom"/>
          </w:tcPr>
          <w:p w14:paraId="4BE86E58" w14:textId="59FCD7F6" w:rsidR="008A6844" w:rsidRPr="000E57E3" w:rsidRDefault="008A6844" w:rsidP="000E57E3">
            <w:pPr>
              <w:pStyle w:val="Tabletext"/>
            </w:pPr>
            <w:r w:rsidRPr="000E57E3">
              <w:t>Facilitated</w:t>
            </w:r>
          </w:p>
        </w:tc>
      </w:tr>
      <w:tr w:rsidR="00776CCE" w:rsidRPr="008A6844" w14:paraId="6B932112" w14:textId="77777777" w:rsidTr="00CA44B7">
        <w:tc>
          <w:tcPr>
            <w:tcW w:w="0" w:type="auto"/>
            <w:vAlign w:val="bottom"/>
          </w:tcPr>
          <w:p w14:paraId="1A0B09DA" w14:textId="06689F90" w:rsidR="008A6844" w:rsidRPr="000E57E3" w:rsidRDefault="008A6844" w:rsidP="000E57E3">
            <w:pPr>
              <w:pStyle w:val="Tabletext"/>
            </w:pPr>
            <w:r w:rsidRPr="000E57E3">
              <w:t>BCL6</w:t>
            </w:r>
          </w:p>
        </w:tc>
        <w:tc>
          <w:tcPr>
            <w:tcW w:w="0" w:type="auto"/>
            <w:vAlign w:val="bottom"/>
          </w:tcPr>
          <w:p w14:paraId="3485BD73" w14:textId="76BDF9B4" w:rsidR="008A6844" w:rsidRPr="000E57E3" w:rsidRDefault="008A6844" w:rsidP="000E57E3">
            <w:pPr>
              <w:pStyle w:val="Tabletext"/>
            </w:pPr>
            <w:r w:rsidRPr="000E57E3">
              <w:t> </w:t>
            </w:r>
          </w:p>
        </w:tc>
        <w:tc>
          <w:tcPr>
            <w:tcW w:w="0" w:type="auto"/>
            <w:vAlign w:val="bottom"/>
          </w:tcPr>
          <w:p w14:paraId="09C1A2AC" w14:textId="7121568A" w:rsidR="008A6844" w:rsidRPr="000E57E3" w:rsidRDefault="008A6844" w:rsidP="000E57E3">
            <w:pPr>
              <w:pStyle w:val="Tabletext"/>
            </w:pPr>
            <w:r w:rsidRPr="000E57E3">
              <w:t> </w:t>
            </w:r>
          </w:p>
        </w:tc>
        <w:tc>
          <w:tcPr>
            <w:tcW w:w="0" w:type="auto"/>
            <w:vAlign w:val="bottom"/>
          </w:tcPr>
          <w:p w14:paraId="648A554F" w14:textId="2701D88E" w:rsidR="008A6844" w:rsidRPr="000E57E3" w:rsidRDefault="008A6844" w:rsidP="000E57E3">
            <w:pPr>
              <w:pStyle w:val="Tabletext"/>
            </w:pPr>
            <w:r w:rsidRPr="000E57E3">
              <w:t> </w:t>
            </w:r>
          </w:p>
        </w:tc>
        <w:tc>
          <w:tcPr>
            <w:tcW w:w="0" w:type="auto"/>
            <w:vAlign w:val="bottom"/>
          </w:tcPr>
          <w:p w14:paraId="29F793B6" w14:textId="0CDD9322" w:rsidR="008A6844" w:rsidRPr="000E57E3" w:rsidRDefault="008A6844" w:rsidP="000E57E3">
            <w:pPr>
              <w:pStyle w:val="Tabletext"/>
            </w:pPr>
            <w:r w:rsidRPr="000E57E3">
              <w:t>Y</w:t>
            </w:r>
          </w:p>
        </w:tc>
        <w:tc>
          <w:tcPr>
            <w:tcW w:w="0" w:type="auto"/>
            <w:vAlign w:val="bottom"/>
          </w:tcPr>
          <w:p w14:paraId="19EA890F" w14:textId="2B624722" w:rsidR="008A6844" w:rsidRPr="000E57E3" w:rsidRDefault="008A6844" w:rsidP="000E57E3">
            <w:pPr>
              <w:pStyle w:val="Tabletext"/>
            </w:pPr>
            <w:r w:rsidRPr="000E57E3">
              <w:t> </w:t>
            </w:r>
          </w:p>
        </w:tc>
        <w:tc>
          <w:tcPr>
            <w:tcW w:w="0" w:type="auto"/>
            <w:vAlign w:val="bottom"/>
          </w:tcPr>
          <w:p w14:paraId="5598B30E" w14:textId="744FBDA3" w:rsidR="008A6844" w:rsidRPr="000E57E3" w:rsidRDefault="008A6844" w:rsidP="000E57E3">
            <w:pPr>
              <w:pStyle w:val="Tabletext"/>
            </w:pPr>
            <w:r w:rsidRPr="000E57E3">
              <w:t> </w:t>
            </w:r>
          </w:p>
        </w:tc>
        <w:tc>
          <w:tcPr>
            <w:tcW w:w="0" w:type="auto"/>
            <w:vAlign w:val="bottom"/>
          </w:tcPr>
          <w:p w14:paraId="5E19F92D" w14:textId="322B11B3" w:rsidR="008A6844" w:rsidRPr="000E57E3" w:rsidRDefault="008A6844" w:rsidP="000E57E3">
            <w:pPr>
              <w:pStyle w:val="Tabletext"/>
            </w:pPr>
            <w:r w:rsidRPr="000E57E3">
              <w:t> </w:t>
            </w:r>
          </w:p>
        </w:tc>
        <w:tc>
          <w:tcPr>
            <w:tcW w:w="0" w:type="auto"/>
            <w:vAlign w:val="bottom"/>
          </w:tcPr>
          <w:p w14:paraId="25790C11" w14:textId="3952C0B1" w:rsidR="008A6844" w:rsidRPr="000E57E3" w:rsidRDefault="008A6844" w:rsidP="000E57E3">
            <w:pPr>
              <w:pStyle w:val="Tabletext"/>
            </w:pPr>
            <w:r w:rsidRPr="000E57E3">
              <w:t>Y</w:t>
            </w:r>
          </w:p>
        </w:tc>
        <w:tc>
          <w:tcPr>
            <w:tcW w:w="0" w:type="auto"/>
            <w:vAlign w:val="bottom"/>
          </w:tcPr>
          <w:p w14:paraId="2FD09E0D" w14:textId="36B716C6" w:rsidR="008A6844" w:rsidRPr="000E57E3" w:rsidRDefault="008A6844" w:rsidP="000E57E3">
            <w:pPr>
              <w:pStyle w:val="Tabletext"/>
            </w:pPr>
            <w:r w:rsidRPr="000E57E3">
              <w:t> </w:t>
            </w:r>
          </w:p>
        </w:tc>
        <w:tc>
          <w:tcPr>
            <w:tcW w:w="0" w:type="auto"/>
            <w:vAlign w:val="bottom"/>
          </w:tcPr>
          <w:p w14:paraId="714C2333" w14:textId="28F186EB" w:rsidR="008A6844" w:rsidRPr="000E57E3" w:rsidRDefault="008A6844" w:rsidP="000E57E3">
            <w:pPr>
              <w:pStyle w:val="Tabletext"/>
            </w:pPr>
            <w:r w:rsidRPr="000E57E3">
              <w:t> </w:t>
            </w:r>
          </w:p>
        </w:tc>
        <w:tc>
          <w:tcPr>
            <w:tcW w:w="0" w:type="auto"/>
            <w:vAlign w:val="bottom"/>
          </w:tcPr>
          <w:p w14:paraId="10EF4A80" w14:textId="54D1A8CE" w:rsidR="008A6844" w:rsidRPr="000E57E3" w:rsidRDefault="008A6844" w:rsidP="000E57E3">
            <w:pPr>
              <w:pStyle w:val="Tabletext"/>
            </w:pPr>
            <w:r w:rsidRPr="000E57E3">
              <w:t> </w:t>
            </w:r>
          </w:p>
        </w:tc>
        <w:tc>
          <w:tcPr>
            <w:tcW w:w="0" w:type="auto"/>
            <w:vAlign w:val="bottom"/>
          </w:tcPr>
          <w:p w14:paraId="4709C46D" w14:textId="0A45D2F6" w:rsidR="008A6844" w:rsidRPr="000E57E3" w:rsidRDefault="008A6844" w:rsidP="000E57E3">
            <w:pPr>
              <w:pStyle w:val="Tabletext"/>
            </w:pPr>
            <w:r w:rsidRPr="000E57E3">
              <w:t>Facilitated</w:t>
            </w:r>
          </w:p>
        </w:tc>
      </w:tr>
      <w:tr w:rsidR="00776CCE" w:rsidRPr="008A6844" w14:paraId="376EC371" w14:textId="77777777" w:rsidTr="00CA44B7">
        <w:tc>
          <w:tcPr>
            <w:tcW w:w="0" w:type="auto"/>
            <w:vAlign w:val="bottom"/>
          </w:tcPr>
          <w:p w14:paraId="54612648" w14:textId="2F4C934E" w:rsidR="008A6844" w:rsidRPr="000E57E3" w:rsidRDefault="008A6844" w:rsidP="000E57E3">
            <w:pPr>
              <w:pStyle w:val="Tabletext"/>
            </w:pPr>
            <w:r w:rsidRPr="000E57E3">
              <w:t>BCOR</w:t>
            </w:r>
          </w:p>
        </w:tc>
        <w:tc>
          <w:tcPr>
            <w:tcW w:w="0" w:type="auto"/>
            <w:vAlign w:val="bottom"/>
          </w:tcPr>
          <w:p w14:paraId="2E067B96" w14:textId="27BBD53B" w:rsidR="008A6844" w:rsidRPr="000E57E3" w:rsidRDefault="008A6844" w:rsidP="000E57E3">
            <w:pPr>
              <w:pStyle w:val="Tabletext"/>
            </w:pPr>
            <w:r w:rsidRPr="000E57E3">
              <w:t> </w:t>
            </w:r>
          </w:p>
        </w:tc>
        <w:tc>
          <w:tcPr>
            <w:tcW w:w="0" w:type="auto"/>
            <w:vAlign w:val="bottom"/>
          </w:tcPr>
          <w:p w14:paraId="49C004C1" w14:textId="6BEFED41" w:rsidR="008A6844" w:rsidRPr="000E57E3" w:rsidRDefault="008A6844" w:rsidP="000E57E3">
            <w:pPr>
              <w:pStyle w:val="Tabletext"/>
            </w:pPr>
            <w:r w:rsidRPr="000E57E3">
              <w:t> </w:t>
            </w:r>
          </w:p>
        </w:tc>
        <w:tc>
          <w:tcPr>
            <w:tcW w:w="0" w:type="auto"/>
            <w:vAlign w:val="bottom"/>
          </w:tcPr>
          <w:p w14:paraId="66834317" w14:textId="6E6DD8FC" w:rsidR="008A6844" w:rsidRPr="000E57E3" w:rsidRDefault="008A6844" w:rsidP="000E57E3">
            <w:pPr>
              <w:pStyle w:val="Tabletext"/>
            </w:pPr>
            <w:r w:rsidRPr="000E57E3">
              <w:t>Y</w:t>
            </w:r>
          </w:p>
        </w:tc>
        <w:tc>
          <w:tcPr>
            <w:tcW w:w="0" w:type="auto"/>
            <w:vAlign w:val="bottom"/>
          </w:tcPr>
          <w:p w14:paraId="54B1C789" w14:textId="072A3DDA" w:rsidR="008A6844" w:rsidRPr="000E57E3" w:rsidRDefault="008A6844" w:rsidP="000E57E3">
            <w:pPr>
              <w:pStyle w:val="Tabletext"/>
            </w:pPr>
            <w:r w:rsidRPr="000E57E3">
              <w:t> </w:t>
            </w:r>
          </w:p>
        </w:tc>
        <w:tc>
          <w:tcPr>
            <w:tcW w:w="0" w:type="auto"/>
            <w:vAlign w:val="bottom"/>
          </w:tcPr>
          <w:p w14:paraId="4340A81D" w14:textId="7A9382DF" w:rsidR="008A6844" w:rsidRPr="000E57E3" w:rsidRDefault="008A6844" w:rsidP="000E57E3">
            <w:pPr>
              <w:pStyle w:val="Tabletext"/>
            </w:pPr>
            <w:r w:rsidRPr="000E57E3">
              <w:t>Y</w:t>
            </w:r>
          </w:p>
        </w:tc>
        <w:tc>
          <w:tcPr>
            <w:tcW w:w="0" w:type="auto"/>
            <w:vAlign w:val="bottom"/>
          </w:tcPr>
          <w:p w14:paraId="227E361B" w14:textId="0810AB70" w:rsidR="008A6844" w:rsidRPr="000E57E3" w:rsidRDefault="008A6844" w:rsidP="000E57E3">
            <w:pPr>
              <w:pStyle w:val="Tabletext"/>
            </w:pPr>
            <w:r w:rsidRPr="000E57E3">
              <w:t> </w:t>
            </w:r>
          </w:p>
        </w:tc>
        <w:tc>
          <w:tcPr>
            <w:tcW w:w="0" w:type="auto"/>
            <w:vAlign w:val="bottom"/>
          </w:tcPr>
          <w:p w14:paraId="5EEE6DEB" w14:textId="028D9612" w:rsidR="008A6844" w:rsidRPr="000E57E3" w:rsidRDefault="008A6844" w:rsidP="000E57E3">
            <w:pPr>
              <w:pStyle w:val="Tabletext"/>
            </w:pPr>
            <w:r w:rsidRPr="000E57E3">
              <w:t>Y</w:t>
            </w:r>
          </w:p>
        </w:tc>
        <w:tc>
          <w:tcPr>
            <w:tcW w:w="0" w:type="auto"/>
            <w:vAlign w:val="bottom"/>
          </w:tcPr>
          <w:p w14:paraId="7BFBAE7A" w14:textId="0CC2F4BA" w:rsidR="008A6844" w:rsidRPr="000E57E3" w:rsidRDefault="008A6844" w:rsidP="000E57E3">
            <w:pPr>
              <w:pStyle w:val="Tabletext"/>
            </w:pPr>
            <w:r w:rsidRPr="000E57E3">
              <w:t> </w:t>
            </w:r>
          </w:p>
        </w:tc>
        <w:tc>
          <w:tcPr>
            <w:tcW w:w="0" w:type="auto"/>
            <w:vAlign w:val="bottom"/>
          </w:tcPr>
          <w:p w14:paraId="016183EC" w14:textId="2E33424A" w:rsidR="008A6844" w:rsidRPr="000E57E3" w:rsidRDefault="008A6844" w:rsidP="000E57E3">
            <w:pPr>
              <w:pStyle w:val="Tabletext"/>
            </w:pPr>
            <w:r w:rsidRPr="000E57E3">
              <w:t> </w:t>
            </w:r>
          </w:p>
        </w:tc>
        <w:tc>
          <w:tcPr>
            <w:tcW w:w="0" w:type="auto"/>
            <w:vAlign w:val="bottom"/>
          </w:tcPr>
          <w:p w14:paraId="150EA31E" w14:textId="7F82DC9F" w:rsidR="008A6844" w:rsidRPr="000E57E3" w:rsidRDefault="008A6844" w:rsidP="000E57E3">
            <w:pPr>
              <w:pStyle w:val="Tabletext"/>
            </w:pPr>
            <w:r w:rsidRPr="000E57E3">
              <w:t> </w:t>
            </w:r>
          </w:p>
        </w:tc>
        <w:tc>
          <w:tcPr>
            <w:tcW w:w="0" w:type="auto"/>
            <w:vAlign w:val="bottom"/>
          </w:tcPr>
          <w:p w14:paraId="6D947A15" w14:textId="5A56C937" w:rsidR="008A6844" w:rsidRPr="000E57E3" w:rsidRDefault="008A6844" w:rsidP="000E57E3">
            <w:pPr>
              <w:pStyle w:val="Tabletext"/>
            </w:pPr>
            <w:r w:rsidRPr="000E57E3">
              <w:t>Y</w:t>
            </w:r>
          </w:p>
        </w:tc>
        <w:tc>
          <w:tcPr>
            <w:tcW w:w="0" w:type="auto"/>
            <w:vAlign w:val="bottom"/>
          </w:tcPr>
          <w:p w14:paraId="741C6835" w14:textId="4E72388B" w:rsidR="008A6844" w:rsidRPr="000E57E3" w:rsidRDefault="008A6844" w:rsidP="000E57E3">
            <w:pPr>
              <w:pStyle w:val="Tabletext"/>
            </w:pPr>
            <w:r w:rsidRPr="000E57E3">
              <w:t>Facilitated</w:t>
            </w:r>
          </w:p>
        </w:tc>
      </w:tr>
      <w:tr w:rsidR="00776CCE" w:rsidRPr="008A6844" w14:paraId="44FA1348" w14:textId="77777777" w:rsidTr="00CA44B7">
        <w:tc>
          <w:tcPr>
            <w:tcW w:w="0" w:type="auto"/>
            <w:vAlign w:val="bottom"/>
          </w:tcPr>
          <w:p w14:paraId="0ABDDD00" w14:textId="48C29662" w:rsidR="008A6844" w:rsidRPr="000E57E3" w:rsidRDefault="008A6844" w:rsidP="000E57E3">
            <w:pPr>
              <w:pStyle w:val="Tabletext"/>
            </w:pPr>
            <w:r w:rsidRPr="000E57E3">
              <w:t>BCORL1</w:t>
            </w:r>
          </w:p>
        </w:tc>
        <w:tc>
          <w:tcPr>
            <w:tcW w:w="0" w:type="auto"/>
            <w:vAlign w:val="bottom"/>
          </w:tcPr>
          <w:p w14:paraId="30D3FCDA" w14:textId="6C1016A6" w:rsidR="008A6844" w:rsidRPr="000E57E3" w:rsidRDefault="008A6844" w:rsidP="000E57E3">
            <w:pPr>
              <w:pStyle w:val="Tabletext"/>
            </w:pPr>
            <w:r w:rsidRPr="000E57E3">
              <w:t> </w:t>
            </w:r>
          </w:p>
        </w:tc>
        <w:tc>
          <w:tcPr>
            <w:tcW w:w="0" w:type="auto"/>
            <w:vAlign w:val="bottom"/>
          </w:tcPr>
          <w:p w14:paraId="4F980558" w14:textId="4041D178" w:rsidR="008A6844" w:rsidRPr="000E57E3" w:rsidRDefault="008A6844" w:rsidP="000E57E3">
            <w:pPr>
              <w:pStyle w:val="Tabletext"/>
            </w:pPr>
            <w:r w:rsidRPr="000E57E3">
              <w:t> </w:t>
            </w:r>
          </w:p>
        </w:tc>
        <w:tc>
          <w:tcPr>
            <w:tcW w:w="0" w:type="auto"/>
            <w:vAlign w:val="bottom"/>
          </w:tcPr>
          <w:p w14:paraId="1611EC1E" w14:textId="380DC97A" w:rsidR="008A6844" w:rsidRPr="000E57E3" w:rsidRDefault="008A6844" w:rsidP="000E57E3">
            <w:pPr>
              <w:pStyle w:val="Tabletext"/>
            </w:pPr>
            <w:r w:rsidRPr="000E57E3">
              <w:t>Y</w:t>
            </w:r>
          </w:p>
        </w:tc>
        <w:tc>
          <w:tcPr>
            <w:tcW w:w="0" w:type="auto"/>
            <w:vAlign w:val="bottom"/>
          </w:tcPr>
          <w:p w14:paraId="489C0AFF" w14:textId="03F721D8" w:rsidR="008A6844" w:rsidRPr="000E57E3" w:rsidRDefault="008A6844" w:rsidP="000E57E3">
            <w:pPr>
              <w:pStyle w:val="Tabletext"/>
            </w:pPr>
            <w:r w:rsidRPr="000E57E3">
              <w:t> </w:t>
            </w:r>
          </w:p>
        </w:tc>
        <w:tc>
          <w:tcPr>
            <w:tcW w:w="0" w:type="auto"/>
            <w:vAlign w:val="bottom"/>
          </w:tcPr>
          <w:p w14:paraId="255EB925" w14:textId="3ADA0AC0" w:rsidR="008A6844" w:rsidRPr="000E57E3" w:rsidRDefault="008A6844" w:rsidP="000E57E3">
            <w:pPr>
              <w:pStyle w:val="Tabletext"/>
            </w:pPr>
            <w:r w:rsidRPr="000E57E3">
              <w:t> </w:t>
            </w:r>
          </w:p>
        </w:tc>
        <w:tc>
          <w:tcPr>
            <w:tcW w:w="0" w:type="auto"/>
            <w:vAlign w:val="bottom"/>
          </w:tcPr>
          <w:p w14:paraId="3DF1987C" w14:textId="59DB32D4" w:rsidR="008A6844" w:rsidRPr="000E57E3" w:rsidRDefault="008A6844" w:rsidP="000E57E3">
            <w:pPr>
              <w:pStyle w:val="Tabletext"/>
            </w:pPr>
            <w:r w:rsidRPr="000E57E3">
              <w:t> </w:t>
            </w:r>
          </w:p>
        </w:tc>
        <w:tc>
          <w:tcPr>
            <w:tcW w:w="0" w:type="auto"/>
            <w:vAlign w:val="bottom"/>
          </w:tcPr>
          <w:p w14:paraId="787390EE" w14:textId="4939C901" w:rsidR="008A6844" w:rsidRPr="000E57E3" w:rsidRDefault="008A6844" w:rsidP="000E57E3">
            <w:pPr>
              <w:pStyle w:val="Tabletext"/>
            </w:pPr>
            <w:r w:rsidRPr="000E57E3">
              <w:t>Y</w:t>
            </w:r>
          </w:p>
        </w:tc>
        <w:tc>
          <w:tcPr>
            <w:tcW w:w="0" w:type="auto"/>
            <w:vAlign w:val="bottom"/>
          </w:tcPr>
          <w:p w14:paraId="048BEA08" w14:textId="48E10AF9" w:rsidR="008A6844" w:rsidRPr="000E57E3" w:rsidRDefault="008A6844" w:rsidP="000E57E3">
            <w:pPr>
              <w:pStyle w:val="Tabletext"/>
            </w:pPr>
            <w:r w:rsidRPr="000E57E3">
              <w:t> </w:t>
            </w:r>
          </w:p>
        </w:tc>
        <w:tc>
          <w:tcPr>
            <w:tcW w:w="0" w:type="auto"/>
            <w:vAlign w:val="bottom"/>
          </w:tcPr>
          <w:p w14:paraId="069DFA38" w14:textId="7C6EC39A" w:rsidR="008A6844" w:rsidRPr="000E57E3" w:rsidRDefault="008A6844" w:rsidP="000E57E3">
            <w:pPr>
              <w:pStyle w:val="Tabletext"/>
            </w:pPr>
            <w:r w:rsidRPr="000E57E3">
              <w:t> </w:t>
            </w:r>
          </w:p>
        </w:tc>
        <w:tc>
          <w:tcPr>
            <w:tcW w:w="0" w:type="auto"/>
            <w:vAlign w:val="bottom"/>
          </w:tcPr>
          <w:p w14:paraId="7594EA7E" w14:textId="4052E049" w:rsidR="008A6844" w:rsidRPr="000E57E3" w:rsidRDefault="008A6844" w:rsidP="000E57E3">
            <w:pPr>
              <w:pStyle w:val="Tabletext"/>
            </w:pPr>
            <w:r w:rsidRPr="000E57E3">
              <w:t> </w:t>
            </w:r>
          </w:p>
        </w:tc>
        <w:tc>
          <w:tcPr>
            <w:tcW w:w="0" w:type="auto"/>
            <w:vAlign w:val="bottom"/>
          </w:tcPr>
          <w:p w14:paraId="6CF4CDCB" w14:textId="46731561" w:rsidR="008A6844" w:rsidRPr="000E57E3" w:rsidRDefault="008A6844" w:rsidP="000E57E3">
            <w:pPr>
              <w:pStyle w:val="Tabletext"/>
            </w:pPr>
            <w:r w:rsidRPr="000E57E3">
              <w:t>Y</w:t>
            </w:r>
          </w:p>
        </w:tc>
        <w:tc>
          <w:tcPr>
            <w:tcW w:w="0" w:type="auto"/>
            <w:vAlign w:val="bottom"/>
          </w:tcPr>
          <w:p w14:paraId="0687E5DA" w14:textId="4808014E" w:rsidR="008A6844" w:rsidRPr="000E57E3" w:rsidRDefault="008A6844" w:rsidP="000E57E3">
            <w:pPr>
              <w:pStyle w:val="Tabletext"/>
            </w:pPr>
            <w:r w:rsidRPr="000E57E3">
              <w:t>Facilitated</w:t>
            </w:r>
          </w:p>
        </w:tc>
      </w:tr>
      <w:tr w:rsidR="00776CCE" w:rsidRPr="008A6844" w14:paraId="039F09FE" w14:textId="77777777" w:rsidTr="00CA44B7">
        <w:tc>
          <w:tcPr>
            <w:tcW w:w="0" w:type="auto"/>
            <w:vAlign w:val="bottom"/>
          </w:tcPr>
          <w:p w14:paraId="56DC08F8" w14:textId="074EFE1D" w:rsidR="008A6844" w:rsidRPr="000E57E3" w:rsidRDefault="008A6844" w:rsidP="000E57E3">
            <w:pPr>
              <w:pStyle w:val="Tabletext"/>
            </w:pPr>
            <w:r w:rsidRPr="000E57E3">
              <w:t>BIRC3</w:t>
            </w:r>
          </w:p>
        </w:tc>
        <w:tc>
          <w:tcPr>
            <w:tcW w:w="0" w:type="auto"/>
            <w:vAlign w:val="bottom"/>
          </w:tcPr>
          <w:p w14:paraId="5250F273" w14:textId="7C7751C8" w:rsidR="008A6844" w:rsidRPr="000E57E3" w:rsidRDefault="008A6844" w:rsidP="000E57E3">
            <w:pPr>
              <w:pStyle w:val="Tabletext"/>
            </w:pPr>
            <w:r w:rsidRPr="000E57E3">
              <w:t> </w:t>
            </w:r>
          </w:p>
        </w:tc>
        <w:tc>
          <w:tcPr>
            <w:tcW w:w="0" w:type="auto"/>
            <w:vAlign w:val="bottom"/>
          </w:tcPr>
          <w:p w14:paraId="06721640" w14:textId="08896F27" w:rsidR="008A6844" w:rsidRPr="000E57E3" w:rsidRDefault="008A6844" w:rsidP="000E57E3">
            <w:pPr>
              <w:pStyle w:val="Tabletext"/>
            </w:pPr>
            <w:r w:rsidRPr="000E57E3">
              <w:t> </w:t>
            </w:r>
          </w:p>
        </w:tc>
        <w:tc>
          <w:tcPr>
            <w:tcW w:w="0" w:type="auto"/>
            <w:vAlign w:val="bottom"/>
          </w:tcPr>
          <w:p w14:paraId="61CC3B03" w14:textId="1B79EAA3" w:rsidR="008A6844" w:rsidRPr="000E57E3" w:rsidRDefault="008A6844" w:rsidP="000E57E3">
            <w:pPr>
              <w:pStyle w:val="Tabletext"/>
            </w:pPr>
            <w:r w:rsidRPr="000E57E3">
              <w:t> </w:t>
            </w:r>
          </w:p>
        </w:tc>
        <w:tc>
          <w:tcPr>
            <w:tcW w:w="0" w:type="auto"/>
            <w:vAlign w:val="bottom"/>
          </w:tcPr>
          <w:p w14:paraId="7300D0E8" w14:textId="2F2B1CEC" w:rsidR="008A6844" w:rsidRPr="000E57E3" w:rsidRDefault="008A6844" w:rsidP="000E57E3">
            <w:pPr>
              <w:pStyle w:val="Tabletext"/>
            </w:pPr>
            <w:r w:rsidRPr="000E57E3">
              <w:t> </w:t>
            </w:r>
          </w:p>
        </w:tc>
        <w:tc>
          <w:tcPr>
            <w:tcW w:w="0" w:type="auto"/>
            <w:vAlign w:val="bottom"/>
          </w:tcPr>
          <w:p w14:paraId="015B46ED" w14:textId="24015BEF" w:rsidR="008A6844" w:rsidRPr="000E57E3" w:rsidRDefault="008A6844" w:rsidP="000E57E3">
            <w:pPr>
              <w:pStyle w:val="Tabletext"/>
            </w:pPr>
            <w:r w:rsidRPr="000E57E3">
              <w:t> </w:t>
            </w:r>
          </w:p>
        </w:tc>
        <w:tc>
          <w:tcPr>
            <w:tcW w:w="0" w:type="auto"/>
            <w:vAlign w:val="bottom"/>
          </w:tcPr>
          <w:p w14:paraId="25BCA247" w14:textId="63309D43" w:rsidR="008A6844" w:rsidRPr="000E57E3" w:rsidRDefault="008A6844" w:rsidP="000E57E3">
            <w:pPr>
              <w:pStyle w:val="Tabletext"/>
            </w:pPr>
            <w:r w:rsidRPr="000E57E3">
              <w:t> </w:t>
            </w:r>
          </w:p>
        </w:tc>
        <w:tc>
          <w:tcPr>
            <w:tcW w:w="0" w:type="auto"/>
            <w:vAlign w:val="bottom"/>
          </w:tcPr>
          <w:p w14:paraId="50AA4FC4" w14:textId="5B0E1171" w:rsidR="008A6844" w:rsidRPr="000E57E3" w:rsidRDefault="008A6844" w:rsidP="000E57E3">
            <w:pPr>
              <w:pStyle w:val="Tabletext"/>
            </w:pPr>
            <w:r w:rsidRPr="000E57E3">
              <w:t>Y</w:t>
            </w:r>
          </w:p>
        </w:tc>
        <w:tc>
          <w:tcPr>
            <w:tcW w:w="0" w:type="auto"/>
            <w:vAlign w:val="bottom"/>
          </w:tcPr>
          <w:p w14:paraId="30C2EC9B" w14:textId="45C010CA" w:rsidR="008A6844" w:rsidRPr="000E57E3" w:rsidRDefault="008A6844" w:rsidP="000E57E3">
            <w:pPr>
              <w:pStyle w:val="Tabletext"/>
            </w:pPr>
            <w:r w:rsidRPr="000E57E3">
              <w:t>Y</w:t>
            </w:r>
          </w:p>
        </w:tc>
        <w:tc>
          <w:tcPr>
            <w:tcW w:w="0" w:type="auto"/>
            <w:vAlign w:val="bottom"/>
          </w:tcPr>
          <w:p w14:paraId="40FBC2BC" w14:textId="7450EF12" w:rsidR="008A6844" w:rsidRPr="000E57E3" w:rsidRDefault="008A6844" w:rsidP="000E57E3">
            <w:pPr>
              <w:pStyle w:val="Tabletext"/>
            </w:pPr>
            <w:r w:rsidRPr="000E57E3">
              <w:t> </w:t>
            </w:r>
          </w:p>
        </w:tc>
        <w:tc>
          <w:tcPr>
            <w:tcW w:w="0" w:type="auto"/>
            <w:vAlign w:val="bottom"/>
          </w:tcPr>
          <w:p w14:paraId="156A8AA1" w14:textId="5FF06FA3" w:rsidR="008A6844" w:rsidRPr="000E57E3" w:rsidRDefault="008A6844" w:rsidP="000E57E3">
            <w:pPr>
              <w:pStyle w:val="Tabletext"/>
            </w:pPr>
            <w:r w:rsidRPr="000E57E3">
              <w:t>Y</w:t>
            </w:r>
          </w:p>
        </w:tc>
        <w:tc>
          <w:tcPr>
            <w:tcW w:w="0" w:type="auto"/>
            <w:vAlign w:val="bottom"/>
          </w:tcPr>
          <w:p w14:paraId="3354FE48" w14:textId="25F7A1D9" w:rsidR="008A6844" w:rsidRPr="000E57E3" w:rsidRDefault="008A6844" w:rsidP="000E57E3">
            <w:pPr>
              <w:pStyle w:val="Tabletext"/>
            </w:pPr>
            <w:r w:rsidRPr="000E57E3">
              <w:t> </w:t>
            </w:r>
          </w:p>
        </w:tc>
        <w:tc>
          <w:tcPr>
            <w:tcW w:w="0" w:type="auto"/>
            <w:vAlign w:val="bottom"/>
          </w:tcPr>
          <w:p w14:paraId="5EABE80C" w14:textId="2808CF4F" w:rsidR="008A6844" w:rsidRPr="000E57E3" w:rsidRDefault="008A6844" w:rsidP="000E57E3">
            <w:pPr>
              <w:pStyle w:val="Tabletext"/>
            </w:pPr>
            <w:r w:rsidRPr="000E57E3">
              <w:t>Facilitated</w:t>
            </w:r>
          </w:p>
        </w:tc>
      </w:tr>
      <w:tr w:rsidR="00776CCE" w:rsidRPr="008A6844" w14:paraId="26D7852F" w14:textId="77777777" w:rsidTr="00CA44B7">
        <w:tc>
          <w:tcPr>
            <w:tcW w:w="0" w:type="auto"/>
            <w:vAlign w:val="bottom"/>
          </w:tcPr>
          <w:p w14:paraId="26245939" w14:textId="351D274E" w:rsidR="008A6844" w:rsidRPr="000E57E3" w:rsidRDefault="008A6844" w:rsidP="000E57E3">
            <w:pPr>
              <w:pStyle w:val="Tabletext"/>
            </w:pPr>
            <w:r w:rsidRPr="000E57E3">
              <w:t>BTK</w:t>
            </w:r>
          </w:p>
        </w:tc>
        <w:tc>
          <w:tcPr>
            <w:tcW w:w="0" w:type="auto"/>
            <w:vAlign w:val="bottom"/>
          </w:tcPr>
          <w:p w14:paraId="5B7FA59D" w14:textId="3A799CE6" w:rsidR="008A6844" w:rsidRPr="000E57E3" w:rsidRDefault="008A6844" w:rsidP="000E57E3">
            <w:pPr>
              <w:pStyle w:val="Tabletext"/>
            </w:pPr>
            <w:r w:rsidRPr="000E57E3">
              <w:t> </w:t>
            </w:r>
          </w:p>
        </w:tc>
        <w:tc>
          <w:tcPr>
            <w:tcW w:w="0" w:type="auto"/>
            <w:vAlign w:val="bottom"/>
          </w:tcPr>
          <w:p w14:paraId="4B0163EE" w14:textId="6684FAEB" w:rsidR="008A6844" w:rsidRPr="000E57E3" w:rsidRDefault="008A6844" w:rsidP="000E57E3">
            <w:pPr>
              <w:pStyle w:val="Tabletext"/>
            </w:pPr>
            <w:r w:rsidRPr="000E57E3">
              <w:t> </w:t>
            </w:r>
          </w:p>
        </w:tc>
        <w:tc>
          <w:tcPr>
            <w:tcW w:w="0" w:type="auto"/>
            <w:vAlign w:val="bottom"/>
          </w:tcPr>
          <w:p w14:paraId="0F6390E2" w14:textId="169B01A2" w:rsidR="008A6844" w:rsidRPr="000E57E3" w:rsidRDefault="008A6844" w:rsidP="000E57E3">
            <w:pPr>
              <w:pStyle w:val="Tabletext"/>
            </w:pPr>
            <w:r w:rsidRPr="000E57E3">
              <w:t>Y</w:t>
            </w:r>
          </w:p>
        </w:tc>
        <w:tc>
          <w:tcPr>
            <w:tcW w:w="0" w:type="auto"/>
            <w:vAlign w:val="bottom"/>
          </w:tcPr>
          <w:p w14:paraId="79B9E565" w14:textId="539A6BC8" w:rsidR="008A6844" w:rsidRPr="000E57E3" w:rsidRDefault="008A6844" w:rsidP="000E57E3">
            <w:pPr>
              <w:pStyle w:val="Tabletext"/>
            </w:pPr>
            <w:r w:rsidRPr="000E57E3">
              <w:t>Y</w:t>
            </w:r>
          </w:p>
        </w:tc>
        <w:tc>
          <w:tcPr>
            <w:tcW w:w="0" w:type="auto"/>
            <w:vAlign w:val="bottom"/>
          </w:tcPr>
          <w:p w14:paraId="6BA255D7" w14:textId="6625BFE1" w:rsidR="008A6844" w:rsidRPr="000E57E3" w:rsidRDefault="008A6844" w:rsidP="000E57E3">
            <w:pPr>
              <w:pStyle w:val="Tabletext"/>
            </w:pPr>
            <w:r w:rsidRPr="000E57E3">
              <w:t> </w:t>
            </w:r>
          </w:p>
        </w:tc>
        <w:tc>
          <w:tcPr>
            <w:tcW w:w="0" w:type="auto"/>
            <w:vAlign w:val="bottom"/>
          </w:tcPr>
          <w:p w14:paraId="4DC40693" w14:textId="513F0DFA" w:rsidR="008A6844" w:rsidRPr="000E57E3" w:rsidRDefault="008A6844" w:rsidP="000E57E3">
            <w:pPr>
              <w:pStyle w:val="Tabletext"/>
            </w:pPr>
            <w:r w:rsidRPr="000E57E3">
              <w:t> </w:t>
            </w:r>
          </w:p>
        </w:tc>
        <w:tc>
          <w:tcPr>
            <w:tcW w:w="0" w:type="auto"/>
            <w:vAlign w:val="bottom"/>
          </w:tcPr>
          <w:p w14:paraId="743D1DC6" w14:textId="7B081798" w:rsidR="008A6844" w:rsidRPr="000E57E3" w:rsidRDefault="008A6844" w:rsidP="000E57E3">
            <w:pPr>
              <w:pStyle w:val="Tabletext"/>
            </w:pPr>
            <w:r w:rsidRPr="000E57E3">
              <w:t>Y</w:t>
            </w:r>
          </w:p>
        </w:tc>
        <w:tc>
          <w:tcPr>
            <w:tcW w:w="0" w:type="auto"/>
            <w:vAlign w:val="bottom"/>
          </w:tcPr>
          <w:p w14:paraId="67AC361B" w14:textId="007E1204" w:rsidR="008A6844" w:rsidRPr="000E57E3" w:rsidRDefault="008A6844" w:rsidP="000E57E3">
            <w:pPr>
              <w:pStyle w:val="Tabletext"/>
            </w:pPr>
            <w:r w:rsidRPr="000E57E3">
              <w:t>Y</w:t>
            </w:r>
          </w:p>
        </w:tc>
        <w:tc>
          <w:tcPr>
            <w:tcW w:w="0" w:type="auto"/>
            <w:vAlign w:val="bottom"/>
          </w:tcPr>
          <w:p w14:paraId="54A48957" w14:textId="7F85D73A" w:rsidR="008A6844" w:rsidRPr="000E57E3" w:rsidRDefault="008A6844" w:rsidP="000E57E3">
            <w:pPr>
              <w:pStyle w:val="Tabletext"/>
            </w:pPr>
            <w:r w:rsidRPr="000E57E3">
              <w:t> </w:t>
            </w:r>
          </w:p>
        </w:tc>
        <w:tc>
          <w:tcPr>
            <w:tcW w:w="0" w:type="auto"/>
            <w:vAlign w:val="bottom"/>
          </w:tcPr>
          <w:p w14:paraId="4735BF26" w14:textId="4C9EB99E" w:rsidR="008A6844" w:rsidRPr="000E57E3" w:rsidRDefault="008A6844" w:rsidP="000E57E3">
            <w:pPr>
              <w:pStyle w:val="Tabletext"/>
            </w:pPr>
            <w:r w:rsidRPr="000E57E3">
              <w:t>Y</w:t>
            </w:r>
          </w:p>
        </w:tc>
        <w:tc>
          <w:tcPr>
            <w:tcW w:w="0" w:type="auto"/>
            <w:vAlign w:val="bottom"/>
          </w:tcPr>
          <w:p w14:paraId="73F2E7E6" w14:textId="0043B6D9" w:rsidR="008A6844" w:rsidRPr="000E57E3" w:rsidRDefault="008A6844" w:rsidP="000E57E3">
            <w:pPr>
              <w:pStyle w:val="Tabletext"/>
            </w:pPr>
            <w:r w:rsidRPr="000E57E3">
              <w:t> </w:t>
            </w:r>
          </w:p>
        </w:tc>
        <w:tc>
          <w:tcPr>
            <w:tcW w:w="0" w:type="auto"/>
            <w:vAlign w:val="bottom"/>
          </w:tcPr>
          <w:p w14:paraId="48B74D41" w14:textId="40CA4B25" w:rsidR="008A6844" w:rsidRPr="000E57E3" w:rsidRDefault="008A6844" w:rsidP="000E57E3">
            <w:pPr>
              <w:pStyle w:val="Tabletext"/>
            </w:pPr>
            <w:r w:rsidRPr="000E57E3">
              <w:t>Facilitated</w:t>
            </w:r>
          </w:p>
        </w:tc>
      </w:tr>
      <w:tr w:rsidR="00776CCE" w:rsidRPr="008A6844" w14:paraId="5112AAB4" w14:textId="77777777" w:rsidTr="00CA44B7">
        <w:tc>
          <w:tcPr>
            <w:tcW w:w="0" w:type="auto"/>
            <w:vAlign w:val="bottom"/>
          </w:tcPr>
          <w:p w14:paraId="73502114" w14:textId="542BAD95" w:rsidR="008A6844" w:rsidRPr="000E57E3" w:rsidRDefault="008A6844" w:rsidP="000E57E3">
            <w:pPr>
              <w:pStyle w:val="Tabletext"/>
            </w:pPr>
            <w:r w:rsidRPr="000E57E3">
              <w:t>CARD11</w:t>
            </w:r>
          </w:p>
        </w:tc>
        <w:tc>
          <w:tcPr>
            <w:tcW w:w="0" w:type="auto"/>
            <w:vAlign w:val="bottom"/>
          </w:tcPr>
          <w:p w14:paraId="6411E4A4" w14:textId="2AAF0013" w:rsidR="008A6844" w:rsidRPr="000E57E3" w:rsidRDefault="008A6844" w:rsidP="000E57E3">
            <w:pPr>
              <w:pStyle w:val="Tabletext"/>
            </w:pPr>
            <w:r w:rsidRPr="000E57E3">
              <w:t> </w:t>
            </w:r>
          </w:p>
        </w:tc>
        <w:tc>
          <w:tcPr>
            <w:tcW w:w="0" w:type="auto"/>
            <w:vAlign w:val="bottom"/>
          </w:tcPr>
          <w:p w14:paraId="1D7D4278" w14:textId="16A2B5AB" w:rsidR="008A6844" w:rsidRPr="000E57E3" w:rsidRDefault="008A6844" w:rsidP="000E57E3">
            <w:pPr>
              <w:pStyle w:val="Tabletext"/>
            </w:pPr>
            <w:r w:rsidRPr="000E57E3">
              <w:t> </w:t>
            </w:r>
          </w:p>
        </w:tc>
        <w:tc>
          <w:tcPr>
            <w:tcW w:w="0" w:type="auto"/>
            <w:vAlign w:val="bottom"/>
          </w:tcPr>
          <w:p w14:paraId="696BB5BB" w14:textId="7B200FA6" w:rsidR="008A6844" w:rsidRPr="000E57E3" w:rsidRDefault="008A6844" w:rsidP="000E57E3">
            <w:pPr>
              <w:pStyle w:val="Tabletext"/>
            </w:pPr>
            <w:r w:rsidRPr="000E57E3">
              <w:t> </w:t>
            </w:r>
          </w:p>
        </w:tc>
        <w:tc>
          <w:tcPr>
            <w:tcW w:w="0" w:type="auto"/>
            <w:vAlign w:val="bottom"/>
          </w:tcPr>
          <w:p w14:paraId="6427B35A" w14:textId="18054BCB" w:rsidR="008A6844" w:rsidRPr="000E57E3" w:rsidRDefault="008A6844" w:rsidP="000E57E3">
            <w:pPr>
              <w:pStyle w:val="Tabletext"/>
            </w:pPr>
            <w:r w:rsidRPr="000E57E3">
              <w:t>Y</w:t>
            </w:r>
          </w:p>
        </w:tc>
        <w:tc>
          <w:tcPr>
            <w:tcW w:w="0" w:type="auto"/>
            <w:vAlign w:val="bottom"/>
          </w:tcPr>
          <w:p w14:paraId="62187D87" w14:textId="1E396139" w:rsidR="008A6844" w:rsidRPr="000E57E3" w:rsidRDefault="008A6844" w:rsidP="000E57E3">
            <w:pPr>
              <w:pStyle w:val="Tabletext"/>
            </w:pPr>
            <w:r w:rsidRPr="000E57E3">
              <w:t> </w:t>
            </w:r>
          </w:p>
        </w:tc>
        <w:tc>
          <w:tcPr>
            <w:tcW w:w="0" w:type="auto"/>
            <w:vAlign w:val="bottom"/>
          </w:tcPr>
          <w:p w14:paraId="60948B38" w14:textId="1A537D35" w:rsidR="008A6844" w:rsidRPr="000E57E3" w:rsidRDefault="008A6844" w:rsidP="000E57E3">
            <w:pPr>
              <w:pStyle w:val="Tabletext"/>
            </w:pPr>
            <w:r w:rsidRPr="000E57E3">
              <w:t> </w:t>
            </w:r>
          </w:p>
        </w:tc>
        <w:tc>
          <w:tcPr>
            <w:tcW w:w="0" w:type="auto"/>
            <w:vAlign w:val="bottom"/>
          </w:tcPr>
          <w:p w14:paraId="3DADC1C1" w14:textId="0FF72842" w:rsidR="008A6844" w:rsidRPr="000E57E3" w:rsidRDefault="008A6844" w:rsidP="000E57E3">
            <w:pPr>
              <w:pStyle w:val="Tabletext"/>
            </w:pPr>
            <w:r w:rsidRPr="000E57E3">
              <w:t>Y</w:t>
            </w:r>
          </w:p>
        </w:tc>
        <w:tc>
          <w:tcPr>
            <w:tcW w:w="0" w:type="auto"/>
            <w:vAlign w:val="bottom"/>
          </w:tcPr>
          <w:p w14:paraId="4DEEDDDB" w14:textId="17D022D4" w:rsidR="008A6844" w:rsidRPr="000E57E3" w:rsidRDefault="008A6844" w:rsidP="000E57E3">
            <w:pPr>
              <w:pStyle w:val="Tabletext"/>
            </w:pPr>
            <w:r w:rsidRPr="000E57E3">
              <w:t>Y</w:t>
            </w:r>
          </w:p>
        </w:tc>
        <w:tc>
          <w:tcPr>
            <w:tcW w:w="0" w:type="auto"/>
            <w:vAlign w:val="bottom"/>
          </w:tcPr>
          <w:p w14:paraId="5FC2051B" w14:textId="26D4D0FF" w:rsidR="008A6844" w:rsidRPr="000E57E3" w:rsidRDefault="008A6844" w:rsidP="000E57E3">
            <w:pPr>
              <w:pStyle w:val="Tabletext"/>
            </w:pPr>
            <w:r w:rsidRPr="000E57E3">
              <w:t> </w:t>
            </w:r>
          </w:p>
        </w:tc>
        <w:tc>
          <w:tcPr>
            <w:tcW w:w="0" w:type="auto"/>
            <w:vAlign w:val="bottom"/>
          </w:tcPr>
          <w:p w14:paraId="314AC1E3" w14:textId="4D628008" w:rsidR="008A6844" w:rsidRPr="000E57E3" w:rsidRDefault="008A6844" w:rsidP="000E57E3">
            <w:pPr>
              <w:pStyle w:val="Tabletext"/>
            </w:pPr>
            <w:r w:rsidRPr="000E57E3">
              <w:t>Y</w:t>
            </w:r>
          </w:p>
        </w:tc>
        <w:tc>
          <w:tcPr>
            <w:tcW w:w="0" w:type="auto"/>
            <w:vAlign w:val="bottom"/>
          </w:tcPr>
          <w:p w14:paraId="1BFCFC95" w14:textId="56D691FD" w:rsidR="008A6844" w:rsidRPr="000E57E3" w:rsidRDefault="008A6844" w:rsidP="000E57E3">
            <w:pPr>
              <w:pStyle w:val="Tabletext"/>
            </w:pPr>
            <w:r w:rsidRPr="000E57E3">
              <w:t> </w:t>
            </w:r>
          </w:p>
        </w:tc>
        <w:tc>
          <w:tcPr>
            <w:tcW w:w="0" w:type="auto"/>
            <w:vAlign w:val="bottom"/>
          </w:tcPr>
          <w:p w14:paraId="53728ECF" w14:textId="00AB8403" w:rsidR="008A6844" w:rsidRPr="000E57E3" w:rsidRDefault="008A6844" w:rsidP="000E57E3">
            <w:pPr>
              <w:pStyle w:val="Tabletext"/>
            </w:pPr>
            <w:r w:rsidRPr="000E57E3">
              <w:t>Facilitated</w:t>
            </w:r>
          </w:p>
        </w:tc>
      </w:tr>
      <w:tr w:rsidR="00776CCE" w:rsidRPr="008A6844" w14:paraId="642F7AED" w14:textId="77777777" w:rsidTr="00CA44B7">
        <w:tc>
          <w:tcPr>
            <w:tcW w:w="0" w:type="auto"/>
            <w:vAlign w:val="bottom"/>
          </w:tcPr>
          <w:p w14:paraId="7DC314E3" w14:textId="0C8BBD5A" w:rsidR="008A6844" w:rsidRPr="000E57E3" w:rsidRDefault="008A6844" w:rsidP="000E57E3">
            <w:pPr>
              <w:pStyle w:val="Tabletext"/>
            </w:pPr>
            <w:r w:rsidRPr="000E57E3">
              <w:t>CBLB</w:t>
            </w:r>
          </w:p>
        </w:tc>
        <w:tc>
          <w:tcPr>
            <w:tcW w:w="0" w:type="auto"/>
            <w:vAlign w:val="bottom"/>
          </w:tcPr>
          <w:p w14:paraId="4005504F" w14:textId="67EBE4B5" w:rsidR="008A6844" w:rsidRPr="000E57E3" w:rsidRDefault="008A6844" w:rsidP="000E57E3">
            <w:pPr>
              <w:pStyle w:val="Tabletext"/>
            </w:pPr>
            <w:r w:rsidRPr="000E57E3">
              <w:t> </w:t>
            </w:r>
          </w:p>
        </w:tc>
        <w:tc>
          <w:tcPr>
            <w:tcW w:w="0" w:type="auto"/>
            <w:vAlign w:val="bottom"/>
          </w:tcPr>
          <w:p w14:paraId="26E6CCAE" w14:textId="5FB1EABD" w:rsidR="008A6844" w:rsidRPr="000E57E3" w:rsidRDefault="008A6844" w:rsidP="000E57E3">
            <w:pPr>
              <w:pStyle w:val="Tabletext"/>
            </w:pPr>
            <w:r w:rsidRPr="000E57E3">
              <w:t> </w:t>
            </w:r>
          </w:p>
        </w:tc>
        <w:tc>
          <w:tcPr>
            <w:tcW w:w="0" w:type="auto"/>
            <w:vAlign w:val="bottom"/>
          </w:tcPr>
          <w:p w14:paraId="7F46EADA" w14:textId="47873F95" w:rsidR="008A6844" w:rsidRPr="000E57E3" w:rsidRDefault="008A6844" w:rsidP="000E57E3">
            <w:pPr>
              <w:pStyle w:val="Tabletext"/>
            </w:pPr>
            <w:r w:rsidRPr="000E57E3">
              <w:t>Y</w:t>
            </w:r>
          </w:p>
        </w:tc>
        <w:tc>
          <w:tcPr>
            <w:tcW w:w="0" w:type="auto"/>
            <w:vAlign w:val="bottom"/>
          </w:tcPr>
          <w:p w14:paraId="5EAC9D83" w14:textId="2A9F18B0" w:rsidR="008A6844" w:rsidRPr="000E57E3" w:rsidRDefault="008A6844" w:rsidP="000E57E3">
            <w:pPr>
              <w:pStyle w:val="Tabletext"/>
            </w:pPr>
            <w:r w:rsidRPr="000E57E3">
              <w:t> </w:t>
            </w:r>
          </w:p>
        </w:tc>
        <w:tc>
          <w:tcPr>
            <w:tcW w:w="0" w:type="auto"/>
            <w:vAlign w:val="bottom"/>
          </w:tcPr>
          <w:p w14:paraId="1F238F39" w14:textId="3482DE72" w:rsidR="008A6844" w:rsidRPr="000E57E3" w:rsidRDefault="008A6844" w:rsidP="000E57E3">
            <w:pPr>
              <w:pStyle w:val="Tabletext"/>
            </w:pPr>
            <w:r w:rsidRPr="000E57E3">
              <w:t> </w:t>
            </w:r>
          </w:p>
        </w:tc>
        <w:tc>
          <w:tcPr>
            <w:tcW w:w="0" w:type="auto"/>
            <w:vAlign w:val="bottom"/>
          </w:tcPr>
          <w:p w14:paraId="323A2F03" w14:textId="1B9C9255" w:rsidR="008A6844" w:rsidRPr="000E57E3" w:rsidRDefault="008A6844" w:rsidP="000E57E3">
            <w:pPr>
              <w:pStyle w:val="Tabletext"/>
            </w:pPr>
            <w:r w:rsidRPr="000E57E3">
              <w:t> </w:t>
            </w:r>
          </w:p>
        </w:tc>
        <w:tc>
          <w:tcPr>
            <w:tcW w:w="0" w:type="auto"/>
            <w:vAlign w:val="bottom"/>
          </w:tcPr>
          <w:p w14:paraId="7D2A4D7E" w14:textId="60A69554" w:rsidR="008A6844" w:rsidRPr="000E57E3" w:rsidRDefault="008A6844" w:rsidP="000E57E3">
            <w:pPr>
              <w:pStyle w:val="Tabletext"/>
            </w:pPr>
            <w:r w:rsidRPr="000E57E3">
              <w:t> </w:t>
            </w:r>
          </w:p>
        </w:tc>
        <w:tc>
          <w:tcPr>
            <w:tcW w:w="0" w:type="auto"/>
            <w:vAlign w:val="bottom"/>
          </w:tcPr>
          <w:p w14:paraId="5AEBDEF2" w14:textId="71BB982C" w:rsidR="008A6844" w:rsidRPr="000E57E3" w:rsidRDefault="008A6844" w:rsidP="000E57E3">
            <w:pPr>
              <w:pStyle w:val="Tabletext"/>
            </w:pPr>
            <w:r w:rsidRPr="000E57E3">
              <w:t> </w:t>
            </w:r>
          </w:p>
        </w:tc>
        <w:tc>
          <w:tcPr>
            <w:tcW w:w="0" w:type="auto"/>
            <w:vAlign w:val="bottom"/>
          </w:tcPr>
          <w:p w14:paraId="25D4D3A4" w14:textId="44C9B5F6" w:rsidR="008A6844" w:rsidRPr="000E57E3" w:rsidRDefault="008A6844" w:rsidP="000E57E3">
            <w:pPr>
              <w:pStyle w:val="Tabletext"/>
            </w:pPr>
            <w:r w:rsidRPr="000E57E3">
              <w:t> </w:t>
            </w:r>
          </w:p>
        </w:tc>
        <w:tc>
          <w:tcPr>
            <w:tcW w:w="0" w:type="auto"/>
            <w:vAlign w:val="bottom"/>
          </w:tcPr>
          <w:p w14:paraId="70C7F95E" w14:textId="09568074" w:rsidR="008A6844" w:rsidRPr="000E57E3" w:rsidRDefault="008A6844" w:rsidP="000E57E3">
            <w:pPr>
              <w:pStyle w:val="Tabletext"/>
            </w:pPr>
            <w:r w:rsidRPr="000E57E3">
              <w:t> </w:t>
            </w:r>
          </w:p>
        </w:tc>
        <w:tc>
          <w:tcPr>
            <w:tcW w:w="0" w:type="auto"/>
            <w:vAlign w:val="bottom"/>
          </w:tcPr>
          <w:p w14:paraId="42B66D3B" w14:textId="568A8CB3" w:rsidR="008A6844" w:rsidRPr="000E57E3" w:rsidRDefault="008A6844" w:rsidP="000E57E3">
            <w:pPr>
              <w:pStyle w:val="Tabletext"/>
            </w:pPr>
            <w:r w:rsidRPr="000E57E3">
              <w:t>Y</w:t>
            </w:r>
          </w:p>
        </w:tc>
        <w:tc>
          <w:tcPr>
            <w:tcW w:w="0" w:type="auto"/>
            <w:vAlign w:val="bottom"/>
          </w:tcPr>
          <w:p w14:paraId="6B89416E" w14:textId="1C448F76" w:rsidR="008A6844" w:rsidRPr="000E57E3" w:rsidRDefault="008A6844" w:rsidP="000E57E3">
            <w:pPr>
              <w:pStyle w:val="Tabletext"/>
            </w:pPr>
            <w:r w:rsidRPr="000E57E3">
              <w:t>Facilitated</w:t>
            </w:r>
          </w:p>
        </w:tc>
      </w:tr>
      <w:tr w:rsidR="00776CCE" w:rsidRPr="008A6844" w14:paraId="3B1A0467" w14:textId="77777777" w:rsidTr="00CA44B7">
        <w:tc>
          <w:tcPr>
            <w:tcW w:w="0" w:type="auto"/>
            <w:vAlign w:val="bottom"/>
          </w:tcPr>
          <w:p w14:paraId="7D12C4BE" w14:textId="7027C319" w:rsidR="008A6844" w:rsidRPr="000E57E3" w:rsidRDefault="008A6844" w:rsidP="000E57E3">
            <w:pPr>
              <w:pStyle w:val="Tabletext"/>
            </w:pPr>
            <w:r w:rsidRPr="000E57E3">
              <w:t>CBLC</w:t>
            </w:r>
          </w:p>
        </w:tc>
        <w:tc>
          <w:tcPr>
            <w:tcW w:w="0" w:type="auto"/>
            <w:vAlign w:val="bottom"/>
          </w:tcPr>
          <w:p w14:paraId="5412B697" w14:textId="40749490" w:rsidR="008A6844" w:rsidRPr="000E57E3" w:rsidRDefault="008A6844" w:rsidP="000E57E3">
            <w:pPr>
              <w:pStyle w:val="Tabletext"/>
            </w:pPr>
            <w:r w:rsidRPr="000E57E3">
              <w:t> </w:t>
            </w:r>
          </w:p>
        </w:tc>
        <w:tc>
          <w:tcPr>
            <w:tcW w:w="0" w:type="auto"/>
            <w:vAlign w:val="bottom"/>
          </w:tcPr>
          <w:p w14:paraId="6CF3AB93" w14:textId="5374232A" w:rsidR="008A6844" w:rsidRPr="000E57E3" w:rsidRDefault="008A6844" w:rsidP="000E57E3">
            <w:pPr>
              <w:pStyle w:val="Tabletext"/>
            </w:pPr>
            <w:r w:rsidRPr="000E57E3">
              <w:t> </w:t>
            </w:r>
          </w:p>
        </w:tc>
        <w:tc>
          <w:tcPr>
            <w:tcW w:w="0" w:type="auto"/>
            <w:vAlign w:val="bottom"/>
          </w:tcPr>
          <w:p w14:paraId="5B0A15BF" w14:textId="2975EDB5" w:rsidR="008A6844" w:rsidRPr="000E57E3" w:rsidRDefault="008A6844" w:rsidP="000E57E3">
            <w:pPr>
              <w:pStyle w:val="Tabletext"/>
            </w:pPr>
            <w:r w:rsidRPr="000E57E3">
              <w:t>Y</w:t>
            </w:r>
          </w:p>
        </w:tc>
        <w:tc>
          <w:tcPr>
            <w:tcW w:w="0" w:type="auto"/>
            <w:vAlign w:val="bottom"/>
          </w:tcPr>
          <w:p w14:paraId="2CF1173B" w14:textId="2C2CFE5D" w:rsidR="008A6844" w:rsidRPr="000E57E3" w:rsidRDefault="008A6844" w:rsidP="000E57E3">
            <w:pPr>
              <w:pStyle w:val="Tabletext"/>
            </w:pPr>
            <w:r w:rsidRPr="000E57E3">
              <w:t> </w:t>
            </w:r>
          </w:p>
        </w:tc>
        <w:tc>
          <w:tcPr>
            <w:tcW w:w="0" w:type="auto"/>
            <w:vAlign w:val="bottom"/>
          </w:tcPr>
          <w:p w14:paraId="3814F9EA" w14:textId="552705CF" w:rsidR="008A6844" w:rsidRPr="000E57E3" w:rsidRDefault="008A6844" w:rsidP="000E57E3">
            <w:pPr>
              <w:pStyle w:val="Tabletext"/>
            </w:pPr>
            <w:r w:rsidRPr="000E57E3">
              <w:t> </w:t>
            </w:r>
          </w:p>
        </w:tc>
        <w:tc>
          <w:tcPr>
            <w:tcW w:w="0" w:type="auto"/>
            <w:vAlign w:val="bottom"/>
          </w:tcPr>
          <w:p w14:paraId="17C46ACA" w14:textId="5516AFBD" w:rsidR="008A6844" w:rsidRPr="000E57E3" w:rsidRDefault="008A6844" w:rsidP="000E57E3">
            <w:pPr>
              <w:pStyle w:val="Tabletext"/>
            </w:pPr>
            <w:r w:rsidRPr="000E57E3">
              <w:t> </w:t>
            </w:r>
          </w:p>
        </w:tc>
        <w:tc>
          <w:tcPr>
            <w:tcW w:w="0" w:type="auto"/>
            <w:vAlign w:val="bottom"/>
          </w:tcPr>
          <w:p w14:paraId="6541869F" w14:textId="6260C1D2" w:rsidR="008A6844" w:rsidRPr="000E57E3" w:rsidRDefault="008A6844" w:rsidP="000E57E3">
            <w:pPr>
              <w:pStyle w:val="Tabletext"/>
            </w:pPr>
            <w:r w:rsidRPr="000E57E3">
              <w:t> </w:t>
            </w:r>
          </w:p>
        </w:tc>
        <w:tc>
          <w:tcPr>
            <w:tcW w:w="0" w:type="auto"/>
            <w:vAlign w:val="bottom"/>
          </w:tcPr>
          <w:p w14:paraId="1DD6674B" w14:textId="34F87F2A" w:rsidR="008A6844" w:rsidRPr="000E57E3" w:rsidRDefault="008A6844" w:rsidP="000E57E3">
            <w:pPr>
              <w:pStyle w:val="Tabletext"/>
            </w:pPr>
            <w:r w:rsidRPr="000E57E3">
              <w:t> </w:t>
            </w:r>
          </w:p>
        </w:tc>
        <w:tc>
          <w:tcPr>
            <w:tcW w:w="0" w:type="auto"/>
            <w:vAlign w:val="bottom"/>
          </w:tcPr>
          <w:p w14:paraId="45456071" w14:textId="3C333AFC" w:rsidR="008A6844" w:rsidRPr="000E57E3" w:rsidRDefault="008A6844" w:rsidP="000E57E3">
            <w:pPr>
              <w:pStyle w:val="Tabletext"/>
            </w:pPr>
            <w:r w:rsidRPr="000E57E3">
              <w:t> </w:t>
            </w:r>
          </w:p>
        </w:tc>
        <w:tc>
          <w:tcPr>
            <w:tcW w:w="0" w:type="auto"/>
            <w:vAlign w:val="bottom"/>
          </w:tcPr>
          <w:p w14:paraId="1191B1BC" w14:textId="146AAF64" w:rsidR="008A6844" w:rsidRPr="000E57E3" w:rsidRDefault="008A6844" w:rsidP="000E57E3">
            <w:pPr>
              <w:pStyle w:val="Tabletext"/>
            </w:pPr>
            <w:r w:rsidRPr="000E57E3">
              <w:t> </w:t>
            </w:r>
          </w:p>
        </w:tc>
        <w:tc>
          <w:tcPr>
            <w:tcW w:w="0" w:type="auto"/>
            <w:vAlign w:val="bottom"/>
          </w:tcPr>
          <w:p w14:paraId="1D5C353E" w14:textId="5BD73AA3" w:rsidR="008A6844" w:rsidRPr="000E57E3" w:rsidRDefault="008A6844" w:rsidP="000E57E3">
            <w:pPr>
              <w:pStyle w:val="Tabletext"/>
            </w:pPr>
            <w:r w:rsidRPr="000E57E3">
              <w:t>Y</w:t>
            </w:r>
          </w:p>
        </w:tc>
        <w:tc>
          <w:tcPr>
            <w:tcW w:w="0" w:type="auto"/>
            <w:vAlign w:val="bottom"/>
          </w:tcPr>
          <w:p w14:paraId="75734AFC" w14:textId="6AF1589A" w:rsidR="008A6844" w:rsidRPr="000E57E3" w:rsidRDefault="008A6844" w:rsidP="000E57E3">
            <w:pPr>
              <w:pStyle w:val="Tabletext"/>
            </w:pPr>
            <w:r w:rsidRPr="000E57E3">
              <w:t>Facilitated</w:t>
            </w:r>
          </w:p>
        </w:tc>
      </w:tr>
      <w:tr w:rsidR="00776CCE" w:rsidRPr="008A6844" w14:paraId="4AB5DD68" w14:textId="77777777" w:rsidTr="00CA44B7">
        <w:tc>
          <w:tcPr>
            <w:tcW w:w="0" w:type="auto"/>
            <w:vAlign w:val="bottom"/>
          </w:tcPr>
          <w:p w14:paraId="2DB24606" w14:textId="3DFBBE51" w:rsidR="008A6844" w:rsidRPr="000E57E3" w:rsidRDefault="008A6844" w:rsidP="000E57E3">
            <w:pPr>
              <w:pStyle w:val="Tabletext"/>
            </w:pPr>
            <w:r w:rsidRPr="000E57E3">
              <w:t>CCND1</w:t>
            </w:r>
          </w:p>
        </w:tc>
        <w:tc>
          <w:tcPr>
            <w:tcW w:w="0" w:type="auto"/>
            <w:vAlign w:val="bottom"/>
          </w:tcPr>
          <w:p w14:paraId="2B352122" w14:textId="7DC0F39A" w:rsidR="008A6844" w:rsidRPr="000E57E3" w:rsidRDefault="008A6844" w:rsidP="000E57E3">
            <w:pPr>
              <w:pStyle w:val="Tabletext"/>
            </w:pPr>
            <w:r w:rsidRPr="000E57E3">
              <w:t> </w:t>
            </w:r>
          </w:p>
        </w:tc>
        <w:tc>
          <w:tcPr>
            <w:tcW w:w="0" w:type="auto"/>
            <w:vAlign w:val="bottom"/>
          </w:tcPr>
          <w:p w14:paraId="3044DDBC" w14:textId="6E4E5467" w:rsidR="008A6844" w:rsidRPr="000E57E3" w:rsidRDefault="008A6844" w:rsidP="000E57E3">
            <w:pPr>
              <w:pStyle w:val="Tabletext"/>
            </w:pPr>
            <w:r w:rsidRPr="000E57E3">
              <w:t> </w:t>
            </w:r>
          </w:p>
        </w:tc>
        <w:tc>
          <w:tcPr>
            <w:tcW w:w="0" w:type="auto"/>
            <w:vAlign w:val="bottom"/>
          </w:tcPr>
          <w:p w14:paraId="5CFB3A9B" w14:textId="4E08DE31" w:rsidR="008A6844" w:rsidRPr="000E57E3" w:rsidRDefault="008A6844" w:rsidP="000E57E3">
            <w:pPr>
              <w:pStyle w:val="Tabletext"/>
            </w:pPr>
            <w:r w:rsidRPr="000E57E3">
              <w:t> </w:t>
            </w:r>
          </w:p>
        </w:tc>
        <w:tc>
          <w:tcPr>
            <w:tcW w:w="0" w:type="auto"/>
            <w:vAlign w:val="bottom"/>
          </w:tcPr>
          <w:p w14:paraId="2D0426D3" w14:textId="4540D17F" w:rsidR="008A6844" w:rsidRPr="000E57E3" w:rsidRDefault="008A6844" w:rsidP="000E57E3">
            <w:pPr>
              <w:pStyle w:val="Tabletext"/>
            </w:pPr>
            <w:r w:rsidRPr="000E57E3">
              <w:t> </w:t>
            </w:r>
          </w:p>
        </w:tc>
        <w:tc>
          <w:tcPr>
            <w:tcW w:w="0" w:type="auto"/>
            <w:vAlign w:val="bottom"/>
          </w:tcPr>
          <w:p w14:paraId="13523051" w14:textId="62B1CADA" w:rsidR="008A6844" w:rsidRPr="000E57E3" w:rsidRDefault="008A6844" w:rsidP="000E57E3">
            <w:pPr>
              <w:pStyle w:val="Tabletext"/>
            </w:pPr>
            <w:r w:rsidRPr="000E57E3">
              <w:t>Y</w:t>
            </w:r>
          </w:p>
        </w:tc>
        <w:tc>
          <w:tcPr>
            <w:tcW w:w="0" w:type="auto"/>
            <w:vAlign w:val="bottom"/>
          </w:tcPr>
          <w:p w14:paraId="531447BA" w14:textId="59C0059B" w:rsidR="008A6844" w:rsidRPr="000E57E3" w:rsidRDefault="008A6844" w:rsidP="000E57E3">
            <w:pPr>
              <w:pStyle w:val="Tabletext"/>
            </w:pPr>
            <w:r w:rsidRPr="000E57E3">
              <w:t> </w:t>
            </w:r>
          </w:p>
        </w:tc>
        <w:tc>
          <w:tcPr>
            <w:tcW w:w="0" w:type="auto"/>
            <w:vAlign w:val="bottom"/>
          </w:tcPr>
          <w:p w14:paraId="4C107C2B" w14:textId="36A3E12D" w:rsidR="008A6844" w:rsidRPr="000E57E3" w:rsidRDefault="008A6844" w:rsidP="000E57E3">
            <w:pPr>
              <w:pStyle w:val="Tabletext"/>
            </w:pPr>
            <w:r w:rsidRPr="000E57E3">
              <w:t>Y</w:t>
            </w:r>
          </w:p>
        </w:tc>
        <w:tc>
          <w:tcPr>
            <w:tcW w:w="0" w:type="auto"/>
            <w:vAlign w:val="bottom"/>
          </w:tcPr>
          <w:p w14:paraId="2F78500B" w14:textId="48025B55" w:rsidR="008A6844" w:rsidRPr="000E57E3" w:rsidRDefault="008A6844" w:rsidP="000E57E3">
            <w:pPr>
              <w:pStyle w:val="Tabletext"/>
            </w:pPr>
            <w:r w:rsidRPr="000E57E3">
              <w:t>Y</w:t>
            </w:r>
          </w:p>
        </w:tc>
        <w:tc>
          <w:tcPr>
            <w:tcW w:w="0" w:type="auto"/>
            <w:vAlign w:val="bottom"/>
          </w:tcPr>
          <w:p w14:paraId="35A38858" w14:textId="1D769982" w:rsidR="008A6844" w:rsidRPr="000E57E3" w:rsidRDefault="008A6844" w:rsidP="000E57E3">
            <w:pPr>
              <w:pStyle w:val="Tabletext"/>
            </w:pPr>
            <w:r w:rsidRPr="000E57E3">
              <w:t> </w:t>
            </w:r>
          </w:p>
        </w:tc>
        <w:tc>
          <w:tcPr>
            <w:tcW w:w="0" w:type="auto"/>
            <w:vAlign w:val="bottom"/>
          </w:tcPr>
          <w:p w14:paraId="5DB26358" w14:textId="69EBCA98" w:rsidR="008A6844" w:rsidRPr="000E57E3" w:rsidRDefault="008A6844" w:rsidP="000E57E3">
            <w:pPr>
              <w:pStyle w:val="Tabletext"/>
            </w:pPr>
            <w:r w:rsidRPr="000E57E3">
              <w:t> </w:t>
            </w:r>
          </w:p>
        </w:tc>
        <w:tc>
          <w:tcPr>
            <w:tcW w:w="0" w:type="auto"/>
            <w:vAlign w:val="bottom"/>
          </w:tcPr>
          <w:p w14:paraId="1F9A1CD5" w14:textId="15C8162B" w:rsidR="008A6844" w:rsidRPr="000E57E3" w:rsidRDefault="008A6844" w:rsidP="000E57E3">
            <w:pPr>
              <w:pStyle w:val="Tabletext"/>
            </w:pPr>
            <w:r w:rsidRPr="000E57E3">
              <w:t> </w:t>
            </w:r>
          </w:p>
        </w:tc>
        <w:tc>
          <w:tcPr>
            <w:tcW w:w="0" w:type="auto"/>
            <w:vAlign w:val="bottom"/>
          </w:tcPr>
          <w:p w14:paraId="7650E680" w14:textId="38072725" w:rsidR="008A6844" w:rsidRPr="000E57E3" w:rsidRDefault="008A6844" w:rsidP="000E57E3">
            <w:pPr>
              <w:pStyle w:val="Tabletext"/>
            </w:pPr>
            <w:r w:rsidRPr="000E57E3">
              <w:t>Facilitated</w:t>
            </w:r>
          </w:p>
        </w:tc>
      </w:tr>
      <w:tr w:rsidR="00776CCE" w:rsidRPr="008A6844" w14:paraId="26C82F9E" w14:textId="77777777" w:rsidTr="00CA44B7">
        <w:tc>
          <w:tcPr>
            <w:tcW w:w="0" w:type="auto"/>
            <w:vAlign w:val="bottom"/>
          </w:tcPr>
          <w:p w14:paraId="1E9B9209" w14:textId="68D790CB" w:rsidR="008A6844" w:rsidRPr="000E57E3" w:rsidRDefault="008A6844" w:rsidP="000E57E3">
            <w:pPr>
              <w:pStyle w:val="Tabletext"/>
            </w:pPr>
            <w:r w:rsidRPr="000E57E3">
              <w:t>CCND2</w:t>
            </w:r>
          </w:p>
        </w:tc>
        <w:tc>
          <w:tcPr>
            <w:tcW w:w="0" w:type="auto"/>
            <w:vAlign w:val="bottom"/>
          </w:tcPr>
          <w:p w14:paraId="513E1851" w14:textId="30DAB821" w:rsidR="008A6844" w:rsidRPr="000E57E3" w:rsidRDefault="008A6844" w:rsidP="000E57E3">
            <w:pPr>
              <w:pStyle w:val="Tabletext"/>
            </w:pPr>
            <w:r w:rsidRPr="000E57E3">
              <w:t> </w:t>
            </w:r>
          </w:p>
        </w:tc>
        <w:tc>
          <w:tcPr>
            <w:tcW w:w="0" w:type="auto"/>
            <w:vAlign w:val="bottom"/>
          </w:tcPr>
          <w:p w14:paraId="5637CC57" w14:textId="51D6918B" w:rsidR="008A6844" w:rsidRPr="000E57E3" w:rsidRDefault="008A6844" w:rsidP="000E57E3">
            <w:pPr>
              <w:pStyle w:val="Tabletext"/>
            </w:pPr>
            <w:r w:rsidRPr="000E57E3">
              <w:t> </w:t>
            </w:r>
          </w:p>
        </w:tc>
        <w:tc>
          <w:tcPr>
            <w:tcW w:w="0" w:type="auto"/>
            <w:vAlign w:val="bottom"/>
          </w:tcPr>
          <w:p w14:paraId="35A71B8B" w14:textId="2F9A6D3F" w:rsidR="008A6844" w:rsidRPr="000E57E3" w:rsidRDefault="008A6844" w:rsidP="000E57E3">
            <w:pPr>
              <w:pStyle w:val="Tabletext"/>
            </w:pPr>
            <w:r w:rsidRPr="000E57E3">
              <w:t>Y</w:t>
            </w:r>
          </w:p>
        </w:tc>
        <w:tc>
          <w:tcPr>
            <w:tcW w:w="0" w:type="auto"/>
            <w:vAlign w:val="bottom"/>
          </w:tcPr>
          <w:p w14:paraId="66D87996" w14:textId="525DC501" w:rsidR="008A6844" w:rsidRPr="000E57E3" w:rsidRDefault="008A6844" w:rsidP="000E57E3">
            <w:pPr>
              <w:pStyle w:val="Tabletext"/>
            </w:pPr>
            <w:r w:rsidRPr="000E57E3">
              <w:t> </w:t>
            </w:r>
          </w:p>
        </w:tc>
        <w:tc>
          <w:tcPr>
            <w:tcW w:w="0" w:type="auto"/>
            <w:vAlign w:val="bottom"/>
          </w:tcPr>
          <w:p w14:paraId="19BD6462" w14:textId="725B9D43" w:rsidR="008A6844" w:rsidRPr="000E57E3" w:rsidRDefault="008A6844" w:rsidP="000E57E3">
            <w:pPr>
              <w:pStyle w:val="Tabletext"/>
            </w:pPr>
            <w:r w:rsidRPr="000E57E3">
              <w:t> </w:t>
            </w:r>
          </w:p>
        </w:tc>
        <w:tc>
          <w:tcPr>
            <w:tcW w:w="0" w:type="auto"/>
            <w:vAlign w:val="bottom"/>
          </w:tcPr>
          <w:p w14:paraId="11C0C4DE" w14:textId="3FAD14BE" w:rsidR="008A6844" w:rsidRPr="000E57E3" w:rsidRDefault="008A6844" w:rsidP="000E57E3">
            <w:pPr>
              <w:pStyle w:val="Tabletext"/>
            </w:pPr>
            <w:r w:rsidRPr="000E57E3">
              <w:t> </w:t>
            </w:r>
          </w:p>
        </w:tc>
        <w:tc>
          <w:tcPr>
            <w:tcW w:w="0" w:type="auto"/>
            <w:vAlign w:val="bottom"/>
          </w:tcPr>
          <w:p w14:paraId="2B4D3425" w14:textId="6E018B2C" w:rsidR="008A6844" w:rsidRPr="000E57E3" w:rsidRDefault="008A6844" w:rsidP="000E57E3">
            <w:pPr>
              <w:pStyle w:val="Tabletext"/>
            </w:pPr>
            <w:r w:rsidRPr="000E57E3">
              <w:t> </w:t>
            </w:r>
          </w:p>
        </w:tc>
        <w:tc>
          <w:tcPr>
            <w:tcW w:w="0" w:type="auto"/>
            <w:vAlign w:val="bottom"/>
          </w:tcPr>
          <w:p w14:paraId="4BD62B75" w14:textId="4C450222" w:rsidR="008A6844" w:rsidRPr="000E57E3" w:rsidRDefault="008A6844" w:rsidP="000E57E3">
            <w:pPr>
              <w:pStyle w:val="Tabletext"/>
            </w:pPr>
            <w:r w:rsidRPr="000E57E3">
              <w:t> </w:t>
            </w:r>
          </w:p>
        </w:tc>
        <w:tc>
          <w:tcPr>
            <w:tcW w:w="0" w:type="auto"/>
            <w:vAlign w:val="bottom"/>
          </w:tcPr>
          <w:p w14:paraId="724E144C" w14:textId="0E6FA29A" w:rsidR="008A6844" w:rsidRPr="000E57E3" w:rsidRDefault="008A6844" w:rsidP="000E57E3">
            <w:pPr>
              <w:pStyle w:val="Tabletext"/>
            </w:pPr>
            <w:r w:rsidRPr="000E57E3">
              <w:t> </w:t>
            </w:r>
          </w:p>
        </w:tc>
        <w:tc>
          <w:tcPr>
            <w:tcW w:w="0" w:type="auto"/>
            <w:vAlign w:val="bottom"/>
          </w:tcPr>
          <w:p w14:paraId="386D9DEC" w14:textId="6BBDB606" w:rsidR="008A6844" w:rsidRPr="000E57E3" w:rsidRDefault="008A6844" w:rsidP="000E57E3">
            <w:pPr>
              <w:pStyle w:val="Tabletext"/>
            </w:pPr>
            <w:r w:rsidRPr="000E57E3">
              <w:t> </w:t>
            </w:r>
          </w:p>
        </w:tc>
        <w:tc>
          <w:tcPr>
            <w:tcW w:w="0" w:type="auto"/>
            <w:vAlign w:val="bottom"/>
          </w:tcPr>
          <w:p w14:paraId="60503961" w14:textId="67FCFA57" w:rsidR="008A6844" w:rsidRPr="000E57E3" w:rsidRDefault="008A6844" w:rsidP="000E57E3">
            <w:pPr>
              <w:pStyle w:val="Tabletext"/>
            </w:pPr>
            <w:r w:rsidRPr="000E57E3">
              <w:t> </w:t>
            </w:r>
          </w:p>
        </w:tc>
        <w:tc>
          <w:tcPr>
            <w:tcW w:w="0" w:type="auto"/>
            <w:vAlign w:val="bottom"/>
          </w:tcPr>
          <w:p w14:paraId="00B6257E" w14:textId="6F1CC6AD" w:rsidR="008A6844" w:rsidRPr="000E57E3" w:rsidRDefault="008A6844" w:rsidP="000E57E3">
            <w:pPr>
              <w:pStyle w:val="Tabletext"/>
            </w:pPr>
            <w:r w:rsidRPr="000E57E3">
              <w:t>Facilitated</w:t>
            </w:r>
          </w:p>
        </w:tc>
      </w:tr>
      <w:tr w:rsidR="00776CCE" w:rsidRPr="008A6844" w14:paraId="172889F1" w14:textId="77777777" w:rsidTr="00CA44B7">
        <w:tc>
          <w:tcPr>
            <w:tcW w:w="0" w:type="auto"/>
            <w:vAlign w:val="bottom"/>
          </w:tcPr>
          <w:p w14:paraId="7006E88B" w14:textId="0940A158" w:rsidR="008A6844" w:rsidRPr="000E57E3" w:rsidRDefault="008A6844" w:rsidP="000E57E3">
            <w:pPr>
              <w:pStyle w:val="Tabletext"/>
            </w:pPr>
            <w:r w:rsidRPr="000E57E3">
              <w:t>CCND3</w:t>
            </w:r>
          </w:p>
        </w:tc>
        <w:tc>
          <w:tcPr>
            <w:tcW w:w="0" w:type="auto"/>
            <w:vAlign w:val="bottom"/>
          </w:tcPr>
          <w:p w14:paraId="54140E76" w14:textId="0F7A68B1" w:rsidR="008A6844" w:rsidRPr="000E57E3" w:rsidRDefault="008A6844" w:rsidP="000E57E3">
            <w:pPr>
              <w:pStyle w:val="Tabletext"/>
            </w:pPr>
            <w:r w:rsidRPr="000E57E3">
              <w:t> </w:t>
            </w:r>
          </w:p>
        </w:tc>
        <w:tc>
          <w:tcPr>
            <w:tcW w:w="0" w:type="auto"/>
            <w:vAlign w:val="bottom"/>
          </w:tcPr>
          <w:p w14:paraId="207BA959" w14:textId="660EF8DC" w:rsidR="008A6844" w:rsidRPr="000E57E3" w:rsidRDefault="008A6844" w:rsidP="000E57E3">
            <w:pPr>
              <w:pStyle w:val="Tabletext"/>
            </w:pPr>
            <w:r w:rsidRPr="000E57E3">
              <w:t> </w:t>
            </w:r>
          </w:p>
        </w:tc>
        <w:tc>
          <w:tcPr>
            <w:tcW w:w="0" w:type="auto"/>
            <w:vAlign w:val="bottom"/>
          </w:tcPr>
          <w:p w14:paraId="431C8510" w14:textId="676DF05A" w:rsidR="008A6844" w:rsidRPr="000E57E3" w:rsidRDefault="008A6844" w:rsidP="000E57E3">
            <w:pPr>
              <w:pStyle w:val="Tabletext"/>
            </w:pPr>
            <w:r w:rsidRPr="000E57E3">
              <w:t> </w:t>
            </w:r>
          </w:p>
        </w:tc>
        <w:tc>
          <w:tcPr>
            <w:tcW w:w="0" w:type="auto"/>
            <w:vAlign w:val="bottom"/>
          </w:tcPr>
          <w:p w14:paraId="38298676" w14:textId="7FAAA421" w:rsidR="008A6844" w:rsidRPr="000E57E3" w:rsidRDefault="008A6844" w:rsidP="000E57E3">
            <w:pPr>
              <w:pStyle w:val="Tabletext"/>
            </w:pPr>
            <w:r w:rsidRPr="000E57E3">
              <w:t> </w:t>
            </w:r>
          </w:p>
        </w:tc>
        <w:tc>
          <w:tcPr>
            <w:tcW w:w="0" w:type="auto"/>
            <w:vAlign w:val="bottom"/>
          </w:tcPr>
          <w:p w14:paraId="2C1839EE" w14:textId="5067745B" w:rsidR="008A6844" w:rsidRPr="000E57E3" w:rsidRDefault="008A6844" w:rsidP="000E57E3">
            <w:pPr>
              <w:pStyle w:val="Tabletext"/>
            </w:pPr>
            <w:r w:rsidRPr="000E57E3">
              <w:t> </w:t>
            </w:r>
          </w:p>
        </w:tc>
        <w:tc>
          <w:tcPr>
            <w:tcW w:w="0" w:type="auto"/>
            <w:vAlign w:val="bottom"/>
          </w:tcPr>
          <w:p w14:paraId="387329DE" w14:textId="2BE7B654" w:rsidR="008A6844" w:rsidRPr="000E57E3" w:rsidRDefault="008A6844" w:rsidP="000E57E3">
            <w:pPr>
              <w:pStyle w:val="Tabletext"/>
            </w:pPr>
            <w:r w:rsidRPr="000E57E3">
              <w:t> </w:t>
            </w:r>
          </w:p>
        </w:tc>
        <w:tc>
          <w:tcPr>
            <w:tcW w:w="0" w:type="auto"/>
            <w:vAlign w:val="bottom"/>
          </w:tcPr>
          <w:p w14:paraId="3519EB49" w14:textId="734A843D" w:rsidR="008A6844" w:rsidRPr="000E57E3" w:rsidRDefault="008A6844" w:rsidP="000E57E3">
            <w:pPr>
              <w:pStyle w:val="Tabletext"/>
            </w:pPr>
            <w:r w:rsidRPr="000E57E3">
              <w:t> </w:t>
            </w:r>
          </w:p>
        </w:tc>
        <w:tc>
          <w:tcPr>
            <w:tcW w:w="0" w:type="auto"/>
            <w:vAlign w:val="bottom"/>
          </w:tcPr>
          <w:p w14:paraId="3E642DDB" w14:textId="0CBFFC31" w:rsidR="008A6844" w:rsidRPr="000E57E3" w:rsidRDefault="008A6844" w:rsidP="000E57E3">
            <w:pPr>
              <w:pStyle w:val="Tabletext"/>
            </w:pPr>
            <w:r w:rsidRPr="000E57E3">
              <w:t>Y</w:t>
            </w:r>
          </w:p>
        </w:tc>
        <w:tc>
          <w:tcPr>
            <w:tcW w:w="0" w:type="auto"/>
            <w:vAlign w:val="bottom"/>
          </w:tcPr>
          <w:p w14:paraId="243FF856" w14:textId="3C3AAA29" w:rsidR="008A6844" w:rsidRPr="000E57E3" w:rsidRDefault="008A6844" w:rsidP="000E57E3">
            <w:pPr>
              <w:pStyle w:val="Tabletext"/>
            </w:pPr>
            <w:r w:rsidRPr="000E57E3">
              <w:t> </w:t>
            </w:r>
          </w:p>
        </w:tc>
        <w:tc>
          <w:tcPr>
            <w:tcW w:w="0" w:type="auto"/>
            <w:vAlign w:val="bottom"/>
          </w:tcPr>
          <w:p w14:paraId="4526C38C" w14:textId="319EAFE0" w:rsidR="008A6844" w:rsidRPr="000E57E3" w:rsidRDefault="008A6844" w:rsidP="000E57E3">
            <w:pPr>
              <w:pStyle w:val="Tabletext"/>
            </w:pPr>
            <w:r w:rsidRPr="000E57E3">
              <w:t> </w:t>
            </w:r>
          </w:p>
        </w:tc>
        <w:tc>
          <w:tcPr>
            <w:tcW w:w="0" w:type="auto"/>
            <w:vAlign w:val="bottom"/>
          </w:tcPr>
          <w:p w14:paraId="7B28B68F" w14:textId="2FCDFB11" w:rsidR="008A6844" w:rsidRPr="000E57E3" w:rsidRDefault="008A6844" w:rsidP="000E57E3">
            <w:pPr>
              <w:pStyle w:val="Tabletext"/>
            </w:pPr>
            <w:r w:rsidRPr="000E57E3">
              <w:t> </w:t>
            </w:r>
          </w:p>
        </w:tc>
        <w:tc>
          <w:tcPr>
            <w:tcW w:w="0" w:type="auto"/>
            <w:vAlign w:val="bottom"/>
          </w:tcPr>
          <w:p w14:paraId="63F090F2" w14:textId="0C259B16" w:rsidR="008A6844" w:rsidRPr="000E57E3" w:rsidRDefault="008A6844" w:rsidP="000E57E3">
            <w:pPr>
              <w:pStyle w:val="Tabletext"/>
            </w:pPr>
            <w:r w:rsidRPr="000E57E3">
              <w:t>Facilitated</w:t>
            </w:r>
          </w:p>
        </w:tc>
      </w:tr>
      <w:tr w:rsidR="00776CCE" w:rsidRPr="008A6844" w14:paraId="00AAB58A" w14:textId="77777777" w:rsidTr="00CA44B7">
        <w:tc>
          <w:tcPr>
            <w:tcW w:w="0" w:type="auto"/>
            <w:vAlign w:val="bottom"/>
          </w:tcPr>
          <w:p w14:paraId="466D6799" w14:textId="300332DF" w:rsidR="008A6844" w:rsidRPr="000E57E3" w:rsidRDefault="008A6844" w:rsidP="000E57E3">
            <w:pPr>
              <w:pStyle w:val="Tabletext"/>
            </w:pPr>
            <w:r w:rsidRPr="000E57E3">
              <w:t>CD58</w:t>
            </w:r>
          </w:p>
        </w:tc>
        <w:tc>
          <w:tcPr>
            <w:tcW w:w="0" w:type="auto"/>
            <w:vAlign w:val="bottom"/>
          </w:tcPr>
          <w:p w14:paraId="6E2C2049" w14:textId="05C35049" w:rsidR="008A6844" w:rsidRPr="000E57E3" w:rsidRDefault="008A6844" w:rsidP="000E57E3">
            <w:pPr>
              <w:pStyle w:val="Tabletext"/>
            </w:pPr>
            <w:r w:rsidRPr="000E57E3">
              <w:t> </w:t>
            </w:r>
          </w:p>
        </w:tc>
        <w:tc>
          <w:tcPr>
            <w:tcW w:w="0" w:type="auto"/>
            <w:vAlign w:val="bottom"/>
          </w:tcPr>
          <w:p w14:paraId="2DDF8A34" w14:textId="30EBB323" w:rsidR="008A6844" w:rsidRPr="000E57E3" w:rsidRDefault="008A6844" w:rsidP="000E57E3">
            <w:pPr>
              <w:pStyle w:val="Tabletext"/>
            </w:pPr>
            <w:r w:rsidRPr="000E57E3">
              <w:t> </w:t>
            </w:r>
          </w:p>
        </w:tc>
        <w:tc>
          <w:tcPr>
            <w:tcW w:w="0" w:type="auto"/>
            <w:vAlign w:val="bottom"/>
          </w:tcPr>
          <w:p w14:paraId="73C5C621" w14:textId="5D4400CB" w:rsidR="008A6844" w:rsidRPr="000E57E3" w:rsidRDefault="008A6844" w:rsidP="000E57E3">
            <w:pPr>
              <w:pStyle w:val="Tabletext"/>
            </w:pPr>
            <w:r w:rsidRPr="000E57E3">
              <w:t> </w:t>
            </w:r>
          </w:p>
        </w:tc>
        <w:tc>
          <w:tcPr>
            <w:tcW w:w="0" w:type="auto"/>
            <w:vAlign w:val="bottom"/>
          </w:tcPr>
          <w:p w14:paraId="054EC6A5" w14:textId="14DF6159" w:rsidR="008A6844" w:rsidRPr="000E57E3" w:rsidRDefault="008A6844" w:rsidP="000E57E3">
            <w:pPr>
              <w:pStyle w:val="Tabletext"/>
            </w:pPr>
            <w:r w:rsidRPr="000E57E3">
              <w:t> </w:t>
            </w:r>
          </w:p>
        </w:tc>
        <w:tc>
          <w:tcPr>
            <w:tcW w:w="0" w:type="auto"/>
            <w:vAlign w:val="bottom"/>
          </w:tcPr>
          <w:p w14:paraId="3A2755B9" w14:textId="58A65D36" w:rsidR="008A6844" w:rsidRPr="000E57E3" w:rsidRDefault="008A6844" w:rsidP="000E57E3">
            <w:pPr>
              <w:pStyle w:val="Tabletext"/>
            </w:pPr>
            <w:r w:rsidRPr="000E57E3">
              <w:t> </w:t>
            </w:r>
          </w:p>
        </w:tc>
        <w:tc>
          <w:tcPr>
            <w:tcW w:w="0" w:type="auto"/>
            <w:vAlign w:val="bottom"/>
          </w:tcPr>
          <w:p w14:paraId="12107360" w14:textId="0152BE35" w:rsidR="008A6844" w:rsidRPr="000E57E3" w:rsidRDefault="008A6844" w:rsidP="000E57E3">
            <w:pPr>
              <w:pStyle w:val="Tabletext"/>
            </w:pPr>
            <w:r w:rsidRPr="000E57E3">
              <w:t> </w:t>
            </w:r>
          </w:p>
        </w:tc>
        <w:tc>
          <w:tcPr>
            <w:tcW w:w="0" w:type="auto"/>
            <w:vAlign w:val="bottom"/>
          </w:tcPr>
          <w:p w14:paraId="1C26E333" w14:textId="5E57A5B5" w:rsidR="008A6844" w:rsidRPr="000E57E3" w:rsidRDefault="008A6844" w:rsidP="000E57E3">
            <w:pPr>
              <w:pStyle w:val="Tabletext"/>
            </w:pPr>
            <w:r w:rsidRPr="000E57E3">
              <w:t> </w:t>
            </w:r>
          </w:p>
        </w:tc>
        <w:tc>
          <w:tcPr>
            <w:tcW w:w="0" w:type="auto"/>
            <w:vAlign w:val="bottom"/>
          </w:tcPr>
          <w:p w14:paraId="1AE6CD48" w14:textId="637D0245" w:rsidR="008A6844" w:rsidRPr="000E57E3" w:rsidRDefault="008A6844" w:rsidP="000E57E3">
            <w:pPr>
              <w:pStyle w:val="Tabletext"/>
            </w:pPr>
            <w:r w:rsidRPr="000E57E3">
              <w:t>Y</w:t>
            </w:r>
          </w:p>
        </w:tc>
        <w:tc>
          <w:tcPr>
            <w:tcW w:w="0" w:type="auto"/>
            <w:vAlign w:val="bottom"/>
          </w:tcPr>
          <w:p w14:paraId="235E0E03" w14:textId="4DCCFD7D" w:rsidR="008A6844" w:rsidRPr="000E57E3" w:rsidRDefault="008A6844" w:rsidP="000E57E3">
            <w:pPr>
              <w:pStyle w:val="Tabletext"/>
            </w:pPr>
            <w:r w:rsidRPr="000E57E3">
              <w:t> </w:t>
            </w:r>
          </w:p>
        </w:tc>
        <w:tc>
          <w:tcPr>
            <w:tcW w:w="0" w:type="auto"/>
            <w:vAlign w:val="bottom"/>
          </w:tcPr>
          <w:p w14:paraId="6A4C4E2C" w14:textId="4C2577E1" w:rsidR="008A6844" w:rsidRPr="000E57E3" w:rsidRDefault="008A6844" w:rsidP="000E57E3">
            <w:pPr>
              <w:pStyle w:val="Tabletext"/>
            </w:pPr>
            <w:r w:rsidRPr="000E57E3">
              <w:t> </w:t>
            </w:r>
          </w:p>
        </w:tc>
        <w:tc>
          <w:tcPr>
            <w:tcW w:w="0" w:type="auto"/>
            <w:vAlign w:val="bottom"/>
          </w:tcPr>
          <w:p w14:paraId="0C5FD9F6" w14:textId="5474D9EA" w:rsidR="008A6844" w:rsidRPr="000E57E3" w:rsidRDefault="008A6844" w:rsidP="000E57E3">
            <w:pPr>
              <w:pStyle w:val="Tabletext"/>
            </w:pPr>
            <w:r w:rsidRPr="000E57E3">
              <w:t> </w:t>
            </w:r>
          </w:p>
        </w:tc>
        <w:tc>
          <w:tcPr>
            <w:tcW w:w="0" w:type="auto"/>
            <w:vAlign w:val="bottom"/>
          </w:tcPr>
          <w:p w14:paraId="54395C07" w14:textId="21D8C46B" w:rsidR="008A6844" w:rsidRPr="000E57E3" w:rsidRDefault="008A6844" w:rsidP="000E57E3">
            <w:pPr>
              <w:pStyle w:val="Tabletext"/>
            </w:pPr>
            <w:r w:rsidRPr="000E57E3">
              <w:t>Facilitated</w:t>
            </w:r>
          </w:p>
        </w:tc>
      </w:tr>
      <w:tr w:rsidR="00776CCE" w:rsidRPr="008A6844" w14:paraId="12CDB414" w14:textId="77777777" w:rsidTr="00CA44B7">
        <w:tc>
          <w:tcPr>
            <w:tcW w:w="0" w:type="auto"/>
            <w:vAlign w:val="bottom"/>
          </w:tcPr>
          <w:p w14:paraId="2237F359" w14:textId="7882268C" w:rsidR="008A6844" w:rsidRPr="000E57E3" w:rsidRDefault="008A6844" w:rsidP="000E57E3">
            <w:pPr>
              <w:pStyle w:val="Tabletext"/>
            </w:pPr>
            <w:r w:rsidRPr="000E57E3">
              <w:t>CD79A</w:t>
            </w:r>
          </w:p>
        </w:tc>
        <w:tc>
          <w:tcPr>
            <w:tcW w:w="0" w:type="auto"/>
            <w:vAlign w:val="bottom"/>
          </w:tcPr>
          <w:p w14:paraId="577F675C" w14:textId="340DCD69" w:rsidR="008A6844" w:rsidRPr="000E57E3" w:rsidRDefault="008A6844" w:rsidP="000E57E3">
            <w:pPr>
              <w:pStyle w:val="Tabletext"/>
            </w:pPr>
            <w:r w:rsidRPr="000E57E3">
              <w:t> </w:t>
            </w:r>
          </w:p>
        </w:tc>
        <w:tc>
          <w:tcPr>
            <w:tcW w:w="0" w:type="auto"/>
            <w:vAlign w:val="bottom"/>
          </w:tcPr>
          <w:p w14:paraId="4DAD1FF2" w14:textId="108DF510" w:rsidR="008A6844" w:rsidRPr="000E57E3" w:rsidRDefault="008A6844" w:rsidP="000E57E3">
            <w:pPr>
              <w:pStyle w:val="Tabletext"/>
            </w:pPr>
            <w:r w:rsidRPr="000E57E3">
              <w:t> </w:t>
            </w:r>
          </w:p>
        </w:tc>
        <w:tc>
          <w:tcPr>
            <w:tcW w:w="0" w:type="auto"/>
            <w:vAlign w:val="bottom"/>
          </w:tcPr>
          <w:p w14:paraId="05AF537F" w14:textId="30FF17F7" w:rsidR="008A6844" w:rsidRPr="000E57E3" w:rsidRDefault="008A6844" w:rsidP="000E57E3">
            <w:pPr>
              <w:pStyle w:val="Tabletext"/>
            </w:pPr>
            <w:r w:rsidRPr="000E57E3">
              <w:t> </w:t>
            </w:r>
          </w:p>
        </w:tc>
        <w:tc>
          <w:tcPr>
            <w:tcW w:w="0" w:type="auto"/>
            <w:vAlign w:val="bottom"/>
          </w:tcPr>
          <w:p w14:paraId="3222D4AD" w14:textId="45473E90" w:rsidR="008A6844" w:rsidRPr="000E57E3" w:rsidRDefault="008A6844" w:rsidP="000E57E3">
            <w:pPr>
              <w:pStyle w:val="Tabletext"/>
            </w:pPr>
            <w:r w:rsidRPr="000E57E3">
              <w:t> </w:t>
            </w:r>
          </w:p>
        </w:tc>
        <w:tc>
          <w:tcPr>
            <w:tcW w:w="0" w:type="auto"/>
            <w:vAlign w:val="bottom"/>
          </w:tcPr>
          <w:p w14:paraId="7D45CAC2" w14:textId="5938005D" w:rsidR="008A6844" w:rsidRPr="000E57E3" w:rsidRDefault="008A6844" w:rsidP="000E57E3">
            <w:pPr>
              <w:pStyle w:val="Tabletext"/>
            </w:pPr>
            <w:r w:rsidRPr="000E57E3">
              <w:t> </w:t>
            </w:r>
          </w:p>
        </w:tc>
        <w:tc>
          <w:tcPr>
            <w:tcW w:w="0" w:type="auto"/>
            <w:vAlign w:val="bottom"/>
          </w:tcPr>
          <w:p w14:paraId="7980737A" w14:textId="5472D8C2" w:rsidR="008A6844" w:rsidRPr="000E57E3" w:rsidRDefault="008A6844" w:rsidP="000E57E3">
            <w:pPr>
              <w:pStyle w:val="Tabletext"/>
            </w:pPr>
            <w:r w:rsidRPr="000E57E3">
              <w:t> </w:t>
            </w:r>
          </w:p>
        </w:tc>
        <w:tc>
          <w:tcPr>
            <w:tcW w:w="0" w:type="auto"/>
            <w:vAlign w:val="bottom"/>
          </w:tcPr>
          <w:p w14:paraId="4FDB0B07" w14:textId="54F276AC" w:rsidR="008A6844" w:rsidRPr="000E57E3" w:rsidRDefault="008A6844" w:rsidP="000E57E3">
            <w:pPr>
              <w:pStyle w:val="Tabletext"/>
            </w:pPr>
            <w:r w:rsidRPr="000E57E3">
              <w:t> </w:t>
            </w:r>
          </w:p>
        </w:tc>
        <w:tc>
          <w:tcPr>
            <w:tcW w:w="0" w:type="auto"/>
            <w:vAlign w:val="bottom"/>
          </w:tcPr>
          <w:p w14:paraId="2142E130" w14:textId="74BF8969" w:rsidR="008A6844" w:rsidRPr="000E57E3" w:rsidRDefault="008A6844" w:rsidP="000E57E3">
            <w:pPr>
              <w:pStyle w:val="Tabletext"/>
            </w:pPr>
            <w:r w:rsidRPr="000E57E3">
              <w:t>Y</w:t>
            </w:r>
          </w:p>
        </w:tc>
        <w:tc>
          <w:tcPr>
            <w:tcW w:w="0" w:type="auto"/>
            <w:vAlign w:val="bottom"/>
          </w:tcPr>
          <w:p w14:paraId="1DC5B985" w14:textId="730774AE" w:rsidR="008A6844" w:rsidRPr="000E57E3" w:rsidRDefault="008A6844" w:rsidP="000E57E3">
            <w:pPr>
              <w:pStyle w:val="Tabletext"/>
            </w:pPr>
            <w:r w:rsidRPr="000E57E3">
              <w:t> </w:t>
            </w:r>
          </w:p>
        </w:tc>
        <w:tc>
          <w:tcPr>
            <w:tcW w:w="0" w:type="auto"/>
            <w:vAlign w:val="bottom"/>
          </w:tcPr>
          <w:p w14:paraId="456AD6F1" w14:textId="00143B04" w:rsidR="008A6844" w:rsidRPr="000E57E3" w:rsidRDefault="008A6844" w:rsidP="000E57E3">
            <w:pPr>
              <w:pStyle w:val="Tabletext"/>
            </w:pPr>
            <w:r w:rsidRPr="000E57E3">
              <w:t>Y</w:t>
            </w:r>
          </w:p>
        </w:tc>
        <w:tc>
          <w:tcPr>
            <w:tcW w:w="0" w:type="auto"/>
            <w:vAlign w:val="bottom"/>
          </w:tcPr>
          <w:p w14:paraId="2EC4BB29" w14:textId="2328A90D" w:rsidR="008A6844" w:rsidRPr="000E57E3" w:rsidRDefault="008A6844" w:rsidP="000E57E3">
            <w:pPr>
              <w:pStyle w:val="Tabletext"/>
            </w:pPr>
            <w:r w:rsidRPr="000E57E3">
              <w:t> </w:t>
            </w:r>
          </w:p>
        </w:tc>
        <w:tc>
          <w:tcPr>
            <w:tcW w:w="0" w:type="auto"/>
            <w:vAlign w:val="bottom"/>
          </w:tcPr>
          <w:p w14:paraId="4C4CE50B" w14:textId="69EA0BB9" w:rsidR="008A6844" w:rsidRPr="000E57E3" w:rsidRDefault="008A6844" w:rsidP="000E57E3">
            <w:pPr>
              <w:pStyle w:val="Tabletext"/>
            </w:pPr>
            <w:r w:rsidRPr="000E57E3">
              <w:t>Facilitated</w:t>
            </w:r>
          </w:p>
        </w:tc>
      </w:tr>
      <w:tr w:rsidR="00776CCE" w:rsidRPr="008A6844" w14:paraId="776D31F5" w14:textId="77777777" w:rsidTr="00CA44B7">
        <w:tc>
          <w:tcPr>
            <w:tcW w:w="0" w:type="auto"/>
            <w:vAlign w:val="bottom"/>
          </w:tcPr>
          <w:p w14:paraId="1CF4C071" w14:textId="33228448" w:rsidR="008A6844" w:rsidRPr="000E57E3" w:rsidRDefault="008A6844" w:rsidP="000E57E3">
            <w:pPr>
              <w:pStyle w:val="Tabletext"/>
            </w:pPr>
            <w:r w:rsidRPr="000E57E3">
              <w:t>CD79B</w:t>
            </w:r>
          </w:p>
        </w:tc>
        <w:tc>
          <w:tcPr>
            <w:tcW w:w="0" w:type="auto"/>
            <w:vAlign w:val="bottom"/>
          </w:tcPr>
          <w:p w14:paraId="74876B97" w14:textId="4E3996CC" w:rsidR="008A6844" w:rsidRPr="000E57E3" w:rsidRDefault="008A6844" w:rsidP="000E57E3">
            <w:pPr>
              <w:pStyle w:val="Tabletext"/>
            </w:pPr>
            <w:r w:rsidRPr="000E57E3">
              <w:t> </w:t>
            </w:r>
          </w:p>
        </w:tc>
        <w:tc>
          <w:tcPr>
            <w:tcW w:w="0" w:type="auto"/>
            <w:vAlign w:val="bottom"/>
          </w:tcPr>
          <w:p w14:paraId="0A377712" w14:textId="125AE562" w:rsidR="008A6844" w:rsidRPr="000E57E3" w:rsidRDefault="008A6844" w:rsidP="000E57E3">
            <w:pPr>
              <w:pStyle w:val="Tabletext"/>
            </w:pPr>
            <w:r w:rsidRPr="000E57E3">
              <w:t> </w:t>
            </w:r>
          </w:p>
        </w:tc>
        <w:tc>
          <w:tcPr>
            <w:tcW w:w="0" w:type="auto"/>
            <w:vAlign w:val="bottom"/>
          </w:tcPr>
          <w:p w14:paraId="0CDFA0B8" w14:textId="441E88D7" w:rsidR="008A6844" w:rsidRPr="000E57E3" w:rsidRDefault="008A6844" w:rsidP="000E57E3">
            <w:pPr>
              <w:pStyle w:val="Tabletext"/>
            </w:pPr>
            <w:r w:rsidRPr="000E57E3">
              <w:t> </w:t>
            </w:r>
          </w:p>
        </w:tc>
        <w:tc>
          <w:tcPr>
            <w:tcW w:w="0" w:type="auto"/>
            <w:vAlign w:val="bottom"/>
          </w:tcPr>
          <w:p w14:paraId="7A2568A4" w14:textId="62746856" w:rsidR="008A6844" w:rsidRPr="000E57E3" w:rsidRDefault="008A6844" w:rsidP="000E57E3">
            <w:pPr>
              <w:pStyle w:val="Tabletext"/>
            </w:pPr>
            <w:r w:rsidRPr="000E57E3">
              <w:t>Y</w:t>
            </w:r>
          </w:p>
        </w:tc>
        <w:tc>
          <w:tcPr>
            <w:tcW w:w="0" w:type="auto"/>
            <w:vAlign w:val="bottom"/>
          </w:tcPr>
          <w:p w14:paraId="082C4575" w14:textId="26D388FB" w:rsidR="008A6844" w:rsidRPr="000E57E3" w:rsidRDefault="008A6844" w:rsidP="000E57E3">
            <w:pPr>
              <w:pStyle w:val="Tabletext"/>
            </w:pPr>
            <w:r w:rsidRPr="000E57E3">
              <w:t> </w:t>
            </w:r>
          </w:p>
        </w:tc>
        <w:tc>
          <w:tcPr>
            <w:tcW w:w="0" w:type="auto"/>
            <w:vAlign w:val="bottom"/>
          </w:tcPr>
          <w:p w14:paraId="25713FF2" w14:textId="1C3AC194" w:rsidR="008A6844" w:rsidRPr="000E57E3" w:rsidRDefault="008A6844" w:rsidP="000E57E3">
            <w:pPr>
              <w:pStyle w:val="Tabletext"/>
            </w:pPr>
            <w:r w:rsidRPr="000E57E3">
              <w:t> </w:t>
            </w:r>
          </w:p>
        </w:tc>
        <w:tc>
          <w:tcPr>
            <w:tcW w:w="0" w:type="auto"/>
            <w:vAlign w:val="bottom"/>
          </w:tcPr>
          <w:p w14:paraId="04AEE15D" w14:textId="15210DAE" w:rsidR="008A6844" w:rsidRPr="000E57E3" w:rsidRDefault="008A6844" w:rsidP="000E57E3">
            <w:pPr>
              <w:pStyle w:val="Tabletext"/>
            </w:pPr>
            <w:r w:rsidRPr="000E57E3">
              <w:t>Y</w:t>
            </w:r>
          </w:p>
        </w:tc>
        <w:tc>
          <w:tcPr>
            <w:tcW w:w="0" w:type="auto"/>
            <w:vAlign w:val="bottom"/>
          </w:tcPr>
          <w:p w14:paraId="440853F9" w14:textId="3016878E" w:rsidR="008A6844" w:rsidRPr="000E57E3" w:rsidRDefault="008A6844" w:rsidP="000E57E3">
            <w:pPr>
              <w:pStyle w:val="Tabletext"/>
            </w:pPr>
            <w:r w:rsidRPr="000E57E3">
              <w:t>Y</w:t>
            </w:r>
          </w:p>
        </w:tc>
        <w:tc>
          <w:tcPr>
            <w:tcW w:w="0" w:type="auto"/>
            <w:vAlign w:val="bottom"/>
          </w:tcPr>
          <w:p w14:paraId="0E8A5139" w14:textId="6B5B2707" w:rsidR="008A6844" w:rsidRPr="000E57E3" w:rsidRDefault="008A6844" w:rsidP="000E57E3">
            <w:pPr>
              <w:pStyle w:val="Tabletext"/>
            </w:pPr>
            <w:r w:rsidRPr="000E57E3">
              <w:t> </w:t>
            </w:r>
          </w:p>
        </w:tc>
        <w:tc>
          <w:tcPr>
            <w:tcW w:w="0" w:type="auto"/>
            <w:vAlign w:val="bottom"/>
          </w:tcPr>
          <w:p w14:paraId="6B5AC269" w14:textId="22F52C95" w:rsidR="008A6844" w:rsidRPr="000E57E3" w:rsidRDefault="008A6844" w:rsidP="000E57E3">
            <w:pPr>
              <w:pStyle w:val="Tabletext"/>
            </w:pPr>
            <w:r w:rsidRPr="000E57E3">
              <w:t>Y</w:t>
            </w:r>
          </w:p>
        </w:tc>
        <w:tc>
          <w:tcPr>
            <w:tcW w:w="0" w:type="auto"/>
            <w:vAlign w:val="bottom"/>
          </w:tcPr>
          <w:p w14:paraId="13E113A8" w14:textId="32BC1F7B" w:rsidR="008A6844" w:rsidRPr="000E57E3" w:rsidRDefault="008A6844" w:rsidP="000E57E3">
            <w:pPr>
              <w:pStyle w:val="Tabletext"/>
            </w:pPr>
            <w:r w:rsidRPr="000E57E3">
              <w:t> </w:t>
            </w:r>
          </w:p>
        </w:tc>
        <w:tc>
          <w:tcPr>
            <w:tcW w:w="0" w:type="auto"/>
            <w:vAlign w:val="bottom"/>
          </w:tcPr>
          <w:p w14:paraId="3CBBE1E2" w14:textId="761072DE" w:rsidR="008A6844" w:rsidRPr="000E57E3" w:rsidRDefault="008A6844" w:rsidP="000E57E3">
            <w:pPr>
              <w:pStyle w:val="Tabletext"/>
            </w:pPr>
            <w:r w:rsidRPr="000E57E3">
              <w:t>Facilitated</w:t>
            </w:r>
          </w:p>
        </w:tc>
      </w:tr>
      <w:tr w:rsidR="00776CCE" w:rsidRPr="008A6844" w14:paraId="462B592A" w14:textId="77777777" w:rsidTr="00CA44B7">
        <w:tc>
          <w:tcPr>
            <w:tcW w:w="0" w:type="auto"/>
            <w:vAlign w:val="bottom"/>
          </w:tcPr>
          <w:p w14:paraId="7261AF73" w14:textId="0808687E" w:rsidR="008A6844" w:rsidRPr="000E57E3" w:rsidRDefault="008A6844" w:rsidP="000E57E3">
            <w:pPr>
              <w:pStyle w:val="Tabletext"/>
            </w:pPr>
            <w:r w:rsidRPr="000E57E3">
              <w:t>CDC25C</w:t>
            </w:r>
          </w:p>
        </w:tc>
        <w:tc>
          <w:tcPr>
            <w:tcW w:w="0" w:type="auto"/>
            <w:vAlign w:val="bottom"/>
          </w:tcPr>
          <w:p w14:paraId="2894B222" w14:textId="459D6125" w:rsidR="008A6844" w:rsidRPr="000E57E3" w:rsidRDefault="008A6844" w:rsidP="000E57E3">
            <w:pPr>
              <w:pStyle w:val="Tabletext"/>
            </w:pPr>
            <w:r w:rsidRPr="000E57E3">
              <w:t> </w:t>
            </w:r>
          </w:p>
        </w:tc>
        <w:tc>
          <w:tcPr>
            <w:tcW w:w="0" w:type="auto"/>
            <w:vAlign w:val="bottom"/>
          </w:tcPr>
          <w:p w14:paraId="6B8296CB" w14:textId="41A4AB32" w:rsidR="008A6844" w:rsidRPr="000E57E3" w:rsidRDefault="008A6844" w:rsidP="000E57E3">
            <w:pPr>
              <w:pStyle w:val="Tabletext"/>
            </w:pPr>
            <w:r w:rsidRPr="000E57E3">
              <w:t> </w:t>
            </w:r>
          </w:p>
        </w:tc>
        <w:tc>
          <w:tcPr>
            <w:tcW w:w="0" w:type="auto"/>
            <w:vAlign w:val="bottom"/>
          </w:tcPr>
          <w:p w14:paraId="0BDFDECA" w14:textId="65488670" w:rsidR="008A6844" w:rsidRPr="000E57E3" w:rsidRDefault="008A6844" w:rsidP="000E57E3">
            <w:pPr>
              <w:pStyle w:val="Tabletext"/>
            </w:pPr>
            <w:r w:rsidRPr="000E57E3">
              <w:t>Y</w:t>
            </w:r>
          </w:p>
        </w:tc>
        <w:tc>
          <w:tcPr>
            <w:tcW w:w="0" w:type="auto"/>
            <w:vAlign w:val="bottom"/>
          </w:tcPr>
          <w:p w14:paraId="2672945F" w14:textId="2A5A5865" w:rsidR="008A6844" w:rsidRPr="000E57E3" w:rsidRDefault="008A6844" w:rsidP="000E57E3">
            <w:pPr>
              <w:pStyle w:val="Tabletext"/>
            </w:pPr>
            <w:r w:rsidRPr="000E57E3">
              <w:t> </w:t>
            </w:r>
          </w:p>
        </w:tc>
        <w:tc>
          <w:tcPr>
            <w:tcW w:w="0" w:type="auto"/>
            <w:vAlign w:val="bottom"/>
          </w:tcPr>
          <w:p w14:paraId="14B2C1B4" w14:textId="66FDEF22" w:rsidR="008A6844" w:rsidRPr="000E57E3" w:rsidRDefault="008A6844" w:rsidP="000E57E3">
            <w:pPr>
              <w:pStyle w:val="Tabletext"/>
            </w:pPr>
            <w:r w:rsidRPr="000E57E3">
              <w:t> </w:t>
            </w:r>
          </w:p>
        </w:tc>
        <w:tc>
          <w:tcPr>
            <w:tcW w:w="0" w:type="auto"/>
            <w:vAlign w:val="bottom"/>
          </w:tcPr>
          <w:p w14:paraId="28BDCAEB" w14:textId="36CBE064" w:rsidR="008A6844" w:rsidRPr="000E57E3" w:rsidRDefault="008A6844" w:rsidP="000E57E3">
            <w:pPr>
              <w:pStyle w:val="Tabletext"/>
            </w:pPr>
            <w:r w:rsidRPr="000E57E3">
              <w:t> </w:t>
            </w:r>
          </w:p>
        </w:tc>
        <w:tc>
          <w:tcPr>
            <w:tcW w:w="0" w:type="auto"/>
            <w:vAlign w:val="bottom"/>
          </w:tcPr>
          <w:p w14:paraId="141E5983" w14:textId="466C2B87" w:rsidR="008A6844" w:rsidRPr="000E57E3" w:rsidRDefault="008A6844" w:rsidP="000E57E3">
            <w:pPr>
              <w:pStyle w:val="Tabletext"/>
            </w:pPr>
            <w:r w:rsidRPr="000E57E3">
              <w:t> </w:t>
            </w:r>
          </w:p>
        </w:tc>
        <w:tc>
          <w:tcPr>
            <w:tcW w:w="0" w:type="auto"/>
            <w:vAlign w:val="bottom"/>
          </w:tcPr>
          <w:p w14:paraId="6B5CBCA5" w14:textId="3ECEB3A8" w:rsidR="008A6844" w:rsidRPr="000E57E3" w:rsidRDefault="008A6844" w:rsidP="000E57E3">
            <w:pPr>
              <w:pStyle w:val="Tabletext"/>
            </w:pPr>
            <w:r w:rsidRPr="000E57E3">
              <w:t> </w:t>
            </w:r>
          </w:p>
        </w:tc>
        <w:tc>
          <w:tcPr>
            <w:tcW w:w="0" w:type="auto"/>
            <w:vAlign w:val="bottom"/>
          </w:tcPr>
          <w:p w14:paraId="5FBDFFC6" w14:textId="1ACF172A" w:rsidR="008A6844" w:rsidRPr="000E57E3" w:rsidRDefault="008A6844" w:rsidP="000E57E3">
            <w:pPr>
              <w:pStyle w:val="Tabletext"/>
            </w:pPr>
            <w:r w:rsidRPr="000E57E3">
              <w:t> </w:t>
            </w:r>
          </w:p>
        </w:tc>
        <w:tc>
          <w:tcPr>
            <w:tcW w:w="0" w:type="auto"/>
            <w:vAlign w:val="bottom"/>
          </w:tcPr>
          <w:p w14:paraId="170A3642" w14:textId="15B865A6" w:rsidR="008A6844" w:rsidRPr="000E57E3" w:rsidRDefault="008A6844" w:rsidP="000E57E3">
            <w:pPr>
              <w:pStyle w:val="Tabletext"/>
            </w:pPr>
            <w:r w:rsidRPr="000E57E3">
              <w:t> </w:t>
            </w:r>
          </w:p>
        </w:tc>
        <w:tc>
          <w:tcPr>
            <w:tcW w:w="0" w:type="auto"/>
            <w:vAlign w:val="bottom"/>
          </w:tcPr>
          <w:p w14:paraId="7DD047F5" w14:textId="5E205E68" w:rsidR="008A6844" w:rsidRPr="000E57E3" w:rsidRDefault="008A6844" w:rsidP="000E57E3">
            <w:pPr>
              <w:pStyle w:val="Tabletext"/>
            </w:pPr>
            <w:r w:rsidRPr="000E57E3">
              <w:t> </w:t>
            </w:r>
          </w:p>
        </w:tc>
        <w:tc>
          <w:tcPr>
            <w:tcW w:w="0" w:type="auto"/>
            <w:vAlign w:val="bottom"/>
          </w:tcPr>
          <w:p w14:paraId="3A6574DF" w14:textId="1AD2921A" w:rsidR="008A6844" w:rsidRPr="000E57E3" w:rsidRDefault="008A6844" w:rsidP="000E57E3">
            <w:pPr>
              <w:pStyle w:val="Tabletext"/>
            </w:pPr>
            <w:r w:rsidRPr="000E57E3">
              <w:t>Facilitated</w:t>
            </w:r>
          </w:p>
        </w:tc>
      </w:tr>
      <w:tr w:rsidR="00776CCE" w:rsidRPr="008A6844" w14:paraId="4886556D" w14:textId="77777777" w:rsidTr="00CA44B7">
        <w:tc>
          <w:tcPr>
            <w:tcW w:w="0" w:type="auto"/>
            <w:vAlign w:val="bottom"/>
          </w:tcPr>
          <w:p w14:paraId="281DEE2A" w14:textId="64881E5F" w:rsidR="008A6844" w:rsidRPr="000E57E3" w:rsidRDefault="008A6844" w:rsidP="000E57E3">
            <w:pPr>
              <w:pStyle w:val="Tabletext"/>
            </w:pPr>
            <w:r w:rsidRPr="000E57E3">
              <w:t>CDKN2A</w:t>
            </w:r>
          </w:p>
        </w:tc>
        <w:tc>
          <w:tcPr>
            <w:tcW w:w="0" w:type="auto"/>
            <w:vAlign w:val="bottom"/>
          </w:tcPr>
          <w:p w14:paraId="1F468E10" w14:textId="5502124E" w:rsidR="008A6844" w:rsidRPr="000E57E3" w:rsidRDefault="008A6844" w:rsidP="000E57E3">
            <w:pPr>
              <w:pStyle w:val="Tabletext"/>
            </w:pPr>
            <w:r w:rsidRPr="000E57E3">
              <w:t> </w:t>
            </w:r>
          </w:p>
        </w:tc>
        <w:tc>
          <w:tcPr>
            <w:tcW w:w="0" w:type="auto"/>
            <w:vAlign w:val="bottom"/>
          </w:tcPr>
          <w:p w14:paraId="70C4B641" w14:textId="4B851479" w:rsidR="008A6844" w:rsidRPr="000E57E3" w:rsidRDefault="008A6844" w:rsidP="000E57E3">
            <w:pPr>
              <w:pStyle w:val="Tabletext"/>
            </w:pPr>
            <w:r w:rsidRPr="000E57E3">
              <w:t> </w:t>
            </w:r>
          </w:p>
        </w:tc>
        <w:tc>
          <w:tcPr>
            <w:tcW w:w="0" w:type="auto"/>
            <w:vAlign w:val="bottom"/>
          </w:tcPr>
          <w:p w14:paraId="4590CF87" w14:textId="4B6F5380" w:rsidR="008A6844" w:rsidRPr="000E57E3" w:rsidRDefault="008A6844" w:rsidP="000E57E3">
            <w:pPr>
              <w:pStyle w:val="Tabletext"/>
            </w:pPr>
            <w:r w:rsidRPr="000E57E3">
              <w:t>Y</w:t>
            </w:r>
          </w:p>
        </w:tc>
        <w:tc>
          <w:tcPr>
            <w:tcW w:w="0" w:type="auto"/>
            <w:vAlign w:val="bottom"/>
          </w:tcPr>
          <w:p w14:paraId="5F7647E1" w14:textId="08E344C6" w:rsidR="008A6844" w:rsidRPr="000E57E3" w:rsidRDefault="008A6844" w:rsidP="000E57E3">
            <w:pPr>
              <w:pStyle w:val="Tabletext"/>
            </w:pPr>
            <w:r w:rsidRPr="000E57E3">
              <w:t>Y</w:t>
            </w:r>
          </w:p>
        </w:tc>
        <w:tc>
          <w:tcPr>
            <w:tcW w:w="0" w:type="auto"/>
            <w:vAlign w:val="bottom"/>
          </w:tcPr>
          <w:p w14:paraId="57B07AC6" w14:textId="11D2094B" w:rsidR="008A6844" w:rsidRPr="000E57E3" w:rsidRDefault="008A6844" w:rsidP="000E57E3">
            <w:pPr>
              <w:pStyle w:val="Tabletext"/>
            </w:pPr>
            <w:r w:rsidRPr="000E57E3">
              <w:t> </w:t>
            </w:r>
          </w:p>
        </w:tc>
        <w:tc>
          <w:tcPr>
            <w:tcW w:w="0" w:type="auto"/>
            <w:vAlign w:val="bottom"/>
          </w:tcPr>
          <w:p w14:paraId="2862D752" w14:textId="41BB3FEA" w:rsidR="008A6844" w:rsidRPr="000E57E3" w:rsidRDefault="008A6844" w:rsidP="000E57E3">
            <w:pPr>
              <w:pStyle w:val="Tabletext"/>
            </w:pPr>
            <w:r w:rsidRPr="000E57E3">
              <w:t> </w:t>
            </w:r>
          </w:p>
        </w:tc>
        <w:tc>
          <w:tcPr>
            <w:tcW w:w="0" w:type="auto"/>
            <w:vAlign w:val="bottom"/>
          </w:tcPr>
          <w:p w14:paraId="72EB3303" w14:textId="478FBA4A" w:rsidR="008A6844" w:rsidRPr="000E57E3" w:rsidRDefault="008A6844" w:rsidP="000E57E3">
            <w:pPr>
              <w:pStyle w:val="Tabletext"/>
            </w:pPr>
            <w:r w:rsidRPr="000E57E3">
              <w:t> </w:t>
            </w:r>
          </w:p>
        </w:tc>
        <w:tc>
          <w:tcPr>
            <w:tcW w:w="0" w:type="auto"/>
            <w:vAlign w:val="bottom"/>
          </w:tcPr>
          <w:p w14:paraId="4410EC35" w14:textId="6FEA9141" w:rsidR="008A6844" w:rsidRPr="000E57E3" w:rsidRDefault="008A6844" w:rsidP="000E57E3">
            <w:pPr>
              <w:pStyle w:val="Tabletext"/>
            </w:pPr>
            <w:r w:rsidRPr="000E57E3">
              <w:t>Y</w:t>
            </w:r>
          </w:p>
        </w:tc>
        <w:tc>
          <w:tcPr>
            <w:tcW w:w="0" w:type="auto"/>
            <w:vAlign w:val="bottom"/>
          </w:tcPr>
          <w:p w14:paraId="5842794E" w14:textId="14D36BCB" w:rsidR="008A6844" w:rsidRPr="000E57E3" w:rsidRDefault="008A6844" w:rsidP="000E57E3">
            <w:pPr>
              <w:pStyle w:val="Tabletext"/>
            </w:pPr>
            <w:r w:rsidRPr="000E57E3">
              <w:t> </w:t>
            </w:r>
          </w:p>
        </w:tc>
        <w:tc>
          <w:tcPr>
            <w:tcW w:w="0" w:type="auto"/>
            <w:vAlign w:val="bottom"/>
          </w:tcPr>
          <w:p w14:paraId="09348D31" w14:textId="0DDB03EB" w:rsidR="008A6844" w:rsidRPr="000E57E3" w:rsidRDefault="008A6844" w:rsidP="000E57E3">
            <w:pPr>
              <w:pStyle w:val="Tabletext"/>
            </w:pPr>
            <w:r w:rsidRPr="000E57E3">
              <w:t> </w:t>
            </w:r>
          </w:p>
        </w:tc>
        <w:tc>
          <w:tcPr>
            <w:tcW w:w="0" w:type="auto"/>
            <w:vAlign w:val="bottom"/>
          </w:tcPr>
          <w:p w14:paraId="40193AD6" w14:textId="2632188D" w:rsidR="008A6844" w:rsidRPr="000E57E3" w:rsidRDefault="008A6844" w:rsidP="000E57E3">
            <w:pPr>
              <w:pStyle w:val="Tabletext"/>
            </w:pPr>
            <w:r w:rsidRPr="000E57E3">
              <w:t>Y</w:t>
            </w:r>
          </w:p>
        </w:tc>
        <w:tc>
          <w:tcPr>
            <w:tcW w:w="0" w:type="auto"/>
            <w:vAlign w:val="bottom"/>
          </w:tcPr>
          <w:p w14:paraId="22F2F9C3" w14:textId="6AE4AC51" w:rsidR="008A6844" w:rsidRPr="000E57E3" w:rsidRDefault="008A6844" w:rsidP="000E57E3">
            <w:pPr>
              <w:pStyle w:val="Tabletext"/>
            </w:pPr>
            <w:r w:rsidRPr="000E57E3">
              <w:t>Facilitated</w:t>
            </w:r>
          </w:p>
        </w:tc>
      </w:tr>
      <w:tr w:rsidR="00776CCE" w:rsidRPr="008A6844" w14:paraId="06EC628C" w14:textId="77777777" w:rsidTr="00CA44B7">
        <w:tc>
          <w:tcPr>
            <w:tcW w:w="0" w:type="auto"/>
            <w:vAlign w:val="bottom"/>
          </w:tcPr>
          <w:p w14:paraId="7C4E36F8" w14:textId="358D3EF8" w:rsidR="008A6844" w:rsidRPr="000E57E3" w:rsidRDefault="008A6844" w:rsidP="000E57E3">
            <w:pPr>
              <w:pStyle w:val="Tabletext"/>
            </w:pPr>
            <w:r w:rsidRPr="000E57E3">
              <w:t>CDKN2B</w:t>
            </w:r>
          </w:p>
        </w:tc>
        <w:tc>
          <w:tcPr>
            <w:tcW w:w="0" w:type="auto"/>
            <w:vAlign w:val="bottom"/>
          </w:tcPr>
          <w:p w14:paraId="5F9FB56A" w14:textId="06B58D15" w:rsidR="008A6844" w:rsidRPr="000E57E3" w:rsidRDefault="008A6844" w:rsidP="000E57E3">
            <w:pPr>
              <w:pStyle w:val="Tabletext"/>
            </w:pPr>
            <w:r w:rsidRPr="000E57E3">
              <w:t> </w:t>
            </w:r>
          </w:p>
        </w:tc>
        <w:tc>
          <w:tcPr>
            <w:tcW w:w="0" w:type="auto"/>
            <w:vAlign w:val="bottom"/>
          </w:tcPr>
          <w:p w14:paraId="0CFF7DF3" w14:textId="7DF22210" w:rsidR="008A6844" w:rsidRPr="000E57E3" w:rsidRDefault="008A6844" w:rsidP="000E57E3">
            <w:pPr>
              <w:pStyle w:val="Tabletext"/>
            </w:pPr>
            <w:r w:rsidRPr="000E57E3">
              <w:t> </w:t>
            </w:r>
          </w:p>
        </w:tc>
        <w:tc>
          <w:tcPr>
            <w:tcW w:w="0" w:type="auto"/>
            <w:vAlign w:val="bottom"/>
          </w:tcPr>
          <w:p w14:paraId="408F8FF8" w14:textId="4D11ABEF" w:rsidR="008A6844" w:rsidRPr="000E57E3" w:rsidRDefault="008A6844" w:rsidP="000E57E3">
            <w:pPr>
              <w:pStyle w:val="Tabletext"/>
            </w:pPr>
            <w:r w:rsidRPr="000E57E3">
              <w:t> </w:t>
            </w:r>
          </w:p>
        </w:tc>
        <w:tc>
          <w:tcPr>
            <w:tcW w:w="0" w:type="auto"/>
            <w:vAlign w:val="bottom"/>
          </w:tcPr>
          <w:p w14:paraId="5E92FBE0" w14:textId="39FDCDDC" w:rsidR="008A6844" w:rsidRPr="000E57E3" w:rsidRDefault="008A6844" w:rsidP="000E57E3">
            <w:pPr>
              <w:pStyle w:val="Tabletext"/>
            </w:pPr>
            <w:r w:rsidRPr="000E57E3">
              <w:t> </w:t>
            </w:r>
          </w:p>
        </w:tc>
        <w:tc>
          <w:tcPr>
            <w:tcW w:w="0" w:type="auto"/>
            <w:vAlign w:val="bottom"/>
          </w:tcPr>
          <w:p w14:paraId="47D5B7F6" w14:textId="58CF4930" w:rsidR="008A6844" w:rsidRPr="000E57E3" w:rsidRDefault="008A6844" w:rsidP="000E57E3">
            <w:pPr>
              <w:pStyle w:val="Tabletext"/>
            </w:pPr>
            <w:r w:rsidRPr="000E57E3">
              <w:t> </w:t>
            </w:r>
          </w:p>
        </w:tc>
        <w:tc>
          <w:tcPr>
            <w:tcW w:w="0" w:type="auto"/>
            <w:vAlign w:val="bottom"/>
          </w:tcPr>
          <w:p w14:paraId="6CFF2E4F" w14:textId="23378F3B" w:rsidR="008A6844" w:rsidRPr="000E57E3" w:rsidRDefault="008A6844" w:rsidP="000E57E3">
            <w:pPr>
              <w:pStyle w:val="Tabletext"/>
            </w:pPr>
            <w:r w:rsidRPr="000E57E3">
              <w:t> </w:t>
            </w:r>
          </w:p>
        </w:tc>
        <w:tc>
          <w:tcPr>
            <w:tcW w:w="0" w:type="auto"/>
            <w:vAlign w:val="bottom"/>
          </w:tcPr>
          <w:p w14:paraId="14A073A7" w14:textId="257E8747" w:rsidR="008A6844" w:rsidRPr="000E57E3" w:rsidRDefault="008A6844" w:rsidP="000E57E3">
            <w:pPr>
              <w:pStyle w:val="Tabletext"/>
            </w:pPr>
            <w:r w:rsidRPr="000E57E3">
              <w:t> </w:t>
            </w:r>
          </w:p>
        </w:tc>
        <w:tc>
          <w:tcPr>
            <w:tcW w:w="0" w:type="auto"/>
            <w:vAlign w:val="bottom"/>
          </w:tcPr>
          <w:p w14:paraId="6A819752" w14:textId="02187528" w:rsidR="008A6844" w:rsidRPr="000E57E3" w:rsidRDefault="008A6844" w:rsidP="000E57E3">
            <w:pPr>
              <w:pStyle w:val="Tabletext"/>
            </w:pPr>
            <w:r w:rsidRPr="000E57E3">
              <w:t>Y</w:t>
            </w:r>
          </w:p>
        </w:tc>
        <w:tc>
          <w:tcPr>
            <w:tcW w:w="0" w:type="auto"/>
            <w:vAlign w:val="bottom"/>
          </w:tcPr>
          <w:p w14:paraId="089713D6" w14:textId="7F532225" w:rsidR="008A6844" w:rsidRPr="000E57E3" w:rsidRDefault="008A6844" w:rsidP="000E57E3">
            <w:pPr>
              <w:pStyle w:val="Tabletext"/>
            </w:pPr>
            <w:r w:rsidRPr="000E57E3">
              <w:t> </w:t>
            </w:r>
          </w:p>
        </w:tc>
        <w:tc>
          <w:tcPr>
            <w:tcW w:w="0" w:type="auto"/>
            <w:vAlign w:val="bottom"/>
          </w:tcPr>
          <w:p w14:paraId="26E0B390" w14:textId="3351E280" w:rsidR="008A6844" w:rsidRPr="000E57E3" w:rsidRDefault="008A6844" w:rsidP="000E57E3">
            <w:pPr>
              <w:pStyle w:val="Tabletext"/>
            </w:pPr>
            <w:r w:rsidRPr="000E57E3">
              <w:t> </w:t>
            </w:r>
          </w:p>
        </w:tc>
        <w:tc>
          <w:tcPr>
            <w:tcW w:w="0" w:type="auto"/>
            <w:vAlign w:val="bottom"/>
          </w:tcPr>
          <w:p w14:paraId="15556558" w14:textId="676B190C" w:rsidR="008A6844" w:rsidRPr="000E57E3" w:rsidRDefault="008A6844" w:rsidP="000E57E3">
            <w:pPr>
              <w:pStyle w:val="Tabletext"/>
            </w:pPr>
            <w:r w:rsidRPr="000E57E3">
              <w:t> </w:t>
            </w:r>
          </w:p>
        </w:tc>
        <w:tc>
          <w:tcPr>
            <w:tcW w:w="0" w:type="auto"/>
            <w:vAlign w:val="bottom"/>
          </w:tcPr>
          <w:p w14:paraId="081DA622" w14:textId="12ACC551" w:rsidR="008A6844" w:rsidRPr="000E57E3" w:rsidRDefault="008A6844" w:rsidP="000E57E3">
            <w:pPr>
              <w:pStyle w:val="Tabletext"/>
            </w:pPr>
            <w:r w:rsidRPr="000E57E3">
              <w:t>Facilitated</w:t>
            </w:r>
          </w:p>
        </w:tc>
      </w:tr>
      <w:tr w:rsidR="00776CCE" w:rsidRPr="008A6844" w14:paraId="7B0EFB84" w14:textId="77777777" w:rsidTr="00CA44B7">
        <w:tc>
          <w:tcPr>
            <w:tcW w:w="0" w:type="auto"/>
            <w:vAlign w:val="bottom"/>
          </w:tcPr>
          <w:p w14:paraId="7D2018ED" w14:textId="08D3E2C7" w:rsidR="008A6844" w:rsidRPr="000E57E3" w:rsidRDefault="008A6844" w:rsidP="000E57E3">
            <w:pPr>
              <w:pStyle w:val="Tabletext"/>
            </w:pPr>
            <w:r w:rsidRPr="000E57E3">
              <w:t>CHD2</w:t>
            </w:r>
          </w:p>
        </w:tc>
        <w:tc>
          <w:tcPr>
            <w:tcW w:w="0" w:type="auto"/>
            <w:vAlign w:val="bottom"/>
          </w:tcPr>
          <w:p w14:paraId="5369327C" w14:textId="43AFAE74" w:rsidR="008A6844" w:rsidRPr="000E57E3" w:rsidRDefault="008A6844" w:rsidP="000E57E3">
            <w:pPr>
              <w:pStyle w:val="Tabletext"/>
            </w:pPr>
            <w:r w:rsidRPr="000E57E3">
              <w:t> </w:t>
            </w:r>
          </w:p>
        </w:tc>
        <w:tc>
          <w:tcPr>
            <w:tcW w:w="0" w:type="auto"/>
            <w:vAlign w:val="bottom"/>
          </w:tcPr>
          <w:p w14:paraId="05C29897" w14:textId="45C480E4" w:rsidR="008A6844" w:rsidRPr="000E57E3" w:rsidRDefault="008A6844" w:rsidP="000E57E3">
            <w:pPr>
              <w:pStyle w:val="Tabletext"/>
            </w:pPr>
            <w:r w:rsidRPr="000E57E3">
              <w:t> </w:t>
            </w:r>
          </w:p>
        </w:tc>
        <w:tc>
          <w:tcPr>
            <w:tcW w:w="0" w:type="auto"/>
            <w:vAlign w:val="bottom"/>
          </w:tcPr>
          <w:p w14:paraId="15648EA8" w14:textId="1E91821F" w:rsidR="008A6844" w:rsidRPr="000E57E3" w:rsidRDefault="008A6844" w:rsidP="000E57E3">
            <w:pPr>
              <w:pStyle w:val="Tabletext"/>
            </w:pPr>
            <w:r w:rsidRPr="000E57E3">
              <w:t> </w:t>
            </w:r>
          </w:p>
        </w:tc>
        <w:tc>
          <w:tcPr>
            <w:tcW w:w="0" w:type="auto"/>
            <w:vAlign w:val="bottom"/>
          </w:tcPr>
          <w:p w14:paraId="4DC1868B" w14:textId="4F39AA30" w:rsidR="008A6844" w:rsidRPr="000E57E3" w:rsidRDefault="008A6844" w:rsidP="000E57E3">
            <w:pPr>
              <w:pStyle w:val="Tabletext"/>
            </w:pPr>
            <w:r w:rsidRPr="000E57E3">
              <w:t> </w:t>
            </w:r>
          </w:p>
        </w:tc>
        <w:tc>
          <w:tcPr>
            <w:tcW w:w="0" w:type="auto"/>
            <w:vAlign w:val="bottom"/>
          </w:tcPr>
          <w:p w14:paraId="14534F3A" w14:textId="7242E5DA" w:rsidR="008A6844" w:rsidRPr="000E57E3" w:rsidRDefault="008A6844" w:rsidP="000E57E3">
            <w:pPr>
              <w:pStyle w:val="Tabletext"/>
            </w:pPr>
            <w:r w:rsidRPr="000E57E3">
              <w:t> </w:t>
            </w:r>
          </w:p>
        </w:tc>
        <w:tc>
          <w:tcPr>
            <w:tcW w:w="0" w:type="auto"/>
            <w:vAlign w:val="bottom"/>
          </w:tcPr>
          <w:p w14:paraId="5B13178B" w14:textId="0B78C40D" w:rsidR="008A6844" w:rsidRPr="000E57E3" w:rsidRDefault="008A6844" w:rsidP="000E57E3">
            <w:pPr>
              <w:pStyle w:val="Tabletext"/>
            </w:pPr>
            <w:r w:rsidRPr="000E57E3">
              <w:t> </w:t>
            </w:r>
          </w:p>
        </w:tc>
        <w:tc>
          <w:tcPr>
            <w:tcW w:w="0" w:type="auto"/>
            <w:vAlign w:val="bottom"/>
          </w:tcPr>
          <w:p w14:paraId="067B2789" w14:textId="3305D0E9" w:rsidR="008A6844" w:rsidRPr="000E57E3" w:rsidRDefault="008A6844" w:rsidP="000E57E3">
            <w:pPr>
              <w:pStyle w:val="Tabletext"/>
            </w:pPr>
            <w:r w:rsidRPr="000E57E3">
              <w:t> </w:t>
            </w:r>
          </w:p>
        </w:tc>
        <w:tc>
          <w:tcPr>
            <w:tcW w:w="0" w:type="auto"/>
            <w:vAlign w:val="bottom"/>
          </w:tcPr>
          <w:p w14:paraId="3DA865CC" w14:textId="012C383D" w:rsidR="008A6844" w:rsidRPr="000E57E3" w:rsidRDefault="008A6844" w:rsidP="000E57E3">
            <w:pPr>
              <w:pStyle w:val="Tabletext"/>
            </w:pPr>
            <w:r w:rsidRPr="000E57E3">
              <w:t>Y</w:t>
            </w:r>
          </w:p>
        </w:tc>
        <w:tc>
          <w:tcPr>
            <w:tcW w:w="0" w:type="auto"/>
            <w:vAlign w:val="bottom"/>
          </w:tcPr>
          <w:p w14:paraId="00561157" w14:textId="18763B7A" w:rsidR="008A6844" w:rsidRPr="000E57E3" w:rsidRDefault="008A6844" w:rsidP="000E57E3">
            <w:pPr>
              <w:pStyle w:val="Tabletext"/>
            </w:pPr>
            <w:r w:rsidRPr="000E57E3">
              <w:t> </w:t>
            </w:r>
          </w:p>
        </w:tc>
        <w:tc>
          <w:tcPr>
            <w:tcW w:w="0" w:type="auto"/>
            <w:vAlign w:val="bottom"/>
          </w:tcPr>
          <w:p w14:paraId="00E3DC00" w14:textId="0AD47D75" w:rsidR="008A6844" w:rsidRPr="000E57E3" w:rsidRDefault="008A6844" w:rsidP="000E57E3">
            <w:pPr>
              <w:pStyle w:val="Tabletext"/>
            </w:pPr>
            <w:r w:rsidRPr="000E57E3">
              <w:t> </w:t>
            </w:r>
          </w:p>
        </w:tc>
        <w:tc>
          <w:tcPr>
            <w:tcW w:w="0" w:type="auto"/>
            <w:vAlign w:val="bottom"/>
          </w:tcPr>
          <w:p w14:paraId="407B919E" w14:textId="14DDB115" w:rsidR="008A6844" w:rsidRPr="000E57E3" w:rsidRDefault="008A6844" w:rsidP="000E57E3">
            <w:pPr>
              <w:pStyle w:val="Tabletext"/>
            </w:pPr>
            <w:r w:rsidRPr="000E57E3">
              <w:t> </w:t>
            </w:r>
          </w:p>
        </w:tc>
        <w:tc>
          <w:tcPr>
            <w:tcW w:w="0" w:type="auto"/>
            <w:vAlign w:val="bottom"/>
          </w:tcPr>
          <w:p w14:paraId="5F8E234A" w14:textId="17DF3DF9" w:rsidR="008A6844" w:rsidRPr="000E57E3" w:rsidRDefault="008A6844" w:rsidP="000E57E3">
            <w:pPr>
              <w:pStyle w:val="Tabletext"/>
            </w:pPr>
            <w:r w:rsidRPr="000E57E3">
              <w:t>Facilitated</w:t>
            </w:r>
          </w:p>
        </w:tc>
      </w:tr>
      <w:tr w:rsidR="00776CCE" w:rsidRPr="008A6844" w14:paraId="5E9057D5" w14:textId="77777777" w:rsidTr="00CA44B7">
        <w:tc>
          <w:tcPr>
            <w:tcW w:w="0" w:type="auto"/>
            <w:vAlign w:val="bottom"/>
          </w:tcPr>
          <w:p w14:paraId="644A083A" w14:textId="6286738C" w:rsidR="008A6844" w:rsidRPr="000E57E3" w:rsidRDefault="008A6844" w:rsidP="000E57E3">
            <w:pPr>
              <w:pStyle w:val="Tabletext"/>
            </w:pPr>
            <w:r w:rsidRPr="000E57E3">
              <w:t>CIITA</w:t>
            </w:r>
          </w:p>
        </w:tc>
        <w:tc>
          <w:tcPr>
            <w:tcW w:w="0" w:type="auto"/>
            <w:vAlign w:val="bottom"/>
          </w:tcPr>
          <w:p w14:paraId="072A8D96" w14:textId="5B0BB4A6" w:rsidR="008A6844" w:rsidRPr="000E57E3" w:rsidRDefault="008A6844" w:rsidP="000E57E3">
            <w:pPr>
              <w:pStyle w:val="Tabletext"/>
            </w:pPr>
            <w:r w:rsidRPr="000E57E3">
              <w:t> </w:t>
            </w:r>
          </w:p>
        </w:tc>
        <w:tc>
          <w:tcPr>
            <w:tcW w:w="0" w:type="auto"/>
            <w:vAlign w:val="bottom"/>
          </w:tcPr>
          <w:p w14:paraId="06867848" w14:textId="6B1E28A2" w:rsidR="008A6844" w:rsidRPr="000E57E3" w:rsidRDefault="008A6844" w:rsidP="000E57E3">
            <w:pPr>
              <w:pStyle w:val="Tabletext"/>
            </w:pPr>
            <w:r w:rsidRPr="000E57E3">
              <w:t> </w:t>
            </w:r>
          </w:p>
        </w:tc>
        <w:tc>
          <w:tcPr>
            <w:tcW w:w="0" w:type="auto"/>
            <w:vAlign w:val="bottom"/>
          </w:tcPr>
          <w:p w14:paraId="6FC10BE4" w14:textId="7F09B101" w:rsidR="008A6844" w:rsidRPr="000E57E3" w:rsidRDefault="008A6844" w:rsidP="000E57E3">
            <w:pPr>
              <w:pStyle w:val="Tabletext"/>
            </w:pPr>
            <w:r w:rsidRPr="000E57E3">
              <w:t> </w:t>
            </w:r>
          </w:p>
        </w:tc>
        <w:tc>
          <w:tcPr>
            <w:tcW w:w="0" w:type="auto"/>
            <w:vAlign w:val="bottom"/>
          </w:tcPr>
          <w:p w14:paraId="5BF20A56" w14:textId="31D871C5" w:rsidR="008A6844" w:rsidRPr="000E57E3" w:rsidRDefault="008A6844" w:rsidP="000E57E3">
            <w:pPr>
              <w:pStyle w:val="Tabletext"/>
            </w:pPr>
            <w:r w:rsidRPr="000E57E3">
              <w:t> </w:t>
            </w:r>
          </w:p>
        </w:tc>
        <w:tc>
          <w:tcPr>
            <w:tcW w:w="0" w:type="auto"/>
            <w:vAlign w:val="bottom"/>
          </w:tcPr>
          <w:p w14:paraId="6F835D48" w14:textId="57915686" w:rsidR="008A6844" w:rsidRPr="000E57E3" w:rsidRDefault="008A6844" w:rsidP="000E57E3">
            <w:pPr>
              <w:pStyle w:val="Tabletext"/>
            </w:pPr>
            <w:r w:rsidRPr="000E57E3">
              <w:t> </w:t>
            </w:r>
          </w:p>
        </w:tc>
        <w:tc>
          <w:tcPr>
            <w:tcW w:w="0" w:type="auto"/>
            <w:vAlign w:val="bottom"/>
          </w:tcPr>
          <w:p w14:paraId="1D9E7D68" w14:textId="7DB14936" w:rsidR="008A6844" w:rsidRPr="000E57E3" w:rsidRDefault="008A6844" w:rsidP="000E57E3">
            <w:pPr>
              <w:pStyle w:val="Tabletext"/>
            </w:pPr>
            <w:r w:rsidRPr="000E57E3">
              <w:t> </w:t>
            </w:r>
          </w:p>
        </w:tc>
        <w:tc>
          <w:tcPr>
            <w:tcW w:w="0" w:type="auto"/>
            <w:vAlign w:val="bottom"/>
          </w:tcPr>
          <w:p w14:paraId="643DC822" w14:textId="1552AA76" w:rsidR="008A6844" w:rsidRPr="000E57E3" w:rsidRDefault="008A6844" w:rsidP="000E57E3">
            <w:pPr>
              <w:pStyle w:val="Tabletext"/>
            </w:pPr>
            <w:r w:rsidRPr="000E57E3">
              <w:t> </w:t>
            </w:r>
          </w:p>
        </w:tc>
        <w:tc>
          <w:tcPr>
            <w:tcW w:w="0" w:type="auto"/>
            <w:vAlign w:val="bottom"/>
          </w:tcPr>
          <w:p w14:paraId="3133B9E3" w14:textId="1F621E80" w:rsidR="008A6844" w:rsidRPr="000E57E3" w:rsidRDefault="008A6844" w:rsidP="000E57E3">
            <w:pPr>
              <w:pStyle w:val="Tabletext"/>
            </w:pPr>
            <w:r w:rsidRPr="000E57E3">
              <w:t>Y</w:t>
            </w:r>
          </w:p>
        </w:tc>
        <w:tc>
          <w:tcPr>
            <w:tcW w:w="0" w:type="auto"/>
            <w:vAlign w:val="bottom"/>
          </w:tcPr>
          <w:p w14:paraId="286F04C5" w14:textId="1238DFBB" w:rsidR="008A6844" w:rsidRPr="000E57E3" w:rsidRDefault="008A6844" w:rsidP="000E57E3">
            <w:pPr>
              <w:pStyle w:val="Tabletext"/>
            </w:pPr>
            <w:r w:rsidRPr="000E57E3">
              <w:t> </w:t>
            </w:r>
          </w:p>
        </w:tc>
        <w:tc>
          <w:tcPr>
            <w:tcW w:w="0" w:type="auto"/>
            <w:vAlign w:val="bottom"/>
          </w:tcPr>
          <w:p w14:paraId="4616C219" w14:textId="2AEBCA7F" w:rsidR="008A6844" w:rsidRPr="000E57E3" w:rsidRDefault="008A6844" w:rsidP="000E57E3">
            <w:pPr>
              <w:pStyle w:val="Tabletext"/>
            </w:pPr>
            <w:r w:rsidRPr="000E57E3">
              <w:t>Y</w:t>
            </w:r>
          </w:p>
        </w:tc>
        <w:tc>
          <w:tcPr>
            <w:tcW w:w="0" w:type="auto"/>
            <w:vAlign w:val="bottom"/>
          </w:tcPr>
          <w:p w14:paraId="72210C53" w14:textId="32C44181" w:rsidR="008A6844" w:rsidRPr="000E57E3" w:rsidRDefault="008A6844" w:rsidP="000E57E3">
            <w:pPr>
              <w:pStyle w:val="Tabletext"/>
            </w:pPr>
            <w:r w:rsidRPr="000E57E3">
              <w:t> </w:t>
            </w:r>
          </w:p>
        </w:tc>
        <w:tc>
          <w:tcPr>
            <w:tcW w:w="0" w:type="auto"/>
            <w:vAlign w:val="bottom"/>
          </w:tcPr>
          <w:p w14:paraId="78E2C4C9" w14:textId="2E11C3C3" w:rsidR="008A6844" w:rsidRPr="000E57E3" w:rsidRDefault="008A6844" w:rsidP="000E57E3">
            <w:pPr>
              <w:pStyle w:val="Tabletext"/>
            </w:pPr>
            <w:r w:rsidRPr="000E57E3">
              <w:t>Facilitated</w:t>
            </w:r>
          </w:p>
        </w:tc>
      </w:tr>
      <w:tr w:rsidR="00776CCE" w:rsidRPr="008A6844" w14:paraId="1EF1DA22" w14:textId="77777777" w:rsidTr="00CA44B7">
        <w:tc>
          <w:tcPr>
            <w:tcW w:w="0" w:type="auto"/>
            <w:vAlign w:val="bottom"/>
          </w:tcPr>
          <w:p w14:paraId="79DF81A4" w14:textId="3F4A0027" w:rsidR="008A6844" w:rsidRPr="000E57E3" w:rsidRDefault="008A6844" w:rsidP="000E57E3">
            <w:pPr>
              <w:pStyle w:val="Tabletext"/>
            </w:pPr>
            <w:r w:rsidRPr="000E57E3">
              <w:t>CRBN</w:t>
            </w:r>
          </w:p>
        </w:tc>
        <w:tc>
          <w:tcPr>
            <w:tcW w:w="0" w:type="auto"/>
            <w:vAlign w:val="bottom"/>
          </w:tcPr>
          <w:p w14:paraId="0E7D792D" w14:textId="14F49BAE" w:rsidR="008A6844" w:rsidRPr="000E57E3" w:rsidRDefault="008A6844" w:rsidP="000E57E3">
            <w:pPr>
              <w:pStyle w:val="Tabletext"/>
            </w:pPr>
            <w:r w:rsidRPr="000E57E3">
              <w:t> </w:t>
            </w:r>
          </w:p>
        </w:tc>
        <w:tc>
          <w:tcPr>
            <w:tcW w:w="0" w:type="auto"/>
            <w:vAlign w:val="bottom"/>
          </w:tcPr>
          <w:p w14:paraId="7E9E6BEA" w14:textId="07052EF1" w:rsidR="008A6844" w:rsidRPr="000E57E3" w:rsidRDefault="008A6844" w:rsidP="000E57E3">
            <w:pPr>
              <w:pStyle w:val="Tabletext"/>
            </w:pPr>
            <w:r w:rsidRPr="000E57E3">
              <w:t> </w:t>
            </w:r>
          </w:p>
        </w:tc>
        <w:tc>
          <w:tcPr>
            <w:tcW w:w="0" w:type="auto"/>
            <w:vAlign w:val="bottom"/>
          </w:tcPr>
          <w:p w14:paraId="1E9EF588" w14:textId="6CE68706" w:rsidR="008A6844" w:rsidRPr="000E57E3" w:rsidRDefault="008A6844" w:rsidP="000E57E3">
            <w:pPr>
              <w:pStyle w:val="Tabletext"/>
            </w:pPr>
            <w:r w:rsidRPr="000E57E3">
              <w:t> </w:t>
            </w:r>
          </w:p>
        </w:tc>
        <w:tc>
          <w:tcPr>
            <w:tcW w:w="0" w:type="auto"/>
            <w:vAlign w:val="bottom"/>
          </w:tcPr>
          <w:p w14:paraId="533E3042" w14:textId="62D6E937" w:rsidR="008A6844" w:rsidRPr="000E57E3" w:rsidRDefault="008A6844" w:rsidP="000E57E3">
            <w:pPr>
              <w:pStyle w:val="Tabletext"/>
            </w:pPr>
            <w:r w:rsidRPr="000E57E3">
              <w:t> </w:t>
            </w:r>
          </w:p>
        </w:tc>
        <w:tc>
          <w:tcPr>
            <w:tcW w:w="0" w:type="auto"/>
            <w:vAlign w:val="bottom"/>
          </w:tcPr>
          <w:p w14:paraId="13CE2341" w14:textId="69BDBC84" w:rsidR="008A6844" w:rsidRPr="000E57E3" w:rsidRDefault="008A6844" w:rsidP="000E57E3">
            <w:pPr>
              <w:pStyle w:val="Tabletext"/>
            </w:pPr>
            <w:r w:rsidRPr="000E57E3">
              <w:t> </w:t>
            </w:r>
          </w:p>
        </w:tc>
        <w:tc>
          <w:tcPr>
            <w:tcW w:w="0" w:type="auto"/>
            <w:vAlign w:val="bottom"/>
          </w:tcPr>
          <w:p w14:paraId="662B2ED5" w14:textId="2EF6167B" w:rsidR="008A6844" w:rsidRPr="000E57E3" w:rsidRDefault="008A6844" w:rsidP="000E57E3">
            <w:pPr>
              <w:pStyle w:val="Tabletext"/>
            </w:pPr>
            <w:r w:rsidRPr="000E57E3">
              <w:t> </w:t>
            </w:r>
          </w:p>
        </w:tc>
        <w:tc>
          <w:tcPr>
            <w:tcW w:w="0" w:type="auto"/>
            <w:vAlign w:val="bottom"/>
          </w:tcPr>
          <w:p w14:paraId="21B08064" w14:textId="31C93032" w:rsidR="008A6844" w:rsidRPr="000E57E3" w:rsidRDefault="008A6844" w:rsidP="000E57E3">
            <w:pPr>
              <w:pStyle w:val="Tabletext"/>
            </w:pPr>
            <w:r w:rsidRPr="000E57E3">
              <w:t>Y</w:t>
            </w:r>
          </w:p>
        </w:tc>
        <w:tc>
          <w:tcPr>
            <w:tcW w:w="0" w:type="auto"/>
            <w:vAlign w:val="bottom"/>
          </w:tcPr>
          <w:p w14:paraId="0B3A3C18" w14:textId="0E4ABAE5" w:rsidR="008A6844" w:rsidRPr="000E57E3" w:rsidRDefault="008A6844" w:rsidP="000E57E3">
            <w:pPr>
              <w:pStyle w:val="Tabletext"/>
            </w:pPr>
            <w:r w:rsidRPr="000E57E3">
              <w:t> </w:t>
            </w:r>
          </w:p>
        </w:tc>
        <w:tc>
          <w:tcPr>
            <w:tcW w:w="0" w:type="auto"/>
            <w:vAlign w:val="bottom"/>
          </w:tcPr>
          <w:p w14:paraId="54202E4C" w14:textId="63F096AA" w:rsidR="008A6844" w:rsidRPr="000E57E3" w:rsidRDefault="008A6844" w:rsidP="000E57E3">
            <w:pPr>
              <w:pStyle w:val="Tabletext"/>
            </w:pPr>
            <w:r w:rsidRPr="000E57E3">
              <w:t> </w:t>
            </w:r>
          </w:p>
        </w:tc>
        <w:tc>
          <w:tcPr>
            <w:tcW w:w="0" w:type="auto"/>
            <w:vAlign w:val="bottom"/>
          </w:tcPr>
          <w:p w14:paraId="719D01AF" w14:textId="1FD0EFCC" w:rsidR="008A6844" w:rsidRPr="000E57E3" w:rsidRDefault="008A6844" w:rsidP="000E57E3">
            <w:pPr>
              <w:pStyle w:val="Tabletext"/>
            </w:pPr>
            <w:r w:rsidRPr="000E57E3">
              <w:t> </w:t>
            </w:r>
          </w:p>
        </w:tc>
        <w:tc>
          <w:tcPr>
            <w:tcW w:w="0" w:type="auto"/>
            <w:vAlign w:val="bottom"/>
          </w:tcPr>
          <w:p w14:paraId="2F567BE1" w14:textId="2D8C1823" w:rsidR="008A6844" w:rsidRPr="000E57E3" w:rsidRDefault="008A6844" w:rsidP="000E57E3">
            <w:pPr>
              <w:pStyle w:val="Tabletext"/>
            </w:pPr>
            <w:r w:rsidRPr="000E57E3">
              <w:t> </w:t>
            </w:r>
          </w:p>
        </w:tc>
        <w:tc>
          <w:tcPr>
            <w:tcW w:w="0" w:type="auto"/>
            <w:vAlign w:val="bottom"/>
          </w:tcPr>
          <w:p w14:paraId="23DB3065" w14:textId="7286C4F0" w:rsidR="008A6844" w:rsidRPr="000E57E3" w:rsidRDefault="008A6844" w:rsidP="000E57E3">
            <w:pPr>
              <w:pStyle w:val="Tabletext"/>
            </w:pPr>
            <w:r w:rsidRPr="000E57E3">
              <w:t>Facilitated</w:t>
            </w:r>
          </w:p>
        </w:tc>
      </w:tr>
      <w:tr w:rsidR="00776CCE" w:rsidRPr="008A6844" w14:paraId="1A57BEB9" w14:textId="77777777" w:rsidTr="00CA44B7">
        <w:tc>
          <w:tcPr>
            <w:tcW w:w="0" w:type="auto"/>
            <w:vAlign w:val="bottom"/>
          </w:tcPr>
          <w:p w14:paraId="056CA260" w14:textId="333C8DCF" w:rsidR="008A6844" w:rsidRPr="000E57E3" w:rsidRDefault="008A6844" w:rsidP="000E57E3">
            <w:pPr>
              <w:pStyle w:val="Tabletext"/>
            </w:pPr>
            <w:r w:rsidRPr="000E57E3">
              <w:lastRenderedPageBreak/>
              <w:t>CREBBP</w:t>
            </w:r>
          </w:p>
        </w:tc>
        <w:tc>
          <w:tcPr>
            <w:tcW w:w="0" w:type="auto"/>
            <w:vAlign w:val="bottom"/>
          </w:tcPr>
          <w:p w14:paraId="339DEB7B" w14:textId="3519066E" w:rsidR="008A6844" w:rsidRPr="000E57E3" w:rsidRDefault="008A6844" w:rsidP="000E57E3">
            <w:pPr>
              <w:pStyle w:val="Tabletext"/>
            </w:pPr>
            <w:r w:rsidRPr="000E57E3">
              <w:t> </w:t>
            </w:r>
          </w:p>
        </w:tc>
        <w:tc>
          <w:tcPr>
            <w:tcW w:w="0" w:type="auto"/>
            <w:vAlign w:val="bottom"/>
          </w:tcPr>
          <w:p w14:paraId="4C5FA6C6" w14:textId="1C1887B3" w:rsidR="008A6844" w:rsidRPr="000E57E3" w:rsidRDefault="008A6844" w:rsidP="000E57E3">
            <w:pPr>
              <w:pStyle w:val="Tabletext"/>
            </w:pPr>
            <w:r w:rsidRPr="000E57E3">
              <w:t> </w:t>
            </w:r>
          </w:p>
        </w:tc>
        <w:tc>
          <w:tcPr>
            <w:tcW w:w="0" w:type="auto"/>
            <w:vAlign w:val="bottom"/>
          </w:tcPr>
          <w:p w14:paraId="0C8DD2A6" w14:textId="741A9A6B" w:rsidR="008A6844" w:rsidRPr="000E57E3" w:rsidRDefault="008A6844" w:rsidP="000E57E3">
            <w:pPr>
              <w:pStyle w:val="Tabletext"/>
            </w:pPr>
            <w:r w:rsidRPr="000E57E3">
              <w:t> </w:t>
            </w:r>
          </w:p>
        </w:tc>
        <w:tc>
          <w:tcPr>
            <w:tcW w:w="0" w:type="auto"/>
            <w:vAlign w:val="bottom"/>
          </w:tcPr>
          <w:p w14:paraId="37D6E02E" w14:textId="3BA2E425" w:rsidR="008A6844" w:rsidRPr="000E57E3" w:rsidRDefault="008A6844" w:rsidP="000E57E3">
            <w:pPr>
              <w:pStyle w:val="Tabletext"/>
            </w:pPr>
            <w:r w:rsidRPr="000E57E3">
              <w:t>Y</w:t>
            </w:r>
          </w:p>
        </w:tc>
        <w:tc>
          <w:tcPr>
            <w:tcW w:w="0" w:type="auto"/>
            <w:vAlign w:val="bottom"/>
          </w:tcPr>
          <w:p w14:paraId="49630F30" w14:textId="73174138" w:rsidR="008A6844" w:rsidRPr="000E57E3" w:rsidRDefault="008A6844" w:rsidP="000E57E3">
            <w:pPr>
              <w:pStyle w:val="Tabletext"/>
            </w:pPr>
            <w:r w:rsidRPr="000E57E3">
              <w:t>Y</w:t>
            </w:r>
          </w:p>
        </w:tc>
        <w:tc>
          <w:tcPr>
            <w:tcW w:w="0" w:type="auto"/>
            <w:vAlign w:val="bottom"/>
          </w:tcPr>
          <w:p w14:paraId="784A9367" w14:textId="5E2E031E" w:rsidR="008A6844" w:rsidRPr="000E57E3" w:rsidRDefault="008A6844" w:rsidP="000E57E3">
            <w:pPr>
              <w:pStyle w:val="Tabletext"/>
            </w:pPr>
            <w:r w:rsidRPr="000E57E3">
              <w:t> </w:t>
            </w:r>
          </w:p>
        </w:tc>
        <w:tc>
          <w:tcPr>
            <w:tcW w:w="0" w:type="auto"/>
            <w:vAlign w:val="bottom"/>
          </w:tcPr>
          <w:p w14:paraId="6005D6FE" w14:textId="263A86D1" w:rsidR="008A6844" w:rsidRPr="000E57E3" w:rsidRDefault="008A6844" w:rsidP="000E57E3">
            <w:pPr>
              <w:pStyle w:val="Tabletext"/>
            </w:pPr>
            <w:r w:rsidRPr="000E57E3">
              <w:t>Y</w:t>
            </w:r>
          </w:p>
        </w:tc>
        <w:tc>
          <w:tcPr>
            <w:tcW w:w="0" w:type="auto"/>
            <w:vAlign w:val="bottom"/>
          </w:tcPr>
          <w:p w14:paraId="5B15C2C9" w14:textId="2E52CF80" w:rsidR="008A6844" w:rsidRPr="000E57E3" w:rsidRDefault="008A6844" w:rsidP="000E57E3">
            <w:pPr>
              <w:pStyle w:val="Tabletext"/>
            </w:pPr>
            <w:r w:rsidRPr="000E57E3">
              <w:t>Y</w:t>
            </w:r>
          </w:p>
        </w:tc>
        <w:tc>
          <w:tcPr>
            <w:tcW w:w="0" w:type="auto"/>
            <w:vAlign w:val="bottom"/>
          </w:tcPr>
          <w:p w14:paraId="6CDE842A" w14:textId="39EF3798" w:rsidR="008A6844" w:rsidRPr="000E57E3" w:rsidRDefault="008A6844" w:rsidP="000E57E3">
            <w:pPr>
              <w:pStyle w:val="Tabletext"/>
            </w:pPr>
            <w:r w:rsidRPr="000E57E3">
              <w:t> </w:t>
            </w:r>
          </w:p>
        </w:tc>
        <w:tc>
          <w:tcPr>
            <w:tcW w:w="0" w:type="auto"/>
            <w:vAlign w:val="bottom"/>
          </w:tcPr>
          <w:p w14:paraId="2F8135B9" w14:textId="293490BF" w:rsidR="008A6844" w:rsidRPr="000E57E3" w:rsidRDefault="008A6844" w:rsidP="000E57E3">
            <w:pPr>
              <w:pStyle w:val="Tabletext"/>
            </w:pPr>
            <w:r w:rsidRPr="000E57E3">
              <w:t>Y</w:t>
            </w:r>
          </w:p>
        </w:tc>
        <w:tc>
          <w:tcPr>
            <w:tcW w:w="0" w:type="auto"/>
            <w:vAlign w:val="bottom"/>
          </w:tcPr>
          <w:p w14:paraId="0AF6B46E" w14:textId="60A1B0A6" w:rsidR="008A6844" w:rsidRPr="000E57E3" w:rsidRDefault="008A6844" w:rsidP="000E57E3">
            <w:pPr>
              <w:pStyle w:val="Tabletext"/>
            </w:pPr>
            <w:r w:rsidRPr="000E57E3">
              <w:t> </w:t>
            </w:r>
          </w:p>
        </w:tc>
        <w:tc>
          <w:tcPr>
            <w:tcW w:w="0" w:type="auto"/>
            <w:vAlign w:val="bottom"/>
          </w:tcPr>
          <w:p w14:paraId="3574989C" w14:textId="3602B229" w:rsidR="008A6844" w:rsidRPr="000E57E3" w:rsidRDefault="008A6844" w:rsidP="000E57E3">
            <w:pPr>
              <w:pStyle w:val="Tabletext"/>
            </w:pPr>
            <w:r w:rsidRPr="000E57E3">
              <w:t>Facilitated</w:t>
            </w:r>
          </w:p>
        </w:tc>
      </w:tr>
      <w:tr w:rsidR="00776CCE" w:rsidRPr="008A6844" w14:paraId="651867C7" w14:textId="77777777" w:rsidTr="00CA44B7">
        <w:tc>
          <w:tcPr>
            <w:tcW w:w="0" w:type="auto"/>
            <w:vAlign w:val="bottom"/>
          </w:tcPr>
          <w:p w14:paraId="6A4FE2A1" w14:textId="74523926" w:rsidR="008A6844" w:rsidRPr="000E57E3" w:rsidRDefault="008A6844" w:rsidP="000E57E3">
            <w:pPr>
              <w:pStyle w:val="Tabletext"/>
            </w:pPr>
            <w:r w:rsidRPr="000E57E3">
              <w:t>CUX1</w:t>
            </w:r>
          </w:p>
        </w:tc>
        <w:tc>
          <w:tcPr>
            <w:tcW w:w="0" w:type="auto"/>
            <w:vAlign w:val="bottom"/>
          </w:tcPr>
          <w:p w14:paraId="15B61D66" w14:textId="11674A50" w:rsidR="008A6844" w:rsidRPr="000E57E3" w:rsidRDefault="008A6844" w:rsidP="000E57E3">
            <w:pPr>
              <w:pStyle w:val="Tabletext"/>
            </w:pPr>
            <w:r w:rsidRPr="000E57E3">
              <w:t> </w:t>
            </w:r>
          </w:p>
        </w:tc>
        <w:tc>
          <w:tcPr>
            <w:tcW w:w="0" w:type="auto"/>
            <w:vAlign w:val="bottom"/>
          </w:tcPr>
          <w:p w14:paraId="06927C8B" w14:textId="429A9AEE" w:rsidR="008A6844" w:rsidRPr="000E57E3" w:rsidRDefault="008A6844" w:rsidP="000E57E3">
            <w:pPr>
              <w:pStyle w:val="Tabletext"/>
            </w:pPr>
            <w:r w:rsidRPr="000E57E3">
              <w:t> </w:t>
            </w:r>
          </w:p>
        </w:tc>
        <w:tc>
          <w:tcPr>
            <w:tcW w:w="0" w:type="auto"/>
            <w:vAlign w:val="bottom"/>
          </w:tcPr>
          <w:p w14:paraId="3CC09399" w14:textId="40367B52" w:rsidR="008A6844" w:rsidRPr="000E57E3" w:rsidRDefault="008A6844" w:rsidP="000E57E3">
            <w:pPr>
              <w:pStyle w:val="Tabletext"/>
            </w:pPr>
            <w:r w:rsidRPr="000E57E3">
              <w:t>Y</w:t>
            </w:r>
          </w:p>
        </w:tc>
        <w:tc>
          <w:tcPr>
            <w:tcW w:w="0" w:type="auto"/>
            <w:vAlign w:val="bottom"/>
          </w:tcPr>
          <w:p w14:paraId="42EB29C7" w14:textId="0525D0FC" w:rsidR="008A6844" w:rsidRPr="000E57E3" w:rsidRDefault="008A6844" w:rsidP="000E57E3">
            <w:pPr>
              <w:pStyle w:val="Tabletext"/>
            </w:pPr>
            <w:r w:rsidRPr="000E57E3">
              <w:t> </w:t>
            </w:r>
          </w:p>
        </w:tc>
        <w:tc>
          <w:tcPr>
            <w:tcW w:w="0" w:type="auto"/>
            <w:vAlign w:val="bottom"/>
          </w:tcPr>
          <w:p w14:paraId="52AE7EEC" w14:textId="16CEFF02" w:rsidR="008A6844" w:rsidRPr="000E57E3" w:rsidRDefault="008A6844" w:rsidP="000E57E3">
            <w:pPr>
              <w:pStyle w:val="Tabletext"/>
            </w:pPr>
            <w:r w:rsidRPr="000E57E3">
              <w:t> </w:t>
            </w:r>
          </w:p>
        </w:tc>
        <w:tc>
          <w:tcPr>
            <w:tcW w:w="0" w:type="auto"/>
            <w:vAlign w:val="bottom"/>
          </w:tcPr>
          <w:p w14:paraId="0B481674" w14:textId="1E19B0B1" w:rsidR="008A6844" w:rsidRPr="000E57E3" w:rsidRDefault="008A6844" w:rsidP="000E57E3">
            <w:pPr>
              <w:pStyle w:val="Tabletext"/>
            </w:pPr>
            <w:r w:rsidRPr="000E57E3">
              <w:t> </w:t>
            </w:r>
          </w:p>
        </w:tc>
        <w:tc>
          <w:tcPr>
            <w:tcW w:w="0" w:type="auto"/>
            <w:vAlign w:val="bottom"/>
          </w:tcPr>
          <w:p w14:paraId="67921723" w14:textId="5A9C3C48" w:rsidR="008A6844" w:rsidRPr="000E57E3" w:rsidRDefault="008A6844" w:rsidP="000E57E3">
            <w:pPr>
              <w:pStyle w:val="Tabletext"/>
            </w:pPr>
            <w:r w:rsidRPr="000E57E3">
              <w:t> </w:t>
            </w:r>
          </w:p>
        </w:tc>
        <w:tc>
          <w:tcPr>
            <w:tcW w:w="0" w:type="auto"/>
            <w:vAlign w:val="bottom"/>
          </w:tcPr>
          <w:p w14:paraId="6A8E7FFD" w14:textId="36C18906" w:rsidR="008A6844" w:rsidRPr="000E57E3" w:rsidRDefault="008A6844" w:rsidP="000E57E3">
            <w:pPr>
              <w:pStyle w:val="Tabletext"/>
            </w:pPr>
            <w:r w:rsidRPr="000E57E3">
              <w:t> </w:t>
            </w:r>
          </w:p>
        </w:tc>
        <w:tc>
          <w:tcPr>
            <w:tcW w:w="0" w:type="auto"/>
            <w:vAlign w:val="bottom"/>
          </w:tcPr>
          <w:p w14:paraId="77D10AC9" w14:textId="39B2701D" w:rsidR="008A6844" w:rsidRPr="000E57E3" w:rsidRDefault="008A6844" w:rsidP="000E57E3">
            <w:pPr>
              <w:pStyle w:val="Tabletext"/>
            </w:pPr>
            <w:r w:rsidRPr="000E57E3">
              <w:t> </w:t>
            </w:r>
          </w:p>
        </w:tc>
        <w:tc>
          <w:tcPr>
            <w:tcW w:w="0" w:type="auto"/>
            <w:vAlign w:val="bottom"/>
          </w:tcPr>
          <w:p w14:paraId="2997C738" w14:textId="0D83E693" w:rsidR="008A6844" w:rsidRPr="000E57E3" w:rsidRDefault="008A6844" w:rsidP="000E57E3">
            <w:pPr>
              <w:pStyle w:val="Tabletext"/>
            </w:pPr>
            <w:r w:rsidRPr="000E57E3">
              <w:t> </w:t>
            </w:r>
          </w:p>
        </w:tc>
        <w:tc>
          <w:tcPr>
            <w:tcW w:w="0" w:type="auto"/>
            <w:vAlign w:val="bottom"/>
          </w:tcPr>
          <w:p w14:paraId="3EC26F1C" w14:textId="1831474F" w:rsidR="008A6844" w:rsidRPr="000E57E3" w:rsidRDefault="008A6844" w:rsidP="000E57E3">
            <w:pPr>
              <w:pStyle w:val="Tabletext"/>
            </w:pPr>
            <w:r w:rsidRPr="000E57E3">
              <w:t>Y</w:t>
            </w:r>
          </w:p>
        </w:tc>
        <w:tc>
          <w:tcPr>
            <w:tcW w:w="0" w:type="auto"/>
            <w:vAlign w:val="bottom"/>
          </w:tcPr>
          <w:p w14:paraId="442D4EC0" w14:textId="35895420" w:rsidR="008A6844" w:rsidRPr="000E57E3" w:rsidRDefault="008A6844" w:rsidP="000E57E3">
            <w:pPr>
              <w:pStyle w:val="Tabletext"/>
            </w:pPr>
            <w:r w:rsidRPr="000E57E3">
              <w:t>Facilitated</w:t>
            </w:r>
          </w:p>
        </w:tc>
      </w:tr>
      <w:tr w:rsidR="00776CCE" w:rsidRPr="008A6844" w14:paraId="1655A876" w14:textId="77777777" w:rsidTr="00CA44B7">
        <w:tc>
          <w:tcPr>
            <w:tcW w:w="0" w:type="auto"/>
            <w:vAlign w:val="bottom"/>
          </w:tcPr>
          <w:p w14:paraId="07AF00A2" w14:textId="6F2C7222" w:rsidR="008A6844" w:rsidRPr="000E57E3" w:rsidRDefault="008A6844" w:rsidP="000E57E3">
            <w:pPr>
              <w:pStyle w:val="Tabletext"/>
            </w:pPr>
            <w:r w:rsidRPr="000E57E3">
              <w:t>CXCR4</w:t>
            </w:r>
          </w:p>
        </w:tc>
        <w:tc>
          <w:tcPr>
            <w:tcW w:w="0" w:type="auto"/>
            <w:vAlign w:val="bottom"/>
          </w:tcPr>
          <w:p w14:paraId="5FB7F109" w14:textId="17237632" w:rsidR="008A6844" w:rsidRPr="000E57E3" w:rsidRDefault="008A6844" w:rsidP="000E57E3">
            <w:pPr>
              <w:pStyle w:val="Tabletext"/>
            </w:pPr>
            <w:r w:rsidRPr="000E57E3">
              <w:t> </w:t>
            </w:r>
          </w:p>
        </w:tc>
        <w:tc>
          <w:tcPr>
            <w:tcW w:w="0" w:type="auto"/>
            <w:vAlign w:val="bottom"/>
          </w:tcPr>
          <w:p w14:paraId="2EA6CA3A" w14:textId="467A08BF" w:rsidR="008A6844" w:rsidRPr="000E57E3" w:rsidRDefault="008A6844" w:rsidP="000E57E3">
            <w:pPr>
              <w:pStyle w:val="Tabletext"/>
            </w:pPr>
            <w:r w:rsidRPr="000E57E3">
              <w:t> </w:t>
            </w:r>
          </w:p>
        </w:tc>
        <w:tc>
          <w:tcPr>
            <w:tcW w:w="0" w:type="auto"/>
            <w:vAlign w:val="bottom"/>
          </w:tcPr>
          <w:p w14:paraId="4FA8D262" w14:textId="52AE6426" w:rsidR="008A6844" w:rsidRPr="000E57E3" w:rsidRDefault="008A6844" w:rsidP="000E57E3">
            <w:pPr>
              <w:pStyle w:val="Tabletext"/>
            </w:pPr>
            <w:r w:rsidRPr="000E57E3">
              <w:t>Y</w:t>
            </w:r>
          </w:p>
        </w:tc>
        <w:tc>
          <w:tcPr>
            <w:tcW w:w="0" w:type="auto"/>
            <w:vAlign w:val="bottom"/>
          </w:tcPr>
          <w:p w14:paraId="1A9BE61A" w14:textId="0744DAB4" w:rsidR="008A6844" w:rsidRPr="000E57E3" w:rsidRDefault="008A6844" w:rsidP="000E57E3">
            <w:pPr>
              <w:pStyle w:val="Tabletext"/>
            </w:pPr>
            <w:r w:rsidRPr="000E57E3">
              <w:t> </w:t>
            </w:r>
          </w:p>
        </w:tc>
        <w:tc>
          <w:tcPr>
            <w:tcW w:w="0" w:type="auto"/>
            <w:vAlign w:val="bottom"/>
          </w:tcPr>
          <w:p w14:paraId="69D72785" w14:textId="7786D725" w:rsidR="008A6844" w:rsidRPr="000E57E3" w:rsidRDefault="008A6844" w:rsidP="000E57E3">
            <w:pPr>
              <w:pStyle w:val="Tabletext"/>
            </w:pPr>
            <w:r w:rsidRPr="000E57E3">
              <w:t> </w:t>
            </w:r>
          </w:p>
        </w:tc>
        <w:tc>
          <w:tcPr>
            <w:tcW w:w="0" w:type="auto"/>
            <w:vAlign w:val="bottom"/>
          </w:tcPr>
          <w:p w14:paraId="7E13FC5E" w14:textId="0AF8A9A5" w:rsidR="008A6844" w:rsidRPr="000E57E3" w:rsidRDefault="008A6844" w:rsidP="000E57E3">
            <w:pPr>
              <w:pStyle w:val="Tabletext"/>
            </w:pPr>
            <w:r w:rsidRPr="000E57E3">
              <w:t> </w:t>
            </w:r>
          </w:p>
        </w:tc>
        <w:tc>
          <w:tcPr>
            <w:tcW w:w="0" w:type="auto"/>
            <w:vAlign w:val="bottom"/>
          </w:tcPr>
          <w:p w14:paraId="5FC5A74B" w14:textId="0090D485" w:rsidR="008A6844" w:rsidRPr="000E57E3" w:rsidRDefault="008A6844" w:rsidP="000E57E3">
            <w:pPr>
              <w:pStyle w:val="Tabletext"/>
            </w:pPr>
            <w:r w:rsidRPr="000E57E3">
              <w:t>Y</w:t>
            </w:r>
          </w:p>
        </w:tc>
        <w:tc>
          <w:tcPr>
            <w:tcW w:w="0" w:type="auto"/>
            <w:vAlign w:val="bottom"/>
          </w:tcPr>
          <w:p w14:paraId="3CAFDFE8" w14:textId="4F35A0EC" w:rsidR="008A6844" w:rsidRPr="000E57E3" w:rsidRDefault="008A6844" w:rsidP="000E57E3">
            <w:pPr>
              <w:pStyle w:val="Tabletext"/>
            </w:pPr>
            <w:r w:rsidRPr="000E57E3">
              <w:t>Y</w:t>
            </w:r>
          </w:p>
        </w:tc>
        <w:tc>
          <w:tcPr>
            <w:tcW w:w="0" w:type="auto"/>
            <w:vAlign w:val="bottom"/>
          </w:tcPr>
          <w:p w14:paraId="422DA431" w14:textId="576B56D3" w:rsidR="008A6844" w:rsidRPr="000E57E3" w:rsidRDefault="008A6844" w:rsidP="000E57E3">
            <w:pPr>
              <w:pStyle w:val="Tabletext"/>
            </w:pPr>
            <w:r w:rsidRPr="000E57E3">
              <w:t> </w:t>
            </w:r>
          </w:p>
        </w:tc>
        <w:tc>
          <w:tcPr>
            <w:tcW w:w="0" w:type="auto"/>
            <w:vAlign w:val="bottom"/>
          </w:tcPr>
          <w:p w14:paraId="6C00CEA1" w14:textId="4BEEC0D5" w:rsidR="008A6844" w:rsidRPr="000E57E3" w:rsidRDefault="008A6844" w:rsidP="000E57E3">
            <w:pPr>
              <w:pStyle w:val="Tabletext"/>
            </w:pPr>
            <w:r w:rsidRPr="000E57E3">
              <w:t>Y</w:t>
            </w:r>
          </w:p>
        </w:tc>
        <w:tc>
          <w:tcPr>
            <w:tcW w:w="0" w:type="auto"/>
            <w:vAlign w:val="bottom"/>
          </w:tcPr>
          <w:p w14:paraId="7603E6BA" w14:textId="21687F9A" w:rsidR="008A6844" w:rsidRPr="000E57E3" w:rsidRDefault="008A6844" w:rsidP="000E57E3">
            <w:pPr>
              <w:pStyle w:val="Tabletext"/>
            </w:pPr>
            <w:r w:rsidRPr="000E57E3">
              <w:t> </w:t>
            </w:r>
          </w:p>
        </w:tc>
        <w:tc>
          <w:tcPr>
            <w:tcW w:w="0" w:type="auto"/>
            <w:vAlign w:val="bottom"/>
          </w:tcPr>
          <w:p w14:paraId="0EB771AC" w14:textId="40F3F0B7" w:rsidR="008A6844" w:rsidRPr="000E57E3" w:rsidRDefault="008A6844" w:rsidP="000E57E3">
            <w:pPr>
              <w:pStyle w:val="Tabletext"/>
            </w:pPr>
            <w:r w:rsidRPr="000E57E3">
              <w:t>Facilitated</w:t>
            </w:r>
          </w:p>
        </w:tc>
      </w:tr>
      <w:tr w:rsidR="00776CCE" w:rsidRPr="008A6844" w14:paraId="516D7B86" w14:textId="77777777" w:rsidTr="00CA44B7">
        <w:tc>
          <w:tcPr>
            <w:tcW w:w="0" w:type="auto"/>
            <w:vAlign w:val="bottom"/>
          </w:tcPr>
          <w:p w14:paraId="73F1D9EF" w14:textId="70289BCB" w:rsidR="008A6844" w:rsidRPr="000E57E3" w:rsidRDefault="008A6844" w:rsidP="000E57E3">
            <w:pPr>
              <w:pStyle w:val="Tabletext"/>
            </w:pPr>
            <w:r w:rsidRPr="000E57E3">
              <w:t>DCK</w:t>
            </w:r>
          </w:p>
        </w:tc>
        <w:tc>
          <w:tcPr>
            <w:tcW w:w="0" w:type="auto"/>
            <w:vAlign w:val="bottom"/>
          </w:tcPr>
          <w:p w14:paraId="20428DFA" w14:textId="60EDABF6" w:rsidR="008A6844" w:rsidRPr="000E57E3" w:rsidRDefault="008A6844" w:rsidP="000E57E3">
            <w:pPr>
              <w:pStyle w:val="Tabletext"/>
            </w:pPr>
            <w:r w:rsidRPr="000E57E3">
              <w:t> </w:t>
            </w:r>
          </w:p>
        </w:tc>
        <w:tc>
          <w:tcPr>
            <w:tcW w:w="0" w:type="auto"/>
            <w:vAlign w:val="bottom"/>
          </w:tcPr>
          <w:p w14:paraId="344D75E1" w14:textId="18EAE7E4" w:rsidR="008A6844" w:rsidRPr="000E57E3" w:rsidRDefault="008A6844" w:rsidP="000E57E3">
            <w:pPr>
              <w:pStyle w:val="Tabletext"/>
            </w:pPr>
            <w:r w:rsidRPr="000E57E3">
              <w:t> </w:t>
            </w:r>
          </w:p>
        </w:tc>
        <w:tc>
          <w:tcPr>
            <w:tcW w:w="0" w:type="auto"/>
            <w:vAlign w:val="bottom"/>
          </w:tcPr>
          <w:p w14:paraId="1AB00C36" w14:textId="06CEE269" w:rsidR="008A6844" w:rsidRPr="000E57E3" w:rsidRDefault="008A6844" w:rsidP="000E57E3">
            <w:pPr>
              <w:pStyle w:val="Tabletext"/>
            </w:pPr>
            <w:r w:rsidRPr="000E57E3">
              <w:t>Y</w:t>
            </w:r>
          </w:p>
        </w:tc>
        <w:tc>
          <w:tcPr>
            <w:tcW w:w="0" w:type="auto"/>
            <w:vAlign w:val="bottom"/>
          </w:tcPr>
          <w:p w14:paraId="6ED1346D" w14:textId="49D07BAF" w:rsidR="008A6844" w:rsidRPr="000E57E3" w:rsidRDefault="008A6844" w:rsidP="000E57E3">
            <w:pPr>
              <w:pStyle w:val="Tabletext"/>
            </w:pPr>
            <w:r w:rsidRPr="000E57E3">
              <w:t> </w:t>
            </w:r>
          </w:p>
        </w:tc>
        <w:tc>
          <w:tcPr>
            <w:tcW w:w="0" w:type="auto"/>
            <w:vAlign w:val="bottom"/>
          </w:tcPr>
          <w:p w14:paraId="6AD53E5E" w14:textId="5E25C27D" w:rsidR="008A6844" w:rsidRPr="000E57E3" w:rsidRDefault="008A6844" w:rsidP="000E57E3">
            <w:pPr>
              <w:pStyle w:val="Tabletext"/>
            </w:pPr>
            <w:r w:rsidRPr="000E57E3">
              <w:t> </w:t>
            </w:r>
          </w:p>
        </w:tc>
        <w:tc>
          <w:tcPr>
            <w:tcW w:w="0" w:type="auto"/>
            <w:vAlign w:val="bottom"/>
          </w:tcPr>
          <w:p w14:paraId="11C69742" w14:textId="69A30E0C" w:rsidR="008A6844" w:rsidRPr="000E57E3" w:rsidRDefault="008A6844" w:rsidP="000E57E3">
            <w:pPr>
              <w:pStyle w:val="Tabletext"/>
            </w:pPr>
            <w:r w:rsidRPr="000E57E3">
              <w:t> </w:t>
            </w:r>
          </w:p>
        </w:tc>
        <w:tc>
          <w:tcPr>
            <w:tcW w:w="0" w:type="auto"/>
            <w:vAlign w:val="bottom"/>
          </w:tcPr>
          <w:p w14:paraId="0AA5833D" w14:textId="2F5EDDFE" w:rsidR="008A6844" w:rsidRPr="000E57E3" w:rsidRDefault="008A6844" w:rsidP="000E57E3">
            <w:pPr>
              <w:pStyle w:val="Tabletext"/>
            </w:pPr>
            <w:r w:rsidRPr="000E57E3">
              <w:t> </w:t>
            </w:r>
          </w:p>
        </w:tc>
        <w:tc>
          <w:tcPr>
            <w:tcW w:w="0" w:type="auto"/>
            <w:vAlign w:val="bottom"/>
          </w:tcPr>
          <w:p w14:paraId="0AA880D9" w14:textId="657727DF" w:rsidR="008A6844" w:rsidRPr="000E57E3" w:rsidRDefault="008A6844" w:rsidP="000E57E3">
            <w:pPr>
              <w:pStyle w:val="Tabletext"/>
            </w:pPr>
            <w:r w:rsidRPr="000E57E3">
              <w:t> </w:t>
            </w:r>
          </w:p>
        </w:tc>
        <w:tc>
          <w:tcPr>
            <w:tcW w:w="0" w:type="auto"/>
            <w:vAlign w:val="bottom"/>
          </w:tcPr>
          <w:p w14:paraId="7D63B575" w14:textId="2741849C" w:rsidR="008A6844" w:rsidRPr="000E57E3" w:rsidRDefault="008A6844" w:rsidP="000E57E3">
            <w:pPr>
              <w:pStyle w:val="Tabletext"/>
            </w:pPr>
            <w:r w:rsidRPr="000E57E3">
              <w:t> </w:t>
            </w:r>
          </w:p>
        </w:tc>
        <w:tc>
          <w:tcPr>
            <w:tcW w:w="0" w:type="auto"/>
            <w:vAlign w:val="bottom"/>
          </w:tcPr>
          <w:p w14:paraId="75354548" w14:textId="17890C0C" w:rsidR="008A6844" w:rsidRPr="000E57E3" w:rsidRDefault="008A6844" w:rsidP="000E57E3">
            <w:pPr>
              <w:pStyle w:val="Tabletext"/>
            </w:pPr>
            <w:r w:rsidRPr="000E57E3">
              <w:t> </w:t>
            </w:r>
          </w:p>
        </w:tc>
        <w:tc>
          <w:tcPr>
            <w:tcW w:w="0" w:type="auto"/>
            <w:vAlign w:val="bottom"/>
          </w:tcPr>
          <w:p w14:paraId="17AFDE0F" w14:textId="7F9FE4BF" w:rsidR="008A6844" w:rsidRPr="000E57E3" w:rsidRDefault="008A6844" w:rsidP="000E57E3">
            <w:pPr>
              <w:pStyle w:val="Tabletext"/>
            </w:pPr>
            <w:r w:rsidRPr="000E57E3">
              <w:t> </w:t>
            </w:r>
          </w:p>
        </w:tc>
        <w:tc>
          <w:tcPr>
            <w:tcW w:w="0" w:type="auto"/>
            <w:vAlign w:val="bottom"/>
          </w:tcPr>
          <w:p w14:paraId="50E6A583" w14:textId="34178306" w:rsidR="008A6844" w:rsidRPr="000E57E3" w:rsidRDefault="008A6844" w:rsidP="000E57E3">
            <w:pPr>
              <w:pStyle w:val="Tabletext"/>
            </w:pPr>
            <w:r w:rsidRPr="000E57E3">
              <w:t>Facilitated</w:t>
            </w:r>
          </w:p>
        </w:tc>
      </w:tr>
      <w:tr w:rsidR="00776CCE" w:rsidRPr="008A6844" w14:paraId="774BCC47" w14:textId="77777777" w:rsidTr="00CA44B7">
        <w:tc>
          <w:tcPr>
            <w:tcW w:w="0" w:type="auto"/>
            <w:vAlign w:val="bottom"/>
          </w:tcPr>
          <w:p w14:paraId="4D7BB8CD" w14:textId="31E8B595" w:rsidR="008A6844" w:rsidRPr="000E57E3" w:rsidRDefault="008A6844" w:rsidP="000E57E3">
            <w:pPr>
              <w:pStyle w:val="Tabletext"/>
            </w:pPr>
            <w:r w:rsidRPr="000E57E3">
              <w:t>DDX3X</w:t>
            </w:r>
          </w:p>
        </w:tc>
        <w:tc>
          <w:tcPr>
            <w:tcW w:w="0" w:type="auto"/>
            <w:vAlign w:val="bottom"/>
          </w:tcPr>
          <w:p w14:paraId="1E6D7E18" w14:textId="478ADD49" w:rsidR="008A6844" w:rsidRPr="000E57E3" w:rsidRDefault="008A6844" w:rsidP="000E57E3">
            <w:pPr>
              <w:pStyle w:val="Tabletext"/>
            </w:pPr>
            <w:r w:rsidRPr="000E57E3">
              <w:t> </w:t>
            </w:r>
          </w:p>
        </w:tc>
        <w:tc>
          <w:tcPr>
            <w:tcW w:w="0" w:type="auto"/>
            <w:vAlign w:val="bottom"/>
          </w:tcPr>
          <w:p w14:paraId="698B2E97" w14:textId="3558104A" w:rsidR="008A6844" w:rsidRPr="000E57E3" w:rsidRDefault="008A6844" w:rsidP="000E57E3">
            <w:pPr>
              <w:pStyle w:val="Tabletext"/>
            </w:pPr>
            <w:r w:rsidRPr="000E57E3">
              <w:t> </w:t>
            </w:r>
          </w:p>
        </w:tc>
        <w:tc>
          <w:tcPr>
            <w:tcW w:w="0" w:type="auto"/>
            <w:vAlign w:val="bottom"/>
          </w:tcPr>
          <w:p w14:paraId="1B8748D3" w14:textId="0E75A766" w:rsidR="008A6844" w:rsidRPr="000E57E3" w:rsidRDefault="008A6844" w:rsidP="000E57E3">
            <w:pPr>
              <w:pStyle w:val="Tabletext"/>
            </w:pPr>
            <w:r w:rsidRPr="000E57E3">
              <w:t> </w:t>
            </w:r>
          </w:p>
        </w:tc>
        <w:tc>
          <w:tcPr>
            <w:tcW w:w="0" w:type="auto"/>
            <w:vAlign w:val="bottom"/>
          </w:tcPr>
          <w:p w14:paraId="300184B2" w14:textId="52A3B697" w:rsidR="008A6844" w:rsidRPr="000E57E3" w:rsidRDefault="008A6844" w:rsidP="000E57E3">
            <w:pPr>
              <w:pStyle w:val="Tabletext"/>
            </w:pPr>
            <w:r w:rsidRPr="000E57E3">
              <w:t> </w:t>
            </w:r>
          </w:p>
        </w:tc>
        <w:tc>
          <w:tcPr>
            <w:tcW w:w="0" w:type="auto"/>
            <w:vAlign w:val="bottom"/>
          </w:tcPr>
          <w:p w14:paraId="454C636D" w14:textId="6DA0A415" w:rsidR="008A6844" w:rsidRPr="000E57E3" w:rsidRDefault="008A6844" w:rsidP="000E57E3">
            <w:pPr>
              <w:pStyle w:val="Tabletext"/>
            </w:pPr>
            <w:r w:rsidRPr="000E57E3">
              <w:t> </w:t>
            </w:r>
          </w:p>
        </w:tc>
        <w:tc>
          <w:tcPr>
            <w:tcW w:w="0" w:type="auto"/>
            <w:vAlign w:val="bottom"/>
          </w:tcPr>
          <w:p w14:paraId="1E8F205F" w14:textId="46C3A2AE" w:rsidR="008A6844" w:rsidRPr="000E57E3" w:rsidRDefault="008A6844" w:rsidP="000E57E3">
            <w:pPr>
              <w:pStyle w:val="Tabletext"/>
            </w:pPr>
            <w:r w:rsidRPr="000E57E3">
              <w:t> </w:t>
            </w:r>
          </w:p>
        </w:tc>
        <w:tc>
          <w:tcPr>
            <w:tcW w:w="0" w:type="auto"/>
            <w:vAlign w:val="bottom"/>
          </w:tcPr>
          <w:p w14:paraId="73D992D5" w14:textId="5A44BA29" w:rsidR="008A6844" w:rsidRPr="000E57E3" w:rsidRDefault="008A6844" w:rsidP="000E57E3">
            <w:pPr>
              <w:pStyle w:val="Tabletext"/>
            </w:pPr>
            <w:r w:rsidRPr="000E57E3">
              <w:t>Y</w:t>
            </w:r>
          </w:p>
        </w:tc>
        <w:tc>
          <w:tcPr>
            <w:tcW w:w="0" w:type="auto"/>
            <w:vAlign w:val="bottom"/>
          </w:tcPr>
          <w:p w14:paraId="7CE2E9AA" w14:textId="19A6A5A4" w:rsidR="008A6844" w:rsidRPr="000E57E3" w:rsidRDefault="008A6844" w:rsidP="000E57E3">
            <w:pPr>
              <w:pStyle w:val="Tabletext"/>
            </w:pPr>
            <w:r w:rsidRPr="000E57E3">
              <w:t> </w:t>
            </w:r>
          </w:p>
        </w:tc>
        <w:tc>
          <w:tcPr>
            <w:tcW w:w="0" w:type="auto"/>
            <w:vAlign w:val="bottom"/>
          </w:tcPr>
          <w:p w14:paraId="282B1B5E" w14:textId="292D49E3" w:rsidR="008A6844" w:rsidRPr="000E57E3" w:rsidRDefault="008A6844" w:rsidP="000E57E3">
            <w:pPr>
              <w:pStyle w:val="Tabletext"/>
            </w:pPr>
            <w:r w:rsidRPr="000E57E3">
              <w:t> </w:t>
            </w:r>
          </w:p>
        </w:tc>
        <w:tc>
          <w:tcPr>
            <w:tcW w:w="0" w:type="auto"/>
            <w:vAlign w:val="bottom"/>
          </w:tcPr>
          <w:p w14:paraId="18C59B53" w14:textId="497863FA" w:rsidR="008A6844" w:rsidRPr="000E57E3" w:rsidRDefault="008A6844" w:rsidP="000E57E3">
            <w:pPr>
              <w:pStyle w:val="Tabletext"/>
            </w:pPr>
            <w:r w:rsidRPr="000E57E3">
              <w:t> </w:t>
            </w:r>
          </w:p>
        </w:tc>
        <w:tc>
          <w:tcPr>
            <w:tcW w:w="0" w:type="auto"/>
            <w:vAlign w:val="bottom"/>
          </w:tcPr>
          <w:p w14:paraId="6FE47F23" w14:textId="2AA057D8" w:rsidR="008A6844" w:rsidRPr="000E57E3" w:rsidRDefault="008A6844" w:rsidP="000E57E3">
            <w:pPr>
              <w:pStyle w:val="Tabletext"/>
            </w:pPr>
            <w:r w:rsidRPr="000E57E3">
              <w:t> </w:t>
            </w:r>
          </w:p>
        </w:tc>
        <w:tc>
          <w:tcPr>
            <w:tcW w:w="0" w:type="auto"/>
            <w:vAlign w:val="bottom"/>
          </w:tcPr>
          <w:p w14:paraId="2BEE6690" w14:textId="6456D421" w:rsidR="008A6844" w:rsidRPr="000E57E3" w:rsidRDefault="008A6844" w:rsidP="000E57E3">
            <w:pPr>
              <w:pStyle w:val="Tabletext"/>
            </w:pPr>
            <w:r w:rsidRPr="000E57E3">
              <w:t>Facilitated</w:t>
            </w:r>
          </w:p>
        </w:tc>
      </w:tr>
      <w:tr w:rsidR="00776CCE" w:rsidRPr="008A6844" w14:paraId="354FE8A9" w14:textId="77777777" w:rsidTr="00CA44B7">
        <w:tc>
          <w:tcPr>
            <w:tcW w:w="0" w:type="auto"/>
            <w:vAlign w:val="bottom"/>
          </w:tcPr>
          <w:p w14:paraId="1C029857" w14:textId="559D79BA" w:rsidR="008A6844" w:rsidRPr="000E57E3" w:rsidRDefault="008A6844" w:rsidP="000E57E3">
            <w:pPr>
              <w:pStyle w:val="Tabletext"/>
            </w:pPr>
            <w:r w:rsidRPr="000E57E3">
              <w:t>DHX15</w:t>
            </w:r>
          </w:p>
        </w:tc>
        <w:tc>
          <w:tcPr>
            <w:tcW w:w="0" w:type="auto"/>
            <w:vAlign w:val="bottom"/>
          </w:tcPr>
          <w:p w14:paraId="2A9B0DA9" w14:textId="1553C8B6" w:rsidR="008A6844" w:rsidRPr="000E57E3" w:rsidRDefault="008A6844" w:rsidP="000E57E3">
            <w:pPr>
              <w:pStyle w:val="Tabletext"/>
            </w:pPr>
            <w:r w:rsidRPr="000E57E3">
              <w:t> </w:t>
            </w:r>
          </w:p>
        </w:tc>
        <w:tc>
          <w:tcPr>
            <w:tcW w:w="0" w:type="auto"/>
            <w:vAlign w:val="bottom"/>
          </w:tcPr>
          <w:p w14:paraId="1967CDE2" w14:textId="4A47B66C" w:rsidR="008A6844" w:rsidRPr="000E57E3" w:rsidRDefault="008A6844" w:rsidP="000E57E3">
            <w:pPr>
              <w:pStyle w:val="Tabletext"/>
            </w:pPr>
            <w:r w:rsidRPr="000E57E3">
              <w:t> </w:t>
            </w:r>
          </w:p>
        </w:tc>
        <w:tc>
          <w:tcPr>
            <w:tcW w:w="0" w:type="auto"/>
            <w:vAlign w:val="bottom"/>
          </w:tcPr>
          <w:p w14:paraId="3E522780" w14:textId="3C2E31F0" w:rsidR="008A6844" w:rsidRPr="000E57E3" w:rsidRDefault="008A6844" w:rsidP="000E57E3">
            <w:pPr>
              <w:pStyle w:val="Tabletext"/>
            </w:pPr>
            <w:r w:rsidRPr="000E57E3">
              <w:t>Y</w:t>
            </w:r>
          </w:p>
        </w:tc>
        <w:tc>
          <w:tcPr>
            <w:tcW w:w="0" w:type="auto"/>
            <w:vAlign w:val="bottom"/>
          </w:tcPr>
          <w:p w14:paraId="70C22F84" w14:textId="533EA2D2" w:rsidR="008A6844" w:rsidRPr="000E57E3" w:rsidRDefault="008A6844" w:rsidP="000E57E3">
            <w:pPr>
              <w:pStyle w:val="Tabletext"/>
            </w:pPr>
            <w:r w:rsidRPr="000E57E3">
              <w:t> </w:t>
            </w:r>
          </w:p>
        </w:tc>
        <w:tc>
          <w:tcPr>
            <w:tcW w:w="0" w:type="auto"/>
            <w:vAlign w:val="bottom"/>
          </w:tcPr>
          <w:p w14:paraId="64A5C8DF" w14:textId="24F93BF1" w:rsidR="008A6844" w:rsidRPr="000E57E3" w:rsidRDefault="008A6844" w:rsidP="000E57E3">
            <w:pPr>
              <w:pStyle w:val="Tabletext"/>
            </w:pPr>
            <w:r w:rsidRPr="000E57E3">
              <w:t> </w:t>
            </w:r>
          </w:p>
        </w:tc>
        <w:tc>
          <w:tcPr>
            <w:tcW w:w="0" w:type="auto"/>
            <w:vAlign w:val="bottom"/>
          </w:tcPr>
          <w:p w14:paraId="4717FED5" w14:textId="087D4460" w:rsidR="008A6844" w:rsidRPr="000E57E3" w:rsidRDefault="008A6844" w:rsidP="000E57E3">
            <w:pPr>
              <w:pStyle w:val="Tabletext"/>
            </w:pPr>
            <w:r w:rsidRPr="000E57E3">
              <w:t> </w:t>
            </w:r>
          </w:p>
        </w:tc>
        <w:tc>
          <w:tcPr>
            <w:tcW w:w="0" w:type="auto"/>
            <w:vAlign w:val="bottom"/>
          </w:tcPr>
          <w:p w14:paraId="7E9819D3" w14:textId="48B4D6B7" w:rsidR="008A6844" w:rsidRPr="000E57E3" w:rsidRDefault="008A6844" w:rsidP="000E57E3">
            <w:pPr>
              <w:pStyle w:val="Tabletext"/>
            </w:pPr>
            <w:r w:rsidRPr="000E57E3">
              <w:t> </w:t>
            </w:r>
          </w:p>
        </w:tc>
        <w:tc>
          <w:tcPr>
            <w:tcW w:w="0" w:type="auto"/>
            <w:vAlign w:val="bottom"/>
          </w:tcPr>
          <w:p w14:paraId="2C23BBCC" w14:textId="5C9DFB07" w:rsidR="008A6844" w:rsidRPr="000E57E3" w:rsidRDefault="008A6844" w:rsidP="000E57E3">
            <w:pPr>
              <w:pStyle w:val="Tabletext"/>
            </w:pPr>
            <w:r w:rsidRPr="000E57E3">
              <w:t> </w:t>
            </w:r>
          </w:p>
        </w:tc>
        <w:tc>
          <w:tcPr>
            <w:tcW w:w="0" w:type="auto"/>
            <w:vAlign w:val="bottom"/>
          </w:tcPr>
          <w:p w14:paraId="71E85C98" w14:textId="33B41F80" w:rsidR="008A6844" w:rsidRPr="000E57E3" w:rsidRDefault="008A6844" w:rsidP="000E57E3">
            <w:pPr>
              <w:pStyle w:val="Tabletext"/>
            </w:pPr>
            <w:r w:rsidRPr="000E57E3">
              <w:t> </w:t>
            </w:r>
          </w:p>
        </w:tc>
        <w:tc>
          <w:tcPr>
            <w:tcW w:w="0" w:type="auto"/>
            <w:vAlign w:val="bottom"/>
          </w:tcPr>
          <w:p w14:paraId="7A352B1A" w14:textId="202930D1" w:rsidR="008A6844" w:rsidRPr="000E57E3" w:rsidRDefault="008A6844" w:rsidP="000E57E3">
            <w:pPr>
              <w:pStyle w:val="Tabletext"/>
            </w:pPr>
            <w:r w:rsidRPr="000E57E3">
              <w:t> </w:t>
            </w:r>
          </w:p>
        </w:tc>
        <w:tc>
          <w:tcPr>
            <w:tcW w:w="0" w:type="auto"/>
            <w:vAlign w:val="bottom"/>
          </w:tcPr>
          <w:p w14:paraId="64C37642" w14:textId="6742880E" w:rsidR="008A6844" w:rsidRPr="000E57E3" w:rsidRDefault="008A6844" w:rsidP="000E57E3">
            <w:pPr>
              <w:pStyle w:val="Tabletext"/>
            </w:pPr>
            <w:r w:rsidRPr="000E57E3">
              <w:t> </w:t>
            </w:r>
          </w:p>
        </w:tc>
        <w:tc>
          <w:tcPr>
            <w:tcW w:w="0" w:type="auto"/>
            <w:vAlign w:val="bottom"/>
          </w:tcPr>
          <w:p w14:paraId="399CBEE2" w14:textId="7E6A81E2" w:rsidR="008A6844" w:rsidRPr="000E57E3" w:rsidRDefault="008A6844" w:rsidP="000E57E3">
            <w:pPr>
              <w:pStyle w:val="Tabletext"/>
            </w:pPr>
            <w:r w:rsidRPr="000E57E3">
              <w:t>Facilitated</w:t>
            </w:r>
          </w:p>
        </w:tc>
      </w:tr>
      <w:tr w:rsidR="00776CCE" w:rsidRPr="008A6844" w14:paraId="28FC6850" w14:textId="77777777" w:rsidTr="00CA44B7">
        <w:tc>
          <w:tcPr>
            <w:tcW w:w="0" w:type="auto"/>
            <w:vAlign w:val="bottom"/>
          </w:tcPr>
          <w:p w14:paraId="05AB34D7" w14:textId="763A9382" w:rsidR="008A6844" w:rsidRPr="000E57E3" w:rsidRDefault="008A6844" w:rsidP="000E57E3">
            <w:pPr>
              <w:pStyle w:val="Tabletext"/>
            </w:pPr>
            <w:r w:rsidRPr="000E57E3">
              <w:t>DIS3</w:t>
            </w:r>
          </w:p>
        </w:tc>
        <w:tc>
          <w:tcPr>
            <w:tcW w:w="0" w:type="auto"/>
            <w:vAlign w:val="bottom"/>
          </w:tcPr>
          <w:p w14:paraId="1416E16B" w14:textId="4039E93F" w:rsidR="008A6844" w:rsidRPr="000E57E3" w:rsidRDefault="008A6844" w:rsidP="000E57E3">
            <w:pPr>
              <w:pStyle w:val="Tabletext"/>
            </w:pPr>
            <w:r w:rsidRPr="000E57E3">
              <w:t> </w:t>
            </w:r>
          </w:p>
        </w:tc>
        <w:tc>
          <w:tcPr>
            <w:tcW w:w="0" w:type="auto"/>
            <w:vAlign w:val="bottom"/>
          </w:tcPr>
          <w:p w14:paraId="4CD27A05" w14:textId="08B5FC05" w:rsidR="008A6844" w:rsidRPr="000E57E3" w:rsidRDefault="008A6844" w:rsidP="000E57E3">
            <w:pPr>
              <w:pStyle w:val="Tabletext"/>
            </w:pPr>
            <w:r w:rsidRPr="000E57E3">
              <w:t> </w:t>
            </w:r>
          </w:p>
        </w:tc>
        <w:tc>
          <w:tcPr>
            <w:tcW w:w="0" w:type="auto"/>
            <w:vAlign w:val="bottom"/>
          </w:tcPr>
          <w:p w14:paraId="419FFBD7" w14:textId="4891EF08" w:rsidR="008A6844" w:rsidRPr="000E57E3" w:rsidRDefault="008A6844" w:rsidP="000E57E3">
            <w:pPr>
              <w:pStyle w:val="Tabletext"/>
            </w:pPr>
            <w:r w:rsidRPr="000E57E3">
              <w:t> </w:t>
            </w:r>
          </w:p>
        </w:tc>
        <w:tc>
          <w:tcPr>
            <w:tcW w:w="0" w:type="auto"/>
            <w:vAlign w:val="bottom"/>
          </w:tcPr>
          <w:p w14:paraId="318D41C5" w14:textId="218BEDFC" w:rsidR="008A6844" w:rsidRPr="000E57E3" w:rsidRDefault="008A6844" w:rsidP="000E57E3">
            <w:pPr>
              <w:pStyle w:val="Tabletext"/>
            </w:pPr>
            <w:r w:rsidRPr="000E57E3">
              <w:t> </w:t>
            </w:r>
          </w:p>
        </w:tc>
        <w:tc>
          <w:tcPr>
            <w:tcW w:w="0" w:type="auto"/>
            <w:vAlign w:val="bottom"/>
          </w:tcPr>
          <w:p w14:paraId="1320F42B" w14:textId="10359B7D" w:rsidR="008A6844" w:rsidRPr="000E57E3" w:rsidRDefault="008A6844" w:rsidP="000E57E3">
            <w:pPr>
              <w:pStyle w:val="Tabletext"/>
            </w:pPr>
            <w:r w:rsidRPr="000E57E3">
              <w:t> </w:t>
            </w:r>
          </w:p>
        </w:tc>
        <w:tc>
          <w:tcPr>
            <w:tcW w:w="0" w:type="auto"/>
            <w:vAlign w:val="bottom"/>
          </w:tcPr>
          <w:p w14:paraId="7243C1AD" w14:textId="739AD410" w:rsidR="008A6844" w:rsidRPr="000E57E3" w:rsidRDefault="008A6844" w:rsidP="000E57E3">
            <w:pPr>
              <w:pStyle w:val="Tabletext"/>
            </w:pPr>
            <w:r w:rsidRPr="000E57E3">
              <w:t> </w:t>
            </w:r>
          </w:p>
        </w:tc>
        <w:tc>
          <w:tcPr>
            <w:tcW w:w="0" w:type="auto"/>
            <w:vAlign w:val="bottom"/>
          </w:tcPr>
          <w:p w14:paraId="2C6A028F" w14:textId="15C658DC" w:rsidR="008A6844" w:rsidRPr="000E57E3" w:rsidRDefault="008A6844" w:rsidP="000E57E3">
            <w:pPr>
              <w:pStyle w:val="Tabletext"/>
            </w:pPr>
            <w:r w:rsidRPr="000E57E3">
              <w:t>Y</w:t>
            </w:r>
          </w:p>
        </w:tc>
        <w:tc>
          <w:tcPr>
            <w:tcW w:w="0" w:type="auto"/>
            <w:vAlign w:val="bottom"/>
          </w:tcPr>
          <w:p w14:paraId="79F0F366" w14:textId="754BAAE3" w:rsidR="008A6844" w:rsidRPr="000E57E3" w:rsidRDefault="008A6844" w:rsidP="000E57E3">
            <w:pPr>
              <w:pStyle w:val="Tabletext"/>
            </w:pPr>
            <w:r w:rsidRPr="000E57E3">
              <w:t> </w:t>
            </w:r>
          </w:p>
        </w:tc>
        <w:tc>
          <w:tcPr>
            <w:tcW w:w="0" w:type="auto"/>
            <w:vAlign w:val="bottom"/>
          </w:tcPr>
          <w:p w14:paraId="2BB68CE3" w14:textId="72E7C4CB" w:rsidR="008A6844" w:rsidRPr="000E57E3" w:rsidRDefault="008A6844" w:rsidP="000E57E3">
            <w:pPr>
              <w:pStyle w:val="Tabletext"/>
            </w:pPr>
            <w:r w:rsidRPr="000E57E3">
              <w:t> </w:t>
            </w:r>
          </w:p>
        </w:tc>
        <w:tc>
          <w:tcPr>
            <w:tcW w:w="0" w:type="auto"/>
            <w:vAlign w:val="bottom"/>
          </w:tcPr>
          <w:p w14:paraId="1547AB9F" w14:textId="4075832D" w:rsidR="008A6844" w:rsidRPr="000E57E3" w:rsidRDefault="008A6844" w:rsidP="000E57E3">
            <w:pPr>
              <w:pStyle w:val="Tabletext"/>
            </w:pPr>
            <w:r w:rsidRPr="000E57E3">
              <w:t> </w:t>
            </w:r>
          </w:p>
        </w:tc>
        <w:tc>
          <w:tcPr>
            <w:tcW w:w="0" w:type="auto"/>
            <w:vAlign w:val="bottom"/>
          </w:tcPr>
          <w:p w14:paraId="798FAD5A" w14:textId="773630AF" w:rsidR="008A6844" w:rsidRPr="000E57E3" w:rsidRDefault="008A6844" w:rsidP="000E57E3">
            <w:pPr>
              <w:pStyle w:val="Tabletext"/>
            </w:pPr>
            <w:r w:rsidRPr="000E57E3">
              <w:t> </w:t>
            </w:r>
          </w:p>
        </w:tc>
        <w:tc>
          <w:tcPr>
            <w:tcW w:w="0" w:type="auto"/>
            <w:vAlign w:val="bottom"/>
          </w:tcPr>
          <w:p w14:paraId="17FA578C" w14:textId="74F69385" w:rsidR="008A6844" w:rsidRPr="000E57E3" w:rsidRDefault="008A6844" w:rsidP="000E57E3">
            <w:pPr>
              <w:pStyle w:val="Tabletext"/>
            </w:pPr>
            <w:r w:rsidRPr="000E57E3">
              <w:t>Facilitated</w:t>
            </w:r>
          </w:p>
        </w:tc>
      </w:tr>
      <w:tr w:rsidR="00776CCE" w:rsidRPr="008A6844" w14:paraId="269A27FE" w14:textId="77777777" w:rsidTr="00CA44B7">
        <w:tc>
          <w:tcPr>
            <w:tcW w:w="0" w:type="auto"/>
            <w:vAlign w:val="bottom"/>
          </w:tcPr>
          <w:p w14:paraId="0D090A07" w14:textId="02FCF785" w:rsidR="008A6844" w:rsidRPr="000E57E3" w:rsidRDefault="008A6844" w:rsidP="000E57E3">
            <w:pPr>
              <w:pStyle w:val="Tabletext"/>
            </w:pPr>
            <w:r w:rsidRPr="000E57E3">
              <w:t>DNAJC21</w:t>
            </w:r>
          </w:p>
        </w:tc>
        <w:tc>
          <w:tcPr>
            <w:tcW w:w="0" w:type="auto"/>
            <w:vAlign w:val="bottom"/>
          </w:tcPr>
          <w:p w14:paraId="2ED263E5" w14:textId="3DB05E4B" w:rsidR="008A6844" w:rsidRPr="000E57E3" w:rsidRDefault="008A6844" w:rsidP="000E57E3">
            <w:pPr>
              <w:pStyle w:val="Tabletext"/>
            </w:pPr>
            <w:r w:rsidRPr="000E57E3">
              <w:t> </w:t>
            </w:r>
          </w:p>
        </w:tc>
        <w:tc>
          <w:tcPr>
            <w:tcW w:w="0" w:type="auto"/>
            <w:vAlign w:val="bottom"/>
          </w:tcPr>
          <w:p w14:paraId="584F0841" w14:textId="321E26D6" w:rsidR="008A6844" w:rsidRPr="000E57E3" w:rsidRDefault="008A6844" w:rsidP="000E57E3">
            <w:pPr>
              <w:pStyle w:val="Tabletext"/>
            </w:pPr>
            <w:r w:rsidRPr="000E57E3">
              <w:t> </w:t>
            </w:r>
          </w:p>
        </w:tc>
        <w:tc>
          <w:tcPr>
            <w:tcW w:w="0" w:type="auto"/>
            <w:vAlign w:val="bottom"/>
          </w:tcPr>
          <w:p w14:paraId="6AFC8B10" w14:textId="49C4A414" w:rsidR="008A6844" w:rsidRPr="000E57E3" w:rsidRDefault="008A6844" w:rsidP="000E57E3">
            <w:pPr>
              <w:pStyle w:val="Tabletext"/>
            </w:pPr>
            <w:r w:rsidRPr="000E57E3">
              <w:t> </w:t>
            </w:r>
          </w:p>
        </w:tc>
        <w:tc>
          <w:tcPr>
            <w:tcW w:w="0" w:type="auto"/>
            <w:vAlign w:val="bottom"/>
          </w:tcPr>
          <w:p w14:paraId="756FE2C4" w14:textId="17D75FEC" w:rsidR="008A6844" w:rsidRPr="000E57E3" w:rsidRDefault="008A6844" w:rsidP="000E57E3">
            <w:pPr>
              <w:pStyle w:val="Tabletext"/>
            </w:pPr>
            <w:r w:rsidRPr="000E57E3">
              <w:t> </w:t>
            </w:r>
          </w:p>
        </w:tc>
        <w:tc>
          <w:tcPr>
            <w:tcW w:w="0" w:type="auto"/>
            <w:vAlign w:val="bottom"/>
          </w:tcPr>
          <w:p w14:paraId="605B6014" w14:textId="3C878D3E" w:rsidR="008A6844" w:rsidRPr="000E57E3" w:rsidRDefault="008A6844" w:rsidP="000E57E3">
            <w:pPr>
              <w:pStyle w:val="Tabletext"/>
            </w:pPr>
            <w:r w:rsidRPr="000E57E3">
              <w:t> </w:t>
            </w:r>
          </w:p>
        </w:tc>
        <w:tc>
          <w:tcPr>
            <w:tcW w:w="0" w:type="auto"/>
            <w:vAlign w:val="bottom"/>
          </w:tcPr>
          <w:p w14:paraId="2C81C83E" w14:textId="37425951" w:rsidR="008A6844" w:rsidRPr="000E57E3" w:rsidRDefault="008A6844" w:rsidP="000E57E3">
            <w:pPr>
              <w:pStyle w:val="Tabletext"/>
            </w:pPr>
            <w:r w:rsidRPr="000E57E3">
              <w:t>Y</w:t>
            </w:r>
          </w:p>
        </w:tc>
        <w:tc>
          <w:tcPr>
            <w:tcW w:w="0" w:type="auto"/>
            <w:vAlign w:val="bottom"/>
          </w:tcPr>
          <w:p w14:paraId="09EBB85C" w14:textId="07695172" w:rsidR="008A6844" w:rsidRPr="000E57E3" w:rsidRDefault="008A6844" w:rsidP="000E57E3">
            <w:pPr>
              <w:pStyle w:val="Tabletext"/>
            </w:pPr>
            <w:r w:rsidRPr="000E57E3">
              <w:t> </w:t>
            </w:r>
          </w:p>
        </w:tc>
        <w:tc>
          <w:tcPr>
            <w:tcW w:w="0" w:type="auto"/>
            <w:vAlign w:val="bottom"/>
          </w:tcPr>
          <w:p w14:paraId="330C5FFD" w14:textId="6E662DCC" w:rsidR="008A6844" w:rsidRPr="000E57E3" w:rsidRDefault="008A6844" w:rsidP="000E57E3">
            <w:pPr>
              <w:pStyle w:val="Tabletext"/>
            </w:pPr>
            <w:r w:rsidRPr="000E57E3">
              <w:t> </w:t>
            </w:r>
          </w:p>
        </w:tc>
        <w:tc>
          <w:tcPr>
            <w:tcW w:w="0" w:type="auto"/>
            <w:vAlign w:val="bottom"/>
          </w:tcPr>
          <w:p w14:paraId="7CCB3A15" w14:textId="60F7CB77" w:rsidR="008A6844" w:rsidRPr="000E57E3" w:rsidRDefault="008A6844" w:rsidP="000E57E3">
            <w:pPr>
              <w:pStyle w:val="Tabletext"/>
            </w:pPr>
            <w:r w:rsidRPr="000E57E3">
              <w:t> </w:t>
            </w:r>
          </w:p>
        </w:tc>
        <w:tc>
          <w:tcPr>
            <w:tcW w:w="0" w:type="auto"/>
            <w:vAlign w:val="bottom"/>
          </w:tcPr>
          <w:p w14:paraId="1B803B48" w14:textId="1D4584DA" w:rsidR="008A6844" w:rsidRPr="000E57E3" w:rsidRDefault="008A6844" w:rsidP="000E57E3">
            <w:pPr>
              <w:pStyle w:val="Tabletext"/>
            </w:pPr>
            <w:r w:rsidRPr="000E57E3">
              <w:t> </w:t>
            </w:r>
          </w:p>
        </w:tc>
        <w:tc>
          <w:tcPr>
            <w:tcW w:w="0" w:type="auto"/>
            <w:vAlign w:val="bottom"/>
          </w:tcPr>
          <w:p w14:paraId="216EF22E" w14:textId="0F0652E6" w:rsidR="008A6844" w:rsidRPr="000E57E3" w:rsidRDefault="008A6844" w:rsidP="000E57E3">
            <w:pPr>
              <w:pStyle w:val="Tabletext"/>
            </w:pPr>
            <w:r w:rsidRPr="000E57E3">
              <w:t> </w:t>
            </w:r>
          </w:p>
        </w:tc>
        <w:tc>
          <w:tcPr>
            <w:tcW w:w="0" w:type="auto"/>
            <w:vAlign w:val="bottom"/>
          </w:tcPr>
          <w:p w14:paraId="384D8AF4" w14:textId="00A701C6" w:rsidR="008A6844" w:rsidRPr="000E57E3" w:rsidRDefault="008A6844" w:rsidP="000E57E3">
            <w:pPr>
              <w:pStyle w:val="Tabletext"/>
            </w:pPr>
            <w:r w:rsidRPr="000E57E3">
              <w:t>Facilitated</w:t>
            </w:r>
          </w:p>
        </w:tc>
      </w:tr>
      <w:tr w:rsidR="00776CCE" w:rsidRPr="008A6844" w14:paraId="7E3B5F21" w14:textId="77777777" w:rsidTr="00CA44B7">
        <w:tc>
          <w:tcPr>
            <w:tcW w:w="0" w:type="auto"/>
            <w:vAlign w:val="bottom"/>
          </w:tcPr>
          <w:p w14:paraId="162C640E" w14:textId="46BD7D82" w:rsidR="008A6844" w:rsidRPr="000E57E3" w:rsidRDefault="008A6844" w:rsidP="000E57E3">
            <w:pPr>
              <w:pStyle w:val="Tabletext"/>
            </w:pPr>
            <w:r w:rsidRPr="000E57E3">
              <w:t xml:space="preserve">EFL1 </w:t>
            </w:r>
          </w:p>
        </w:tc>
        <w:tc>
          <w:tcPr>
            <w:tcW w:w="0" w:type="auto"/>
            <w:vAlign w:val="bottom"/>
          </w:tcPr>
          <w:p w14:paraId="400726A2" w14:textId="6E84BC44" w:rsidR="008A6844" w:rsidRPr="000E57E3" w:rsidRDefault="008A6844" w:rsidP="000E57E3">
            <w:pPr>
              <w:pStyle w:val="Tabletext"/>
            </w:pPr>
            <w:r w:rsidRPr="000E57E3">
              <w:t> </w:t>
            </w:r>
          </w:p>
        </w:tc>
        <w:tc>
          <w:tcPr>
            <w:tcW w:w="0" w:type="auto"/>
            <w:vAlign w:val="bottom"/>
          </w:tcPr>
          <w:p w14:paraId="6D61DB82" w14:textId="753766F3" w:rsidR="008A6844" w:rsidRPr="000E57E3" w:rsidRDefault="008A6844" w:rsidP="000E57E3">
            <w:pPr>
              <w:pStyle w:val="Tabletext"/>
            </w:pPr>
            <w:r w:rsidRPr="000E57E3">
              <w:t> </w:t>
            </w:r>
          </w:p>
        </w:tc>
        <w:tc>
          <w:tcPr>
            <w:tcW w:w="0" w:type="auto"/>
            <w:vAlign w:val="bottom"/>
          </w:tcPr>
          <w:p w14:paraId="5E2EEF14" w14:textId="697567FE" w:rsidR="008A6844" w:rsidRPr="000E57E3" w:rsidRDefault="008A6844" w:rsidP="000E57E3">
            <w:pPr>
              <w:pStyle w:val="Tabletext"/>
            </w:pPr>
            <w:r w:rsidRPr="000E57E3">
              <w:t> </w:t>
            </w:r>
          </w:p>
        </w:tc>
        <w:tc>
          <w:tcPr>
            <w:tcW w:w="0" w:type="auto"/>
            <w:vAlign w:val="bottom"/>
          </w:tcPr>
          <w:p w14:paraId="4996BEFC" w14:textId="582374E2" w:rsidR="008A6844" w:rsidRPr="000E57E3" w:rsidRDefault="008A6844" w:rsidP="000E57E3">
            <w:pPr>
              <w:pStyle w:val="Tabletext"/>
            </w:pPr>
            <w:r w:rsidRPr="000E57E3">
              <w:t> </w:t>
            </w:r>
          </w:p>
        </w:tc>
        <w:tc>
          <w:tcPr>
            <w:tcW w:w="0" w:type="auto"/>
            <w:vAlign w:val="bottom"/>
          </w:tcPr>
          <w:p w14:paraId="3729B8E4" w14:textId="6347D45F" w:rsidR="008A6844" w:rsidRPr="000E57E3" w:rsidRDefault="008A6844" w:rsidP="000E57E3">
            <w:pPr>
              <w:pStyle w:val="Tabletext"/>
            </w:pPr>
            <w:r w:rsidRPr="000E57E3">
              <w:t> </w:t>
            </w:r>
          </w:p>
        </w:tc>
        <w:tc>
          <w:tcPr>
            <w:tcW w:w="0" w:type="auto"/>
            <w:vAlign w:val="bottom"/>
          </w:tcPr>
          <w:p w14:paraId="56A6D985" w14:textId="55AB2B49" w:rsidR="008A6844" w:rsidRPr="000E57E3" w:rsidRDefault="008A6844" w:rsidP="000E57E3">
            <w:pPr>
              <w:pStyle w:val="Tabletext"/>
            </w:pPr>
            <w:r w:rsidRPr="000E57E3">
              <w:t>Y</w:t>
            </w:r>
          </w:p>
        </w:tc>
        <w:tc>
          <w:tcPr>
            <w:tcW w:w="0" w:type="auto"/>
            <w:vAlign w:val="bottom"/>
          </w:tcPr>
          <w:p w14:paraId="59F3A339" w14:textId="22A86324" w:rsidR="008A6844" w:rsidRPr="000E57E3" w:rsidRDefault="008A6844" w:rsidP="000E57E3">
            <w:pPr>
              <w:pStyle w:val="Tabletext"/>
            </w:pPr>
            <w:r w:rsidRPr="000E57E3">
              <w:t> </w:t>
            </w:r>
          </w:p>
        </w:tc>
        <w:tc>
          <w:tcPr>
            <w:tcW w:w="0" w:type="auto"/>
            <w:vAlign w:val="bottom"/>
          </w:tcPr>
          <w:p w14:paraId="72C9AEBA" w14:textId="30F02AD4" w:rsidR="008A6844" w:rsidRPr="000E57E3" w:rsidRDefault="008A6844" w:rsidP="000E57E3">
            <w:pPr>
              <w:pStyle w:val="Tabletext"/>
            </w:pPr>
            <w:r w:rsidRPr="000E57E3">
              <w:t> </w:t>
            </w:r>
          </w:p>
        </w:tc>
        <w:tc>
          <w:tcPr>
            <w:tcW w:w="0" w:type="auto"/>
            <w:vAlign w:val="bottom"/>
          </w:tcPr>
          <w:p w14:paraId="3E40FA6D" w14:textId="08A7DD30" w:rsidR="008A6844" w:rsidRPr="000E57E3" w:rsidRDefault="008A6844" w:rsidP="000E57E3">
            <w:pPr>
              <w:pStyle w:val="Tabletext"/>
            </w:pPr>
            <w:r w:rsidRPr="000E57E3">
              <w:t> </w:t>
            </w:r>
          </w:p>
        </w:tc>
        <w:tc>
          <w:tcPr>
            <w:tcW w:w="0" w:type="auto"/>
            <w:vAlign w:val="bottom"/>
          </w:tcPr>
          <w:p w14:paraId="5DD3EDF4" w14:textId="2ADD2992" w:rsidR="008A6844" w:rsidRPr="000E57E3" w:rsidRDefault="008A6844" w:rsidP="000E57E3">
            <w:pPr>
              <w:pStyle w:val="Tabletext"/>
            </w:pPr>
            <w:r w:rsidRPr="000E57E3">
              <w:t> </w:t>
            </w:r>
          </w:p>
        </w:tc>
        <w:tc>
          <w:tcPr>
            <w:tcW w:w="0" w:type="auto"/>
            <w:vAlign w:val="bottom"/>
          </w:tcPr>
          <w:p w14:paraId="265C98FC" w14:textId="0190832F" w:rsidR="008A6844" w:rsidRPr="000E57E3" w:rsidRDefault="008A6844" w:rsidP="000E57E3">
            <w:pPr>
              <w:pStyle w:val="Tabletext"/>
            </w:pPr>
            <w:r w:rsidRPr="000E57E3">
              <w:t> </w:t>
            </w:r>
          </w:p>
        </w:tc>
        <w:tc>
          <w:tcPr>
            <w:tcW w:w="0" w:type="auto"/>
            <w:vAlign w:val="bottom"/>
          </w:tcPr>
          <w:p w14:paraId="4965D23D" w14:textId="20055DF2" w:rsidR="008A6844" w:rsidRPr="000E57E3" w:rsidRDefault="008A6844" w:rsidP="000E57E3">
            <w:pPr>
              <w:pStyle w:val="Tabletext"/>
            </w:pPr>
            <w:r w:rsidRPr="000E57E3">
              <w:t>Facilitated</w:t>
            </w:r>
          </w:p>
        </w:tc>
      </w:tr>
      <w:tr w:rsidR="00776CCE" w:rsidRPr="008A6844" w14:paraId="0D37E497" w14:textId="77777777" w:rsidTr="00CA44B7">
        <w:tc>
          <w:tcPr>
            <w:tcW w:w="0" w:type="auto"/>
            <w:vAlign w:val="bottom"/>
          </w:tcPr>
          <w:p w14:paraId="2F8433ED" w14:textId="34492509" w:rsidR="008A6844" w:rsidRPr="000E57E3" w:rsidRDefault="008A6844" w:rsidP="000E57E3">
            <w:pPr>
              <w:pStyle w:val="Tabletext"/>
            </w:pPr>
            <w:r w:rsidRPr="000E57E3">
              <w:t>EGFR</w:t>
            </w:r>
          </w:p>
        </w:tc>
        <w:tc>
          <w:tcPr>
            <w:tcW w:w="0" w:type="auto"/>
            <w:vAlign w:val="bottom"/>
          </w:tcPr>
          <w:p w14:paraId="7DC8D9EB" w14:textId="751E9C3D" w:rsidR="008A6844" w:rsidRPr="000E57E3" w:rsidRDefault="008A6844" w:rsidP="000E57E3">
            <w:pPr>
              <w:pStyle w:val="Tabletext"/>
            </w:pPr>
            <w:r w:rsidRPr="000E57E3">
              <w:t> </w:t>
            </w:r>
          </w:p>
        </w:tc>
        <w:tc>
          <w:tcPr>
            <w:tcW w:w="0" w:type="auto"/>
            <w:vAlign w:val="bottom"/>
          </w:tcPr>
          <w:p w14:paraId="1D5D0FDF" w14:textId="325CC56D" w:rsidR="008A6844" w:rsidRPr="000E57E3" w:rsidRDefault="008A6844" w:rsidP="000E57E3">
            <w:pPr>
              <w:pStyle w:val="Tabletext"/>
            </w:pPr>
            <w:r w:rsidRPr="000E57E3">
              <w:t> </w:t>
            </w:r>
          </w:p>
        </w:tc>
        <w:tc>
          <w:tcPr>
            <w:tcW w:w="0" w:type="auto"/>
            <w:vAlign w:val="bottom"/>
          </w:tcPr>
          <w:p w14:paraId="1636AF76" w14:textId="2C0EA46A" w:rsidR="008A6844" w:rsidRPr="000E57E3" w:rsidRDefault="008A6844" w:rsidP="000E57E3">
            <w:pPr>
              <w:pStyle w:val="Tabletext"/>
            </w:pPr>
            <w:r w:rsidRPr="000E57E3">
              <w:t> </w:t>
            </w:r>
          </w:p>
        </w:tc>
        <w:tc>
          <w:tcPr>
            <w:tcW w:w="0" w:type="auto"/>
            <w:vAlign w:val="bottom"/>
          </w:tcPr>
          <w:p w14:paraId="4AF6065A" w14:textId="48C64ABA" w:rsidR="008A6844" w:rsidRPr="000E57E3" w:rsidRDefault="008A6844" w:rsidP="000E57E3">
            <w:pPr>
              <w:pStyle w:val="Tabletext"/>
            </w:pPr>
            <w:r w:rsidRPr="000E57E3">
              <w:t> </w:t>
            </w:r>
          </w:p>
        </w:tc>
        <w:tc>
          <w:tcPr>
            <w:tcW w:w="0" w:type="auto"/>
            <w:vAlign w:val="bottom"/>
          </w:tcPr>
          <w:p w14:paraId="5B5E8548" w14:textId="7A2DA1B3" w:rsidR="008A6844" w:rsidRPr="000E57E3" w:rsidRDefault="008A6844" w:rsidP="000E57E3">
            <w:pPr>
              <w:pStyle w:val="Tabletext"/>
            </w:pPr>
            <w:r w:rsidRPr="000E57E3">
              <w:t>Y</w:t>
            </w:r>
          </w:p>
        </w:tc>
        <w:tc>
          <w:tcPr>
            <w:tcW w:w="0" w:type="auto"/>
            <w:vAlign w:val="bottom"/>
          </w:tcPr>
          <w:p w14:paraId="542C0C26" w14:textId="43A151F4" w:rsidR="008A6844" w:rsidRPr="000E57E3" w:rsidRDefault="008A6844" w:rsidP="000E57E3">
            <w:pPr>
              <w:pStyle w:val="Tabletext"/>
            </w:pPr>
            <w:r w:rsidRPr="000E57E3">
              <w:t> </w:t>
            </w:r>
          </w:p>
        </w:tc>
        <w:tc>
          <w:tcPr>
            <w:tcW w:w="0" w:type="auto"/>
            <w:vAlign w:val="bottom"/>
          </w:tcPr>
          <w:p w14:paraId="38DAE459" w14:textId="1ED1D648" w:rsidR="008A6844" w:rsidRPr="000E57E3" w:rsidRDefault="008A6844" w:rsidP="000E57E3">
            <w:pPr>
              <w:pStyle w:val="Tabletext"/>
            </w:pPr>
            <w:r w:rsidRPr="000E57E3">
              <w:t> </w:t>
            </w:r>
          </w:p>
        </w:tc>
        <w:tc>
          <w:tcPr>
            <w:tcW w:w="0" w:type="auto"/>
            <w:vAlign w:val="bottom"/>
          </w:tcPr>
          <w:p w14:paraId="4076FC4E" w14:textId="73165D6C" w:rsidR="008A6844" w:rsidRPr="000E57E3" w:rsidRDefault="008A6844" w:rsidP="000E57E3">
            <w:pPr>
              <w:pStyle w:val="Tabletext"/>
            </w:pPr>
            <w:r w:rsidRPr="000E57E3">
              <w:t> </w:t>
            </w:r>
          </w:p>
        </w:tc>
        <w:tc>
          <w:tcPr>
            <w:tcW w:w="0" w:type="auto"/>
            <w:vAlign w:val="bottom"/>
          </w:tcPr>
          <w:p w14:paraId="2FBA0B3D" w14:textId="3C0AED33" w:rsidR="008A6844" w:rsidRPr="000E57E3" w:rsidRDefault="008A6844" w:rsidP="000E57E3">
            <w:pPr>
              <w:pStyle w:val="Tabletext"/>
            </w:pPr>
            <w:r w:rsidRPr="000E57E3">
              <w:t> </w:t>
            </w:r>
          </w:p>
        </w:tc>
        <w:tc>
          <w:tcPr>
            <w:tcW w:w="0" w:type="auto"/>
            <w:vAlign w:val="bottom"/>
          </w:tcPr>
          <w:p w14:paraId="0F4DE0E8" w14:textId="0A3A85D6" w:rsidR="008A6844" w:rsidRPr="000E57E3" w:rsidRDefault="008A6844" w:rsidP="000E57E3">
            <w:pPr>
              <w:pStyle w:val="Tabletext"/>
            </w:pPr>
            <w:r w:rsidRPr="000E57E3">
              <w:t> </w:t>
            </w:r>
          </w:p>
        </w:tc>
        <w:tc>
          <w:tcPr>
            <w:tcW w:w="0" w:type="auto"/>
            <w:vAlign w:val="bottom"/>
          </w:tcPr>
          <w:p w14:paraId="39B9CB2B" w14:textId="022D2116" w:rsidR="008A6844" w:rsidRPr="000E57E3" w:rsidRDefault="008A6844" w:rsidP="000E57E3">
            <w:pPr>
              <w:pStyle w:val="Tabletext"/>
            </w:pPr>
            <w:r w:rsidRPr="000E57E3">
              <w:t> </w:t>
            </w:r>
          </w:p>
        </w:tc>
        <w:tc>
          <w:tcPr>
            <w:tcW w:w="0" w:type="auto"/>
            <w:vAlign w:val="bottom"/>
          </w:tcPr>
          <w:p w14:paraId="27B414E1" w14:textId="185B0144" w:rsidR="008A6844" w:rsidRPr="000E57E3" w:rsidRDefault="008A6844" w:rsidP="000E57E3">
            <w:pPr>
              <w:pStyle w:val="Tabletext"/>
            </w:pPr>
            <w:r w:rsidRPr="000E57E3">
              <w:t>Facilitated</w:t>
            </w:r>
          </w:p>
        </w:tc>
      </w:tr>
      <w:tr w:rsidR="00776CCE" w:rsidRPr="008A6844" w14:paraId="089D25C5" w14:textId="77777777" w:rsidTr="00CA44B7">
        <w:tc>
          <w:tcPr>
            <w:tcW w:w="0" w:type="auto"/>
            <w:vAlign w:val="bottom"/>
          </w:tcPr>
          <w:p w14:paraId="2998FD9E" w14:textId="0FBEA45A" w:rsidR="008A6844" w:rsidRPr="000E57E3" w:rsidRDefault="008A6844" w:rsidP="000E57E3">
            <w:pPr>
              <w:pStyle w:val="Tabletext"/>
            </w:pPr>
            <w:r w:rsidRPr="000E57E3">
              <w:t>EGR2</w:t>
            </w:r>
          </w:p>
        </w:tc>
        <w:tc>
          <w:tcPr>
            <w:tcW w:w="0" w:type="auto"/>
            <w:vAlign w:val="bottom"/>
          </w:tcPr>
          <w:p w14:paraId="6D466B97" w14:textId="1FB3C380" w:rsidR="008A6844" w:rsidRPr="000E57E3" w:rsidRDefault="008A6844" w:rsidP="000E57E3">
            <w:pPr>
              <w:pStyle w:val="Tabletext"/>
            </w:pPr>
            <w:r w:rsidRPr="000E57E3">
              <w:t> </w:t>
            </w:r>
          </w:p>
        </w:tc>
        <w:tc>
          <w:tcPr>
            <w:tcW w:w="0" w:type="auto"/>
            <w:vAlign w:val="bottom"/>
          </w:tcPr>
          <w:p w14:paraId="419A6DDA" w14:textId="4E5FBED2" w:rsidR="008A6844" w:rsidRPr="000E57E3" w:rsidRDefault="008A6844" w:rsidP="000E57E3">
            <w:pPr>
              <w:pStyle w:val="Tabletext"/>
            </w:pPr>
            <w:r w:rsidRPr="000E57E3">
              <w:t> </w:t>
            </w:r>
          </w:p>
        </w:tc>
        <w:tc>
          <w:tcPr>
            <w:tcW w:w="0" w:type="auto"/>
            <w:vAlign w:val="bottom"/>
          </w:tcPr>
          <w:p w14:paraId="5C75108C" w14:textId="4A285668" w:rsidR="008A6844" w:rsidRPr="000E57E3" w:rsidRDefault="008A6844" w:rsidP="000E57E3">
            <w:pPr>
              <w:pStyle w:val="Tabletext"/>
            </w:pPr>
            <w:r w:rsidRPr="000E57E3">
              <w:t> </w:t>
            </w:r>
          </w:p>
        </w:tc>
        <w:tc>
          <w:tcPr>
            <w:tcW w:w="0" w:type="auto"/>
            <w:vAlign w:val="bottom"/>
          </w:tcPr>
          <w:p w14:paraId="1208A839" w14:textId="08879EA3" w:rsidR="008A6844" w:rsidRPr="000E57E3" w:rsidRDefault="008A6844" w:rsidP="000E57E3">
            <w:pPr>
              <w:pStyle w:val="Tabletext"/>
            </w:pPr>
            <w:r w:rsidRPr="000E57E3">
              <w:t> </w:t>
            </w:r>
          </w:p>
        </w:tc>
        <w:tc>
          <w:tcPr>
            <w:tcW w:w="0" w:type="auto"/>
            <w:vAlign w:val="bottom"/>
          </w:tcPr>
          <w:p w14:paraId="712A529E" w14:textId="55DD984C" w:rsidR="008A6844" w:rsidRPr="000E57E3" w:rsidRDefault="008A6844" w:rsidP="000E57E3">
            <w:pPr>
              <w:pStyle w:val="Tabletext"/>
            </w:pPr>
            <w:r w:rsidRPr="000E57E3">
              <w:t> </w:t>
            </w:r>
          </w:p>
        </w:tc>
        <w:tc>
          <w:tcPr>
            <w:tcW w:w="0" w:type="auto"/>
            <w:vAlign w:val="bottom"/>
          </w:tcPr>
          <w:p w14:paraId="7FB07546" w14:textId="31288795" w:rsidR="008A6844" w:rsidRPr="000E57E3" w:rsidRDefault="008A6844" w:rsidP="000E57E3">
            <w:pPr>
              <w:pStyle w:val="Tabletext"/>
            </w:pPr>
            <w:r w:rsidRPr="000E57E3">
              <w:t> </w:t>
            </w:r>
          </w:p>
        </w:tc>
        <w:tc>
          <w:tcPr>
            <w:tcW w:w="0" w:type="auto"/>
            <w:vAlign w:val="bottom"/>
          </w:tcPr>
          <w:p w14:paraId="2F9004A1" w14:textId="7AE62F26" w:rsidR="008A6844" w:rsidRPr="000E57E3" w:rsidRDefault="008A6844" w:rsidP="000E57E3">
            <w:pPr>
              <w:pStyle w:val="Tabletext"/>
            </w:pPr>
            <w:r w:rsidRPr="000E57E3">
              <w:t> </w:t>
            </w:r>
          </w:p>
        </w:tc>
        <w:tc>
          <w:tcPr>
            <w:tcW w:w="0" w:type="auto"/>
            <w:vAlign w:val="bottom"/>
          </w:tcPr>
          <w:p w14:paraId="430E5441" w14:textId="6BABC4B4" w:rsidR="008A6844" w:rsidRPr="000E57E3" w:rsidRDefault="008A6844" w:rsidP="000E57E3">
            <w:pPr>
              <w:pStyle w:val="Tabletext"/>
            </w:pPr>
            <w:r w:rsidRPr="000E57E3">
              <w:t> </w:t>
            </w:r>
          </w:p>
        </w:tc>
        <w:tc>
          <w:tcPr>
            <w:tcW w:w="0" w:type="auto"/>
            <w:vAlign w:val="bottom"/>
          </w:tcPr>
          <w:p w14:paraId="17C30B32" w14:textId="37A62FFE" w:rsidR="008A6844" w:rsidRPr="000E57E3" w:rsidRDefault="008A6844" w:rsidP="000E57E3">
            <w:pPr>
              <w:pStyle w:val="Tabletext"/>
            </w:pPr>
            <w:r w:rsidRPr="000E57E3">
              <w:t> </w:t>
            </w:r>
          </w:p>
        </w:tc>
        <w:tc>
          <w:tcPr>
            <w:tcW w:w="0" w:type="auto"/>
            <w:vAlign w:val="bottom"/>
          </w:tcPr>
          <w:p w14:paraId="30913EE1" w14:textId="7D8BEDD3" w:rsidR="008A6844" w:rsidRPr="000E57E3" w:rsidRDefault="008A6844" w:rsidP="000E57E3">
            <w:pPr>
              <w:pStyle w:val="Tabletext"/>
            </w:pPr>
            <w:r w:rsidRPr="000E57E3">
              <w:t>Y</w:t>
            </w:r>
          </w:p>
        </w:tc>
        <w:tc>
          <w:tcPr>
            <w:tcW w:w="0" w:type="auto"/>
            <w:vAlign w:val="bottom"/>
          </w:tcPr>
          <w:p w14:paraId="4F25FCAD" w14:textId="7C2FAD96" w:rsidR="008A6844" w:rsidRPr="000E57E3" w:rsidRDefault="008A6844" w:rsidP="000E57E3">
            <w:pPr>
              <w:pStyle w:val="Tabletext"/>
            </w:pPr>
            <w:r w:rsidRPr="000E57E3">
              <w:t> </w:t>
            </w:r>
          </w:p>
        </w:tc>
        <w:tc>
          <w:tcPr>
            <w:tcW w:w="0" w:type="auto"/>
            <w:vAlign w:val="bottom"/>
          </w:tcPr>
          <w:p w14:paraId="7F5B68DD" w14:textId="4C235019" w:rsidR="008A6844" w:rsidRPr="000E57E3" w:rsidRDefault="008A6844" w:rsidP="000E57E3">
            <w:pPr>
              <w:pStyle w:val="Tabletext"/>
            </w:pPr>
            <w:r w:rsidRPr="000E57E3">
              <w:t>Facilitated</w:t>
            </w:r>
          </w:p>
        </w:tc>
      </w:tr>
      <w:tr w:rsidR="00776CCE" w:rsidRPr="008A6844" w14:paraId="5271148B" w14:textId="77777777" w:rsidTr="00CA44B7">
        <w:tc>
          <w:tcPr>
            <w:tcW w:w="0" w:type="auto"/>
            <w:vAlign w:val="bottom"/>
          </w:tcPr>
          <w:p w14:paraId="63603C8F" w14:textId="572DFA5A" w:rsidR="008A6844" w:rsidRPr="000E57E3" w:rsidRDefault="008A6844" w:rsidP="000E57E3">
            <w:pPr>
              <w:pStyle w:val="Tabletext"/>
            </w:pPr>
            <w:r w:rsidRPr="000E57E3">
              <w:t>EP300</w:t>
            </w:r>
          </w:p>
        </w:tc>
        <w:tc>
          <w:tcPr>
            <w:tcW w:w="0" w:type="auto"/>
            <w:vAlign w:val="bottom"/>
          </w:tcPr>
          <w:p w14:paraId="7E0026E4" w14:textId="19EA3114" w:rsidR="008A6844" w:rsidRPr="000E57E3" w:rsidRDefault="008A6844" w:rsidP="000E57E3">
            <w:pPr>
              <w:pStyle w:val="Tabletext"/>
            </w:pPr>
            <w:r w:rsidRPr="000E57E3">
              <w:t> </w:t>
            </w:r>
          </w:p>
        </w:tc>
        <w:tc>
          <w:tcPr>
            <w:tcW w:w="0" w:type="auto"/>
            <w:vAlign w:val="bottom"/>
          </w:tcPr>
          <w:p w14:paraId="66E0FD13" w14:textId="486992B3" w:rsidR="008A6844" w:rsidRPr="000E57E3" w:rsidRDefault="008A6844" w:rsidP="000E57E3">
            <w:pPr>
              <w:pStyle w:val="Tabletext"/>
            </w:pPr>
            <w:r w:rsidRPr="000E57E3">
              <w:t> </w:t>
            </w:r>
          </w:p>
        </w:tc>
        <w:tc>
          <w:tcPr>
            <w:tcW w:w="0" w:type="auto"/>
            <w:vAlign w:val="bottom"/>
          </w:tcPr>
          <w:p w14:paraId="6059B2AB" w14:textId="152DACFB" w:rsidR="008A6844" w:rsidRPr="000E57E3" w:rsidRDefault="008A6844" w:rsidP="000E57E3">
            <w:pPr>
              <w:pStyle w:val="Tabletext"/>
            </w:pPr>
            <w:r w:rsidRPr="000E57E3">
              <w:t> </w:t>
            </w:r>
          </w:p>
        </w:tc>
        <w:tc>
          <w:tcPr>
            <w:tcW w:w="0" w:type="auto"/>
            <w:vAlign w:val="bottom"/>
          </w:tcPr>
          <w:p w14:paraId="6C28321F" w14:textId="1451C565" w:rsidR="008A6844" w:rsidRPr="000E57E3" w:rsidRDefault="008A6844" w:rsidP="000E57E3">
            <w:pPr>
              <w:pStyle w:val="Tabletext"/>
            </w:pPr>
            <w:r w:rsidRPr="000E57E3">
              <w:t> </w:t>
            </w:r>
          </w:p>
        </w:tc>
        <w:tc>
          <w:tcPr>
            <w:tcW w:w="0" w:type="auto"/>
            <w:vAlign w:val="bottom"/>
          </w:tcPr>
          <w:p w14:paraId="5D17AD98" w14:textId="200E6D9D" w:rsidR="008A6844" w:rsidRPr="000E57E3" w:rsidRDefault="008A6844" w:rsidP="000E57E3">
            <w:pPr>
              <w:pStyle w:val="Tabletext"/>
            </w:pPr>
            <w:r w:rsidRPr="000E57E3">
              <w:t> </w:t>
            </w:r>
          </w:p>
        </w:tc>
        <w:tc>
          <w:tcPr>
            <w:tcW w:w="0" w:type="auto"/>
            <w:vAlign w:val="bottom"/>
          </w:tcPr>
          <w:p w14:paraId="706B946E" w14:textId="648FE32B" w:rsidR="008A6844" w:rsidRPr="000E57E3" w:rsidRDefault="008A6844" w:rsidP="000E57E3">
            <w:pPr>
              <w:pStyle w:val="Tabletext"/>
            </w:pPr>
            <w:r w:rsidRPr="000E57E3">
              <w:t> </w:t>
            </w:r>
          </w:p>
        </w:tc>
        <w:tc>
          <w:tcPr>
            <w:tcW w:w="0" w:type="auto"/>
            <w:vAlign w:val="bottom"/>
          </w:tcPr>
          <w:p w14:paraId="6A2A3599" w14:textId="7F0ADF3B" w:rsidR="008A6844" w:rsidRPr="000E57E3" w:rsidRDefault="008A6844" w:rsidP="000E57E3">
            <w:pPr>
              <w:pStyle w:val="Tabletext"/>
            </w:pPr>
            <w:r w:rsidRPr="000E57E3">
              <w:t>Y</w:t>
            </w:r>
          </w:p>
        </w:tc>
        <w:tc>
          <w:tcPr>
            <w:tcW w:w="0" w:type="auto"/>
            <w:vAlign w:val="bottom"/>
          </w:tcPr>
          <w:p w14:paraId="70570F50" w14:textId="5F22C8E0" w:rsidR="008A6844" w:rsidRPr="000E57E3" w:rsidRDefault="008A6844" w:rsidP="000E57E3">
            <w:pPr>
              <w:pStyle w:val="Tabletext"/>
            </w:pPr>
            <w:r w:rsidRPr="000E57E3">
              <w:t>Y</w:t>
            </w:r>
          </w:p>
        </w:tc>
        <w:tc>
          <w:tcPr>
            <w:tcW w:w="0" w:type="auto"/>
            <w:vAlign w:val="bottom"/>
          </w:tcPr>
          <w:p w14:paraId="56F35D02" w14:textId="54812FB0" w:rsidR="008A6844" w:rsidRPr="000E57E3" w:rsidRDefault="008A6844" w:rsidP="000E57E3">
            <w:pPr>
              <w:pStyle w:val="Tabletext"/>
            </w:pPr>
            <w:r w:rsidRPr="000E57E3">
              <w:t> </w:t>
            </w:r>
          </w:p>
        </w:tc>
        <w:tc>
          <w:tcPr>
            <w:tcW w:w="0" w:type="auto"/>
            <w:vAlign w:val="bottom"/>
          </w:tcPr>
          <w:p w14:paraId="5143F3C3" w14:textId="7B0F4581" w:rsidR="008A6844" w:rsidRPr="000E57E3" w:rsidRDefault="008A6844" w:rsidP="000E57E3">
            <w:pPr>
              <w:pStyle w:val="Tabletext"/>
            </w:pPr>
            <w:r w:rsidRPr="000E57E3">
              <w:t> </w:t>
            </w:r>
          </w:p>
        </w:tc>
        <w:tc>
          <w:tcPr>
            <w:tcW w:w="0" w:type="auto"/>
            <w:vAlign w:val="bottom"/>
          </w:tcPr>
          <w:p w14:paraId="36EB581B" w14:textId="13EA6C83" w:rsidR="008A6844" w:rsidRPr="000E57E3" w:rsidRDefault="008A6844" w:rsidP="000E57E3">
            <w:pPr>
              <w:pStyle w:val="Tabletext"/>
            </w:pPr>
            <w:r w:rsidRPr="000E57E3">
              <w:t> </w:t>
            </w:r>
          </w:p>
        </w:tc>
        <w:tc>
          <w:tcPr>
            <w:tcW w:w="0" w:type="auto"/>
            <w:vAlign w:val="bottom"/>
          </w:tcPr>
          <w:p w14:paraId="7D9FDC98" w14:textId="2351A0CD" w:rsidR="008A6844" w:rsidRPr="000E57E3" w:rsidRDefault="008A6844" w:rsidP="000E57E3">
            <w:pPr>
              <w:pStyle w:val="Tabletext"/>
            </w:pPr>
            <w:r w:rsidRPr="000E57E3">
              <w:t>Facilitated</w:t>
            </w:r>
          </w:p>
        </w:tc>
      </w:tr>
      <w:tr w:rsidR="00776CCE" w:rsidRPr="008A6844" w14:paraId="28151D6B" w14:textId="77777777" w:rsidTr="00CA44B7">
        <w:tc>
          <w:tcPr>
            <w:tcW w:w="0" w:type="auto"/>
            <w:vAlign w:val="bottom"/>
          </w:tcPr>
          <w:p w14:paraId="18A4CF2B" w14:textId="4D1664F7" w:rsidR="008A6844" w:rsidRPr="000E57E3" w:rsidRDefault="008A6844" w:rsidP="000E57E3">
            <w:pPr>
              <w:pStyle w:val="Tabletext"/>
            </w:pPr>
            <w:r w:rsidRPr="000E57E3">
              <w:t>ERBB2</w:t>
            </w:r>
          </w:p>
        </w:tc>
        <w:tc>
          <w:tcPr>
            <w:tcW w:w="0" w:type="auto"/>
            <w:vAlign w:val="bottom"/>
          </w:tcPr>
          <w:p w14:paraId="05AC5361" w14:textId="6F2C426D" w:rsidR="008A6844" w:rsidRPr="000E57E3" w:rsidRDefault="008A6844" w:rsidP="000E57E3">
            <w:pPr>
              <w:pStyle w:val="Tabletext"/>
            </w:pPr>
            <w:r w:rsidRPr="000E57E3">
              <w:t> </w:t>
            </w:r>
          </w:p>
        </w:tc>
        <w:tc>
          <w:tcPr>
            <w:tcW w:w="0" w:type="auto"/>
            <w:vAlign w:val="bottom"/>
          </w:tcPr>
          <w:p w14:paraId="3F0770E7" w14:textId="0FFD429E" w:rsidR="008A6844" w:rsidRPr="000E57E3" w:rsidRDefault="008A6844" w:rsidP="000E57E3">
            <w:pPr>
              <w:pStyle w:val="Tabletext"/>
            </w:pPr>
            <w:r w:rsidRPr="000E57E3">
              <w:t> </w:t>
            </w:r>
          </w:p>
        </w:tc>
        <w:tc>
          <w:tcPr>
            <w:tcW w:w="0" w:type="auto"/>
            <w:vAlign w:val="bottom"/>
          </w:tcPr>
          <w:p w14:paraId="1B831E65" w14:textId="01F153FC" w:rsidR="008A6844" w:rsidRPr="000E57E3" w:rsidRDefault="008A6844" w:rsidP="000E57E3">
            <w:pPr>
              <w:pStyle w:val="Tabletext"/>
            </w:pPr>
            <w:r w:rsidRPr="000E57E3">
              <w:t> </w:t>
            </w:r>
          </w:p>
        </w:tc>
        <w:tc>
          <w:tcPr>
            <w:tcW w:w="0" w:type="auto"/>
            <w:vAlign w:val="bottom"/>
          </w:tcPr>
          <w:p w14:paraId="1031BF51" w14:textId="222FA0F2" w:rsidR="008A6844" w:rsidRPr="000E57E3" w:rsidRDefault="008A6844" w:rsidP="000E57E3">
            <w:pPr>
              <w:pStyle w:val="Tabletext"/>
            </w:pPr>
            <w:r w:rsidRPr="000E57E3">
              <w:t> </w:t>
            </w:r>
          </w:p>
        </w:tc>
        <w:tc>
          <w:tcPr>
            <w:tcW w:w="0" w:type="auto"/>
            <w:vAlign w:val="bottom"/>
          </w:tcPr>
          <w:p w14:paraId="5F8549DC" w14:textId="183E38D0" w:rsidR="008A6844" w:rsidRPr="000E57E3" w:rsidRDefault="008A6844" w:rsidP="000E57E3">
            <w:pPr>
              <w:pStyle w:val="Tabletext"/>
            </w:pPr>
            <w:r w:rsidRPr="000E57E3">
              <w:t> </w:t>
            </w:r>
          </w:p>
        </w:tc>
        <w:tc>
          <w:tcPr>
            <w:tcW w:w="0" w:type="auto"/>
            <w:vAlign w:val="bottom"/>
          </w:tcPr>
          <w:p w14:paraId="176F690C" w14:textId="26164653" w:rsidR="008A6844" w:rsidRPr="000E57E3" w:rsidRDefault="008A6844" w:rsidP="000E57E3">
            <w:pPr>
              <w:pStyle w:val="Tabletext"/>
            </w:pPr>
            <w:r w:rsidRPr="000E57E3">
              <w:t> </w:t>
            </w:r>
          </w:p>
        </w:tc>
        <w:tc>
          <w:tcPr>
            <w:tcW w:w="0" w:type="auto"/>
            <w:vAlign w:val="bottom"/>
          </w:tcPr>
          <w:p w14:paraId="281DA8F5" w14:textId="3F94B1EC" w:rsidR="008A6844" w:rsidRPr="000E57E3" w:rsidRDefault="008A6844" w:rsidP="000E57E3">
            <w:pPr>
              <w:pStyle w:val="Tabletext"/>
            </w:pPr>
            <w:r w:rsidRPr="000E57E3">
              <w:t>Y</w:t>
            </w:r>
          </w:p>
        </w:tc>
        <w:tc>
          <w:tcPr>
            <w:tcW w:w="0" w:type="auto"/>
            <w:vAlign w:val="bottom"/>
          </w:tcPr>
          <w:p w14:paraId="14E7904E" w14:textId="467A876C" w:rsidR="008A6844" w:rsidRPr="000E57E3" w:rsidRDefault="008A6844" w:rsidP="000E57E3">
            <w:pPr>
              <w:pStyle w:val="Tabletext"/>
            </w:pPr>
            <w:r w:rsidRPr="000E57E3">
              <w:t> </w:t>
            </w:r>
          </w:p>
        </w:tc>
        <w:tc>
          <w:tcPr>
            <w:tcW w:w="0" w:type="auto"/>
            <w:vAlign w:val="bottom"/>
          </w:tcPr>
          <w:p w14:paraId="1297B6E3" w14:textId="65AA0828" w:rsidR="008A6844" w:rsidRPr="000E57E3" w:rsidRDefault="008A6844" w:rsidP="000E57E3">
            <w:pPr>
              <w:pStyle w:val="Tabletext"/>
            </w:pPr>
            <w:r w:rsidRPr="000E57E3">
              <w:t> </w:t>
            </w:r>
          </w:p>
        </w:tc>
        <w:tc>
          <w:tcPr>
            <w:tcW w:w="0" w:type="auto"/>
            <w:vAlign w:val="bottom"/>
          </w:tcPr>
          <w:p w14:paraId="614FDEEE" w14:textId="4707E323" w:rsidR="008A6844" w:rsidRPr="000E57E3" w:rsidRDefault="008A6844" w:rsidP="000E57E3">
            <w:pPr>
              <w:pStyle w:val="Tabletext"/>
            </w:pPr>
            <w:r w:rsidRPr="000E57E3">
              <w:t> </w:t>
            </w:r>
          </w:p>
        </w:tc>
        <w:tc>
          <w:tcPr>
            <w:tcW w:w="0" w:type="auto"/>
            <w:vAlign w:val="bottom"/>
          </w:tcPr>
          <w:p w14:paraId="502840B4" w14:textId="14A1922E" w:rsidR="008A6844" w:rsidRPr="000E57E3" w:rsidRDefault="008A6844" w:rsidP="000E57E3">
            <w:pPr>
              <w:pStyle w:val="Tabletext"/>
            </w:pPr>
            <w:r w:rsidRPr="000E57E3">
              <w:t> </w:t>
            </w:r>
          </w:p>
        </w:tc>
        <w:tc>
          <w:tcPr>
            <w:tcW w:w="0" w:type="auto"/>
            <w:vAlign w:val="bottom"/>
          </w:tcPr>
          <w:p w14:paraId="334716FA" w14:textId="1571A7BC" w:rsidR="008A6844" w:rsidRPr="000E57E3" w:rsidRDefault="008A6844" w:rsidP="000E57E3">
            <w:pPr>
              <w:pStyle w:val="Tabletext"/>
            </w:pPr>
            <w:r w:rsidRPr="000E57E3">
              <w:t>Facilitated</w:t>
            </w:r>
          </w:p>
        </w:tc>
      </w:tr>
      <w:tr w:rsidR="00776CCE" w:rsidRPr="008A6844" w14:paraId="2DF6874B" w14:textId="77777777" w:rsidTr="00CA44B7">
        <w:tc>
          <w:tcPr>
            <w:tcW w:w="0" w:type="auto"/>
            <w:vAlign w:val="bottom"/>
          </w:tcPr>
          <w:p w14:paraId="1894802C" w14:textId="65B11C04" w:rsidR="008A6844" w:rsidRPr="000E57E3" w:rsidRDefault="008A6844" w:rsidP="000E57E3">
            <w:pPr>
              <w:pStyle w:val="Tabletext"/>
            </w:pPr>
            <w:r w:rsidRPr="000E57E3">
              <w:t>ERCC6L2</w:t>
            </w:r>
          </w:p>
        </w:tc>
        <w:tc>
          <w:tcPr>
            <w:tcW w:w="0" w:type="auto"/>
            <w:vAlign w:val="bottom"/>
          </w:tcPr>
          <w:p w14:paraId="1405DE58" w14:textId="568CA223" w:rsidR="008A6844" w:rsidRPr="000E57E3" w:rsidRDefault="008A6844" w:rsidP="000E57E3">
            <w:pPr>
              <w:pStyle w:val="Tabletext"/>
            </w:pPr>
            <w:r w:rsidRPr="000E57E3">
              <w:t> </w:t>
            </w:r>
          </w:p>
        </w:tc>
        <w:tc>
          <w:tcPr>
            <w:tcW w:w="0" w:type="auto"/>
            <w:vAlign w:val="bottom"/>
          </w:tcPr>
          <w:p w14:paraId="402F9EF3" w14:textId="6C350D00" w:rsidR="008A6844" w:rsidRPr="000E57E3" w:rsidRDefault="008A6844" w:rsidP="000E57E3">
            <w:pPr>
              <w:pStyle w:val="Tabletext"/>
            </w:pPr>
            <w:r w:rsidRPr="000E57E3">
              <w:t> </w:t>
            </w:r>
          </w:p>
        </w:tc>
        <w:tc>
          <w:tcPr>
            <w:tcW w:w="0" w:type="auto"/>
            <w:vAlign w:val="bottom"/>
          </w:tcPr>
          <w:p w14:paraId="7DF1A6F7" w14:textId="4A40B59B" w:rsidR="008A6844" w:rsidRPr="000E57E3" w:rsidRDefault="008A6844" w:rsidP="000E57E3">
            <w:pPr>
              <w:pStyle w:val="Tabletext"/>
            </w:pPr>
            <w:r w:rsidRPr="000E57E3">
              <w:t> </w:t>
            </w:r>
          </w:p>
        </w:tc>
        <w:tc>
          <w:tcPr>
            <w:tcW w:w="0" w:type="auto"/>
            <w:vAlign w:val="bottom"/>
          </w:tcPr>
          <w:p w14:paraId="3A9F5801" w14:textId="2F83D7D9" w:rsidR="008A6844" w:rsidRPr="000E57E3" w:rsidRDefault="008A6844" w:rsidP="000E57E3">
            <w:pPr>
              <w:pStyle w:val="Tabletext"/>
            </w:pPr>
            <w:r w:rsidRPr="000E57E3">
              <w:t> </w:t>
            </w:r>
          </w:p>
        </w:tc>
        <w:tc>
          <w:tcPr>
            <w:tcW w:w="0" w:type="auto"/>
            <w:vAlign w:val="bottom"/>
          </w:tcPr>
          <w:p w14:paraId="0DFFE506" w14:textId="6FFC5FD1" w:rsidR="008A6844" w:rsidRPr="000E57E3" w:rsidRDefault="008A6844" w:rsidP="000E57E3">
            <w:pPr>
              <w:pStyle w:val="Tabletext"/>
            </w:pPr>
            <w:r w:rsidRPr="000E57E3">
              <w:t> </w:t>
            </w:r>
          </w:p>
        </w:tc>
        <w:tc>
          <w:tcPr>
            <w:tcW w:w="0" w:type="auto"/>
            <w:vAlign w:val="bottom"/>
          </w:tcPr>
          <w:p w14:paraId="2D01D5AC" w14:textId="3FF4D9C6" w:rsidR="008A6844" w:rsidRPr="000E57E3" w:rsidRDefault="008A6844" w:rsidP="000E57E3">
            <w:pPr>
              <w:pStyle w:val="Tabletext"/>
            </w:pPr>
            <w:r w:rsidRPr="000E57E3">
              <w:t>Y</w:t>
            </w:r>
          </w:p>
        </w:tc>
        <w:tc>
          <w:tcPr>
            <w:tcW w:w="0" w:type="auto"/>
            <w:vAlign w:val="bottom"/>
          </w:tcPr>
          <w:p w14:paraId="3A6EEDB1" w14:textId="2F535CB8" w:rsidR="008A6844" w:rsidRPr="000E57E3" w:rsidRDefault="008A6844" w:rsidP="000E57E3">
            <w:pPr>
              <w:pStyle w:val="Tabletext"/>
            </w:pPr>
            <w:r w:rsidRPr="000E57E3">
              <w:t> </w:t>
            </w:r>
          </w:p>
        </w:tc>
        <w:tc>
          <w:tcPr>
            <w:tcW w:w="0" w:type="auto"/>
            <w:vAlign w:val="bottom"/>
          </w:tcPr>
          <w:p w14:paraId="4CA180B5" w14:textId="2C18C5E1" w:rsidR="008A6844" w:rsidRPr="000E57E3" w:rsidRDefault="008A6844" w:rsidP="000E57E3">
            <w:pPr>
              <w:pStyle w:val="Tabletext"/>
            </w:pPr>
            <w:r w:rsidRPr="000E57E3">
              <w:t> </w:t>
            </w:r>
          </w:p>
        </w:tc>
        <w:tc>
          <w:tcPr>
            <w:tcW w:w="0" w:type="auto"/>
            <w:vAlign w:val="bottom"/>
          </w:tcPr>
          <w:p w14:paraId="6AD37EB0" w14:textId="4D6C03B5" w:rsidR="008A6844" w:rsidRPr="000E57E3" w:rsidRDefault="008A6844" w:rsidP="000E57E3">
            <w:pPr>
              <w:pStyle w:val="Tabletext"/>
            </w:pPr>
            <w:r w:rsidRPr="000E57E3">
              <w:t> </w:t>
            </w:r>
          </w:p>
        </w:tc>
        <w:tc>
          <w:tcPr>
            <w:tcW w:w="0" w:type="auto"/>
            <w:vAlign w:val="bottom"/>
          </w:tcPr>
          <w:p w14:paraId="4EB00519" w14:textId="43D70EB8" w:rsidR="008A6844" w:rsidRPr="000E57E3" w:rsidRDefault="008A6844" w:rsidP="000E57E3">
            <w:pPr>
              <w:pStyle w:val="Tabletext"/>
            </w:pPr>
            <w:r w:rsidRPr="000E57E3">
              <w:t> </w:t>
            </w:r>
          </w:p>
        </w:tc>
        <w:tc>
          <w:tcPr>
            <w:tcW w:w="0" w:type="auto"/>
            <w:vAlign w:val="bottom"/>
          </w:tcPr>
          <w:p w14:paraId="51C05DEF" w14:textId="2C5C8C20" w:rsidR="008A6844" w:rsidRPr="000E57E3" w:rsidRDefault="008A6844" w:rsidP="000E57E3">
            <w:pPr>
              <w:pStyle w:val="Tabletext"/>
            </w:pPr>
            <w:r w:rsidRPr="000E57E3">
              <w:t> </w:t>
            </w:r>
          </w:p>
        </w:tc>
        <w:tc>
          <w:tcPr>
            <w:tcW w:w="0" w:type="auto"/>
            <w:vAlign w:val="bottom"/>
          </w:tcPr>
          <w:p w14:paraId="5BE06919" w14:textId="757874F3" w:rsidR="008A6844" w:rsidRPr="000E57E3" w:rsidRDefault="008A6844" w:rsidP="000E57E3">
            <w:pPr>
              <w:pStyle w:val="Tabletext"/>
            </w:pPr>
            <w:r w:rsidRPr="000E57E3">
              <w:t>Facilitated</w:t>
            </w:r>
          </w:p>
        </w:tc>
      </w:tr>
      <w:tr w:rsidR="00776CCE" w:rsidRPr="008A6844" w14:paraId="26B36877" w14:textId="77777777" w:rsidTr="00CA44B7">
        <w:tc>
          <w:tcPr>
            <w:tcW w:w="0" w:type="auto"/>
            <w:vAlign w:val="bottom"/>
          </w:tcPr>
          <w:p w14:paraId="7BC11DF4" w14:textId="4BBB5C05" w:rsidR="008A6844" w:rsidRPr="000E57E3" w:rsidRDefault="008A6844" w:rsidP="000E57E3">
            <w:pPr>
              <w:pStyle w:val="Tabletext"/>
            </w:pPr>
            <w:r w:rsidRPr="000E57E3">
              <w:t>ETV6</w:t>
            </w:r>
          </w:p>
        </w:tc>
        <w:tc>
          <w:tcPr>
            <w:tcW w:w="0" w:type="auto"/>
            <w:vAlign w:val="bottom"/>
          </w:tcPr>
          <w:p w14:paraId="3AA720E3" w14:textId="6DC60DE5" w:rsidR="008A6844" w:rsidRPr="000E57E3" w:rsidRDefault="008A6844" w:rsidP="000E57E3">
            <w:pPr>
              <w:pStyle w:val="Tabletext"/>
            </w:pPr>
            <w:r w:rsidRPr="000E57E3">
              <w:t> </w:t>
            </w:r>
          </w:p>
        </w:tc>
        <w:tc>
          <w:tcPr>
            <w:tcW w:w="0" w:type="auto"/>
            <w:vAlign w:val="bottom"/>
          </w:tcPr>
          <w:p w14:paraId="38A5790F" w14:textId="6210017A" w:rsidR="008A6844" w:rsidRPr="000E57E3" w:rsidRDefault="008A6844" w:rsidP="000E57E3">
            <w:pPr>
              <w:pStyle w:val="Tabletext"/>
            </w:pPr>
            <w:r w:rsidRPr="000E57E3">
              <w:t> </w:t>
            </w:r>
          </w:p>
        </w:tc>
        <w:tc>
          <w:tcPr>
            <w:tcW w:w="0" w:type="auto"/>
            <w:vAlign w:val="bottom"/>
          </w:tcPr>
          <w:p w14:paraId="3F221110" w14:textId="1B1585C1" w:rsidR="008A6844" w:rsidRPr="000E57E3" w:rsidRDefault="008A6844" w:rsidP="000E57E3">
            <w:pPr>
              <w:pStyle w:val="Tabletext"/>
            </w:pPr>
            <w:r w:rsidRPr="000E57E3">
              <w:t> </w:t>
            </w:r>
          </w:p>
        </w:tc>
        <w:tc>
          <w:tcPr>
            <w:tcW w:w="0" w:type="auto"/>
            <w:vAlign w:val="bottom"/>
          </w:tcPr>
          <w:p w14:paraId="18F559C6" w14:textId="23B90E30" w:rsidR="008A6844" w:rsidRPr="000E57E3" w:rsidRDefault="008A6844" w:rsidP="000E57E3">
            <w:pPr>
              <w:pStyle w:val="Tabletext"/>
            </w:pPr>
            <w:r w:rsidRPr="000E57E3">
              <w:t> </w:t>
            </w:r>
          </w:p>
        </w:tc>
        <w:tc>
          <w:tcPr>
            <w:tcW w:w="0" w:type="auto"/>
            <w:vAlign w:val="bottom"/>
          </w:tcPr>
          <w:p w14:paraId="1781B4EF" w14:textId="0D620F72" w:rsidR="008A6844" w:rsidRPr="000E57E3" w:rsidRDefault="008A6844" w:rsidP="000E57E3">
            <w:pPr>
              <w:pStyle w:val="Tabletext"/>
            </w:pPr>
            <w:r w:rsidRPr="000E57E3">
              <w:t> </w:t>
            </w:r>
          </w:p>
        </w:tc>
        <w:tc>
          <w:tcPr>
            <w:tcW w:w="0" w:type="auto"/>
            <w:vAlign w:val="bottom"/>
          </w:tcPr>
          <w:p w14:paraId="6606EA8C" w14:textId="05F75140" w:rsidR="008A6844" w:rsidRPr="000E57E3" w:rsidRDefault="008A6844" w:rsidP="000E57E3">
            <w:pPr>
              <w:pStyle w:val="Tabletext"/>
            </w:pPr>
            <w:r w:rsidRPr="000E57E3">
              <w:t> </w:t>
            </w:r>
          </w:p>
        </w:tc>
        <w:tc>
          <w:tcPr>
            <w:tcW w:w="0" w:type="auto"/>
            <w:vAlign w:val="bottom"/>
          </w:tcPr>
          <w:p w14:paraId="3260DFC4" w14:textId="7BF4A6A4" w:rsidR="008A6844" w:rsidRPr="000E57E3" w:rsidRDefault="008A6844" w:rsidP="000E57E3">
            <w:pPr>
              <w:pStyle w:val="Tabletext"/>
            </w:pPr>
            <w:r w:rsidRPr="000E57E3">
              <w:t> </w:t>
            </w:r>
          </w:p>
        </w:tc>
        <w:tc>
          <w:tcPr>
            <w:tcW w:w="0" w:type="auto"/>
            <w:vAlign w:val="bottom"/>
          </w:tcPr>
          <w:p w14:paraId="4975330D" w14:textId="73A9C9BA" w:rsidR="008A6844" w:rsidRPr="000E57E3" w:rsidRDefault="008A6844" w:rsidP="000E57E3">
            <w:pPr>
              <w:pStyle w:val="Tabletext"/>
            </w:pPr>
            <w:r w:rsidRPr="000E57E3">
              <w:t> </w:t>
            </w:r>
          </w:p>
        </w:tc>
        <w:tc>
          <w:tcPr>
            <w:tcW w:w="0" w:type="auto"/>
            <w:vAlign w:val="bottom"/>
          </w:tcPr>
          <w:p w14:paraId="30345330" w14:textId="53ACD0FE" w:rsidR="008A6844" w:rsidRPr="000E57E3" w:rsidRDefault="008A6844" w:rsidP="000E57E3">
            <w:pPr>
              <w:pStyle w:val="Tabletext"/>
            </w:pPr>
            <w:r w:rsidRPr="000E57E3">
              <w:t> </w:t>
            </w:r>
          </w:p>
        </w:tc>
        <w:tc>
          <w:tcPr>
            <w:tcW w:w="0" w:type="auto"/>
            <w:vAlign w:val="bottom"/>
          </w:tcPr>
          <w:p w14:paraId="62682DA1" w14:textId="27DA73D2" w:rsidR="008A6844" w:rsidRPr="000E57E3" w:rsidRDefault="008A6844" w:rsidP="000E57E3">
            <w:pPr>
              <w:pStyle w:val="Tabletext"/>
            </w:pPr>
            <w:r w:rsidRPr="000E57E3">
              <w:t> </w:t>
            </w:r>
          </w:p>
        </w:tc>
        <w:tc>
          <w:tcPr>
            <w:tcW w:w="0" w:type="auto"/>
            <w:vAlign w:val="bottom"/>
          </w:tcPr>
          <w:p w14:paraId="51AB677B" w14:textId="029A0713" w:rsidR="008A6844" w:rsidRPr="000E57E3" w:rsidRDefault="008A6844" w:rsidP="000E57E3">
            <w:pPr>
              <w:pStyle w:val="Tabletext"/>
            </w:pPr>
            <w:r w:rsidRPr="000E57E3">
              <w:t>Y</w:t>
            </w:r>
          </w:p>
        </w:tc>
        <w:tc>
          <w:tcPr>
            <w:tcW w:w="0" w:type="auto"/>
            <w:vAlign w:val="bottom"/>
          </w:tcPr>
          <w:p w14:paraId="37ADCC66" w14:textId="6A0E17D3" w:rsidR="008A6844" w:rsidRPr="000E57E3" w:rsidRDefault="008A6844" w:rsidP="000E57E3">
            <w:pPr>
              <w:pStyle w:val="Tabletext"/>
            </w:pPr>
            <w:r w:rsidRPr="000E57E3">
              <w:t>Facilitated</w:t>
            </w:r>
          </w:p>
        </w:tc>
      </w:tr>
      <w:tr w:rsidR="00776CCE" w:rsidRPr="008A6844" w14:paraId="637614B6" w14:textId="77777777" w:rsidTr="00CA44B7">
        <w:tc>
          <w:tcPr>
            <w:tcW w:w="0" w:type="auto"/>
            <w:vAlign w:val="bottom"/>
          </w:tcPr>
          <w:p w14:paraId="4C167A2F" w14:textId="4405762A" w:rsidR="008A6844" w:rsidRPr="000E57E3" w:rsidRDefault="008A6844" w:rsidP="000E57E3">
            <w:pPr>
              <w:pStyle w:val="Tabletext"/>
            </w:pPr>
            <w:r w:rsidRPr="000E57E3">
              <w:t>FAM46C</w:t>
            </w:r>
          </w:p>
        </w:tc>
        <w:tc>
          <w:tcPr>
            <w:tcW w:w="0" w:type="auto"/>
            <w:vAlign w:val="bottom"/>
          </w:tcPr>
          <w:p w14:paraId="155A32CC" w14:textId="20930040" w:rsidR="008A6844" w:rsidRPr="000E57E3" w:rsidRDefault="008A6844" w:rsidP="000E57E3">
            <w:pPr>
              <w:pStyle w:val="Tabletext"/>
            </w:pPr>
            <w:r w:rsidRPr="000E57E3">
              <w:t> </w:t>
            </w:r>
          </w:p>
        </w:tc>
        <w:tc>
          <w:tcPr>
            <w:tcW w:w="0" w:type="auto"/>
            <w:vAlign w:val="bottom"/>
          </w:tcPr>
          <w:p w14:paraId="405B67CB" w14:textId="427D6CAB" w:rsidR="008A6844" w:rsidRPr="000E57E3" w:rsidRDefault="008A6844" w:rsidP="000E57E3">
            <w:pPr>
              <w:pStyle w:val="Tabletext"/>
            </w:pPr>
            <w:r w:rsidRPr="000E57E3">
              <w:t> </w:t>
            </w:r>
          </w:p>
        </w:tc>
        <w:tc>
          <w:tcPr>
            <w:tcW w:w="0" w:type="auto"/>
            <w:vAlign w:val="bottom"/>
          </w:tcPr>
          <w:p w14:paraId="0DA9AC9E" w14:textId="60BEB8A8" w:rsidR="008A6844" w:rsidRPr="000E57E3" w:rsidRDefault="008A6844" w:rsidP="000E57E3">
            <w:pPr>
              <w:pStyle w:val="Tabletext"/>
            </w:pPr>
            <w:r w:rsidRPr="000E57E3">
              <w:t> </w:t>
            </w:r>
          </w:p>
        </w:tc>
        <w:tc>
          <w:tcPr>
            <w:tcW w:w="0" w:type="auto"/>
            <w:vAlign w:val="bottom"/>
          </w:tcPr>
          <w:p w14:paraId="414FE305" w14:textId="0FBEEB63" w:rsidR="008A6844" w:rsidRPr="000E57E3" w:rsidRDefault="008A6844" w:rsidP="000E57E3">
            <w:pPr>
              <w:pStyle w:val="Tabletext"/>
            </w:pPr>
            <w:r w:rsidRPr="000E57E3">
              <w:t> </w:t>
            </w:r>
          </w:p>
        </w:tc>
        <w:tc>
          <w:tcPr>
            <w:tcW w:w="0" w:type="auto"/>
            <w:vAlign w:val="bottom"/>
          </w:tcPr>
          <w:p w14:paraId="30C50472" w14:textId="2A58ED16" w:rsidR="008A6844" w:rsidRPr="000E57E3" w:rsidRDefault="008A6844" w:rsidP="000E57E3">
            <w:pPr>
              <w:pStyle w:val="Tabletext"/>
            </w:pPr>
            <w:r w:rsidRPr="000E57E3">
              <w:t> </w:t>
            </w:r>
          </w:p>
        </w:tc>
        <w:tc>
          <w:tcPr>
            <w:tcW w:w="0" w:type="auto"/>
            <w:vAlign w:val="bottom"/>
          </w:tcPr>
          <w:p w14:paraId="114843C9" w14:textId="308C40B5" w:rsidR="008A6844" w:rsidRPr="000E57E3" w:rsidRDefault="008A6844" w:rsidP="000E57E3">
            <w:pPr>
              <w:pStyle w:val="Tabletext"/>
            </w:pPr>
            <w:r w:rsidRPr="000E57E3">
              <w:t> </w:t>
            </w:r>
          </w:p>
        </w:tc>
        <w:tc>
          <w:tcPr>
            <w:tcW w:w="0" w:type="auto"/>
            <w:vAlign w:val="bottom"/>
          </w:tcPr>
          <w:p w14:paraId="1C5D3C9B" w14:textId="0F9B1FD2" w:rsidR="008A6844" w:rsidRPr="000E57E3" w:rsidRDefault="008A6844" w:rsidP="000E57E3">
            <w:pPr>
              <w:pStyle w:val="Tabletext"/>
            </w:pPr>
            <w:r w:rsidRPr="000E57E3">
              <w:t>Y</w:t>
            </w:r>
          </w:p>
        </w:tc>
        <w:tc>
          <w:tcPr>
            <w:tcW w:w="0" w:type="auto"/>
            <w:vAlign w:val="bottom"/>
          </w:tcPr>
          <w:p w14:paraId="3FEABDD5" w14:textId="4D207A61" w:rsidR="008A6844" w:rsidRPr="000E57E3" w:rsidRDefault="008A6844" w:rsidP="000E57E3">
            <w:pPr>
              <w:pStyle w:val="Tabletext"/>
            </w:pPr>
            <w:r w:rsidRPr="000E57E3">
              <w:t> </w:t>
            </w:r>
          </w:p>
        </w:tc>
        <w:tc>
          <w:tcPr>
            <w:tcW w:w="0" w:type="auto"/>
            <w:vAlign w:val="bottom"/>
          </w:tcPr>
          <w:p w14:paraId="2B815EB6" w14:textId="7203B2D4" w:rsidR="008A6844" w:rsidRPr="000E57E3" w:rsidRDefault="008A6844" w:rsidP="000E57E3">
            <w:pPr>
              <w:pStyle w:val="Tabletext"/>
            </w:pPr>
            <w:r w:rsidRPr="000E57E3">
              <w:t> </w:t>
            </w:r>
          </w:p>
        </w:tc>
        <w:tc>
          <w:tcPr>
            <w:tcW w:w="0" w:type="auto"/>
            <w:vAlign w:val="bottom"/>
          </w:tcPr>
          <w:p w14:paraId="1D1B26CA" w14:textId="12F055D2" w:rsidR="008A6844" w:rsidRPr="000E57E3" w:rsidRDefault="008A6844" w:rsidP="000E57E3">
            <w:pPr>
              <w:pStyle w:val="Tabletext"/>
            </w:pPr>
            <w:r w:rsidRPr="000E57E3">
              <w:t> </w:t>
            </w:r>
          </w:p>
        </w:tc>
        <w:tc>
          <w:tcPr>
            <w:tcW w:w="0" w:type="auto"/>
            <w:vAlign w:val="bottom"/>
          </w:tcPr>
          <w:p w14:paraId="35ABCF7A" w14:textId="291914DC" w:rsidR="008A6844" w:rsidRPr="000E57E3" w:rsidRDefault="008A6844" w:rsidP="000E57E3">
            <w:pPr>
              <w:pStyle w:val="Tabletext"/>
            </w:pPr>
            <w:r w:rsidRPr="000E57E3">
              <w:t> </w:t>
            </w:r>
          </w:p>
        </w:tc>
        <w:tc>
          <w:tcPr>
            <w:tcW w:w="0" w:type="auto"/>
            <w:vAlign w:val="bottom"/>
          </w:tcPr>
          <w:p w14:paraId="1B4348B9" w14:textId="4241FEE8" w:rsidR="008A6844" w:rsidRPr="000E57E3" w:rsidRDefault="008A6844" w:rsidP="000E57E3">
            <w:pPr>
              <w:pStyle w:val="Tabletext"/>
            </w:pPr>
            <w:r w:rsidRPr="000E57E3">
              <w:t>Facilitated</w:t>
            </w:r>
          </w:p>
        </w:tc>
      </w:tr>
      <w:tr w:rsidR="00776CCE" w:rsidRPr="008A6844" w14:paraId="334FF306" w14:textId="77777777" w:rsidTr="00CA44B7">
        <w:tc>
          <w:tcPr>
            <w:tcW w:w="0" w:type="auto"/>
            <w:vAlign w:val="bottom"/>
          </w:tcPr>
          <w:p w14:paraId="354A86DE" w14:textId="1D2B01ED" w:rsidR="008A6844" w:rsidRPr="000E57E3" w:rsidRDefault="008A6844" w:rsidP="000E57E3">
            <w:pPr>
              <w:pStyle w:val="Tabletext"/>
            </w:pPr>
            <w:r w:rsidRPr="000E57E3">
              <w:t>FBXW7</w:t>
            </w:r>
          </w:p>
        </w:tc>
        <w:tc>
          <w:tcPr>
            <w:tcW w:w="0" w:type="auto"/>
            <w:vAlign w:val="bottom"/>
          </w:tcPr>
          <w:p w14:paraId="0724B4D0" w14:textId="15F5A549" w:rsidR="008A6844" w:rsidRPr="000E57E3" w:rsidRDefault="008A6844" w:rsidP="000E57E3">
            <w:pPr>
              <w:pStyle w:val="Tabletext"/>
            </w:pPr>
            <w:r w:rsidRPr="000E57E3">
              <w:t> </w:t>
            </w:r>
          </w:p>
        </w:tc>
        <w:tc>
          <w:tcPr>
            <w:tcW w:w="0" w:type="auto"/>
            <w:vAlign w:val="bottom"/>
          </w:tcPr>
          <w:p w14:paraId="263951F3" w14:textId="0BD2A03D" w:rsidR="008A6844" w:rsidRPr="000E57E3" w:rsidRDefault="008A6844" w:rsidP="000E57E3">
            <w:pPr>
              <w:pStyle w:val="Tabletext"/>
            </w:pPr>
            <w:r w:rsidRPr="000E57E3">
              <w:t> </w:t>
            </w:r>
          </w:p>
        </w:tc>
        <w:tc>
          <w:tcPr>
            <w:tcW w:w="0" w:type="auto"/>
            <w:vAlign w:val="bottom"/>
          </w:tcPr>
          <w:p w14:paraId="0009AE93" w14:textId="2A59F8E9" w:rsidR="008A6844" w:rsidRPr="000E57E3" w:rsidRDefault="008A6844" w:rsidP="000E57E3">
            <w:pPr>
              <w:pStyle w:val="Tabletext"/>
            </w:pPr>
            <w:r w:rsidRPr="000E57E3">
              <w:t>Y</w:t>
            </w:r>
          </w:p>
        </w:tc>
        <w:tc>
          <w:tcPr>
            <w:tcW w:w="0" w:type="auto"/>
            <w:vAlign w:val="bottom"/>
          </w:tcPr>
          <w:p w14:paraId="0E7AE1F9" w14:textId="58AED7B0" w:rsidR="008A6844" w:rsidRPr="000E57E3" w:rsidRDefault="008A6844" w:rsidP="000E57E3">
            <w:pPr>
              <w:pStyle w:val="Tabletext"/>
            </w:pPr>
            <w:r w:rsidRPr="000E57E3">
              <w:t> </w:t>
            </w:r>
          </w:p>
        </w:tc>
        <w:tc>
          <w:tcPr>
            <w:tcW w:w="0" w:type="auto"/>
            <w:vAlign w:val="bottom"/>
          </w:tcPr>
          <w:p w14:paraId="1B3BB326" w14:textId="46955AFF" w:rsidR="008A6844" w:rsidRPr="000E57E3" w:rsidRDefault="008A6844" w:rsidP="000E57E3">
            <w:pPr>
              <w:pStyle w:val="Tabletext"/>
            </w:pPr>
            <w:r w:rsidRPr="000E57E3">
              <w:t> </w:t>
            </w:r>
          </w:p>
        </w:tc>
        <w:tc>
          <w:tcPr>
            <w:tcW w:w="0" w:type="auto"/>
            <w:vAlign w:val="bottom"/>
          </w:tcPr>
          <w:p w14:paraId="5C5487F2" w14:textId="6AD0BD3A" w:rsidR="008A6844" w:rsidRPr="000E57E3" w:rsidRDefault="008A6844" w:rsidP="000E57E3">
            <w:pPr>
              <w:pStyle w:val="Tabletext"/>
            </w:pPr>
            <w:r w:rsidRPr="000E57E3">
              <w:t> </w:t>
            </w:r>
          </w:p>
        </w:tc>
        <w:tc>
          <w:tcPr>
            <w:tcW w:w="0" w:type="auto"/>
            <w:vAlign w:val="bottom"/>
          </w:tcPr>
          <w:p w14:paraId="31F0400F" w14:textId="64F85D0B" w:rsidR="008A6844" w:rsidRPr="000E57E3" w:rsidRDefault="008A6844" w:rsidP="000E57E3">
            <w:pPr>
              <w:pStyle w:val="Tabletext"/>
            </w:pPr>
            <w:r w:rsidRPr="000E57E3">
              <w:t>Y</w:t>
            </w:r>
          </w:p>
        </w:tc>
        <w:tc>
          <w:tcPr>
            <w:tcW w:w="0" w:type="auto"/>
            <w:vAlign w:val="bottom"/>
          </w:tcPr>
          <w:p w14:paraId="68D63D90" w14:textId="27165C51" w:rsidR="008A6844" w:rsidRPr="000E57E3" w:rsidRDefault="008A6844" w:rsidP="000E57E3">
            <w:pPr>
              <w:pStyle w:val="Tabletext"/>
            </w:pPr>
            <w:r w:rsidRPr="000E57E3">
              <w:t>Y</w:t>
            </w:r>
          </w:p>
        </w:tc>
        <w:tc>
          <w:tcPr>
            <w:tcW w:w="0" w:type="auto"/>
            <w:vAlign w:val="bottom"/>
          </w:tcPr>
          <w:p w14:paraId="7E04AD67" w14:textId="1FE069CB" w:rsidR="008A6844" w:rsidRPr="000E57E3" w:rsidRDefault="008A6844" w:rsidP="000E57E3">
            <w:pPr>
              <w:pStyle w:val="Tabletext"/>
            </w:pPr>
            <w:r w:rsidRPr="000E57E3">
              <w:t> </w:t>
            </w:r>
          </w:p>
        </w:tc>
        <w:tc>
          <w:tcPr>
            <w:tcW w:w="0" w:type="auto"/>
            <w:vAlign w:val="bottom"/>
          </w:tcPr>
          <w:p w14:paraId="147D3E6F" w14:textId="7F474677" w:rsidR="008A6844" w:rsidRPr="000E57E3" w:rsidRDefault="008A6844" w:rsidP="000E57E3">
            <w:pPr>
              <w:pStyle w:val="Tabletext"/>
            </w:pPr>
            <w:r w:rsidRPr="000E57E3">
              <w:t> </w:t>
            </w:r>
          </w:p>
        </w:tc>
        <w:tc>
          <w:tcPr>
            <w:tcW w:w="0" w:type="auto"/>
            <w:vAlign w:val="bottom"/>
          </w:tcPr>
          <w:p w14:paraId="23D0DF19" w14:textId="6C674C7F" w:rsidR="008A6844" w:rsidRPr="000E57E3" w:rsidRDefault="008A6844" w:rsidP="000E57E3">
            <w:pPr>
              <w:pStyle w:val="Tabletext"/>
            </w:pPr>
            <w:r w:rsidRPr="000E57E3">
              <w:t>Y</w:t>
            </w:r>
          </w:p>
        </w:tc>
        <w:tc>
          <w:tcPr>
            <w:tcW w:w="0" w:type="auto"/>
            <w:vAlign w:val="bottom"/>
          </w:tcPr>
          <w:p w14:paraId="1F0B9375" w14:textId="51EE9B59" w:rsidR="008A6844" w:rsidRPr="000E57E3" w:rsidRDefault="008A6844" w:rsidP="000E57E3">
            <w:pPr>
              <w:pStyle w:val="Tabletext"/>
            </w:pPr>
            <w:r w:rsidRPr="000E57E3">
              <w:t>Facilitated</w:t>
            </w:r>
          </w:p>
        </w:tc>
      </w:tr>
      <w:tr w:rsidR="00776CCE" w:rsidRPr="008A6844" w14:paraId="4D991AB2" w14:textId="77777777" w:rsidTr="00CA44B7">
        <w:tc>
          <w:tcPr>
            <w:tcW w:w="0" w:type="auto"/>
            <w:vAlign w:val="bottom"/>
          </w:tcPr>
          <w:p w14:paraId="5AB51E92" w14:textId="05A1F283" w:rsidR="008A6844" w:rsidRPr="000E57E3" w:rsidRDefault="008A6844" w:rsidP="000E57E3">
            <w:pPr>
              <w:pStyle w:val="Tabletext"/>
            </w:pPr>
            <w:r w:rsidRPr="000E57E3">
              <w:t>FGFR2</w:t>
            </w:r>
          </w:p>
        </w:tc>
        <w:tc>
          <w:tcPr>
            <w:tcW w:w="0" w:type="auto"/>
            <w:vAlign w:val="bottom"/>
          </w:tcPr>
          <w:p w14:paraId="7162B58E" w14:textId="30E148E2" w:rsidR="008A6844" w:rsidRPr="000E57E3" w:rsidRDefault="008A6844" w:rsidP="000E57E3">
            <w:pPr>
              <w:pStyle w:val="Tabletext"/>
            </w:pPr>
            <w:r w:rsidRPr="000E57E3">
              <w:t> </w:t>
            </w:r>
          </w:p>
        </w:tc>
        <w:tc>
          <w:tcPr>
            <w:tcW w:w="0" w:type="auto"/>
            <w:vAlign w:val="bottom"/>
          </w:tcPr>
          <w:p w14:paraId="72DC05B7" w14:textId="4DB5CFE8" w:rsidR="008A6844" w:rsidRPr="000E57E3" w:rsidRDefault="008A6844" w:rsidP="000E57E3">
            <w:pPr>
              <w:pStyle w:val="Tabletext"/>
            </w:pPr>
            <w:r w:rsidRPr="000E57E3">
              <w:t> </w:t>
            </w:r>
          </w:p>
        </w:tc>
        <w:tc>
          <w:tcPr>
            <w:tcW w:w="0" w:type="auto"/>
            <w:vAlign w:val="bottom"/>
          </w:tcPr>
          <w:p w14:paraId="7DD42481" w14:textId="52F5CDE6" w:rsidR="008A6844" w:rsidRPr="000E57E3" w:rsidRDefault="008A6844" w:rsidP="000E57E3">
            <w:pPr>
              <w:pStyle w:val="Tabletext"/>
            </w:pPr>
            <w:r w:rsidRPr="000E57E3">
              <w:t> </w:t>
            </w:r>
          </w:p>
        </w:tc>
        <w:tc>
          <w:tcPr>
            <w:tcW w:w="0" w:type="auto"/>
            <w:vAlign w:val="bottom"/>
          </w:tcPr>
          <w:p w14:paraId="4E895FC6" w14:textId="3AE8C97F" w:rsidR="008A6844" w:rsidRPr="000E57E3" w:rsidRDefault="008A6844" w:rsidP="000E57E3">
            <w:pPr>
              <w:pStyle w:val="Tabletext"/>
            </w:pPr>
            <w:r w:rsidRPr="000E57E3">
              <w:t> </w:t>
            </w:r>
          </w:p>
        </w:tc>
        <w:tc>
          <w:tcPr>
            <w:tcW w:w="0" w:type="auto"/>
            <w:vAlign w:val="bottom"/>
          </w:tcPr>
          <w:p w14:paraId="072C12F6" w14:textId="0F86D7EB" w:rsidR="008A6844" w:rsidRPr="000E57E3" w:rsidRDefault="008A6844" w:rsidP="000E57E3">
            <w:pPr>
              <w:pStyle w:val="Tabletext"/>
            </w:pPr>
            <w:r w:rsidRPr="000E57E3">
              <w:t>Y</w:t>
            </w:r>
          </w:p>
        </w:tc>
        <w:tc>
          <w:tcPr>
            <w:tcW w:w="0" w:type="auto"/>
            <w:vAlign w:val="bottom"/>
          </w:tcPr>
          <w:p w14:paraId="40E02DA6" w14:textId="4316107D" w:rsidR="008A6844" w:rsidRPr="000E57E3" w:rsidRDefault="008A6844" w:rsidP="000E57E3">
            <w:pPr>
              <w:pStyle w:val="Tabletext"/>
            </w:pPr>
            <w:r w:rsidRPr="000E57E3">
              <w:t> </w:t>
            </w:r>
          </w:p>
        </w:tc>
        <w:tc>
          <w:tcPr>
            <w:tcW w:w="0" w:type="auto"/>
            <w:vAlign w:val="bottom"/>
          </w:tcPr>
          <w:p w14:paraId="734421AD" w14:textId="40835524" w:rsidR="008A6844" w:rsidRPr="000E57E3" w:rsidRDefault="008A6844" w:rsidP="000E57E3">
            <w:pPr>
              <w:pStyle w:val="Tabletext"/>
            </w:pPr>
            <w:r w:rsidRPr="000E57E3">
              <w:t> </w:t>
            </w:r>
          </w:p>
        </w:tc>
        <w:tc>
          <w:tcPr>
            <w:tcW w:w="0" w:type="auto"/>
            <w:vAlign w:val="bottom"/>
          </w:tcPr>
          <w:p w14:paraId="17CCEB07" w14:textId="096615BB" w:rsidR="008A6844" w:rsidRPr="000E57E3" w:rsidRDefault="008A6844" w:rsidP="000E57E3">
            <w:pPr>
              <w:pStyle w:val="Tabletext"/>
            </w:pPr>
            <w:r w:rsidRPr="000E57E3">
              <w:t> </w:t>
            </w:r>
          </w:p>
        </w:tc>
        <w:tc>
          <w:tcPr>
            <w:tcW w:w="0" w:type="auto"/>
            <w:vAlign w:val="bottom"/>
          </w:tcPr>
          <w:p w14:paraId="2B6124B7" w14:textId="2C5C5DA2" w:rsidR="008A6844" w:rsidRPr="000E57E3" w:rsidRDefault="008A6844" w:rsidP="000E57E3">
            <w:pPr>
              <w:pStyle w:val="Tabletext"/>
            </w:pPr>
            <w:r w:rsidRPr="000E57E3">
              <w:t> </w:t>
            </w:r>
          </w:p>
        </w:tc>
        <w:tc>
          <w:tcPr>
            <w:tcW w:w="0" w:type="auto"/>
            <w:vAlign w:val="bottom"/>
          </w:tcPr>
          <w:p w14:paraId="48CA4AA9" w14:textId="6E80DA41" w:rsidR="008A6844" w:rsidRPr="000E57E3" w:rsidRDefault="008A6844" w:rsidP="000E57E3">
            <w:pPr>
              <w:pStyle w:val="Tabletext"/>
            </w:pPr>
            <w:r w:rsidRPr="000E57E3">
              <w:t> </w:t>
            </w:r>
          </w:p>
        </w:tc>
        <w:tc>
          <w:tcPr>
            <w:tcW w:w="0" w:type="auto"/>
            <w:vAlign w:val="bottom"/>
          </w:tcPr>
          <w:p w14:paraId="139F087E" w14:textId="6041D79D" w:rsidR="008A6844" w:rsidRPr="000E57E3" w:rsidRDefault="008A6844" w:rsidP="000E57E3">
            <w:pPr>
              <w:pStyle w:val="Tabletext"/>
            </w:pPr>
            <w:r w:rsidRPr="000E57E3">
              <w:t> </w:t>
            </w:r>
          </w:p>
        </w:tc>
        <w:tc>
          <w:tcPr>
            <w:tcW w:w="0" w:type="auto"/>
            <w:vAlign w:val="bottom"/>
          </w:tcPr>
          <w:p w14:paraId="57158E1B" w14:textId="58F9805E" w:rsidR="008A6844" w:rsidRPr="000E57E3" w:rsidRDefault="008A6844" w:rsidP="000E57E3">
            <w:pPr>
              <w:pStyle w:val="Tabletext"/>
            </w:pPr>
            <w:r w:rsidRPr="000E57E3">
              <w:t>Facilitated</w:t>
            </w:r>
          </w:p>
        </w:tc>
      </w:tr>
      <w:tr w:rsidR="00776CCE" w:rsidRPr="008A6844" w14:paraId="1A1DEE63" w14:textId="77777777" w:rsidTr="00CA44B7">
        <w:tc>
          <w:tcPr>
            <w:tcW w:w="0" w:type="auto"/>
            <w:vAlign w:val="bottom"/>
          </w:tcPr>
          <w:p w14:paraId="44E12EEF" w14:textId="094EFEB2" w:rsidR="008A6844" w:rsidRPr="000E57E3" w:rsidRDefault="008A6844" w:rsidP="000E57E3">
            <w:pPr>
              <w:pStyle w:val="Tabletext"/>
            </w:pPr>
            <w:r w:rsidRPr="000E57E3">
              <w:t>FGFR3</w:t>
            </w:r>
          </w:p>
        </w:tc>
        <w:tc>
          <w:tcPr>
            <w:tcW w:w="0" w:type="auto"/>
            <w:vAlign w:val="bottom"/>
          </w:tcPr>
          <w:p w14:paraId="0DD26649" w14:textId="368DA504" w:rsidR="008A6844" w:rsidRPr="000E57E3" w:rsidRDefault="008A6844" w:rsidP="000E57E3">
            <w:pPr>
              <w:pStyle w:val="Tabletext"/>
            </w:pPr>
            <w:r w:rsidRPr="000E57E3">
              <w:t> </w:t>
            </w:r>
          </w:p>
        </w:tc>
        <w:tc>
          <w:tcPr>
            <w:tcW w:w="0" w:type="auto"/>
            <w:vAlign w:val="bottom"/>
          </w:tcPr>
          <w:p w14:paraId="5BAAC1BB" w14:textId="730066B0" w:rsidR="008A6844" w:rsidRPr="000E57E3" w:rsidRDefault="008A6844" w:rsidP="000E57E3">
            <w:pPr>
              <w:pStyle w:val="Tabletext"/>
            </w:pPr>
            <w:r w:rsidRPr="000E57E3">
              <w:t> </w:t>
            </w:r>
          </w:p>
        </w:tc>
        <w:tc>
          <w:tcPr>
            <w:tcW w:w="0" w:type="auto"/>
            <w:vAlign w:val="bottom"/>
          </w:tcPr>
          <w:p w14:paraId="40D6FA27" w14:textId="71705EC7" w:rsidR="008A6844" w:rsidRPr="000E57E3" w:rsidRDefault="008A6844" w:rsidP="000E57E3">
            <w:pPr>
              <w:pStyle w:val="Tabletext"/>
            </w:pPr>
            <w:r w:rsidRPr="000E57E3">
              <w:t> </w:t>
            </w:r>
          </w:p>
        </w:tc>
        <w:tc>
          <w:tcPr>
            <w:tcW w:w="0" w:type="auto"/>
            <w:vAlign w:val="bottom"/>
          </w:tcPr>
          <w:p w14:paraId="12476E22" w14:textId="7EF0E768" w:rsidR="008A6844" w:rsidRPr="000E57E3" w:rsidRDefault="008A6844" w:rsidP="000E57E3">
            <w:pPr>
              <w:pStyle w:val="Tabletext"/>
            </w:pPr>
            <w:r w:rsidRPr="000E57E3">
              <w:t> </w:t>
            </w:r>
          </w:p>
        </w:tc>
        <w:tc>
          <w:tcPr>
            <w:tcW w:w="0" w:type="auto"/>
            <w:vAlign w:val="bottom"/>
          </w:tcPr>
          <w:p w14:paraId="5958B829" w14:textId="7AEA8F5E" w:rsidR="008A6844" w:rsidRPr="000E57E3" w:rsidRDefault="008A6844" w:rsidP="000E57E3">
            <w:pPr>
              <w:pStyle w:val="Tabletext"/>
            </w:pPr>
            <w:r w:rsidRPr="000E57E3">
              <w:t> </w:t>
            </w:r>
          </w:p>
        </w:tc>
        <w:tc>
          <w:tcPr>
            <w:tcW w:w="0" w:type="auto"/>
            <w:vAlign w:val="bottom"/>
          </w:tcPr>
          <w:p w14:paraId="3B9DE45F" w14:textId="138AFC77" w:rsidR="008A6844" w:rsidRPr="000E57E3" w:rsidRDefault="008A6844" w:rsidP="000E57E3">
            <w:pPr>
              <w:pStyle w:val="Tabletext"/>
            </w:pPr>
            <w:r w:rsidRPr="000E57E3">
              <w:t> </w:t>
            </w:r>
          </w:p>
        </w:tc>
        <w:tc>
          <w:tcPr>
            <w:tcW w:w="0" w:type="auto"/>
            <w:vAlign w:val="bottom"/>
          </w:tcPr>
          <w:p w14:paraId="334EE46F" w14:textId="560429AF" w:rsidR="008A6844" w:rsidRPr="000E57E3" w:rsidRDefault="008A6844" w:rsidP="000E57E3">
            <w:pPr>
              <w:pStyle w:val="Tabletext"/>
            </w:pPr>
            <w:r w:rsidRPr="000E57E3">
              <w:t>Y</w:t>
            </w:r>
          </w:p>
        </w:tc>
        <w:tc>
          <w:tcPr>
            <w:tcW w:w="0" w:type="auto"/>
            <w:vAlign w:val="bottom"/>
          </w:tcPr>
          <w:p w14:paraId="749E3A95" w14:textId="78C01136" w:rsidR="008A6844" w:rsidRPr="000E57E3" w:rsidRDefault="008A6844" w:rsidP="000E57E3">
            <w:pPr>
              <w:pStyle w:val="Tabletext"/>
            </w:pPr>
            <w:r w:rsidRPr="000E57E3">
              <w:t> </w:t>
            </w:r>
          </w:p>
        </w:tc>
        <w:tc>
          <w:tcPr>
            <w:tcW w:w="0" w:type="auto"/>
            <w:vAlign w:val="bottom"/>
          </w:tcPr>
          <w:p w14:paraId="753A522C" w14:textId="7B61415F" w:rsidR="008A6844" w:rsidRPr="000E57E3" w:rsidRDefault="008A6844" w:rsidP="000E57E3">
            <w:pPr>
              <w:pStyle w:val="Tabletext"/>
            </w:pPr>
            <w:r w:rsidRPr="000E57E3">
              <w:t> </w:t>
            </w:r>
          </w:p>
        </w:tc>
        <w:tc>
          <w:tcPr>
            <w:tcW w:w="0" w:type="auto"/>
            <w:vAlign w:val="bottom"/>
          </w:tcPr>
          <w:p w14:paraId="596F5F7D" w14:textId="5D15C3FC" w:rsidR="008A6844" w:rsidRPr="000E57E3" w:rsidRDefault="008A6844" w:rsidP="000E57E3">
            <w:pPr>
              <w:pStyle w:val="Tabletext"/>
            </w:pPr>
            <w:r w:rsidRPr="000E57E3">
              <w:t> </w:t>
            </w:r>
          </w:p>
        </w:tc>
        <w:tc>
          <w:tcPr>
            <w:tcW w:w="0" w:type="auto"/>
            <w:vAlign w:val="bottom"/>
          </w:tcPr>
          <w:p w14:paraId="20AF21D8" w14:textId="270C78BC" w:rsidR="008A6844" w:rsidRPr="000E57E3" w:rsidRDefault="008A6844" w:rsidP="000E57E3">
            <w:pPr>
              <w:pStyle w:val="Tabletext"/>
            </w:pPr>
            <w:r w:rsidRPr="000E57E3">
              <w:t> </w:t>
            </w:r>
          </w:p>
        </w:tc>
        <w:tc>
          <w:tcPr>
            <w:tcW w:w="0" w:type="auto"/>
            <w:vAlign w:val="bottom"/>
          </w:tcPr>
          <w:p w14:paraId="79B2105D" w14:textId="24808423" w:rsidR="008A6844" w:rsidRPr="000E57E3" w:rsidRDefault="008A6844" w:rsidP="000E57E3">
            <w:pPr>
              <w:pStyle w:val="Tabletext"/>
            </w:pPr>
            <w:r w:rsidRPr="000E57E3">
              <w:t>Facilitated</w:t>
            </w:r>
          </w:p>
        </w:tc>
      </w:tr>
      <w:tr w:rsidR="00776CCE" w:rsidRPr="008A6844" w14:paraId="614CF600" w14:textId="77777777" w:rsidTr="00CA44B7">
        <w:tc>
          <w:tcPr>
            <w:tcW w:w="0" w:type="auto"/>
            <w:vAlign w:val="bottom"/>
          </w:tcPr>
          <w:p w14:paraId="4F4E653C" w14:textId="6086464C" w:rsidR="008A6844" w:rsidRPr="000E57E3" w:rsidRDefault="008A6844" w:rsidP="000E57E3">
            <w:pPr>
              <w:pStyle w:val="Tabletext"/>
            </w:pPr>
            <w:r w:rsidRPr="000E57E3">
              <w:t>FOXO1</w:t>
            </w:r>
          </w:p>
        </w:tc>
        <w:tc>
          <w:tcPr>
            <w:tcW w:w="0" w:type="auto"/>
            <w:vAlign w:val="bottom"/>
          </w:tcPr>
          <w:p w14:paraId="0D8E7E73" w14:textId="1A43CBD2" w:rsidR="008A6844" w:rsidRPr="000E57E3" w:rsidRDefault="008A6844" w:rsidP="000E57E3">
            <w:pPr>
              <w:pStyle w:val="Tabletext"/>
            </w:pPr>
            <w:r w:rsidRPr="000E57E3">
              <w:t> </w:t>
            </w:r>
          </w:p>
        </w:tc>
        <w:tc>
          <w:tcPr>
            <w:tcW w:w="0" w:type="auto"/>
            <w:vAlign w:val="bottom"/>
          </w:tcPr>
          <w:p w14:paraId="2E95B87A" w14:textId="35EEF495" w:rsidR="008A6844" w:rsidRPr="000E57E3" w:rsidRDefault="008A6844" w:rsidP="000E57E3">
            <w:pPr>
              <w:pStyle w:val="Tabletext"/>
            </w:pPr>
            <w:r w:rsidRPr="000E57E3">
              <w:t> </w:t>
            </w:r>
          </w:p>
        </w:tc>
        <w:tc>
          <w:tcPr>
            <w:tcW w:w="0" w:type="auto"/>
            <w:vAlign w:val="bottom"/>
          </w:tcPr>
          <w:p w14:paraId="40D2EAB9" w14:textId="2B29C1EF" w:rsidR="008A6844" w:rsidRPr="000E57E3" w:rsidRDefault="008A6844" w:rsidP="000E57E3">
            <w:pPr>
              <w:pStyle w:val="Tabletext"/>
            </w:pPr>
            <w:r w:rsidRPr="000E57E3">
              <w:t> </w:t>
            </w:r>
          </w:p>
        </w:tc>
        <w:tc>
          <w:tcPr>
            <w:tcW w:w="0" w:type="auto"/>
            <w:vAlign w:val="bottom"/>
          </w:tcPr>
          <w:p w14:paraId="7683A334" w14:textId="7C01C470" w:rsidR="008A6844" w:rsidRPr="000E57E3" w:rsidRDefault="008A6844" w:rsidP="000E57E3">
            <w:pPr>
              <w:pStyle w:val="Tabletext"/>
            </w:pPr>
            <w:r w:rsidRPr="000E57E3">
              <w:t> </w:t>
            </w:r>
          </w:p>
        </w:tc>
        <w:tc>
          <w:tcPr>
            <w:tcW w:w="0" w:type="auto"/>
            <w:vAlign w:val="bottom"/>
          </w:tcPr>
          <w:p w14:paraId="33190697" w14:textId="6AD9FBFD" w:rsidR="008A6844" w:rsidRPr="000E57E3" w:rsidRDefault="008A6844" w:rsidP="000E57E3">
            <w:pPr>
              <w:pStyle w:val="Tabletext"/>
            </w:pPr>
            <w:r w:rsidRPr="000E57E3">
              <w:t> </w:t>
            </w:r>
          </w:p>
        </w:tc>
        <w:tc>
          <w:tcPr>
            <w:tcW w:w="0" w:type="auto"/>
            <w:vAlign w:val="bottom"/>
          </w:tcPr>
          <w:p w14:paraId="621E9CB4" w14:textId="47A50A20" w:rsidR="008A6844" w:rsidRPr="000E57E3" w:rsidRDefault="008A6844" w:rsidP="000E57E3">
            <w:pPr>
              <w:pStyle w:val="Tabletext"/>
            </w:pPr>
            <w:r w:rsidRPr="000E57E3">
              <w:t> </w:t>
            </w:r>
          </w:p>
        </w:tc>
        <w:tc>
          <w:tcPr>
            <w:tcW w:w="0" w:type="auto"/>
            <w:vAlign w:val="bottom"/>
          </w:tcPr>
          <w:p w14:paraId="4B6E9B07" w14:textId="21825926" w:rsidR="008A6844" w:rsidRPr="000E57E3" w:rsidRDefault="008A6844" w:rsidP="000E57E3">
            <w:pPr>
              <w:pStyle w:val="Tabletext"/>
            </w:pPr>
            <w:r w:rsidRPr="000E57E3">
              <w:t>Y</w:t>
            </w:r>
          </w:p>
        </w:tc>
        <w:tc>
          <w:tcPr>
            <w:tcW w:w="0" w:type="auto"/>
            <w:vAlign w:val="bottom"/>
          </w:tcPr>
          <w:p w14:paraId="6D3E3C20" w14:textId="20A2D362" w:rsidR="008A6844" w:rsidRPr="000E57E3" w:rsidRDefault="008A6844" w:rsidP="000E57E3">
            <w:pPr>
              <w:pStyle w:val="Tabletext"/>
            </w:pPr>
            <w:r w:rsidRPr="000E57E3">
              <w:t>Y</w:t>
            </w:r>
          </w:p>
        </w:tc>
        <w:tc>
          <w:tcPr>
            <w:tcW w:w="0" w:type="auto"/>
            <w:vAlign w:val="bottom"/>
          </w:tcPr>
          <w:p w14:paraId="079576A3" w14:textId="21942282" w:rsidR="008A6844" w:rsidRPr="000E57E3" w:rsidRDefault="008A6844" w:rsidP="000E57E3">
            <w:pPr>
              <w:pStyle w:val="Tabletext"/>
            </w:pPr>
            <w:r w:rsidRPr="000E57E3">
              <w:t> </w:t>
            </w:r>
          </w:p>
        </w:tc>
        <w:tc>
          <w:tcPr>
            <w:tcW w:w="0" w:type="auto"/>
            <w:vAlign w:val="bottom"/>
          </w:tcPr>
          <w:p w14:paraId="0BF50AFB" w14:textId="4AFC88C7" w:rsidR="008A6844" w:rsidRPr="000E57E3" w:rsidRDefault="008A6844" w:rsidP="000E57E3">
            <w:pPr>
              <w:pStyle w:val="Tabletext"/>
            </w:pPr>
            <w:r w:rsidRPr="000E57E3">
              <w:t> </w:t>
            </w:r>
          </w:p>
        </w:tc>
        <w:tc>
          <w:tcPr>
            <w:tcW w:w="0" w:type="auto"/>
            <w:vAlign w:val="bottom"/>
          </w:tcPr>
          <w:p w14:paraId="52B308C3" w14:textId="551812EF" w:rsidR="008A6844" w:rsidRPr="000E57E3" w:rsidRDefault="008A6844" w:rsidP="000E57E3">
            <w:pPr>
              <w:pStyle w:val="Tabletext"/>
            </w:pPr>
            <w:r w:rsidRPr="000E57E3">
              <w:t> </w:t>
            </w:r>
          </w:p>
        </w:tc>
        <w:tc>
          <w:tcPr>
            <w:tcW w:w="0" w:type="auto"/>
            <w:vAlign w:val="bottom"/>
          </w:tcPr>
          <w:p w14:paraId="396408EA" w14:textId="179B3018" w:rsidR="008A6844" w:rsidRPr="000E57E3" w:rsidRDefault="008A6844" w:rsidP="000E57E3">
            <w:pPr>
              <w:pStyle w:val="Tabletext"/>
            </w:pPr>
            <w:r w:rsidRPr="000E57E3">
              <w:t>Facilitated</w:t>
            </w:r>
          </w:p>
        </w:tc>
      </w:tr>
      <w:tr w:rsidR="00776CCE" w:rsidRPr="008A6844" w14:paraId="0F4C0D9F" w14:textId="77777777" w:rsidTr="00CA44B7">
        <w:tc>
          <w:tcPr>
            <w:tcW w:w="0" w:type="auto"/>
            <w:vAlign w:val="bottom"/>
          </w:tcPr>
          <w:p w14:paraId="3577E8E0" w14:textId="73B33E70" w:rsidR="008A6844" w:rsidRPr="000E57E3" w:rsidRDefault="008A6844" w:rsidP="000E57E3">
            <w:pPr>
              <w:pStyle w:val="Tabletext"/>
            </w:pPr>
            <w:r w:rsidRPr="000E57E3">
              <w:t>FUS</w:t>
            </w:r>
          </w:p>
        </w:tc>
        <w:tc>
          <w:tcPr>
            <w:tcW w:w="0" w:type="auto"/>
            <w:vAlign w:val="bottom"/>
          </w:tcPr>
          <w:p w14:paraId="542DB709" w14:textId="3E6F38F0" w:rsidR="008A6844" w:rsidRPr="000E57E3" w:rsidRDefault="008A6844" w:rsidP="000E57E3">
            <w:pPr>
              <w:pStyle w:val="Tabletext"/>
            </w:pPr>
            <w:r w:rsidRPr="000E57E3">
              <w:t> </w:t>
            </w:r>
          </w:p>
        </w:tc>
        <w:tc>
          <w:tcPr>
            <w:tcW w:w="0" w:type="auto"/>
            <w:vAlign w:val="bottom"/>
          </w:tcPr>
          <w:p w14:paraId="78D3B00E" w14:textId="4BE8188B" w:rsidR="008A6844" w:rsidRPr="000E57E3" w:rsidRDefault="008A6844" w:rsidP="000E57E3">
            <w:pPr>
              <w:pStyle w:val="Tabletext"/>
            </w:pPr>
            <w:r w:rsidRPr="000E57E3">
              <w:t> </w:t>
            </w:r>
          </w:p>
        </w:tc>
        <w:tc>
          <w:tcPr>
            <w:tcW w:w="0" w:type="auto"/>
            <w:vAlign w:val="bottom"/>
          </w:tcPr>
          <w:p w14:paraId="6C15F67B" w14:textId="22025FAB" w:rsidR="008A6844" w:rsidRPr="000E57E3" w:rsidRDefault="008A6844" w:rsidP="000E57E3">
            <w:pPr>
              <w:pStyle w:val="Tabletext"/>
            </w:pPr>
            <w:r w:rsidRPr="000E57E3">
              <w:t> </w:t>
            </w:r>
          </w:p>
        </w:tc>
        <w:tc>
          <w:tcPr>
            <w:tcW w:w="0" w:type="auto"/>
            <w:vAlign w:val="bottom"/>
          </w:tcPr>
          <w:p w14:paraId="219DAE05" w14:textId="501CEE6C" w:rsidR="008A6844" w:rsidRPr="000E57E3" w:rsidRDefault="008A6844" w:rsidP="000E57E3">
            <w:pPr>
              <w:pStyle w:val="Tabletext"/>
            </w:pPr>
            <w:r w:rsidRPr="000E57E3">
              <w:t> </w:t>
            </w:r>
          </w:p>
        </w:tc>
        <w:tc>
          <w:tcPr>
            <w:tcW w:w="0" w:type="auto"/>
            <w:vAlign w:val="bottom"/>
          </w:tcPr>
          <w:p w14:paraId="3929A77F" w14:textId="00F39422" w:rsidR="008A6844" w:rsidRPr="000E57E3" w:rsidRDefault="008A6844" w:rsidP="000E57E3">
            <w:pPr>
              <w:pStyle w:val="Tabletext"/>
            </w:pPr>
            <w:r w:rsidRPr="000E57E3">
              <w:t>Y</w:t>
            </w:r>
          </w:p>
        </w:tc>
        <w:tc>
          <w:tcPr>
            <w:tcW w:w="0" w:type="auto"/>
            <w:vAlign w:val="bottom"/>
          </w:tcPr>
          <w:p w14:paraId="0E0B7706" w14:textId="1B86893C" w:rsidR="008A6844" w:rsidRPr="000E57E3" w:rsidRDefault="008A6844" w:rsidP="000E57E3">
            <w:pPr>
              <w:pStyle w:val="Tabletext"/>
            </w:pPr>
            <w:r w:rsidRPr="000E57E3">
              <w:t> </w:t>
            </w:r>
          </w:p>
        </w:tc>
        <w:tc>
          <w:tcPr>
            <w:tcW w:w="0" w:type="auto"/>
            <w:vAlign w:val="bottom"/>
          </w:tcPr>
          <w:p w14:paraId="68E1EA62" w14:textId="134B9513" w:rsidR="008A6844" w:rsidRPr="000E57E3" w:rsidRDefault="008A6844" w:rsidP="000E57E3">
            <w:pPr>
              <w:pStyle w:val="Tabletext"/>
            </w:pPr>
            <w:r w:rsidRPr="000E57E3">
              <w:t> </w:t>
            </w:r>
          </w:p>
        </w:tc>
        <w:tc>
          <w:tcPr>
            <w:tcW w:w="0" w:type="auto"/>
            <w:vAlign w:val="bottom"/>
          </w:tcPr>
          <w:p w14:paraId="3DE99D33" w14:textId="55A2A373" w:rsidR="008A6844" w:rsidRPr="000E57E3" w:rsidRDefault="008A6844" w:rsidP="000E57E3">
            <w:pPr>
              <w:pStyle w:val="Tabletext"/>
            </w:pPr>
            <w:r w:rsidRPr="000E57E3">
              <w:t> </w:t>
            </w:r>
          </w:p>
        </w:tc>
        <w:tc>
          <w:tcPr>
            <w:tcW w:w="0" w:type="auto"/>
            <w:vAlign w:val="bottom"/>
          </w:tcPr>
          <w:p w14:paraId="46408113" w14:textId="5B65550B" w:rsidR="008A6844" w:rsidRPr="000E57E3" w:rsidRDefault="008A6844" w:rsidP="000E57E3">
            <w:pPr>
              <w:pStyle w:val="Tabletext"/>
            </w:pPr>
            <w:r w:rsidRPr="000E57E3">
              <w:t> </w:t>
            </w:r>
          </w:p>
        </w:tc>
        <w:tc>
          <w:tcPr>
            <w:tcW w:w="0" w:type="auto"/>
            <w:vAlign w:val="bottom"/>
          </w:tcPr>
          <w:p w14:paraId="33A47DAF" w14:textId="597C7C7C" w:rsidR="008A6844" w:rsidRPr="000E57E3" w:rsidRDefault="008A6844" w:rsidP="000E57E3">
            <w:pPr>
              <w:pStyle w:val="Tabletext"/>
            </w:pPr>
            <w:r w:rsidRPr="000E57E3">
              <w:t> </w:t>
            </w:r>
          </w:p>
        </w:tc>
        <w:tc>
          <w:tcPr>
            <w:tcW w:w="0" w:type="auto"/>
            <w:vAlign w:val="bottom"/>
          </w:tcPr>
          <w:p w14:paraId="48767CDD" w14:textId="17C073B2" w:rsidR="008A6844" w:rsidRPr="000E57E3" w:rsidRDefault="008A6844" w:rsidP="000E57E3">
            <w:pPr>
              <w:pStyle w:val="Tabletext"/>
            </w:pPr>
            <w:r w:rsidRPr="000E57E3">
              <w:t> </w:t>
            </w:r>
          </w:p>
        </w:tc>
        <w:tc>
          <w:tcPr>
            <w:tcW w:w="0" w:type="auto"/>
            <w:vAlign w:val="bottom"/>
          </w:tcPr>
          <w:p w14:paraId="04A0FF68" w14:textId="4D23348D" w:rsidR="008A6844" w:rsidRPr="000E57E3" w:rsidRDefault="008A6844" w:rsidP="000E57E3">
            <w:pPr>
              <w:pStyle w:val="Tabletext"/>
            </w:pPr>
            <w:r w:rsidRPr="000E57E3">
              <w:t>Facilitated</w:t>
            </w:r>
          </w:p>
        </w:tc>
      </w:tr>
      <w:tr w:rsidR="00776CCE" w:rsidRPr="008A6844" w14:paraId="14DC3B2E" w14:textId="77777777" w:rsidTr="00CA44B7">
        <w:tc>
          <w:tcPr>
            <w:tcW w:w="0" w:type="auto"/>
            <w:vAlign w:val="bottom"/>
          </w:tcPr>
          <w:p w14:paraId="081FDA0D" w14:textId="5FD717AB" w:rsidR="008A6844" w:rsidRPr="000E57E3" w:rsidRDefault="008A6844" w:rsidP="000E57E3">
            <w:pPr>
              <w:pStyle w:val="Tabletext"/>
            </w:pPr>
            <w:r w:rsidRPr="000E57E3">
              <w:t>FYN</w:t>
            </w:r>
          </w:p>
        </w:tc>
        <w:tc>
          <w:tcPr>
            <w:tcW w:w="0" w:type="auto"/>
            <w:vAlign w:val="bottom"/>
          </w:tcPr>
          <w:p w14:paraId="48FCCD55" w14:textId="59B3F1A8" w:rsidR="008A6844" w:rsidRPr="000E57E3" w:rsidRDefault="008A6844" w:rsidP="000E57E3">
            <w:pPr>
              <w:pStyle w:val="Tabletext"/>
            </w:pPr>
            <w:r w:rsidRPr="000E57E3">
              <w:t> </w:t>
            </w:r>
          </w:p>
        </w:tc>
        <w:tc>
          <w:tcPr>
            <w:tcW w:w="0" w:type="auto"/>
            <w:vAlign w:val="bottom"/>
          </w:tcPr>
          <w:p w14:paraId="255E20F4" w14:textId="674AA181" w:rsidR="008A6844" w:rsidRPr="000E57E3" w:rsidRDefault="008A6844" w:rsidP="000E57E3">
            <w:pPr>
              <w:pStyle w:val="Tabletext"/>
            </w:pPr>
            <w:r w:rsidRPr="000E57E3">
              <w:t> </w:t>
            </w:r>
          </w:p>
        </w:tc>
        <w:tc>
          <w:tcPr>
            <w:tcW w:w="0" w:type="auto"/>
            <w:vAlign w:val="bottom"/>
          </w:tcPr>
          <w:p w14:paraId="2722F9C6" w14:textId="3522CC26" w:rsidR="008A6844" w:rsidRPr="000E57E3" w:rsidRDefault="008A6844" w:rsidP="000E57E3">
            <w:pPr>
              <w:pStyle w:val="Tabletext"/>
            </w:pPr>
            <w:r w:rsidRPr="000E57E3">
              <w:t> </w:t>
            </w:r>
          </w:p>
        </w:tc>
        <w:tc>
          <w:tcPr>
            <w:tcW w:w="0" w:type="auto"/>
            <w:vAlign w:val="bottom"/>
          </w:tcPr>
          <w:p w14:paraId="03D4DF33" w14:textId="12FE9211" w:rsidR="008A6844" w:rsidRPr="000E57E3" w:rsidRDefault="008A6844" w:rsidP="000E57E3">
            <w:pPr>
              <w:pStyle w:val="Tabletext"/>
            </w:pPr>
            <w:r w:rsidRPr="000E57E3">
              <w:t> </w:t>
            </w:r>
          </w:p>
        </w:tc>
        <w:tc>
          <w:tcPr>
            <w:tcW w:w="0" w:type="auto"/>
            <w:vAlign w:val="bottom"/>
          </w:tcPr>
          <w:p w14:paraId="188358D5" w14:textId="4B365BDC" w:rsidR="008A6844" w:rsidRPr="000E57E3" w:rsidRDefault="008A6844" w:rsidP="000E57E3">
            <w:pPr>
              <w:pStyle w:val="Tabletext"/>
            </w:pPr>
            <w:r w:rsidRPr="000E57E3">
              <w:t> </w:t>
            </w:r>
          </w:p>
        </w:tc>
        <w:tc>
          <w:tcPr>
            <w:tcW w:w="0" w:type="auto"/>
            <w:vAlign w:val="bottom"/>
          </w:tcPr>
          <w:p w14:paraId="01F3AACA" w14:textId="7F6EDDE9" w:rsidR="008A6844" w:rsidRPr="000E57E3" w:rsidRDefault="008A6844" w:rsidP="000E57E3">
            <w:pPr>
              <w:pStyle w:val="Tabletext"/>
            </w:pPr>
            <w:r w:rsidRPr="000E57E3">
              <w:t> </w:t>
            </w:r>
          </w:p>
        </w:tc>
        <w:tc>
          <w:tcPr>
            <w:tcW w:w="0" w:type="auto"/>
            <w:vAlign w:val="bottom"/>
          </w:tcPr>
          <w:p w14:paraId="7BEBBED4" w14:textId="5B442F6D" w:rsidR="008A6844" w:rsidRPr="000E57E3" w:rsidRDefault="008A6844" w:rsidP="000E57E3">
            <w:pPr>
              <w:pStyle w:val="Tabletext"/>
            </w:pPr>
            <w:r w:rsidRPr="000E57E3">
              <w:t>Y</w:t>
            </w:r>
          </w:p>
        </w:tc>
        <w:tc>
          <w:tcPr>
            <w:tcW w:w="0" w:type="auto"/>
            <w:vAlign w:val="bottom"/>
          </w:tcPr>
          <w:p w14:paraId="1E04B4BF" w14:textId="61DC4522" w:rsidR="008A6844" w:rsidRPr="000E57E3" w:rsidRDefault="008A6844" w:rsidP="000E57E3">
            <w:pPr>
              <w:pStyle w:val="Tabletext"/>
            </w:pPr>
            <w:r w:rsidRPr="000E57E3">
              <w:t> </w:t>
            </w:r>
          </w:p>
        </w:tc>
        <w:tc>
          <w:tcPr>
            <w:tcW w:w="0" w:type="auto"/>
            <w:vAlign w:val="bottom"/>
          </w:tcPr>
          <w:p w14:paraId="3596B2D1" w14:textId="5A550FB4" w:rsidR="008A6844" w:rsidRPr="000E57E3" w:rsidRDefault="008A6844" w:rsidP="000E57E3">
            <w:pPr>
              <w:pStyle w:val="Tabletext"/>
            </w:pPr>
            <w:r w:rsidRPr="000E57E3">
              <w:t> </w:t>
            </w:r>
          </w:p>
        </w:tc>
        <w:tc>
          <w:tcPr>
            <w:tcW w:w="0" w:type="auto"/>
            <w:vAlign w:val="bottom"/>
          </w:tcPr>
          <w:p w14:paraId="7156D4F0" w14:textId="0C484AE1" w:rsidR="008A6844" w:rsidRPr="000E57E3" w:rsidRDefault="008A6844" w:rsidP="000E57E3">
            <w:pPr>
              <w:pStyle w:val="Tabletext"/>
            </w:pPr>
            <w:r w:rsidRPr="000E57E3">
              <w:t> </w:t>
            </w:r>
          </w:p>
        </w:tc>
        <w:tc>
          <w:tcPr>
            <w:tcW w:w="0" w:type="auto"/>
            <w:vAlign w:val="bottom"/>
          </w:tcPr>
          <w:p w14:paraId="2B33F34D" w14:textId="4C6D4F16" w:rsidR="008A6844" w:rsidRPr="000E57E3" w:rsidRDefault="008A6844" w:rsidP="000E57E3">
            <w:pPr>
              <w:pStyle w:val="Tabletext"/>
            </w:pPr>
            <w:r w:rsidRPr="000E57E3">
              <w:t> </w:t>
            </w:r>
          </w:p>
        </w:tc>
        <w:tc>
          <w:tcPr>
            <w:tcW w:w="0" w:type="auto"/>
            <w:vAlign w:val="bottom"/>
          </w:tcPr>
          <w:p w14:paraId="03098B0C" w14:textId="187FE56C" w:rsidR="008A6844" w:rsidRPr="000E57E3" w:rsidRDefault="008A6844" w:rsidP="000E57E3">
            <w:pPr>
              <w:pStyle w:val="Tabletext"/>
            </w:pPr>
            <w:r w:rsidRPr="000E57E3">
              <w:t>Facilitated</w:t>
            </w:r>
          </w:p>
        </w:tc>
      </w:tr>
      <w:tr w:rsidR="00776CCE" w:rsidRPr="008A6844" w14:paraId="1AB06155" w14:textId="77777777" w:rsidTr="00CA44B7">
        <w:tc>
          <w:tcPr>
            <w:tcW w:w="0" w:type="auto"/>
            <w:vAlign w:val="bottom"/>
          </w:tcPr>
          <w:p w14:paraId="7A27ED1D" w14:textId="7B92AEDA" w:rsidR="008A6844" w:rsidRPr="000E57E3" w:rsidRDefault="008A6844" w:rsidP="000E57E3">
            <w:pPr>
              <w:pStyle w:val="Tabletext"/>
            </w:pPr>
            <w:r w:rsidRPr="000E57E3">
              <w:t>GNA13</w:t>
            </w:r>
          </w:p>
        </w:tc>
        <w:tc>
          <w:tcPr>
            <w:tcW w:w="0" w:type="auto"/>
            <w:vAlign w:val="bottom"/>
          </w:tcPr>
          <w:p w14:paraId="68C0697E" w14:textId="454ACB25" w:rsidR="008A6844" w:rsidRPr="000E57E3" w:rsidRDefault="008A6844" w:rsidP="000E57E3">
            <w:pPr>
              <w:pStyle w:val="Tabletext"/>
            </w:pPr>
            <w:r w:rsidRPr="000E57E3">
              <w:t> </w:t>
            </w:r>
          </w:p>
        </w:tc>
        <w:tc>
          <w:tcPr>
            <w:tcW w:w="0" w:type="auto"/>
            <w:vAlign w:val="bottom"/>
          </w:tcPr>
          <w:p w14:paraId="389BFFA2" w14:textId="61601E49" w:rsidR="008A6844" w:rsidRPr="000E57E3" w:rsidRDefault="008A6844" w:rsidP="000E57E3">
            <w:pPr>
              <w:pStyle w:val="Tabletext"/>
            </w:pPr>
            <w:r w:rsidRPr="000E57E3">
              <w:t> </w:t>
            </w:r>
          </w:p>
        </w:tc>
        <w:tc>
          <w:tcPr>
            <w:tcW w:w="0" w:type="auto"/>
            <w:vAlign w:val="bottom"/>
          </w:tcPr>
          <w:p w14:paraId="53AAC32A" w14:textId="3F76BA2D" w:rsidR="008A6844" w:rsidRPr="000E57E3" w:rsidRDefault="008A6844" w:rsidP="000E57E3">
            <w:pPr>
              <w:pStyle w:val="Tabletext"/>
            </w:pPr>
            <w:r w:rsidRPr="000E57E3">
              <w:t> </w:t>
            </w:r>
          </w:p>
        </w:tc>
        <w:tc>
          <w:tcPr>
            <w:tcW w:w="0" w:type="auto"/>
            <w:vAlign w:val="bottom"/>
          </w:tcPr>
          <w:p w14:paraId="590E0FE0" w14:textId="48D11A27" w:rsidR="008A6844" w:rsidRPr="000E57E3" w:rsidRDefault="008A6844" w:rsidP="000E57E3">
            <w:pPr>
              <w:pStyle w:val="Tabletext"/>
            </w:pPr>
            <w:r w:rsidRPr="000E57E3">
              <w:t>Y</w:t>
            </w:r>
          </w:p>
        </w:tc>
        <w:tc>
          <w:tcPr>
            <w:tcW w:w="0" w:type="auto"/>
            <w:vAlign w:val="bottom"/>
          </w:tcPr>
          <w:p w14:paraId="0B83FA9E" w14:textId="18E520CA" w:rsidR="008A6844" w:rsidRPr="000E57E3" w:rsidRDefault="008A6844" w:rsidP="000E57E3">
            <w:pPr>
              <w:pStyle w:val="Tabletext"/>
            </w:pPr>
            <w:r w:rsidRPr="000E57E3">
              <w:t> </w:t>
            </w:r>
          </w:p>
        </w:tc>
        <w:tc>
          <w:tcPr>
            <w:tcW w:w="0" w:type="auto"/>
            <w:vAlign w:val="bottom"/>
          </w:tcPr>
          <w:p w14:paraId="613224A3" w14:textId="292797F6" w:rsidR="008A6844" w:rsidRPr="000E57E3" w:rsidRDefault="008A6844" w:rsidP="000E57E3">
            <w:pPr>
              <w:pStyle w:val="Tabletext"/>
            </w:pPr>
            <w:r w:rsidRPr="000E57E3">
              <w:t> </w:t>
            </w:r>
          </w:p>
        </w:tc>
        <w:tc>
          <w:tcPr>
            <w:tcW w:w="0" w:type="auto"/>
            <w:vAlign w:val="bottom"/>
          </w:tcPr>
          <w:p w14:paraId="5BB4659E" w14:textId="6EFD8325" w:rsidR="008A6844" w:rsidRPr="000E57E3" w:rsidRDefault="008A6844" w:rsidP="000E57E3">
            <w:pPr>
              <w:pStyle w:val="Tabletext"/>
            </w:pPr>
            <w:r w:rsidRPr="000E57E3">
              <w:t> </w:t>
            </w:r>
          </w:p>
        </w:tc>
        <w:tc>
          <w:tcPr>
            <w:tcW w:w="0" w:type="auto"/>
            <w:vAlign w:val="bottom"/>
          </w:tcPr>
          <w:p w14:paraId="32AB4786" w14:textId="0E9D06EC" w:rsidR="008A6844" w:rsidRPr="000E57E3" w:rsidRDefault="008A6844" w:rsidP="000E57E3">
            <w:pPr>
              <w:pStyle w:val="Tabletext"/>
            </w:pPr>
            <w:r w:rsidRPr="000E57E3">
              <w:t>Y</w:t>
            </w:r>
          </w:p>
        </w:tc>
        <w:tc>
          <w:tcPr>
            <w:tcW w:w="0" w:type="auto"/>
            <w:vAlign w:val="bottom"/>
          </w:tcPr>
          <w:p w14:paraId="6FE3B372" w14:textId="391F558A" w:rsidR="008A6844" w:rsidRPr="000E57E3" w:rsidRDefault="008A6844" w:rsidP="000E57E3">
            <w:pPr>
              <w:pStyle w:val="Tabletext"/>
            </w:pPr>
            <w:r w:rsidRPr="000E57E3">
              <w:t> </w:t>
            </w:r>
          </w:p>
        </w:tc>
        <w:tc>
          <w:tcPr>
            <w:tcW w:w="0" w:type="auto"/>
            <w:vAlign w:val="bottom"/>
          </w:tcPr>
          <w:p w14:paraId="0D681F78" w14:textId="022165C1" w:rsidR="008A6844" w:rsidRPr="000E57E3" w:rsidRDefault="008A6844" w:rsidP="000E57E3">
            <w:pPr>
              <w:pStyle w:val="Tabletext"/>
            </w:pPr>
            <w:r w:rsidRPr="000E57E3">
              <w:t>Y</w:t>
            </w:r>
          </w:p>
        </w:tc>
        <w:tc>
          <w:tcPr>
            <w:tcW w:w="0" w:type="auto"/>
            <w:vAlign w:val="bottom"/>
          </w:tcPr>
          <w:p w14:paraId="6E8BE63A" w14:textId="56494FB0" w:rsidR="008A6844" w:rsidRPr="000E57E3" w:rsidRDefault="008A6844" w:rsidP="000E57E3">
            <w:pPr>
              <w:pStyle w:val="Tabletext"/>
            </w:pPr>
            <w:r w:rsidRPr="000E57E3">
              <w:t> </w:t>
            </w:r>
          </w:p>
        </w:tc>
        <w:tc>
          <w:tcPr>
            <w:tcW w:w="0" w:type="auto"/>
            <w:vAlign w:val="bottom"/>
          </w:tcPr>
          <w:p w14:paraId="080C42A6" w14:textId="55830415" w:rsidR="008A6844" w:rsidRPr="000E57E3" w:rsidRDefault="008A6844" w:rsidP="000E57E3">
            <w:pPr>
              <w:pStyle w:val="Tabletext"/>
            </w:pPr>
            <w:r w:rsidRPr="000E57E3">
              <w:t>Facilitated</w:t>
            </w:r>
          </w:p>
        </w:tc>
      </w:tr>
      <w:tr w:rsidR="00776CCE" w:rsidRPr="008A6844" w14:paraId="0DB1D518" w14:textId="77777777" w:rsidTr="00CA44B7">
        <w:tc>
          <w:tcPr>
            <w:tcW w:w="0" w:type="auto"/>
            <w:vAlign w:val="bottom"/>
          </w:tcPr>
          <w:p w14:paraId="74D372C2" w14:textId="7A48C46B" w:rsidR="008A6844" w:rsidRPr="000E57E3" w:rsidRDefault="008A6844" w:rsidP="000E57E3">
            <w:pPr>
              <w:pStyle w:val="Tabletext"/>
            </w:pPr>
            <w:r w:rsidRPr="000E57E3">
              <w:t>GNAS</w:t>
            </w:r>
          </w:p>
        </w:tc>
        <w:tc>
          <w:tcPr>
            <w:tcW w:w="0" w:type="auto"/>
            <w:vAlign w:val="bottom"/>
          </w:tcPr>
          <w:p w14:paraId="6EE66E71" w14:textId="54A440BE" w:rsidR="008A6844" w:rsidRPr="000E57E3" w:rsidRDefault="008A6844" w:rsidP="000E57E3">
            <w:pPr>
              <w:pStyle w:val="Tabletext"/>
            </w:pPr>
            <w:r w:rsidRPr="000E57E3">
              <w:t> </w:t>
            </w:r>
          </w:p>
        </w:tc>
        <w:tc>
          <w:tcPr>
            <w:tcW w:w="0" w:type="auto"/>
            <w:vAlign w:val="bottom"/>
          </w:tcPr>
          <w:p w14:paraId="1927C988" w14:textId="3C54AD3D" w:rsidR="008A6844" w:rsidRPr="000E57E3" w:rsidRDefault="008A6844" w:rsidP="000E57E3">
            <w:pPr>
              <w:pStyle w:val="Tabletext"/>
            </w:pPr>
            <w:r w:rsidRPr="000E57E3">
              <w:t> </w:t>
            </w:r>
          </w:p>
        </w:tc>
        <w:tc>
          <w:tcPr>
            <w:tcW w:w="0" w:type="auto"/>
            <w:vAlign w:val="bottom"/>
          </w:tcPr>
          <w:p w14:paraId="266B3036" w14:textId="1786CC70" w:rsidR="008A6844" w:rsidRPr="000E57E3" w:rsidRDefault="008A6844" w:rsidP="000E57E3">
            <w:pPr>
              <w:pStyle w:val="Tabletext"/>
            </w:pPr>
            <w:r w:rsidRPr="000E57E3">
              <w:t>Y</w:t>
            </w:r>
          </w:p>
        </w:tc>
        <w:tc>
          <w:tcPr>
            <w:tcW w:w="0" w:type="auto"/>
            <w:vAlign w:val="bottom"/>
          </w:tcPr>
          <w:p w14:paraId="79255E3B" w14:textId="295D9EE9" w:rsidR="008A6844" w:rsidRPr="000E57E3" w:rsidRDefault="008A6844" w:rsidP="000E57E3">
            <w:pPr>
              <w:pStyle w:val="Tabletext"/>
            </w:pPr>
            <w:r w:rsidRPr="000E57E3">
              <w:t> </w:t>
            </w:r>
          </w:p>
        </w:tc>
        <w:tc>
          <w:tcPr>
            <w:tcW w:w="0" w:type="auto"/>
            <w:vAlign w:val="bottom"/>
          </w:tcPr>
          <w:p w14:paraId="299CFCBD" w14:textId="07A6094B" w:rsidR="008A6844" w:rsidRPr="000E57E3" w:rsidRDefault="008A6844" w:rsidP="000E57E3">
            <w:pPr>
              <w:pStyle w:val="Tabletext"/>
            </w:pPr>
            <w:r w:rsidRPr="000E57E3">
              <w:t> </w:t>
            </w:r>
          </w:p>
        </w:tc>
        <w:tc>
          <w:tcPr>
            <w:tcW w:w="0" w:type="auto"/>
            <w:vAlign w:val="bottom"/>
          </w:tcPr>
          <w:p w14:paraId="0698A984" w14:textId="07BF4204" w:rsidR="008A6844" w:rsidRPr="000E57E3" w:rsidRDefault="008A6844" w:rsidP="000E57E3">
            <w:pPr>
              <w:pStyle w:val="Tabletext"/>
            </w:pPr>
            <w:r w:rsidRPr="000E57E3">
              <w:t> </w:t>
            </w:r>
          </w:p>
        </w:tc>
        <w:tc>
          <w:tcPr>
            <w:tcW w:w="0" w:type="auto"/>
            <w:vAlign w:val="bottom"/>
          </w:tcPr>
          <w:p w14:paraId="29ABF20A" w14:textId="4F5436AB" w:rsidR="008A6844" w:rsidRPr="000E57E3" w:rsidRDefault="008A6844" w:rsidP="000E57E3">
            <w:pPr>
              <w:pStyle w:val="Tabletext"/>
            </w:pPr>
            <w:r w:rsidRPr="000E57E3">
              <w:t> </w:t>
            </w:r>
          </w:p>
        </w:tc>
        <w:tc>
          <w:tcPr>
            <w:tcW w:w="0" w:type="auto"/>
            <w:vAlign w:val="bottom"/>
          </w:tcPr>
          <w:p w14:paraId="44712F3E" w14:textId="6CC22632" w:rsidR="008A6844" w:rsidRPr="000E57E3" w:rsidRDefault="008A6844" w:rsidP="000E57E3">
            <w:pPr>
              <w:pStyle w:val="Tabletext"/>
            </w:pPr>
            <w:r w:rsidRPr="000E57E3">
              <w:t> </w:t>
            </w:r>
          </w:p>
        </w:tc>
        <w:tc>
          <w:tcPr>
            <w:tcW w:w="0" w:type="auto"/>
            <w:vAlign w:val="bottom"/>
          </w:tcPr>
          <w:p w14:paraId="452E2D8C" w14:textId="6F403177" w:rsidR="008A6844" w:rsidRPr="000E57E3" w:rsidRDefault="008A6844" w:rsidP="000E57E3">
            <w:pPr>
              <w:pStyle w:val="Tabletext"/>
            </w:pPr>
            <w:r w:rsidRPr="000E57E3">
              <w:t> </w:t>
            </w:r>
          </w:p>
        </w:tc>
        <w:tc>
          <w:tcPr>
            <w:tcW w:w="0" w:type="auto"/>
            <w:vAlign w:val="bottom"/>
          </w:tcPr>
          <w:p w14:paraId="17962D67" w14:textId="0CB69240" w:rsidR="008A6844" w:rsidRPr="000E57E3" w:rsidRDefault="008A6844" w:rsidP="000E57E3">
            <w:pPr>
              <w:pStyle w:val="Tabletext"/>
            </w:pPr>
            <w:r w:rsidRPr="000E57E3">
              <w:t> </w:t>
            </w:r>
          </w:p>
        </w:tc>
        <w:tc>
          <w:tcPr>
            <w:tcW w:w="0" w:type="auto"/>
            <w:vAlign w:val="bottom"/>
          </w:tcPr>
          <w:p w14:paraId="77587E37" w14:textId="53156A01" w:rsidR="008A6844" w:rsidRPr="000E57E3" w:rsidRDefault="008A6844" w:rsidP="000E57E3">
            <w:pPr>
              <w:pStyle w:val="Tabletext"/>
            </w:pPr>
            <w:r w:rsidRPr="000E57E3">
              <w:t>Y</w:t>
            </w:r>
          </w:p>
        </w:tc>
        <w:tc>
          <w:tcPr>
            <w:tcW w:w="0" w:type="auto"/>
            <w:vAlign w:val="bottom"/>
          </w:tcPr>
          <w:p w14:paraId="18EEEDDB" w14:textId="77909083" w:rsidR="008A6844" w:rsidRPr="000E57E3" w:rsidRDefault="008A6844" w:rsidP="000E57E3">
            <w:pPr>
              <w:pStyle w:val="Tabletext"/>
            </w:pPr>
            <w:r w:rsidRPr="000E57E3">
              <w:t>Facilitated</w:t>
            </w:r>
          </w:p>
        </w:tc>
      </w:tr>
      <w:tr w:rsidR="00776CCE" w:rsidRPr="008A6844" w14:paraId="00C1C6B7" w14:textId="77777777" w:rsidTr="00CA44B7">
        <w:tc>
          <w:tcPr>
            <w:tcW w:w="0" w:type="auto"/>
            <w:vAlign w:val="bottom"/>
          </w:tcPr>
          <w:p w14:paraId="1DE27918" w14:textId="24F11A9F" w:rsidR="008A6844" w:rsidRPr="000E57E3" w:rsidRDefault="008A6844" w:rsidP="000E57E3">
            <w:pPr>
              <w:pStyle w:val="Tabletext"/>
            </w:pPr>
            <w:r w:rsidRPr="000E57E3">
              <w:t>HIST1H1E</w:t>
            </w:r>
          </w:p>
        </w:tc>
        <w:tc>
          <w:tcPr>
            <w:tcW w:w="0" w:type="auto"/>
            <w:vAlign w:val="bottom"/>
          </w:tcPr>
          <w:p w14:paraId="144C5BDF" w14:textId="50970BD2" w:rsidR="008A6844" w:rsidRPr="000E57E3" w:rsidRDefault="008A6844" w:rsidP="000E57E3">
            <w:pPr>
              <w:pStyle w:val="Tabletext"/>
            </w:pPr>
            <w:r w:rsidRPr="000E57E3">
              <w:t> </w:t>
            </w:r>
          </w:p>
        </w:tc>
        <w:tc>
          <w:tcPr>
            <w:tcW w:w="0" w:type="auto"/>
            <w:vAlign w:val="bottom"/>
          </w:tcPr>
          <w:p w14:paraId="506D3ECC" w14:textId="4DAD5643" w:rsidR="008A6844" w:rsidRPr="000E57E3" w:rsidRDefault="008A6844" w:rsidP="000E57E3">
            <w:pPr>
              <w:pStyle w:val="Tabletext"/>
            </w:pPr>
            <w:r w:rsidRPr="000E57E3">
              <w:t> </w:t>
            </w:r>
          </w:p>
        </w:tc>
        <w:tc>
          <w:tcPr>
            <w:tcW w:w="0" w:type="auto"/>
            <w:vAlign w:val="bottom"/>
          </w:tcPr>
          <w:p w14:paraId="0A0EE836" w14:textId="0DD317C4" w:rsidR="008A6844" w:rsidRPr="000E57E3" w:rsidRDefault="008A6844" w:rsidP="000E57E3">
            <w:pPr>
              <w:pStyle w:val="Tabletext"/>
            </w:pPr>
            <w:r w:rsidRPr="000E57E3">
              <w:t> </w:t>
            </w:r>
          </w:p>
        </w:tc>
        <w:tc>
          <w:tcPr>
            <w:tcW w:w="0" w:type="auto"/>
            <w:vAlign w:val="bottom"/>
          </w:tcPr>
          <w:p w14:paraId="78EF19C2" w14:textId="7643825B" w:rsidR="008A6844" w:rsidRPr="000E57E3" w:rsidRDefault="008A6844" w:rsidP="000E57E3">
            <w:pPr>
              <w:pStyle w:val="Tabletext"/>
            </w:pPr>
            <w:r w:rsidRPr="000E57E3">
              <w:t>Y</w:t>
            </w:r>
          </w:p>
        </w:tc>
        <w:tc>
          <w:tcPr>
            <w:tcW w:w="0" w:type="auto"/>
            <w:vAlign w:val="bottom"/>
          </w:tcPr>
          <w:p w14:paraId="07BC25E2" w14:textId="16ECDA31" w:rsidR="008A6844" w:rsidRPr="000E57E3" w:rsidRDefault="008A6844" w:rsidP="000E57E3">
            <w:pPr>
              <w:pStyle w:val="Tabletext"/>
            </w:pPr>
            <w:r w:rsidRPr="000E57E3">
              <w:t> </w:t>
            </w:r>
          </w:p>
        </w:tc>
        <w:tc>
          <w:tcPr>
            <w:tcW w:w="0" w:type="auto"/>
            <w:vAlign w:val="bottom"/>
          </w:tcPr>
          <w:p w14:paraId="5806130F" w14:textId="177B4A77" w:rsidR="008A6844" w:rsidRPr="000E57E3" w:rsidRDefault="008A6844" w:rsidP="000E57E3">
            <w:pPr>
              <w:pStyle w:val="Tabletext"/>
            </w:pPr>
            <w:r w:rsidRPr="000E57E3">
              <w:t> </w:t>
            </w:r>
          </w:p>
        </w:tc>
        <w:tc>
          <w:tcPr>
            <w:tcW w:w="0" w:type="auto"/>
            <w:vAlign w:val="bottom"/>
          </w:tcPr>
          <w:p w14:paraId="7C161CFC" w14:textId="6FE487B3" w:rsidR="008A6844" w:rsidRPr="000E57E3" w:rsidRDefault="008A6844" w:rsidP="000E57E3">
            <w:pPr>
              <w:pStyle w:val="Tabletext"/>
            </w:pPr>
            <w:r w:rsidRPr="000E57E3">
              <w:t> </w:t>
            </w:r>
          </w:p>
        </w:tc>
        <w:tc>
          <w:tcPr>
            <w:tcW w:w="0" w:type="auto"/>
            <w:vAlign w:val="bottom"/>
          </w:tcPr>
          <w:p w14:paraId="7762D705" w14:textId="2D36E161" w:rsidR="008A6844" w:rsidRPr="000E57E3" w:rsidRDefault="008A6844" w:rsidP="000E57E3">
            <w:pPr>
              <w:pStyle w:val="Tabletext"/>
            </w:pPr>
            <w:r w:rsidRPr="000E57E3">
              <w:t> </w:t>
            </w:r>
          </w:p>
        </w:tc>
        <w:tc>
          <w:tcPr>
            <w:tcW w:w="0" w:type="auto"/>
            <w:vAlign w:val="bottom"/>
          </w:tcPr>
          <w:p w14:paraId="25DFD52D" w14:textId="2D7109C0" w:rsidR="008A6844" w:rsidRPr="000E57E3" w:rsidRDefault="008A6844" w:rsidP="000E57E3">
            <w:pPr>
              <w:pStyle w:val="Tabletext"/>
            </w:pPr>
            <w:r w:rsidRPr="000E57E3">
              <w:t> </w:t>
            </w:r>
          </w:p>
        </w:tc>
        <w:tc>
          <w:tcPr>
            <w:tcW w:w="0" w:type="auto"/>
            <w:vAlign w:val="bottom"/>
          </w:tcPr>
          <w:p w14:paraId="1701EAA7" w14:textId="648FD77A" w:rsidR="008A6844" w:rsidRPr="000E57E3" w:rsidRDefault="008A6844" w:rsidP="000E57E3">
            <w:pPr>
              <w:pStyle w:val="Tabletext"/>
            </w:pPr>
            <w:r w:rsidRPr="000E57E3">
              <w:t> </w:t>
            </w:r>
          </w:p>
        </w:tc>
        <w:tc>
          <w:tcPr>
            <w:tcW w:w="0" w:type="auto"/>
            <w:vAlign w:val="bottom"/>
          </w:tcPr>
          <w:p w14:paraId="3F93D133" w14:textId="7D4A3D28" w:rsidR="008A6844" w:rsidRPr="000E57E3" w:rsidRDefault="008A6844" w:rsidP="000E57E3">
            <w:pPr>
              <w:pStyle w:val="Tabletext"/>
            </w:pPr>
            <w:r w:rsidRPr="000E57E3">
              <w:t> </w:t>
            </w:r>
          </w:p>
        </w:tc>
        <w:tc>
          <w:tcPr>
            <w:tcW w:w="0" w:type="auto"/>
            <w:vAlign w:val="bottom"/>
          </w:tcPr>
          <w:p w14:paraId="24CD64C6" w14:textId="24191F92" w:rsidR="008A6844" w:rsidRPr="000E57E3" w:rsidRDefault="008A6844" w:rsidP="000E57E3">
            <w:pPr>
              <w:pStyle w:val="Tabletext"/>
            </w:pPr>
            <w:r w:rsidRPr="000E57E3">
              <w:t>Facilitated</w:t>
            </w:r>
          </w:p>
        </w:tc>
      </w:tr>
      <w:tr w:rsidR="00776CCE" w:rsidRPr="008A6844" w14:paraId="5C23E467" w14:textId="77777777" w:rsidTr="00CA44B7">
        <w:tc>
          <w:tcPr>
            <w:tcW w:w="0" w:type="auto"/>
            <w:vAlign w:val="bottom"/>
          </w:tcPr>
          <w:p w14:paraId="3E19FA7F" w14:textId="67FE2D5D" w:rsidR="008A6844" w:rsidRPr="000E57E3" w:rsidRDefault="008A6844" w:rsidP="000E57E3">
            <w:pPr>
              <w:pStyle w:val="Tabletext"/>
            </w:pPr>
            <w:r w:rsidRPr="000E57E3">
              <w:t>HMGA2</w:t>
            </w:r>
          </w:p>
        </w:tc>
        <w:tc>
          <w:tcPr>
            <w:tcW w:w="0" w:type="auto"/>
            <w:vAlign w:val="bottom"/>
          </w:tcPr>
          <w:p w14:paraId="05ABAF2F" w14:textId="1D1F42D9" w:rsidR="008A6844" w:rsidRPr="000E57E3" w:rsidRDefault="008A6844" w:rsidP="000E57E3">
            <w:pPr>
              <w:pStyle w:val="Tabletext"/>
            </w:pPr>
            <w:r w:rsidRPr="000E57E3">
              <w:t> </w:t>
            </w:r>
          </w:p>
        </w:tc>
        <w:tc>
          <w:tcPr>
            <w:tcW w:w="0" w:type="auto"/>
            <w:vAlign w:val="bottom"/>
          </w:tcPr>
          <w:p w14:paraId="266C57C5" w14:textId="53542E30" w:rsidR="008A6844" w:rsidRPr="000E57E3" w:rsidRDefault="008A6844" w:rsidP="000E57E3">
            <w:pPr>
              <w:pStyle w:val="Tabletext"/>
            </w:pPr>
            <w:r w:rsidRPr="000E57E3">
              <w:t> </w:t>
            </w:r>
          </w:p>
        </w:tc>
        <w:tc>
          <w:tcPr>
            <w:tcW w:w="0" w:type="auto"/>
            <w:vAlign w:val="bottom"/>
          </w:tcPr>
          <w:p w14:paraId="256FF52A" w14:textId="5F7CB97B" w:rsidR="008A6844" w:rsidRPr="000E57E3" w:rsidRDefault="008A6844" w:rsidP="000E57E3">
            <w:pPr>
              <w:pStyle w:val="Tabletext"/>
            </w:pPr>
            <w:r w:rsidRPr="000E57E3">
              <w:t> </w:t>
            </w:r>
          </w:p>
        </w:tc>
        <w:tc>
          <w:tcPr>
            <w:tcW w:w="0" w:type="auto"/>
            <w:vAlign w:val="bottom"/>
          </w:tcPr>
          <w:p w14:paraId="531D0281" w14:textId="4EE49FEA" w:rsidR="008A6844" w:rsidRPr="000E57E3" w:rsidRDefault="008A6844" w:rsidP="000E57E3">
            <w:pPr>
              <w:pStyle w:val="Tabletext"/>
            </w:pPr>
            <w:r w:rsidRPr="000E57E3">
              <w:t> </w:t>
            </w:r>
          </w:p>
        </w:tc>
        <w:tc>
          <w:tcPr>
            <w:tcW w:w="0" w:type="auto"/>
            <w:vAlign w:val="bottom"/>
          </w:tcPr>
          <w:p w14:paraId="1AF5FC30" w14:textId="33D7B3FE" w:rsidR="008A6844" w:rsidRPr="000E57E3" w:rsidRDefault="008A6844" w:rsidP="000E57E3">
            <w:pPr>
              <w:pStyle w:val="Tabletext"/>
            </w:pPr>
            <w:r w:rsidRPr="000E57E3">
              <w:t>Y</w:t>
            </w:r>
          </w:p>
        </w:tc>
        <w:tc>
          <w:tcPr>
            <w:tcW w:w="0" w:type="auto"/>
            <w:vAlign w:val="bottom"/>
          </w:tcPr>
          <w:p w14:paraId="69D8716F" w14:textId="7520E4E5" w:rsidR="008A6844" w:rsidRPr="000E57E3" w:rsidRDefault="008A6844" w:rsidP="000E57E3">
            <w:pPr>
              <w:pStyle w:val="Tabletext"/>
            </w:pPr>
            <w:r w:rsidRPr="000E57E3">
              <w:t> </w:t>
            </w:r>
          </w:p>
        </w:tc>
        <w:tc>
          <w:tcPr>
            <w:tcW w:w="0" w:type="auto"/>
            <w:vAlign w:val="bottom"/>
          </w:tcPr>
          <w:p w14:paraId="2F84B1C7" w14:textId="09FA2C4A" w:rsidR="008A6844" w:rsidRPr="000E57E3" w:rsidRDefault="008A6844" w:rsidP="000E57E3">
            <w:pPr>
              <w:pStyle w:val="Tabletext"/>
            </w:pPr>
            <w:r w:rsidRPr="000E57E3">
              <w:t> </w:t>
            </w:r>
          </w:p>
        </w:tc>
        <w:tc>
          <w:tcPr>
            <w:tcW w:w="0" w:type="auto"/>
            <w:vAlign w:val="bottom"/>
          </w:tcPr>
          <w:p w14:paraId="10A4DBD7" w14:textId="5D81D98A" w:rsidR="008A6844" w:rsidRPr="000E57E3" w:rsidRDefault="008A6844" w:rsidP="000E57E3">
            <w:pPr>
              <w:pStyle w:val="Tabletext"/>
            </w:pPr>
            <w:r w:rsidRPr="000E57E3">
              <w:t> </w:t>
            </w:r>
          </w:p>
        </w:tc>
        <w:tc>
          <w:tcPr>
            <w:tcW w:w="0" w:type="auto"/>
            <w:vAlign w:val="bottom"/>
          </w:tcPr>
          <w:p w14:paraId="1F927198" w14:textId="598367FC" w:rsidR="008A6844" w:rsidRPr="000E57E3" w:rsidRDefault="008A6844" w:rsidP="000E57E3">
            <w:pPr>
              <w:pStyle w:val="Tabletext"/>
            </w:pPr>
            <w:r w:rsidRPr="000E57E3">
              <w:t> </w:t>
            </w:r>
          </w:p>
        </w:tc>
        <w:tc>
          <w:tcPr>
            <w:tcW w:w="0" w:type="auto"/>
            <w:vAlign w:val="bottom"/>
          </w:tcPr>
          <w:p w14:paraId="501C8752" w14:textId="21391B1F" w:rsidR="008A6844" w:rsidRPr="000E57E3" w:rsidRDefault="008A6844" w:rsidP="000E57E3">
            <w:pPr>
              <w:pStyle w:val="Tabletext"/>
            </w:pPr>
            <w:r w:rsidRPr="000E57E3">
              <w:t> </w:t>
            </w:r>
          </w:p>
        </w:tc>
        <w:tc>
          <w:tcPr>
            <w:tcW w:w="0" w:type="auto"/>
            <w:vAlign w:val="bottom"/>
          </w:tcPr>
          <w:p w14:paraId="718029FB" w14:textId="26D22F4F" w:rsidR="008A6844" w:rsidRPr="000E57E3" w:rsidRDefault="008A6844" w:rsidP="000E57E3">
            <w:pPr>
              <w:pStyle w:val="Tabletext"/>
            </w:pPr>
            <w:r w:rsidRPr="000E57E3">
              <w:t> </w:t>
            </w:r>
          </w:p>
        </w:tc>
        <w:tc>
          <w:tcPr>
            <w:tcW w:w="0" w:type="auto"/>
            <w:vAlign w:val="bottom"/>
          </w:tcPr>
          <w:p w14:paraId="5CD7702D" w14:textId="686DA245" w:rsidR="008A6844" w:rsidRPr="000E57E3" w:rsidRDefault="008A6844" w:rsidP="000E57E3">
            <w:pPr>
              <w:pStyle w:val="Tabletext"/>
            </w:pPr>
            <w:r w:rsidRPr="000E57E3">
              <w:t>Facilitated</w:t>
            </w:r>
          </w:p>
        </w:tc>
      </w:tr>
      <w:tr w:rsidR="00776CCE" w:rsidRPr="008A6844" w14:paraId="1CB567BE" w14:textId="77777777" w:rsidTr="00CA44B7">
        <w:tc>
          <w:tcPr>
            <w:tcW w:w="0" w:type="auto"/>
            <w:vAlign w:val="bottom"/>
          </w:tcPr>
          <w:p w14:paraId="42EC42E3" w14:textId="765992C7" w:rsidR="008A6844" w:rsidRPr="000E57E3" w:rsidRDefault="008A6844" w:rsidP="000E57E3">
            <w:pPr>
              <w:pStyle w:val="Tabletext"/>
            </w:pPr>
            <w:r w:rsidRPr="000E57E3">
              <w:t>HRAS</w:t>
            </w:r>
          </w:p>
        </w:tc>
        <w:tc>
          <w:tcPr>
            <w:tcW w:w="0" w:type="auto"/>
            <w:vAlign w:val="bottom"/>
          </w:tcPr>
          <w:p w14:paraId="7CCECCE9" w14:textId="6560C351" w:rsidR="008A6844" w:rsidRPr="000E57E3" w:rsidRDefault="008A6844" w:rsidP="000E57E3">
            <w:pPr>
              <w:pStyle w:val="Tabletext"/>
            </w:pPr>
            <w:r w:rsidRPr="000E57E3">
              <w:t> </w:t>
            </w:r>
          </w:p>
        </w:tc>
        <w:tc>
          <w:tcPr>
            <w:tcW w:w="0" w:type="auto"/>
            <w:vAlign w:val="bottom"/>
          </w:tcPr>
          <w:p w14:paraId="24980DAB" w14:textId="4C31F156" w:rsidR="008A6844" w:rsidRPr="000E57E3" w:rsidRDefault="008A6844" w:rsidP="000E57E3">
            <w:pPr>
              <w:pStyle w:val="Tabletext"/>
            </w:pPr>
            <w:r w:rsidRPr="000E57E3">
              <w:t> </w:t>
            </w:r>
          </w:p>
        </w:tc>
        <w:tc>
          <w:tcPr>
            <w:tcW w:w="0" w:type="auto"/>
            <w:vAlign w:val="bottom"/>
          </w:tcPr>
          <w:p w14:paraId="785118E2" w14:textId="33045433" w:rsidR="008A6844" w:rsidRPr="000E57E3" w:rsidRDefault="008A6844" w:rsidP="000E57E3">
            <w:pPr>
              <w:pStyle w:val="Tabletext"/>
            </w:pPr>
            <w:r w:rsidRPr="000E57E3">
              <w:t>Y</w:t>
            </w:r>
          </w:p>
        </w:tc>
        <w:tc>
          <w:tcPr>
            <w:tcW w:w="0" w:type="auto"/>
            <w:vAlign w:val="bottom"/>
          </w:tcPr>
          <w:p w14:paraId="5A34860B" w14:textId="481EE7D7" w:rsidR="008A6844" w:rsidRPr="000E57E3" w:rsidRDefault="008A6844" w:rsidP="000E57E3">
            <w:pPr>
              <w:pStyle w:val="Tabletext"/>
            </w:pPr>
            <w:r w:rsidRPr="000E57E3">
              <w:t> </w:t>
            </w:r>
          </w:p>
        </w:tc>
        <w:tc>
          <w:tcPr>
            <w:tcW w:w="0" w:type="auto"/>
            <w:vAlign w:val="bottom"/>
          </w:tcPr>
          <w:p w14:paraId="2C073C39" w14:textId="64B10F9A" w:rsidR="008A6844" w:rsidRPr="000E57E3" w:rsidRDefault="008A6844" w:rsidP="000E57E3">
            <w:pPr>
              <w:pStyle w:val="Tabletext"/>
            </w:pPr>
            <w:r w:rsidRPr="000E57E3">
              <w:t>Y</w:t>
            </w:r>
          </w:p>
        </w:tc>
        <w:tc>
          <w:tcPr>
            <w:tcW w:w="0" w:type="auto"/>
            <w:vAlign w:val="bottom"/>
          </w:tcPr>
          <w:p w14:paraId="2C9E2396" w14:textId="77B06161" w:rsidR="008A6844" w:rsidRPr="000E57E3" w:rsidRDefault="008A6844" w:rsidP="000E57E3">
            <w:pPr>
              <w:pStyle w:val="Tabletext"/>
            </w:pPr>
            <w:r w:rsidRPr="000E57E3">
              <w:t> </w:t>
            </w:r>
          </w:p>
        </w:tc>
        <w:tc>
          <w:tcPr>
            <w:tcW w:w="0" w:type="auto"/>
            <w:vAlign w:val="bottom"/>
          </w:tcPr>
          <w:p w14:paraId="49C7F2E8" w14:textId="4494CFA8" w:rsidR="008A6844" w:rsidRPr="000E57E3" w:rsidRDefault="008A6844" w:rsidP="000E57E3">
            <w:pPr>
              <w:pStyle w:val="Tabletext"/>
            </w:pPr>
            <w:r w:rsidRPr="000E57E3">
              <w:t> </w:t>
            </w:r>
          </w:p>
        </w:tc>
        <w:tc>
          <w:tcPr>
            <w:tcW w:w="0" w:type="auto"/>
            <w:vAlign w:val="bottom"/>
          </w:tcPr>
          <w:p w14:paraId="16BE77B7" w14:textId="1BEF3EF8" w:rsidR="008A6844" w:rsidRPr="000E57E3" w:rsidRDefault="008A6844" w:rsidP="000E57E3">
            <w:pPr>
              <w:pStyle w:val="Tabletext"/>
            </w:pPr>
            <w:r w:rsidRPr="000E57E3">
              <w:t> </w:t>
            </w:r>
          </w:p>
        </w:tc>
        <w:tc>
          <w:tcPr>
            <w:tcW w:w="0" w:type="auto"/>
            <w:vAlign w:val="bottom"/>
          </w:tcPr>
          <w:p w14:paraId="24035B42" w14:textId="444F68E4" w:rsidR="008A6844" w:rsidRPr="000E57E3" w:rsidRDefault="008A6844" w:rsidP="000E57E3">
            <w:pPr>
              <w:pStyle w:val="Tabletext"/>
            </w:pPr>
            <w:r w:rsidRPr="000E57E3">
              <w:t>Y</w:t>
            </w:r>
          </w:p>
        </w:tc>
        <w:tc>
          <w:tcPr>
            <w:tcW w:w="0" w:type="auto"/>
            <w:vAlign w:val="bottom"/>
          </w:tcPr>
          <w:p w14:paraId="2FD0BA29" w14:textId="3577C088" w:rsidR="008A6844" w:rsidRPr="000E57E3" w:rsidRDefault="008A6844" w:rsidP="000E57E3">
            <w:pPr>
              <w:pStyle w:val="Tabletext"/>
            </w:pPr>
            <w:r w:rsidRPr="000E57E3">
              <w:t> </w:t>
            </w:r>
          </w:p>
        </w:tc>
        <w:tc>
          <w:tcPr>
            <w:tcW w:w="0" w:type="auto"/>
            <w:vAlign w:val="bottom"/>
          </w:tcPr>
          <w:p w14:paraId="75827FCC" w14:textId="4E21E2BE" w:rsidR="008A6844" w:rsidRPr="000E57E3" w:rsidRDefault="008A6844" w:rsidP="000E57E3">
            <w:pPr>
              <w:pStyle w:val="Tabletext"/>
            </w:pPr>
            <w:r w:rsidRPr="000E57E3">
              <w:t>Y</w:t>
            </w:r>
          </w:p>
        </w:tc>
        <w:tc>
          <w:tcPr>
            <w:tcW w:w="0" w:type="auto"/>
            <w:vAlign w:val="bottom"/>
          </w:tcPr>
          <w:p w14:paraId="2A6DAB33" w14:textId="05047BDA" w:rsidR="008A6844" w:rsidRPr="000E57E3" w:rsidRDefault="008A6844" w:rsidP="000E57E3">
            <w:pPr>
              <w:pStyle w:val="Tabletext"/>
            </w:pPr>
            <w:r w:rsidRPr="000E57E3">
              <w:t>Facilitated</w:t>
            </w:r>
          </w:p>
        </w:tc>
      </w:tr>
      <w:tr w:rsidR="00776CCE" w:rsidRPr="008A6844" w14:paraId="29A2C9A9" w14:textId="77777777" w:rsidTr="00CA44B7">
        <w:tc>
          <w:tcPr>
            <w:tcW w:w="0" w:type="auto"/>
            <w:vAlign w:val="bottom"/>
          </w:tcPr>
          <w:p w14:paraId="2973DA50" w14:textId="651F15D5" w:rsidR="008A6844" w:rsidRPr="000E57E3" w:rsidRDefault="008A6844" w:rsidP="000E57E3">
            <w:pPr>
              <w:pStyle w:val="Tabletext"/>
            </w:pPr>
            <w:r w:rsidRPr="000E57E3">
              <w:t>ID3</w:t>
            </w:r>
          </w:p>
        </w:tc>
        <w:tc>
          <w:tcPr>
            <w:tcW w:w="0" w:type="auto"/>
            <w:vAlign w:val="bottom"/>
          </w:tcPr>
          <w:p w14:paraId="5C8B0A8C" w14:textId="74958A7B" w:rsidR="008A6844" w:rsidRPr="000E57E3" w:rsidRDefault="008A6844" w:rsidP="000E57E3">
            <w:pPr>
              <w:pStyle w:val="Tabletext"/>
            </w:pPr>
            <w:r w:rsidRPr="000E57E3">
              <w:t> </w:t>
            </w:r>
          </w:p>
        </w:tc>
        <w:tc>
          <w:tcPr>
            <w:tcW w:w="0" w:type="auto"/>
            <w:vAlign w:val="bottom"/>
          </w:tcPr>
          <w:p w14:paraId="5D2094BE" w14:textId="27EE856C" w:rsidR="008A6844" w:rsidRPr="000E57E3" w:rsidRDefault="008A6844" w:rsidP="000E57E3">
            <w:pPr>
              <w:pStyle w:val="Tabletext"/>
            </w:pPr>
            <w:r w:rsidRPr="000E57E3">
              <w:t> </w:t>
            </w:r>
          </w:p>
        </w:tc>
        <w:tc>
          <w:tcPr>
            <w:tcW w:w="0" w:type="auto"/>
            <w:vAlign w:val="bottom"/>
          </w:tcPr>
          <w:p w14:paraId="45F72ED7" w14:textId="04815A14" w:rsidR="008A6844" w:rsidRPr="000E57E3" w:rsidRDefault="008A6844" w:rsidP="000E57E3">
            <w:pPr>
              <w:pStyle w:val="Tabletext"/>
            </w:pPr>
            <w:r w:rsidRPr="000E57E3">
              <w:t> </w:t>
            </w:r>
          </w:p>
        </w:tc>
        <w:tc>
          <w:tcPr>
            <w:tcW w:w="0" w:type="auto"/>
            <w:vAlign w:val="bottom"/>
          </w:tcPr>
          <w:p w14:paraId="36CCC493" w14:textId="71695C92" w:rsidR="008A6844" w:rsidRPr="000E57E3" w:rsidRDefault="008A6844" w:rsidP="000E57E3">
            <w:pPr>
              <w:pStyle w:val="Tabletext"/>
            </w:pPr>
            <w:r w:rsidRPr="000E57E3">
              <w:t> </w:t>
            </w:r>
          </w:p>
        </w:tc>
        <w:tc>
          <w:tcPr>
            <w:tcW w:w="0" w:type="auto"/>
            <w:vAlign w:val="bottom"/>
          </w:tcPr>
          <w:p w14:paraId="689E0667" w14:textId="72114CCA" w:rsidR="008A6844" w:rsidRPr="000E57E3" w:rsidRDefault="008A6844" w:rsidP="000E57E3">
            <w:pPr>
              <w:pStyle w:val="Tabletext"/>
            </w:pPr>
            <w:r w:rsidRPr="000E57E3">
              <w:t> </w:t>
            </w:r>
          </w:p>
        </w:tc>
        <w:tc>
          <w:tcPr>
            <w:tcW w:w="0" w:type="auto"/>
            <w:vAlign w:val="bottom"/>
          </w:tcPr>
          <w:p w14:paraId="116896CE" w14:textId="1CBBD60C" w:rsidR="008A6844" w:rsidRPr="000E57E3" w:rsidRDefault="008A6844" w:rsidP="000E57E3">
            <w:pPr>
              <w:pStyle w:val="Tabletext"/>
            </w:pPr>
            <w:r w:rsidRPr="000E57E3">
              <w:t> </w:t>
            </w:r>
          </w:p>
        </w:tc>
        <w:tc>
          <w:tcPr>
            <w:tcW w:w="0" w:type="auto"/>
            <w:vAlign w:val="bottom"/>
          </w:tcPr>
          <w:p w14:paraId="746E1A33" w14:textId="6D0F5D27" w:rsidR="008A6844" w:rsidRPr="000E57E3" w:rsidRDefault="008A6844" w:rsidP="000E57E3">
            <w:pPr>
              <w:pStyle w:val="Tabletext"/>
            </w:pPr>
            <w:r w:rsidRPr="000E57E3">
              <w:t>Y</w:t>
            </w:r>
          </w:p>
        </w:tc>
        <w:tc>
          <w:tcPr>
            <w:tcW w:w="0" w:type="auto"/>
            <w:vAlign w:val="bottom"/>
          </w:tcPr>
          <w:p w14:paraId="3EF00DAA" w14:textId="0175965C" w:rsidR="008A6844" w:rsidRPr="000E57E3" w:rsidRDefault="008A6844" w:rsidP="000E57E3">
            <w:pPr>
              <w:pStyle w:val="Tabletext"/>
            </w:pPr>
            <w:r w:rsidRPr="000E57E3">
              <w:t>Y</w:t>
            </w:r>
          </w:p>
        </w:tc>
        <w:tc>
          <w:tcPr>
            <w:tcW w:w="0" w:type="auto"/>
            <w:vAlign w:val="bottom"/>
          </w:tcPr>
          <w:p w14:paraId="1A490568" w14:textId="1715FE33" w:rsidR="008A6844" w:rsidRPr="000E57E3" w:rsidRDefault="008A6844" w:rsidP="000E57E3">
            <w:pPr>
              <w:pStyle w:val="Tabletext"/>
            </w:pPr>
            <w:r w:rsidRPr="000E57E3">
              <w:t> </w:t>
            </w:r>
          </w:p>
        </w:tc>
        <w:tc>
          <w:tcPr>
            <w:tcW w:w="0" w:type="auto"/>
            <w:vAlign w:val="bottom"/>
          </w:tcPr>
          <w:p w14:paraId="7E6127AA" w14:textId="41C5958A" w:rsidR="008A6844" w:rsidRPr="000E57E3" w:rsidRDefault="008A6844" w:rsidP="000E57E3">
            <w:pPr>
              <w:pStyle w:val="Tabletext"/>
            </w:pPr>
            <w:r w:rsidRPr="000E57E3">
              <w:t>Y</w:t>
            </w:r>
          </w:p>
        </w:tc>
        <w:tc>
          <w:tcPr>
            <w:tcW w:w="0" w:type="auto"/>
            <w:vAlign w:val="bottom"/>
          </w:tcPr>
          <w:p w14:paraId="703BB07F" w14:textId="54069826" w:rsidR="008A6844" w:rsidRPr="000E57E3" w:rsidRDefault="008A6844" w:rsidP="000E57E3">
            <w:pPr>
              <w:pStyle w:val="Tabletext"/>
            </w:pPr>
            <w:r w:rsidRPr="000E57E3">
              <w:t> </w:t>
            </w:r>
          </w:p>
        </w:tc>
        <w:tc>
          <w:tcPr>
            <w:tcW w:w="0" w:type="auto"/>
            <w:vAlign w:val="bottom"/>
          </w:tcPr>
          <w:p w14:paraId="3CEEEF33" w14:textId="1C07D734" w:rsidR="008A6844" w:rsidRPr="000E57E3" w:rsidRDefault="008A6844" w:rsidP="000E57E3">
            <w:pPr>
              <w:pStyle w:val="Tabletext"/>
            </w:pPr>
            <w:r w:rsidRPr="000E57E3">
              <w:t>Facilitated</w:t>
            </w:r>
          </w:p>
        </w:tc>
      </w:tr>
      <w:tr w:rsidR="00776CCE" w:rsidRPr="008A6844" w14:paraId="4FBF061C" w14:textId="77777777" w:rsidTr="00CA44B7">
        <w:tc>
          <w:tcPr>
            <w:tcW w:w="0" w:type="auto"/>
            <w:vAlign w:val="bottom"/>
          </w:tcPr>
          <w:p w14:paraId="0906681C" w14:textId="6E5A34D7" w:rsidR="008A6844" w:rsidRPr="000E57E3" w:rsidRDefault="008A6844" w:rsidP="000E57E3">
            <w:pPr>
              <w:pStyle w:val="Tabletext"/>
            </w:pPr>
            <w:r w:rsidRPr="000E57E3">
              <w:t>IRF4</w:t>
            </w:r>
          </w:p>
        </w:tc>
        <w:tc>
          <w:tcPr>
            <w:tcW w:w="0" w:type="auto"/>
            <w:vAlign w:val="bottom"/>
          </w:tcPr>
          <w:p w14:paraId="55D49F2F" w14:textId="15A9FFB0" w:rsidR="008A6844" w:rsidRPr="000E57E3" w:rsidRDefault="008A6844" w:rsidP="000E57E3">
            <w:pPr>
              <w:pStyle w:val="Tabletext"/>
            </w:pPr>
            <w:r w:rsidRPr="000E57E3">
              <w:t> </w:t>
            </w:r>
          </w:p>
        </w:tc>
        <w:tc>
          <w:tcPr>
            <w:tcW w:w="0" w:type="auto"/>
            <w:vAlign w:val="bottom"/>
          </w:tcPr>
          <w:p w14:paraId="58EBC3EF" w14:textId="35C2C5D9" w:rsidR="008A6844" w:rsidRPr="000E57E3" w:rsidRDefault="008A6844" w:rsidP="000E57E3">
            <w:pPr>
              <w:pStyle w:val="Tabletext"/>
            </w:pPr>
            <w:r w:rsidRPr="000E57E3">
              <w:t> </w:t>
            </w:r>
          </w:p>
        </w:tc>
        <w:tc>
          <w:tcPr>
            <w:tcW w:w="0" w:type="auto"/>
            <w:vAlign w:val="bottom"/>
          </w:tcPr>
          <w:p w14:paraId="67C89D4F" w14:textId="0C2CF78B" w:rsidR="008A6844" w:rsidRPr="000E57E3" w:rsidRDefault="008A6844" w:rsidP="000E57E3">
            <w:pPr>
              <w:pStyle w:val="Tabletext"/>
            </w:pPr>
            <w:r w:rsidRPr="000E57E3">
              <w:t> </w:t>
            </w:r>
          </w:p>
        </w:tc>
        <w:tc>
          <w:tcPr>
            <w:tcW w:w="0" w:type="auto"/>
            <w:vAlign w:val="bottom"/>
          </w:tcPr>
          <w:p w14:paraId="1647D8B6" w14:textId="34213D94" w:rsidR="008A6844" w:rsidRPr="000E57E3" w:rsidRDefault="008A6844" w:rsidP="000E57E3">
            <w:pPr>
              <w:pStyle w:val="Tabletext"/>
            </w:pPr>
            <w:r w:rsidRPr="000E57E3">
              <w:t> </w:t>
            </w:r>
          </w:p>
        </w:tc>
        <w:tc>
          <w:tcPr>
            <w:tcW w:w="0" w:type="auto"/>
            <w:vAlign w:val="bottom"/>
          </w:tcPr>
          <w:p w14:paraId="5D517F01" w14:textId="7A442570" w:rsidR="008A6844" w:rsidRPr="000E57E3" w:rsidRDefault="008A6844" w:rsidP="000E57E3">
            <w:pPr>
              <w:pStyle w:val="Tabletext"/>
            </w:pPr>
            <w:r w:rsidRPr="000E57E3">
              <w:t> </w:t>
            </w:r>
          </w:p>
        </w:tc>
        <w:tc>
          <w:tcPr>
            <w:tcW w:w="0" w:type="auto"/>
            <w:vAlign w:val="bottom"/>
          </w:tcPr>
          <w:p w14:paraId="1A822EBE" w14:textId="235D2F41" w:rsidR="008A6844" w:rsidRPr="000E57E3" w:rsidRDefault="008A6844" w:rsidP="000E57E3">
            <w:pPr>
              <w:pStyle w:val="Tabletext"/>
            </w:pPr>
            <w:r w:rsidRPr="000E57E3">
              <w:t> </w:t>
            </w:r>
          </w:p>
        </w:tc>
        <w:tc>
          <w:tcPr>
            <w:tcW w:w="0" w:type="auto"/>
            <w:vAlign w:val="bottom"/>
          </w:tcPr>
          <w:p w14:paraId="0F47FFA6" w14:textId="48EA83F0" w:rsidR="008A6844" w:rsidRPr="000E57E3" w:rsidRDefault="008A6844" w:rsidP="000E57E3">
            <w:pPr>
              <w:pStyle w:val="Tabletext"/>
            </w:pPr>
            <w:r w:rsidRPr="000E57E3">
              <w:t> </w:t>
            </w:r>
          </w:p>
        </w:tc>
        <w:tc>
          <w:tcPr>
            <w:tcW w:w="0" w:type="auto"/>
            <w:vAlign w:val="bottom"/>
          </w:tcPr>
          <w:p w14:paraId="582747DD" w14:textId="67D47849" w:rsidR="008A6844" w:rsidRPr="000E57E3" w:rsidRDefault="008A6844" w:rsidP="000E57E3">
            <w:pPr>
              <w:pStyle w:val="Tabletext"/>
            </w:pPr>
            <w:r w:rsidRPr="000E57E3">
              <w:t>Y</w:t>
            </w:r>
          </w:p>
        </w:tc>
        <w:tc>
          <w:tcPr>
            <w:tcW w:w="0" w:type="auto"/>
            <w:vAlign w:val="bottom"/>
          </w:tcPr>
          <w:p w14:paraId="75FCCAD7" w14:textId="5D176A26" w:rsidR="008A6844" w:rsidRPr="000E57E3" w:rsidRDefault="008A6844" w:rsidP="000E57E3">
            <w:pPr>
              <w:pStyle w:val="Tabletext"/>
            </w:pPr>
            <w:r w:rsidRPr="000E57E3">
              <w:t> </w:t>
            </w:r>
          </w:p>
        </w:tc>
        <w:tc>
          <w:tcPr>
            <w:tcW w:w="0" w:type="auto"/>
            <w:vAlign w:val="bottom"/>
          </w:tcPr>
          <w:p w14:paraId="7DFE86F9" w14:textId="665027A4" w:rsidR="008A6844" w:rsidRPr="000E57E3" w:rsidRDefault="008A6844" w:rsidP="000E57E3">
            <w:pPr>
              <w:pStyle w:val="Tabletext"/>
            </w:pPr>
            <w:r w:rsidRPr="000E57E3">
              <w:t> </w:t>
            </w:r>
          </w:p>
        </w:tc>
        <w:tc>
          <w:tcPr>
            <w:tcW w:w="0" w:type="auto"/>
            <w:vAlign w:val="bottom"/>
          </w:tcPr>
          <w:p w14:paraId="288CFBD0" w14:textId="2C0DB7BD" w:rsidR="008A6844" w:rsidRPr="000E57E3" w:rsidRDefault="008A6844" w:rsidP="000E57E3">
            <w:pPr>
              <w:pStyle w:val="Tabletext"/>
            </w:pPr>
            <w:r w:rsidRPr="000E57E3">
              <w:t> </w:t>
            </w:r>
          </w:p>
        </w:tc>
        <w:tc>
          <w:tcPr>
            <w:tcW w:w="0" w:type="auto"/>
            <w:vAlign w:val="bottom"/>
          </w:tcPr>
          <w:p w14:paraId="43A5300E" w14:textId="254E9C7D" w:rsidR="008A6844" w:rsidRPr="000E57E3" w:rsidRDefault="008A6844" w:rsidP="000E57E3">
            <w:pPr>
              <w:pStyle w:val="Tabletext"/>
            </w:pPr>
            <w:r w:rsidRPr="000E57E3">
              <w:t>Facilitated</w:t>
            </w:r>
          </w:p>
        </w:tc>
      </w:tr>
      <w:tr w:rsidR="00776CCE" w:rsidRPr="008A6844" w14:paraId="7FB5E527" w14:textId="77777777" w:rsidTr="00CA44B7">
        <w:tc>
          <w:tcPr>
            <w:tcW w:w="0" w:type="auto"/>
            <w:vAlign w:val="bottom"/>
          </w:tcPr>
          <w:p w14:paraId="73FEC987" w14:textId="0025039B" w:rsidR="008A6844" w:rsidRPr="000E57E3" w:rsidRDefault="008A6844" w:rsidP="000E57E3">
            <w:pPr>
              <w:pStyle w:val="Tabletext"/>
            </w:pPr>
            <w:r w:rsidRPr="000E57E3">
              <w:t>IRF8</w:t>
            </w:r>
          </w:p>
        </w:tc>
        <w:tc>
          <w:tcPr>
            <w:tcW w:w="0" w:type="auto"/>
            <w:vAlign w:val="bottom"/>
          </w:tcPr>
          <w:p w14:paraId="10864592" w14:textId="2707FD4B" w:rsidR="008A6844" w:rsidRPr="000E57E3" w:rsidRDefault="008A6844" w:rsidP="000E57E3">
            <w:pPr>
              <w:pStyle w:val="Tabletext"/>
            </w:pPr>
            <w:r w:rsidRPr="000E57E3">
              <w:t> </w:t>
            </w:r>
          </w:p>
        </w:tc>
        <w:tc>
          <w:tcPr>
            <w:tcW w:w="0" w:type="auto"/>
            <w:vAlign w:val="bottom"/>
          </w:tcPr>
          <w:p w14:paraId="0A279988" w14:textId="788CF19F" w:rsidR="008A6844" w:rsidRPr="000E57E3" w:rsidRDefault="008A6844" w:rsidP="000E57E3">
            <w:pPr>
              <w:pStyle w:val="Tabletext"/>
            </w:pPr>
            <w:r w:rsidRPr="000E57E3">
              <w:t> </w:t>
            </w:r>
          </w:p>
        </w:tc>
        <w:tc>
          <w:tcPr>
            <w:tcW w:w="0" w:type="auto"/>
            <w:vAlign w:val="bottom"/>
          </w:tcPr>
          <w:p w14:paraId="2C399F52" w14:textId="521E6502" w:rsidR="008A6844" w:rsidRPr="000E57E3" w:rsidRDefault="008A6844" w:rsidP="000E57E3">
            <w:pPr>
              <w:pStyle w:val="Tabletext"/>
            </w:pPr>
            <w:r w:rsidRPr="000E57E3">
              <w:t> </w:t>
            </w:r>
          </w:p>
        </w:tc>
        <w:tc>
          <w:tcPr>
            <w:tcW w:w="0" w:type="auto"/>
            <w:vAlign w:val="bottom"/>
          </w:tcPr>
          <w:p w14:paraId="39A1C702" w14:textId="7315EE7E" w:rsidR="008A6844" w:rsidRPr="000E57E3" w:rsidRDefault="008A6844" w:rsidP="000E57E3">
            <w:pPr>
              <w:pStyle w:val="Tabletext"/>
            </w:pPr>
            <w:r w:rsidRPr="000E57E3">
              <w:t> </w:t>
            </w:r>
          </w:p>
        </w:tc>
        <w:tc>
          <w:tcPr>
            <w:tcW w:w="0" w:type="auto"/>
            <w:vAlign w:val="bottom"/>
          </w:tcPr>
          <w:p w14:paraId="0E5C76BD" w14:textId="2B6B3FC7" w:rsidR="008A6844" w:rsidRPr="000E57E3" w:rsidRDefault="008A6844" w:rsidP="000E57E3">
            <w:pPr>
              <w:pStyle w:val="Tabletext"/>
            </w:pPr>
            <w:r w:rsidRPr="000E57E3">
              <w:t> </w:t>
            </w:r>
          </w:p>
        </w:tc>
        <w:tc>
          <w:tcPr>
            <w:tcW w:w="0" w:type="auto"/>
            <w:vAlign w:val="bottom"/>
          </w:tcPr>
          <w:p w14:paraId="0C43F06D" w14:textId="4C7A6D44" w:rsidR="008A6844" w:rsidRPr="000E57E3" w:rsidRDefault="008A6844" w:rsidP="000E57E3">
            <w:pPr>
              <w:pStyle w:val="Tabletext"/>
            </w:pPr>
            <w:r w:rsidRPr="000E57E3">
              <w:t> </w:t>
            </w:r>
          </w:p>
        </w:tc>
        <w:tc>
          <w:tcPr>
            <w:tcW w:w="0" w:type="auto"/>
            <w:vAlign w:val="bottom"/>
          </w:tcPr>
          <w:p w14:paraId="256B4F2E" w14:textId="0FBE977B" w:rsidR="008A6844" w:rsidRPr="000E57E3" w:rsidRDefault="008A6844" w:rsidP="000E57E3">
            <w:pPr>
              <w:pStyle w:val="Tabletext"/>
            </w:pPr>
            <w:r w:rsidRPr="000E57E3">
              <w:t>Y</w:t>
            </w:r>
          </w:p>
        </w:tc>
        <w:tc>
          <w:tcPr>
            <w:tcW w:w="0" w:type="auto"/>
            <w:vAlign w:val="bottom"/>
          </w:tcPr>
          <w:p w14:paraId="20C9596D" w14:textId="1DC611FE" w:rsidR="008A6844" w:rsidRPr="000E57E3" w:rsidRDefault="008A6844" w:rsidP="000E57E3">
            <w:pPr>
              <w:pStyle w:val="Tabletext"/>
            </w:pPr>
            <w:r w:rsidRPr="000E57E3">
              <w:t> </w:t>
            </w:r>
          </w:p>
        </w:tc>
        <w:tc>
          <w:tcPr>
            <w:tcW w:w="0" w:type="auto"/>
            <w:vAlign w:val="bottom"/>
          </w:tcPr>
          <w:p w14:paraId="67786989" w14:textId="52ACFB9D" w:rsidR="008A6844" w:rsidRPr="000E57E3" w:rsidRDefault="008A6844" w:rsidP="000E57E3">
            <w:pPr>
              <w:pStyle w:val="Tabletext"/>
            </w:pPr>
            <w:r w:rsidRPr="000E57E3">
              <w:t> </w:t>
            </w:r>
          </w:p>
        </w:tc>
        <w:tc>
          <w:tcPr>
            <w:tcW w:w="0" w:type="auto"/>
            <w:vAlign w:val="bottom"/>
          </w:tcPr>
          <w:p w14:paraId="11759CCA" w14:textId="513D94AB" w:rsidR="008A6844" w:rsidRPr="000E57E3" w:rsidRDefault="008A6844" w:rsidP="000E57E3">
            <w:pPr>
              <w:pStyle w:val="Tabletext"/>
            </w:pPr>
            <w:r w:rsidRPr="000E57E3">
              <w:t> </w:t>
            </w:r>
          </w:p>
        </w:tc>
        <w:tc>
          <w:tcPr>
            <w:tcW w:w="0" w:type="auto"/>
            <w:vAlign w:val="bottom"/>
          </w:tcPr>
          <w:p w14:paraId="680CBA10" w14:textId="427D4DC5" w:rsidR="008A6844" w:rsidRPr="000E57E3" w:rsidRDefault="008A6844" w:rsidP="000E57E3">
            <w:pPr>
              <w:pStyle w:val="Tabletext"/>
            </w:pPr>
            <w:r w:rsidRPr="000E57E3">
              <w:t> </w:t>
            </w:r>
          </w:p>
        </w:tc>
        <w:tc>
          <w:tcPr>
            <w:tcW w:w="0" w:type="auto"/>
            <w:vAlign w:val="bottom"/>
          </w:tcPr>
          <w:p w14:paraId="4B4AD8FE" w14:textId="5C1D5CC0" w:rsidR="008A6844" w:rsidRPr="000E57E3" w:rsidRDefault="008A6844" w:rsidP="000E57E3">
            <w:pPr>
              <w:pStyle w:val="Tabletext"/>
            </w:pPr>
            <w:r w:rsidRPr="000E57E3">
              <w:t>Facilitated</w:t>
            </w:r>
          </w:p>
        </w:tc>
      </w:tr>
      <w:tr w:rsidR="00776CCE" w:rsidRPr="008A6844" w14:paraId="435C5D4A" w14:textId="77777777" w:rsidTr="00CA44B7">
        <w:tc>
          <w:tcPr>
            <w:tcW w:w="0" w:type="auto"/>
            <w:vAlign w:val="bottom"/>
          </w:tcPr>
          <w:p w14:paraId="5E2093CA" w14:textId="4973C4D0" w:rsidR="008A6844" w:rsidRPr="000E57E3" w:rsidRDefault="008A6844" w:rsidP="000E57E3">
            <w:pPr>
              <w:pStyle w:val="Tabletext"/>
            </w:pPr>
            <w:r w:rsidRPr="000E57E3">
              <w:t>JAGN1</w:t>
            </w:r>
          </w:p>
        </w:tc>
        <w:tc>
          <w:tcPr>
            <w:tcW w:w="0" w:type="auto"/>
            <w:vAlign w:val="bottom"/>
          </w:tcPr>
          <w:p w14:paraId="22D29AE7" w14:textId="79522CBC" w:rsidR="008A6844" w:rsidRPr="000E57E3" w:rsidRDefault="008A6844" w:rsidP="000E57E3">
            <w:pPr>
              <w:pStyle w:val="Tabletext"/>
            </w:pPr>
            <w:r w:rsidRPr="000E57E3">
              <w:t> </w:t>
            </w:r>
          </w:p>
        </w:tc>
        <w:tc>
          <w:tcPr>
            <w:tcW w:w="0" w:type="auto"/>
            <w:vAlign w:val="bottom"/>
          </w:tcPr>
          <w:p w14:paraId="048D66B0" w14:textId="608B2BF2" w:rsidR="008A6844" w:rsidRPr="000E57E3" w:rsidRDefault="008A6844" w:rsidP="000E57E3">
            <w:pPr>
              <w:pStyle w:val="Tabletext"/>
            </w:pPr>
            <w:r w:rsidRPr="000E57E3">
              <w:t> </w:t>
            </w:r>
          </w:p>
        </w:tc>
        <w:tc>
          <w:tcPr>
            <w:tcW w:w="0" w:type="auto"/>
            <w:vAlign w:val="bottom"/>
          </w:tcPr>
          <w:p w14:paraId="3FA92E73" w14:textId="5621C24C" w:rsidR="008A6844" w:rsidRPr="000E57E3" w:rsidRDefault="008A6844" w:rsidP="000E57E3">
            <w:pPr>
              <w:pStyle w:val="Tabletext"/>
            </w:pPr>
            <w:r w:rsidRPr="000E57E3">
              <w:t> </w:t>
            </w:r>
          </w:p>
        </w:tc>
        <w:tc>
          <w:tcPr>
            <w:tcW w:w="0" w:type="auto"/>
            <w:vAlign w:val="bottom"/>
          </w:tcPr>
          <w:p w14:paraId="5867DAAD" w14:textId="6827C036" w:rsidR="008A6844" w:rsidRPr="000E57E3" w:rsidRDefault="008A6844" w:rsidP="000E57E3">
            <w:pPr>
              <w:pStyle w:val="Tabletext"/>
            </w:pPr>
            <w:r w:rsidRPr="000E57E3">
              <w:t> </w:t>
            </w:r>
          </w:p>
        </w:tc>
        <w:tc>
          <w:tcPr>
            <w:tcW w:w="0" w:type="auto"/>
            <w:vAlign w:val="bottom"/>
          </w:tcPr>
          <w:p w14:paraId="233D0414" w14:textId="5805D951" w:rsidR="008A6844" w:rsidRPr="000E57E3" w:rsidRDefault="008A6844" w:rsidP="000E57E3">
            <w:pPr>
              <w:pStyle w:val="Tabletext"/>
            </w:pPr>
            <w:r w:rsidRPr="000E57E3">
              <w:t> </w:t>
            </w:r>
          </w:p>
        </w:tc>
        <w:tc>
          <w:tcPr>
            <w:tcW w:w="0" w:type="auto"/>
            <w:vAlign w:val="bottom"/>
          </w:tcPr>
          <w:p w14:paraId="76D235F3" w14:textId="736EE25F" w:rsidR="008A6844" w:rsidRPr="000E57E3" w:rsidRDefault="008A6844" w:rsidP="000E57E3">
            <w:pPr>
              <w:pStyle w:val="Tabletext"/>
            </w:pPr>
            <w:r w:rsidRPr="000E57E3">
              <w:t>Y</w:t>
            </w:r>
          </w:p>
        </w:tc>
        <w:tc>
          <w:tcPr>
            <w:tcW w:w="0" w:type="auto"/>
            <w:vAlign w:val="bottom"/>
          </w:tcPr>
          <w:p w14:paraId="796C9E70" w14:textId="7FEF5091" w:rsidR="008A6844" w:rsidRPr="000E57E3" w:rsidRDefault="008A6844" w:rsidP="000E57E3">
            <w:pPr>
              <w:pStyle w:val="Tabletext"/>
            </w:pPr>
            <w:r w:rsidRPr="000E57E3">
              <w:t> </w:t>
            </w:r>
          </w:p>
        </w:tc>
        <w:tc>
          <w:tcPr>
            <w:tcW w:w="0" w:type="auto"/>
            <w:vAlign w:val="bottom"/>
          </w:tcPr>
          <w:p w14:paraId="570735EF" w14:textId="1AF2C6D6" w:rsidR="008A6844" w:rsidRPr="000E57E3" w:rsidRDefault="008A6844" w:rsidP="000E57E3">
            <w:pPr>
              <w:pStyle w:val="Tabletext"/>
            </w:pPr>
            <w:r w:rsidRPr="000E57E3">
              <w:t> </w:t>
            </w:r>
          </w:p>
        </w:tc>
        <w:tc>
          <w:tcPr>
            <w:tcW w:w="0" w:type="auto"/>
            <w:vAlign w:val="bottom"/>
          </w:tcPr>
          <w:p w14:paraId="4AACE66B" w14:textId="6EC2B277" w:rsidR="008A6844" w:rsidRPr="000E57E3" w:rsidRDefault="008A6844" w:rsidP="000E57E3">
            <w:pPr>
              <w:pStyle w:val="Tabletext"/>
            </w:pPr>
            <w:r w:rsidRPr="000E57E3">
              <w:t> </w:t>
            </w:r>
          </w:p>
        </w:tc>
        <w:tc>
          <w:tcPr>
            <w:tcW w:w="0" w:type="auto"/>
            <w:vAlign w:val="bottom"/>
          </w:tcPr>
          <w:p w14:paraId="6610737B" w14:textId="3E457E4F" w:rsidR="008A6844" w:rsidRPr="000E57E3" w:rsidRDefault="008A6844" w:rsidP="000E57E3">
            <w:pPr>
              <w:pStyle w:val="Tabletext"/>
            </w:pPr>
            <w:r w:rsidRPr="000E57E3">
              <w:t> </w:t>
            </w:r>
          </w:p>
        </w:tc>
        <w:tc>
          <w:tcPr>
            <w:tcW w:w="0" w:type="auto"/>
            <w:vAlign w:val="bottom"/>
          </w:tcPr>
          <w:p w14:paraId="202B2302" w14:textId="0B0B78F1" w:rsidR="008A6844" w:rsidRPr="000E57E3" w:rsidRDefault="008A6844" w:rsidP="000E57E3">
            <w:pPr>
              <w:pStyle w:val="Tabletext"/>
            </w:pPr>
            <w:r w:rsidRPr="000E57E3">
              <w:t> </w:t>
            </w:r>
          </w:p>
        </w:tc>
        <w:tc>
          <w:tcPr>
            <w:tcW w:w="0" w:type="auto"/>
            <w:vAlign w:val="bottom"/>
          </w:tcPr>
          <w:p w14:paraId="31EAB7BA" w14:textId="522B59AA" w:rsidR="008A6844" w:rsidRPr="000E57E3" w:rsidRDefault="008A6844" w:rsidP="000E57E3">
            <w:pPr>
              <w:pStyle w:val="Tabletext"/>
            </w:pPr>
            <w:r w:rsidRPr="000E57E3">
              <w:t>Facilitated</w:t>
            </w:r>
          </w:p>
        </w:tc>
      </w:tr>
      <w:tr w:rsidR="00776CCE" w:rsidRPr="008A6844" w14:paraId="14290D3A" w14:textId="77777777" w:rsidTr="00CA44B7">
        <w:tc>
          <w:tcPr>
            <w:tcW w:w="0" w:type="auto"/>
            <w:vAlign w:val="bottom"/>
          </w:tcPr>
          <w:p w14:paraId="431F5635" w14:textId="05ED16A8" w:rsidR="008A6844" w:rsidRPr="000E57E3" w:rsidRDefault="008A6844" w:rsidP="000E57E3">
            <w:pPr>
              <w:pStyle w:val="Tabletext"/>
            </w:pPr>
            <w:r w:rsidRPr="000E57E3">
              <w:t>KDM6A</w:t>
            </w:r>
          </w:p>
        </w:tc>
        <w:tc>
          <w:tcPr>
            <w:tcW w:w="0" w:type="auto"/>
            <w:vAlign w:val="bottom"/>
          </w:tcPr>
          <w:p w14:paraId="243AF9BC" w14:textId="738AE16D" w:rsidR="008A6844" w:rsidRPr="000E57E3" w:rsidRDefault="008A6844" w:rsidP="000E57E3">
            <w:pPr>
              <w:pStyle w:val="Tabletext"/>
            </w:pPr>
            <w:r w:rsidRPr="000E57E3">
              <w:t> </w:t>
            </w:r>
          </w:p>
        </w:tc>
        <w:tc>
          <w:tcPr>
            <w:tcW w:w="0" w:type="auto"/>
            <w:vAlign w:val="bottom"/>
          </w:tcPr>
          <w:p w14:paraId="058B69E8" w14:textId="31F70DDB" w:rsidR="008A6844" w:rsidRPr="000E57E3" w:rsidRDefault="008A6844" w:rsidP="000E57E3">
            <w:pPr>
              <w:pStyle w:val="Tabletext"/>
            </w:pPr>
            <w:r w:rsidRPr="000E57E3">
              <w:t> </w:t>
            </w:r>
          </w:p>
        </w:tc>
        <w:tc>
          <w:tcPr>
            <w:tcW w:w="0" w:type="auto"/>
            <w:vAlign w:val="bottom"/>
          </w:tcPr>
          <w:p w14:paraId="506A9D22" w14:textId="6DDB5CC1" w:rsidR="008A6844" w:rsidRPr="000E57E3" w:rsidRDefault="008A6844" w:rsidP="000E57E3">
            <w:pPr>
              <w:pStyle w:val="Tabletext"/>
            </w:pPr>
            <w:r w:rsidRPr="000E57E3">
              <w:t>Y</w:t>
            </w:r>
          </w:p>
        </w:tc>
        <w:tc>
          <w:tcPr>
            <w:tcW w:w="0" w:type="auto"/>
            <w:vAlign w:val="bottom"/>
          </w:tcPr>
          <w:p w14:paraId="251AEF81" w14:textId="13823BEC" w:rsidR="008A6844" w:rsidRPr="000E57E3" w:rsidRDefault="008A6844" w:rsidP="000E57E3">
            <w:pPr>
              <w:pStyle w:val="Tabletext"/>
            </w:pPr>
            <w:r w:rsidRPr="000E57E3">
              <w:t> </w:t>
            </w:r>
          </w:p>
        </w:tc>
        <w:tc>
          <w:tcPr>
            <w:tcW w:w="0" w:type="auto"/>
            <w:vAlign w:val="bottom"/>
          </w:tcPr>
          <w:p w14:paraId="1562ECA6" w14:textId="06417E1E" w:rsidR="008A6844" w:rsidRPr="000E57E3" w:rsidRDefault="008A6844" w:rsidP="000E57E3">
            <w:pPr>
              <w:pStyle w:val="Tabletext"/>
            </w:pPr>
            <w:r w:rsidRPr="000E57E3">
              <w:t> </w:t>
            </w:r>
          </w:p>
        </w:tc>
        <w:tc>
          <w:tcPr>
            <w:tcW w:w="0" w:type="auto"/>
            <w:vAlign w:val="bottom"/>
          </w:tcPr>
          <w:p w14:paraId="0F1D6C68" w14:textId="198FECEA" w:rsidR="008A6844" w:rsidRPr="000E57E3" w:rsidRDefault="008A6844" w:rsidP="000E57E3">
            <w:pPr>
              <w:pStyle w:val="Tabletext"/>
            </w:pPr>
            <w:r w:rsidRPr="000E57E3">
              <w:t> </w:t>
            </w:r>
          </w:p>
        </w:tc>
        <w:tc>
          <w:tcPr>
            <w:tcW w:w="0" w:type="auto"/>
            <w:vAlign w:val="bottom"/>
          </w:tcPr>
          <w:p w14:paraId="76D48BEC" w14:textId="41808055" w:rsidR="008A6844" w:rsidRPr="000E57E3" w:rsidRDefault="008A6844" w:rsidP="000E57E3">
            <w:pPr>
              <w:pStyle w:val="Tabletext"/>
            </w:pPr>
            <w:r w:rsidRPr="000E57E3">
              <w:t> </w:t>
            </w:r>
          </w:p>
        </w:tc>
        <w:tc>
          <w:tcPr>
            <w:tcW w:w="0" w:type="auto"/>
            <w:vAlign w:val="bottom"/>
          </w:tcPr>
          <w:p w14:paraId="5308DB23" w14:textId="79C826F9" w:rsidR="008A6844" w:rsidRPr="000E57E3" w:rsidRDefault="008A6844" w:rsidP="000E57E3">
            <w:pPr>
              <w:pStyle w:val="Tabletext"/>
            </w:pPr>
            <w:r w:rsidRPr="000E57E3">
              <w:t> </w:t>
            </w:r>
          </w:p>
        </w:tc>
        <w:tc>
          <w:tcPr>
            <w:tcW w:w="0" w:type="auto"/>
            <w:vAlign w:val="bottom"/>
          </w:tcPr>
          <w:p w14:paraId="15CBB80A" w14:textId="0E8C2675" w:rsidR="008A6844" w:rsidRPr="000E57E3" w:rsidRDefault="008A6844" w:rsidP="000E57E3">
            <w:pPr>
              <w:pStyle w:val="Tabletext"/>
            </w:pPr>
            <w:r w:rsidRPr="000E57E3">
              <w:t> </w:t>
            </w:r>
          </w:p>
        </w:tc>
        <w:tc>
          <w:tcPr>
            <w:tcW w:w="0" w:type="auto"/>
            <w:vAlign w:val="bottom"/>
          </w:tcPr>
          <w:p w14:paraId="436027CE" w14:textId="31ABFDB1" w:rsidR="008A6844" w:rsidRPr="000E57E3" w:rsidRDefault="008A6844" w:rsidP="000E57E3">
            <w:pPr>
              <w:pStyle w:val="Tabletext"/>
            </w:pPr>
            <w:r w:rsidRPr="000E57E3">
              <w:t> </w:t>
            </w:r>
          </w:p>
        </w:tc>
        <w:tc>
          <w:tcPr>
            <w:tcW w:w="0" w:type="auto"/>
            <w:vAlign w:val="bottom"/>
          </w:tcPr>
          <w:p w14:paraId="5AE3F150" w14:textId="2E304911" w:rsidR="008A6844" w:rsidRPr="000E57E3" w:rsidRDefault="008A6844" w:rsidP="000E57E3">
            <w:pPr>
              <w:pStyle w:val="Tabletext"/>
            </w:pPr>
            <w:r w:rsidRPr="000E57E3">
              <w:t>Y</w:t>
            </w:r>
          </w:p>
        </w:tc>
        <w:tc>
          <w:tcPr>
            <w:tcW w:w="0" w:type="auto"/>
            <w:vAlign w:val="bottom"/>
          </w:tcPr>
          <w:p w14:paraId="75AD5DFB" w14:textId="0D6FDBE2" w:rsidR="008A6844" w:rsidRPr="000E57E3" w:rsidRDefault="008A6844" w:rsidP="000E57E3">
            <w:pPr>
              <w:pStyle w:val="Tabletext"/>
            </w:pPr>
            <w:r w:rsidRPr="000E57E3">
              <w:t>Facilitated</w:t>
            </w:r>
          </w:p>
        </w:tc>
      </w:tr>
      <w:tr w:rsidR="00776CCE" w:rsidRPr="008A6844" w14:paraId="055F3673" w14:textId="77777777" w:rsidTr="00CA44B7">
        <w:tc>
          <w:tcPr>
            <w:tcW w:w="0" w:type="auto"/>
            <w:vAlign w:val="bottom"/>
          </w:tcPr>
          <w:p w14:paraId="26DD741D" w14:textId="30B89BA4" w:rsidR="008A6844" w:rsidRPr="000E57E3" w:rsidRDefault="008A6844" w:rsidP="000E57E3">
            <w:pPr>
              <w:pStyle w:val="Tabletext"/>
            </w:pPr>
            <w:r w:rsidRPr="000E57E3">
              <w:t>KLF2</w:t>
            </w:r>
          </w:p>
        </w:tc>
        <w:tc>
          <w:tcPr>
            <w:tcW w:w="0" w:type="auto"/>
            <w:vAlign w:val="bottom"/>
          </w:tcPr>
          <w:p w14:paraId="18BC34CF" w14:textId="3537AF75" w:rsidR="008A6844" w:rsidRPr="000E57E3" w:rsidRDefault="008A6844" w:rsidP="000E57E3">
            <w:pPr>
              <w:pStyle w:val="Tabletext"/>
            </w:pPr>
            <w:r w:rsidRPr="000E57E3">
              <w:t> </w:t>
            </w:r>
          </w:p>
        </w:tc>
        <w:tc>
          <w:tcPr>
            <w:tcW w:w="0" w:type="auto"/>
            <w:vAlign w:val="bottom"/>
          </w:tcPr>
          <w:p w14:paraId="0742AC7D" w14:textId="3452DCEB" w:rsidR="008A6844" w:rsidRPr="000E57E3" w:rsidRDefault="008A6844" w:rsidP="000E57E3">
            <w:pPr>
              <w:pStyle w:val="Tabletext"/>
            </w:pPr>
            <w:r w:rsidRPr="000E57E3">
              <w:t> </w:t>
            </w:r>
          </w:p>
        </w:tc>
        <w:tc>
          <w:tcPr>
            <w:tcW w:w="0" w:type="auto"/>
            <w:vAlign w:val="bottom"/>
          </w:tcPr>
          <w:p w14:paraId="23DFEF3C" w14:textId="69F1ECCC" w:rsidR="008A6844" w:rsidRPr="000E57E3" w:rsidRDefault="008A6844" w:rsidP="000E57E3">
            <w:pPr>
              <w:pStyle w:val="Tabletext"/>
            </w:pPr>
            <w:r w:rsidRPr="000E57E3">
              <w:t> </w:t>
            </w:r>
          </w:p>
        </w:tc>
        <w:tc>
          <w:tcPr>
            <w:tcW w:w="0" w:type="auto"/>
            <w:vAlign w:val="bottom"/>
          </w:tcPr>
          <w:p w14:paraId="60E990A2" w14:textId="01164E9E" w:rsidR="008A6844" w:rsidRPr="000E57E3" w:rsidRDefault="008A6844" w:rsidP="000E57E3">
            <w:pPr>
              <w:pStyle w:val="Tabletext"/>
            </w:pPr>
            <w:r w:rsidRPr="000E57E3">
              <w:t> </w:t>
            </w:r>
          </w:p>
        </w:tc>
        <w:tc>
          <w:tcPr>
            <w:tcW w:w="0" w:type="auto"/>
            <w:vAlign w:val="bottom"/>
          </w:tcPr>
          <w:p w14:paraId="7B5E8DC2" w14:textId="4FD2A437" w:rsidR="008A6844" w:rsidRPr="000E57E3" w:rsidRDefault="008A6844" w:rsidP="000E57E3">
            <w:pPr>
              <w:pStyle w:val="Tabletext"/>
            </w:pPr>
            <w:r w:rsidRPr="000E57E3">
              <w:t> </w:t>
            </w:r>
          </w:p>
        </w:tc>
        <w:tc>
          <w:tcPr>
            <w:tcW w:w="0" w:type="auto"/>
            <w:vAlign w:val="bottom"/>
          </w:tcPr>
          <w:p w14:paraId="757155CB" w14:textId="5EF2C140" w:rsidR="008A6844" w:rsidRPr="000E57E3" w:rsidRDefault="008A6844" w:rsidP="000E57E3">
            <w:pPr>
              <w:pStyle w:val="Tabletext"/>
            </w:pPr>
            <w:r w:rsidRPr="000E57E3">
              <w:t> </w:t>
            </w:r>
          </w:p>
        </w:tc>
        <w:tc>
          <w:tcPr>
            <w:tcW w:w="0" w:type="auto"/>
            <w:vAlign w:val="bottom"/>
          </w:tcPr>
          <w:p w14:paraId="17F53294" w14:textId="21EC8F71" w:rsidR="008A6844" w:rsidRPr="000E57E3" w:rsidRDefault="008A6844" w:rsidP="000E57E3">
            <w:pPr>
              <w:pStyle w:val="Tabletext"/>
            </w:pPr>
            <w:r w:rsidRPr="000E57E3">
              <w:t> </w:t>
            </w:r>
          </w:p>
        </w:tc>
        <w:tc>
          <w:tcPr>
            <w:tcW w:w="0" w:type="auto"/>
            <w:vAlign w:val="bottom"/>
          </w:tcPr>
          <w:p w14:paraId="34A2058C" w14:textId="0B4797B4" w:rsidR="008A6844" w:rsidRPr="000E57E3" w:rsidRDefault="008A6844" w:rsidP="000E57E3">
            <w:pPr>
              <w:pStyle w:val="Tabletext"/>
            </w:pPr>
            <w:r w:rsidRPr="000E57E3">
              <w:t> </w:t>
            </w:r>
          </w:p>
        </w:tc>
        <w:tc>
          <w:tcPr>
            <w:tcW w:w="0" w:type="auto"/>
            <w:vAlign w:val="bottom"/>
          </w:tcPr>
          <w:p w14:paraId="46BBA506" w14:textId="549389F7" w:rsidR="008A6844" w:rsidRPr="000E57E3" w:rsidRDefault="008A6844" w:rsidP="000E57E3">
            <w:pPr>
              <w:pStyle w:val="Tabletext"/>
            </w:pPr>
            <w:r w:rsidRPr="000E57E3">
              <w:t> </w:t>
            </w:r>
          </w:p>
        </w:tc>
        <w:tc>
          <w:tcPr>
            <w:tcW w:w="0" w:type="auto"/>
            <w:vAlign w:val="bottom"/>
          </w:tcPr>
          <w:p w14:paraId="27B6B6DD" w14:textId="3B209DB3" w:rsidR="008A6844" w:rsidRPr="000E57E3" w:rsidRDefault="008A6844" w:rsidP="000E57E3">
            <w:pPr>
              <w:pStyle w:val="Tabletext"/>
            </w:pPr>
            <w:r w:rsidRPr="000E57E3">
              <w:t>Y</w:t>
            </w:r>
          </w:p>
        </w:tc>
        <w:tc>
          <w:tcPr>
            <w:tcW w:w="0" w:type="auto"/>
            <w:vAlign w:val="bottom"/>
          </w:tcPr>
          <w:p w14:paraId="27921467" w14:textId="6D4EB51D" w:rsidR="008A6844" w:rsidRPr="000E57E3" w:rsidRDefault="008A6844" w:rsidP="000E57E3">
            <w:pPr>
              <w:pStyle w:val="Tabletext"/>
            </w:pPr>
            <w:r w:rsidRPr="000E57E3">
              <w:t> </w:t>
            </w:r>
          </w:p>
        </w:tc>
        <w:tc>
          <w:tcPr>
            <w:tcW w:w="0" w:type="auto"/>
            <w:vAlign w:val="bottom"/>
          </w:tcPr>
          <w:p w14:paraId="2A257E46" w14:textId="7F87189C" w:rsidR="008A6844" w:rsidRPr="000E57E3" w:rsidRDefault="008A6844" w:rsidP="000E57E3">
            <w:pPr>
              <w:pStyle w:val="Tabletext"/>
            </w:pPr>
            <w:r w:rsidRPr="000E57E3">
              <w:t>Facilitated</w:t>
            </w:r>
          </w:p>
        </w:tc>
      </w:tr>
      <w:tr w:rsidR="00776CCE" w:rsidRPr="008A6844" w14:paraId="0A870B62" w14:textId="77777777" w:rsidTr="00CA44B7">
        <w:tc>
          <w:tcPr>
            <w:tcW w:w="0" w:type="auto"/>
            <w:vAlign w:val="bottom"/>
          </w:tcPr>
          <w:p w14:paraId="335B9B0D" w14:textId="79CC63DF" w:rsidR="008A6844" w:rsidRPr="000E57E3" w:rsidRDefault="008A6844" w:rsidP="000E57E3">
            <w:pPr>
              <w:pStyle w:val="Tabletext"/>
            </w:pPr>
            <w:r w:rsidRPr="000E57E3">
              <w:t>KMT2D</w:t>
            </w:r>
          </w:p>
        </w:tc>
        <w:tc>
          <w:tcPr>
            <w:tcW w:w="0" w:type="auto"/>
            <w:vAlign w:val="bottom"/>
          </w:tcPr>
          <w:p w14:paraId="5C5802AF" w14:textId="312067D6" w:rsidR="008A6844" w:rsidRPr="000E57E3" w:rsidRDefault="008A6844" w:rsidP="000E57E3">
            <w:pPr>
              <w:pStyle w:val="Tabletext"/>
            </w:pPr>
            <w:r w:rsidRPr="000E57E3">
              <w:t> </w:t>
            </w:r>
          </w:p>
        </w:tc>
        <w:tc>
          <w:tcPr>
            <w:tcW w:w="0" w:type="auto"/>
            <w:vAlign w:val="bottom"/>
          </w:tcPr>
          <w:p w14:paraId="376BDFEC" w14:textId="433C401A" w:rsidR="008A6844" w:rsidRPr="000E57E3" w:rsidRDefault="008A6844" w:rsidP="000E57E3">
            <w:pPr>
              <w:pStyle w:val="Tabletext"/>
            </w:pPr>
            <w:r w:rsidRPr="000E57E3">
              <w:t> </w:t>
            </w:r>
          </w:p>
        </w:tc>
        <w:tc>
          <w:tcPr>
            <w:tcW w:w="0" w:type="auto"/>
            <w:vAlign w:val="bottom"/>
          </w:tcPr>
          <w:p w14:paraId="407A2D3D" w14:textId="79740A98" w:rsidR="008A6844" w:rsidRPr="000E57E3" w:rsidRDefault="008A6844" w:rsidP="000E57E3">
            <w:pPr>
              <w:pStyle w:val="Tabletext"/>
            </w:pPr>
            <w:r w:rsidRPr="000E57E3">
              <w:t> </w:t>
            </w:r>
          </w:p>
        </w:tc>
        <w:tc>
          <w:tcPr>
            <w:tcW w:w="0" w:type="auto"/>
            <w:vAlign w:val="bottom"/>
          </w:tcPr>
          <w:p w14:paraId="2A264219" w14:textId="73C771A9" w:rsidR="008A6844" w:rsidRPr="000E57E3" w:rsidRDefault="008A6844" w:rsidP="000E57E3">
            <w:pPr>
              <w:pStyle w:val="Tabletext"/>
            </w:pPr>
            <w:r w:rsidRPr="000E57E3">
              <w:t>Y</w:t>
            </w:r>
          </w:p>
        </w:tc>
        <w:tc>
          <w:tcPr>
            <w:tcW w:w="0" w:type="auto"/>
            <w:vAlign w:val="bottom"/>
          </w:tcPr>
          <w:p w14:paraId="18C270C2" w14:textId="456057C1" w:rsidR="008A6844" w:rsidRPr="000E57E3" w:rsidRDefault="008A6844" w:rsidP="000E57E3">
            <w:pPr>
              <w:pStyle w:val="Tabletext"/>
            </w:pPr>
            <w:r w:rsidRPr="000E57E3">
              <w:t> </w:t>
            </w:r>
          </w:p>
        </w:tc>
        <w:tc>
          <w:tcPr>
            <w:tcW w:w="0" w:type="auto"/>
            <w:vAlign w:val="bottom"/>
          </w:tcPr>
          <w:p w14:paraId="766C7460" w14:textId="1C136E97" w:rsidR="008A6844" w:rsidRPr="000E57E3" w:rsidRDefault="008A6844" w:rsidP="000E57E3">
            <w:pPr>
              <w:pStyle w:val="Tabletext"/>
            </w:pPr>
            <w:r w:rsidRPr="000E57E3">
              <w:t> </w:t>
            </w:r>
          </w:p>
        </w:tc>
        <w:tc>
          <w:tcPr>
            <w:tcW w:w="0" w:type="auto"/>
            <w:vAlign w:val="bottom"/>
          </w:tcPr>
          <w:p w14:paraId="39B98607" w14:textId="30866AC7" w:rsidR="008A6844" w:rsidRPr="000E57E3" w:rsidRDefault="008A6844" w:rsidP="000E57E3">
            <w:pPr>
              <w:pStyle w:val="Tabletext"/>
            </w:pPr>
            <w:r w:rsidRPr="000E57E3">
              <w:t> </w:t>
            </w:r>
          </w:p>
        </w:tc>
        <w:tc>
          <w:tcPr>
            <w:tcW w:w="0" w:type="auto"/>
            <w:vAlign w:val="bottom"/>
          </w:tcPr>
          <w:p w14:paraId="1D579DD3" w14:textId="2FBB188E" w:rsidR="008A6844" w:rsidRPr="000E57E3" w:rsidRDefault="008A6844" w:rsidP="000E57E3">
            <w:pPr>
              <w:pStyle w:val="Tabletext"/>
            </w:pPr>
            <w:r w:rsidRPr="000E57E3">
              <w:t>Y</w:t>
            </w:r>
          </w:p>
        </w:tc>
        <w:tc>
          <w:tcPr>
            <w:tcW w:w="0" w:type="auto"/>
            <w:vAlign w:val="bottom"/>
          </w:tcPr>
          <w:p w14:paraId="454E74FA" w14:textId="37A9C545" w:rsidR="008A6844" w:rsidRPr="000E57E3" w:rsidRDefault="008A6844" w:rsidP="000E57E3">
            <w:pPr>
              <w:pStyle w:val="Tabletext"/>
            </w:pPr>
            <w:r w:rsidRPr="000E57E3">
              <w:t> </w:t>
            </w:r>
          </w:p>
        </w:tc>
        <w:tc>
          <w:tcPr>
            <w:tcW w:w="0" w:type="auto"/>
            <w:vAlign w:val="bottom"/>
          </w:tcPr>
          <w:p w14:paraId="6DEA860A" w14:textId="0701BF10" w:rsidR="008A6844" w:rsidRPr="000E57E3" w:rsidRDefault="008A6844" w:rsidP="000E57E3">
            <w:pPr>
              <w:pStyle w:val="Tabletext"/>
            </w:pPr>
            <w:r w:rsidRPr="000E57E3">
              <w:t> </w:t>
            </w:r>
          </w:p>
        </w:tc>
        <w:tc>
          <w:tcPr>
            <w:tcW w:w="0" w:type="auto"/>
            <w:vAlign w:val="bottom"/>
          </w:tcPr>
          <w:p w14:paraId="59252B10" w14:textId="690B77DE" w:rsidR="008A6844" w:rsidRPr="000E57E3" w:rsidRDefault="008A6844" w:rsidP="000E57E3">
            <w:pPr>
              <w:pStyle w:val="Tabletext"/>
            </w:pPr>
            <w:r w:rsidRPr="000E57E3">
              <w:t> </w:t>
            </w:r>
          </w:p>
        </w:tc>
        <w:tc>
          <w:tcPr>
            <w:tcW w:w="0" w:type="auto"/>
            <w:vAlign w:val="bottom"/>
          </w:tcPr>
          <w:p w14:paraId="01F1E15A" w14:textId="78025C2F" w:rsidR="008A6844" w:rsidRPr="000E57E3" w:rsidRDefault="008A6844" w:rsidP="000E57E3">
            <w:pPr>
              <w:pStyle w:val="Tabletext"/>
            </w:pPr>
            <w:r w:rsidRPr="000E57E3">
              <w:t>Facilitated</w:t>
            </w:r>
          </w:p>
        </w:tc>
      </w:tr>
      <w:tr w:rsidR="00776CCE" w:rsidRPr="008A6844" w14:paraId="7ABF15FE" w14:textId="77777777" w:rsidTr="00CA44B7">
        <w:tc>
          <w:tcPr>
            <w:tcW w:w="0" w:type="auto"/>
            <w:vAlign w:val="bottom"/>
          </w:tcPr>
          <w:p w14:paraId="1F5CFB91" w14:textId="0FBBB6B9" w:rsidR="008A6844" w:rsidRPr="000E57E3" w:rsidRDefault="008A6844" w:rsidP="000E57E3">
            <w:pPr>
              <w:pStyle w:val="Tabletext"/>
            </w:pPr>
            <w:r w:rsidRPr="000E57E3">
              <w:t>LUC7L2</w:t>
            </w:r>
          </w:p>
        </w:tc>
        <w:tc>
          <w:tcPr>
            <w:tcW w:w="0" w:type="auto"/>
            <w:vAlign w:val="bottom"/>
          </w:tcPr>
          <w:p w14:paraId="4D2BA3AB" w14:textId="2F5D9E04" w:rsidR="008A6844" w:rsidRPr="000E57E3" w:rsidRDefault="008A6844" w:rsidP="000E57E3">
            <w:pPr>
              <w:pStyle w:val="Tabletext"/>
            </w:pPr>
            <w:r w:rsidRPr="000E57E3">
              <w:t> </w:t>
            </w:r>
          </w:p>
        </w:tc>
        <w:tc>
          <w:tcPr>
            <w:tcW w:w="0" w:type="auto"/>
            <w:vAlign w:val="bottom"/>
          </w:tcPr>
          <w:p w14:paraId="1E32C797" w14:textId="3583CBE2" w:rsidR="008A6844" w:rsidRPr="000E57E3" w:rsidRDefault="008A6844" w:rsidP="000E57E3">
            <w:pPr>
              <w:pStyle w:val="Tabletext"/>
            </w:pPr>
            <w:r w:rsidRPr="000E57E3">
              <w:t> </w:t>
            </w:r>
          </w:p>
        </w:tc>
        <w:tc>
          <w:tcPr>
            <w:tcW w:w="0" w:type="auto"/>
            <w:vAlign w:val="bottom"/>
          </w:tcPr>
          <w:p w14:paraId="1D1FB7FC" w14:textId="1C315B12" w:rsidR="008A6844" w:rsidRPr="000E57E3" w:rsidRDefault="008A6844" w:rsidP="000E57E3">
            <w:pPr>
              <w:pStyle w:val="Tabletext"/>
            </w:pPr>
            <w:r w:rsidRPr="000E57E3">
              <w:t>Y</w:t>
            </w:r>
          </w:p>
        </w:tc>
        <w:tc>
          <w:tcPr>
            <w:tcW w:w="0" w:type="auto"/>
            <w:vAlign w:val="bottom"/>
          </w:tcPr>
          <w:p w14:paraId="64E20700" w14:textId="2C7F7D55" w:rsidR="008A6844" w:rsidRPr="000E57E3" w:rsidRDefault="008A6844" w:rsidP="000E57E3">
            <w:pPr>
              <w:pStyle w:val="Tabletext"/>
            </w:pPr>
            <w:r w:rsidRPr="000E57E3">
              <w:t> </w:t>
            </w:r>
          </w:p>
        </w:tc>
        <w:tc>
          <w:tcPr>
            <w:tcW w:w="0" w:type="auto"/>
            <w:vAlign w:val="bottom"/>
          </w:tcPr>
          <w:p w14:paraId="4E337DA4" w14:textId="31F7FDC5" w:rsidR="008A6844" w:rsidRPr="000E57E3" w:rsidRDefault="008A6844" w:rsidP="000E57E3">
            <w:pPr>
              <w:pStyle w:val="Tabletext"/>
            </w:pPr>
            <w:r w:rsidRPr="000E57E3">
              <w:t> </w:t>
            </w:r>
          </w:p>
        </w:tc>
        <w:tc>
          <w:tcPr>
            <w:tcW w:w="0" w:type="auto"/>
            <w:vAlign w:val="bottom"/>
          </w:tcPr>
          <w:p w14:paraId="2867D2F9" w14:textId="11CF4AE2" w:rsidR="008A6844" w:rsidRPr="000E57E3" w:rsidRDefault="008A6844" w:rsidP="000E57E3">
            <w:pPr>
              <w:pStyle w:val="Tabletext"/>
            </w:pPr>
            <w:r w:rsidRPr="000E57E3">
              <w:t> </w:t>
            </w:r>
          </w:p>
        </w:tc>
        <w:tc>
          <w:tcPr>
            <w:tcW w:w="0" w:type="auto"/>
            <w:vAlign w:val="bottom"/>
          </w:tcPr>
          <w:p w14:paraId="32155E7E" w14:textId="58786B2F" w:rsidR="008A6844" w:rsidRPr="000E57E3" w:rsidRDefault="008A6844" w:rsidP="000E57E3">
            <w:pPr>
              <w:pStyle w:val="Tabletext"/>
            </w:pPr>
            <w:r w:rsidRPr="000E57E3">
              <w:t> </w:t>
            </w:r>
          </w:p>
        </w:tc>
        <w:tc>
          <w:tcPr>
            <w:tcW w:w="0" w:type="auto"/>
            <w:vAlign w:val="bottom"/>
          </w:tcPr>
          <w:p w14:paraId="78D6DEE9" w14:textId="1EB4D4ED" w:rsidR="008A6844" w:rsidRPr="000E57E3" w:rsidRDefault="008A6844" w:rsidP="000E57E3">
            <w:pPr>
              <w:pStyle w:val="Tabletext"/>
            </w:pPr>
            <w:r w:rsidRPr="000E57E3">
              <w:t> </w:t>
            </w:r>
          </w:p>
        </w:tc>
        <w:tc>
          <w:tcPr>
            <w:tcW w:w="0" w:type="auto"/>
            <w:vAlign w:val="bottom"/>
          </w:tcPr>
          <w:p w14:paraId="66329A5C" w14:textId="1A593C53" w:rsidR="008A6844" w:rsidRPr="000E57E3" w:rsidRDefault="008A6844" w:rsidP="000E57E3">
            <w:pPr>
              <w:pStyle w:val="Tabletext"/>
            </w:pPr>
            <w:r w:rsidRPr="000E57E3">
              <w:t> </w:t>
            </w:r>
          </w:p>
        </w:tc>
        <w:tc>
          <w:tcPr>
            <w:tcW w:w="0" w:type="auto"/>
            <w:vAlign w:val="bottom"/>
          </w:tcPr>
          <w:p w14:paraId="3E58B63B" w14:textId="6C6C06C7" w:rsidR="008A6844" w:rsidRPr="000E57E3" w:rsidRDefault="008A6844" w:rsidP="000E57E3">
            <w:pPr>
              <w:pStyle w:val="Tabletext"/>
            </w:pPr>
            <w:r w:rsidRPr="000E57E3">
              <w:t> </w:t>
            </w:r>
          </w:p>
        </w:tc>
        <w:tc>
          <w:tcPr>
            <w:tcW w:w="0" w:type="auto"/>
            <w:vAlign w:val="bottom"/>
          </w:tcPr>
          <w:p w14:paraId="6C53C41B" w14:textId="074CFD34" w:rsidR="008A6844" w:rsidRPr="000E57E3" w:rsidRDefault="008A6844" w:rsidP="000E57E3">
            <w:pPr>
              <w:pStyle w:val="Tabletext"/>
            </w:pPr>
            <w:r w:rsidRPr="000E57E3">
              <w:t> </w:t>
            </w:r>
          </w:p>
        </w:tc>
        <w:tc>
          <w:tcPr>
            <w:tcW w:w="0" w:type="auto"/>
            <w:vAlign w:val="bottom"/>
          </w:tcPr>
          <w:p w14:paraId="6497355F" w14:textId="2F9A5F93" w:rsidR="008A6844" w:rsidRPr="000E57E3" w:rsidRDefault="008A6844" w:rsidP="000E57E3">
            <w:pPr>
              <w:pStyle w:val="Tabletext"/>
            </w:pPr>
            <w:r w:rsidRPr="000E57E3">
              <w:t>Facilitated</w:t>
            </w:r>
          </w:p>
        </w:tc>
      </w:tr>
      <w:tr w:rsidR="00776CCE" w:rsidRPr="008A6844" w14:paraId="2B852D55" w14:textId="77777777" w:rsidTr="00CA44B7">
        <w:tc>
          <w:tcPr>
            <w:tcW w:w="0" w:type="auto"/>
            <w:vAlign w:val="bottom"/>
          </w:tcPr>
          <w:p w14:paraId="0E1F5687" w14:textId="2F28DB90" w:rsidR="008A6844" w:rsidRPr="000E57E3" w:rsidRDefault="008A6844" w:rsidP="000E57E3">
            <w:pPr>
              <w:pStyle w:val="Tabletext"/>
            </w:pPr>
            <w:r w:rsidRPr="000E57E3">
              <w:t>MAL</w:t>
            </w:r>
          </w:p>
        </w:tc>
        <w:tc>
          <w:tcPr>
            <w:tcW w:w="0" w:type="auto"/>
            <w:vAlign w:val="bottom"/>
          </w:tcPr>
          <w:p w14:paraId="634732A9" w14:textId="4D7BFA4E" w:rsidR="008A6844" w:rsidRPr="000E57E3" w:rsidRDefault="008A6844" w:rsidP="000E57E3">
            <w:pPr>
              <w:pStyle w:val="Tabletext"/>
            </w:pPr>
            <w:r w:rsidRPr="000E57E3">
              <w:t> </w:t>
            </w:r>
          </w:p>
        </w:tc>
        <w:tc>
          <w:tcPr>
            <w:tcW w:w="0" w:type="auto"/>
            <w:vAlign w:val="bottom"/>
          </w:tcPr>
          <w:p w14:paraId="3D6F7162" w14:textId="283E57C2" w:rsidR="008A6844" w:rsidRPr="000E57E3" w:rsidRDefault="008A6844" w:rsidP="000E57E3">
            <w:pPr>
              <w:pStyle w:val="Tabletext"/>
            </w:pPr>
            <w:r w:rsidRPr="000E57E3">
              <w:t> </w:t>
            </w:r>
          </w:p>
        </w:tc>
        <w:tc>
          <w:tcPr>
            <w:tcW w:w="0" w:type="auto"/>
            <w:vAlign w:val="bottom"/>
          </w:tcPr>
          <w:p w14:paraId="775D9D55" w14:textId="7AB963A5" w:rsidR="008A6844" w:rsidRPr="000E57E3" w:rsidRDefault="008A6844" w:rsidP="000E57E3">
            <w:pPr>
              <w:pStyle w:val="Tabletext"/>
            </w:pPr>
            <w:r w:rsidRPr="000E57E3">
              <w:t> </w:t>
            </w:r>
          </w:p>
        </w:tc>
        <w:tc>
          <w:tcPr>
            <w:tcW w:w="0" w:type="auto"/>
            <w:vAlign w:val="bottom"/>
          </w:tcPr>
          <w:p w14:paraId="5D69B2D3" w14:textId="3530BDA8" w:rsidR="008A6844" w:rsidRPr="000E57E3" w:rsidRDefault="008A6844" w:rsidP="000E57E3">
            <w:pPr>
              <w:pStyle w:val="Tabletext"/>
            </w:pPr>
            <w:r w:rsidRPr="000E57E3">
              <w:t> </w:t>
            </w:r>
          </w:p>
        </w:tc>
        <w:tc>
          <w:tcPr>
            <w:tcW w:w="0" w:type="auto"/>
            <w:vAlign w:val="bottom"/>
          </w:tcPr>
          <w:p w14:paraId="3AFE26B0" w14:textId="29E8B4AB" w:rsidR="008A6844" w:rsidRPr="000E57E3" w:rsidRDefault="008A6844" w:rsidP="000E57E3">
            <w:pPr>
              <w:pStyle w:val="Tabletext"/>
            </w:pPr>
            <w:r w:rsidRPr="000E57E3">
              <w:t> </w:t>
            </w:r>
          </w:p>
        </w:tc>
        <w:tc>
          <w:tcPr>
            <w:tcW w:w="0" w:type="auto"/>
            <w:vAlign w:val="bottom"/>
          </w:tcPr>
          <w:p w14:paraId="431F0634" w14:textId="5F67C768" w:rsidR="008A6844" w:rsidRPr="000E57E3" w:rsidRDefault="008A6844" w:rsidP="000E57E3">
            <w:pPr>
              <w:pStyle w:val="Tabletext"/>
            </w:pPr>
            <w:r w:rsidRPr="000E57E3">
              <w:t> </w:t>
            </w:r>
          </w:p>
        </w:tc>
        <w:tc>
          <w:tcPr>
            <w:tcW w:w="0" w:type="auto"/>
            <w:vAlign w:val="bottom"/>
          </w:tcPr>
          <w:p w14:paraId="183DD1AF" w14:textId="2B59BEF8" w:rsidR="008A6844" w:rsidRPr="000E57E3" w:rsidRDefault="008A6844" w:rsidP="000E57E3">
            <w:pPr>
              <w:pStyle w:val="Tabletext"/>
            </w:pPr>
            <w:r w:rsidRPr="000E57E3">
              <w:t> </w:t>
            </w:r>
          </w:p>
        </w:tc>
        <w:tc>
          <w:tcPr>
            <w:tcW w:w="0" w:type="auto"/>
            <w:vAlign w:val="bottom"/>
          </w:tcPr>
          <w:p w14:paraId="16A1E36B" w14:textId="2CFFEFEF" w:rsidR="008A6844" w:rsidRPr="000E57E3" w:rsidRDefault="008A6844" w:rsidP="000E57E3">
            <w:pPr>
              <w:pStyle w:val="Tabletext"/>
            </w:pPr>
            <w:r w:rsidRPr="000E57E3">
              <w:t>Y</w:t>
            </w:r>
          </w:p>
        </w:tc>
        <w:tc>
          <w:tcPr>
            <w:tcW w:w="0" w:type="auto"/>
            <w:vAlign w:val="bottom"/>
          </w:tcPr>
          <w:p w14:paraId="5B9E463A" w14:textId="71A4745F" w:rsidR="008A6844" w:rsidRPr="000E57E3" w:rsidRDefault="008A6844" w:rsidP="000E57E3">
            <w:pPr>
              <w:pStyle w:val="Tabletext"/>
            </w:pPr>
            <w:r w:rsidRPr="000E57E3">
              <w:t> </w:t>
            </w:r>
          </w:p>
        </w:tc>
        <w:tc>
          <w:tcPr>
            <w:tcW w:w="0" w:type="auto"/>
            <w:vAlign w:val="bottom"/>
          </w:tcPr>
          <w:p w14:paraId="61F90E69" w14:textId="4D114477" w:rsidR="008A6844" w:rsidRPr="000E57E3" w:rsidRDefault="008A6844" w:rsidP="000E57E3">
            <w:pPr>
              <w:pStyle w:val="Tabletext"/>
            </w:pPr>
            <w:r w:rsidRPr="000E57E3">
              <w:t> </w:t>
            </w:r>
          </w:p>
        </w:tc>
        <w:tc>
          <w:tcPr>
            <w:tcW w:w="0" w:type="auto"/>
            <w:vAlign w:val="bottom"/>
          </w:tcPr>
          <w:p w14:paraId="2AAACF34" w14:textId="2A7C6F0F" w:rsidR="008A6844" w:rsidRPr="000E57E3" w:rsidRDefault="008A6844" w:rsidP="000E57E3">
            <w:pPr>
              <w:pStyle w:val="Tabletext"/>
            </w:pPr>
            <w:r w:rsidRPr="000E57E3">
              <w:t> </w:t>
            </w:r>
          </w:p>
        </w:tc>
        <w:tc>
          <w:tcPr>
            <w:tcW w:w="0" w:type="auto"/>
            <w:vAlign w:val="bottom"/>
          </w:tcPr>
          <w:p w14:paraId="75DBB76F" w14:textId="02BD6686" w:rsidR="008A6844" w:rsidRPr="000E57E3" w:rsidRDefault="008A6844" w:rsidP="000E57E3">
            <w:pPr>
              <w:pStyle w:val="Tabletext"/>
            </w:pPr>
            <w:r w:rsidRPr="000E57E3">
              <w:t>Facilitated</w:t>
            </w:r>
          </w:p>
        </w:tc>
      </w:tr>
      <w:tr w:rsidR="00776CCE" w:rsidRPr="008A6844" w14:paraId="4274B8B0" w14:textId="77777777" w:rsidTr="00CA44B7">
        <w:tc>
          <w:tcPr>
            <w:tcW w:w="0" w:type="auto"/>
            <w:vAlign w:val="bottom"/>
          </w:tcPr>
          <w:p w14:paraId="0F23630E" w14:textId="12DE0FFB" w:rsidR="008A6844" w:rsidRPr="000E57E3" w:rsidRDefault="008A6844" w:rsidP="000E57E3">
            <w:pPr>
              <w:pStyle w:val="Tabletext"/>
            </w:pPr>
            <w:r w:rsidRPr="000E57E3">
              <w:t>MAP2K1</w:t>
            </w:r>
          </w:p>
        </w:tc>
        <w:tc>
          <w:tcPr>
            <w:tcW w:w="0" w:type="auto"/>
            <w:vAlign w:val="bottom"/>
          </w:tcPr>
          <w:p w14:paraId="5B9BD372" w14:textId="6C17D411" w:rsidR="008A6844" w:rsidRPr="000E57E3" w:rsidRDefault="008A6844" w:rsidP="000E57E3">
            <w:pPr>
              <w:pStyle w:val="Tabletext"/>
            </w:pPr>
            <w:r w:rsidRPr="000E57E3">
              <w:t> </w:t>
            </w:r>
          </w:p>
        </w:tc>
        <w:tc>
          <w:tcPr>
            <w:tcW w:w="0" w:type="auto"/>
            <w:vAlign w:val="bottom"/>
          </w:tcPr>
          <w:p w14:paraId="040BA192" w14:textId="692F7FBE" w:rsidR="008A6844" w:rsidRPr="000E57E3" w:rsidRDefault="008A6844" w:rsidP="000E57E3">
            <w:pPr>
              <w:pStyle w:val="Tabletext"/>
            </w:pPr>
            <w:r w:rsidRPr="000E57E3">
              <w:t> </w:t>
            </w:r>
          </w:p>
        </w:tc>
        <w:tc>
          <w:tcPr>
            <w:tcW w:w="0" w:type="auto"/>
            <w:vAlign w:val="bottom"/>
          </w:tcPr>
          <w:p w14:paraId="4D4219C2" w14:textId="5E4487B2" w:rsidR="008A6844" w:rsidRPr="000E57E3" w:rsidRDefault="008A6844" w:rsidP="000E57E3">
            <w:pPr>
              <w:pStyle w:val="Tabletext"/>
            </w:pPr>
            <w:r w:rsidRPr="000E57E3">
              <w:t>Y</w:t>
            </w:r>
          </w:p>
        </w:tc>
        <w:tc>
          <w:tcPr>
            <w:tcW w:w="0" w:type="auto"/>
            <w:vAlign w:val="bottom"/>
          </w:tcPr>
          <w:p w14:paraId="7BE2F865" w14:textId="0616922E" w:rsidR="008A6844" w:rsidRPr="000E57E3" w:rsidRDefault="008A6844" w:rsidP="000E57E3">
            <w:pPr>
              <w:pStyle w:val="Tabletext"/>
            </w:pPr>
            <w:r w:rsidRPr="000E57E3">
              <w:t> </w:t>
            </w:r>
          </w:p>
        </w:tc>
        <w:tc>
          <w:tcPr>
            <w:tcW w:w="0" w:type="auto"/>
            <w:vAlign w:val="bottom"/>
          </w:tcPr>
          <w:p w14:paraId="4D60417D" w14:textId="2AF2B25F" w:rsidR="008A6844" w:rsidRPr="000E57E3" w:rsidRDefault="008A6844" w:rsidP="000E57E3">
            <w:pPr>
              <w:pStyle w:val="Tabletext"/>
            </w:pPr>
            <w:r w:rsidRPr="000E57E3">
              <w:t> </w:t>
            </w:r>
          </w:p>
        </w:tc>
        <w:tc>
          <w:tcPr>
            <w:tcW w:w="0" w:type="auto"/>
            <w:vAlign w:val="bottom"/>
          </w:tcPr>
          <w:p w14:paraId="00BD2990" w14:textId="3BB1C12D" w:rsidR="008A6844" w:rsidRPr="000E57E3" w:rsidRDefault="008A6844" w:rsidP="000E57E3">
            <w:pPr>
              <w:pStyle w:val="Tabletext"/>
            </w:pPr>
            <w:r w:rsidRPr="000E57E3">
              <w:t> </w:t>
            </w:r>
          </w:p>
        </w:tc>
        <w:tc>
          <w:tcPr>
            <w:tcW w:w="0" w:type="auto"/>
            <w:vAlign w:val="bottom"/>
          </w:tcPr>
          <w:p w14:paraId="73F021EC" w14:textId="2D4CACF2" w:rsidR="008A6844" w:rsidRPr="000E57E3" w:rsidRDefault="008A6844" w:rsidP="000E57E3">
            <w:pPr>
              <w:pStyle w:val="Tabletext"/>
            </w:pPr>
            <w:r w:rsidRPr="000E57E3">
              <w:t>Y</w:t>
            </w:r>
          </w:p>
        </w:tc>
        <w:tc>
          <w:tcPr>
            <w:tcW w:w="0" w:type="auto"/>
            <w:vAlign w:val="bottom"/>
          </w:tcPr>
          <w:p w14:paraId="5E5245CE" w14:textId="71939255" w:rsidR="008A6844" w:rsidRPr="000E57E3" w:rsidRDefault="008A6844" w:rsidP="000E57E3">
            <w:pPr>
              <w:pStyle w:val="Tabletext"/>
            </w:pPr>
            <w:r w:rsidRPr="000E57E3">
              <w:t> </w:t>
            </w:r>
          </w:p>
        </w:tc>
        <w:tc>
          <w:tcPr>
            <w:tcW w:w="0" w:type="auto"/>
            <w:vAlign w:val="bottom"/>
          </w:tcPr>
          <w:p w14:paraId="154CEAF2" w14:textId="4561BF97" w:rsidR="008A6844" w:rsidRPr="000E57E3" w:rsidRDefault="008A6844" w:rsidP="000E57E3">
            <w:pPr>
              <w:pStyle w:val="Tabletext"/>
            </w:pPr>
            <w:r w:rsidRPr="000E57E3">
              <w:t> </w:t>
            </w:r>
          </w:p>
        </w:tc>
        <w:tc>
          <w:tcPr>
            <w:tcW w:w="0" w:type="auto"/>
            <w:vAlign w:val="bottom"/>
          </w:tcPr>
          <w:p w14:paraId="42DE0A19" w14:textId="51FFCF4F" w:rsidR="008A6844" w:rsidRPr="000E57E3" w:rsidRDefault="008A6844" w:rsidP="000E57E3">
            <w:pPr>
              <w:pStyle w:val="Tabletext"/>
            </w:pPr>
            <w:r w:rsidRPr="000E57E3">
              <w:t>Y</w:t>
            </w:r>
          </w:p>
        </w:tc>
        <w:tc>
          <w:tcPr>
            <w:tcW w:w="0" w:type="auto"/>
            <w:vAlign w:val="bottom"/>
          </w:tcPr>
          <w:p w14:paraId="5B364629" w14:textId="5DC0E02A" w:rsidR="008A6844" w:rsidRPr="000E57E3" w:rsidRDefault="008A6844" w:rsidP="000E57E3">
            <w:pPr>
              <w:pStyle w:val="Tabletext"/>
            </w:pPr>
            <w:r w:rsidRPr="000E57E3">
              <w:t> </w:t>
            </w:r>
          </w:p>
        </w:tc>
        <w:tc>
          <w:tcPr>
            <w:tcW w:w="0" w:type="auto"/>
            <w:vAlign w:val="bottom"/>
          </w:tcPr>
          <w:p w14:paraId="4C2E6E02" w14:textId="4B649CA0" w:rsidR="008A6844" w:rsidRPr="000E57E3" w:rsidRDefault="008A6844" w:rsidP="000E57E3">
            <w:pPr>
              <w:pStyle w:val="Tabletext"/>
            </w:pPr>
            <w:r w:rsidRPr="000E57E3">
              <w:t>Facilitated</w:t>
            </w:r>
          </w:p>
        </w:tc>
      </w:tr>
      <w:tr w:rsidR="00776CCE" w:rsidRPr="008A6844" w14:paraId="0DC85435" w14:textId="77777777" w:rsidTr="00CA44B7">
        <w:tc>
          <w:tcPr>
            <w:tcW w:w="0" w:type="auto"/>
            <w:vAlign w:val="bottom"/>
          </w:tcPr>
          <w:p w14:paraId="5939DBC2" w14:textId="5953377D" w:rsidR="008A6844" w:rsidRPr="000E57E3" w:rsidRDefault="008A6844" w:rsidP="000E57E3">
            <w:pPr>
              <w:pStyle w:val="Tabletext"/>
            </w:pPr>
            <w:r w:rsidRPr="000E57E3">
              <w:t>MECOM</w:t>
            </w:r>
          </w:p>
        </w:tc>
        <w:tc>
          <w:tcPr>
            <w:tcW w:w="0" w:type="auto"/>
            <w:vAlign w:val="bottom"/>
          </w:tcPr>
          <w:p w14:paraId="1BB08E6D" w14:textId="6884A620" w:rsidR="008A6844" w:rsidRPr="000E57E3" w:rsidRDefault="008A6844" w:rsidP="000E57E3">
            <w:pPr>
              <w:pStyle w:val="Tabletext"/>
            </w:pPr>
            <w:r w:rsidRPr="000E57E3">
              <w:t> </w:t>
            </w:r>
          </w:p>
        </w:tc>
        <w:tc>
          <w:tcPr>
            <w:tcW w:w="0" w:type="auto"/>
            <w:vAlign w:val="bottom"/>
          </w:tcPr>
          <w:p w14:paraId="5F54A31E" w14:textId="43E61329" w:rsidR="008A6844" w:rsidRPr="000E57E3" w:rsidRDefault="008A6844" w:rsidP="000E57E3">
            <w:pPr>
              <w:pStyle w:val="Tabletext"/>
            </w:pPr>
            <w:r w:rsidRPr="000E57E3">
              <w:t> </w:t>
            </w:r>
          </w:p>
        </w:tc>
        <w:tc>
          <w:tcPr>
            <w:tcW w:w="0" w:type="auto"/>
            <w:vAlign w:val="bottom"/>
          </w:tcPr>
          <w:p w14:paraId="4D02A697" w14:textId="6C79D732" w:rsidR="008A6844" w:rsidRPr="000E57E3" w:rsidRDefault="008A6844" w:rsidP="000E57E3">
            <w:pPr>
              <w:pStyle w:val="Tabletext"/>
            </w:pPr>
            <w:r w:rsidRPr="000E57E3">
              <w:t> </w:t>
            </w:r>
          </w:p>
        </w:tc>
        <w:tc>
          <w:tcPr>
            <w:tcW w:w="0" w:type="auto"/>
            <w:vAlign w:val="bottom"/>
          </w:tcPr>
          <w:p w14:paraId="79BDCFE2" w14:textId="19418810" w:rsidR="008A6844" w:rsidRPr="000E57E3" w:rsidRDefault="008A6844" w:rsidP="000E57E3">
            <w:pPr>
              <w:pStyle w:val="Tabletext"/>
            </w:pPr>
            <w:r w:rsidRPr="000E57E3">
              <w:t> </w:t>
            </w:r>
          </w:p>
        </w:tc>
        <w:tc>
          <w:tcPr>
            <w:tcW w:w="0" w:type="auto"/>
            <w:vAlign w:val="bottom"/>
          </w:tcPr>
          <w:p w14:paraId="01DD19ED" w14:textId="020D7AB3" w:rsidR="008A6844" w:rsidRPr="000E57E3" w:rsidRDefault="008A6844" w:rsidP="000E57E3">
            <w:pPr>
              <w:pStyle w:val="Tabletext"/>
            </w:pPr>
            <w:r w:rsidRPr="000E57E3">
              <w:t>Y</w:t>
            </w:r>
          </w:p>
        </w:tc>
        <w:tc>
          <w:tcPr>
            <w:tcW w:w="0" w:type="auto"/>
            <w:vAlign w:val="bottom"/>
          </w:tcPr>
          <w:p w14:paraId="1A38404A" w14:textId="5A28D0EF" w:rsidR="008A6844" w:rsidRPr="000E57E3" w:rsidRDefault="008A6844" w:rsidP="000E57E3">
            <w:pPr>
              <w:pStyle w:val="Tabletext"/>
            </w:pPr>
            <w:r w:rsidRPr="000E57E3">
              <w:t>Y</w:t>
            </w:r>
          </w:p>
        </w:tc>
        <w:tc>
          <w:tcPr>
            <w:tcW w:w="0" w:type="auto"/>
            <w:vAlign w:val="bottom"/>
          </w:tcPr>
          <w:p w14:paraId="7B070A48" w14:textId="6AE44B99" w:rsidR="008A6844" w:rsidRPr="000E57E3" w:rsidRDefault="008A6844" w:rsidP="000E57E3">
            <w:pPr>
              <w:pStyle w:val="Tabletext"/>
            </w:pPr>
            <w:r w:rsidRPr="000E57E3">
              <w:t> </w:t>
            </w:r>
          </w:p>
        </w:tc>
        <w:tc>
          <w:tcPr>
            <w:tcW w:w="0" w:type="auto"/>
            <w:vAlign w:val="bottom"/>
          </w:tcPr>
          <w:p w14:paraId="5822743A" w14:textId="53351734" w:rsidR="008A6844" w:rsidRPr="000E57E3" w:rsidRDefault="008A6844" w:rsidP="000E57E3">
            <w:pPr>
              <w:pStyle w:val="Tabletext"/>
            </w:pPr>
            <w:r w:rsidRPr="000E57E3">
              <w:t> </w:t>
            </w:r>
          </w:p>
        </w:tc>
        <w:tc>
          <w:tcPr>
            <w:tcW w:w="0" w:type="auto"/>
            <w:vAlign w:val="bottom"/>
          </w:tcPr>
          <w:p w14:paraId="3CD1A984" w14:textId="36C81203" w:rsidR="008A6844" w:rsidRPr="000E57E3" w:rsidRDefault="008A6844" w:rsidP="000E57E3">
            <w:pPr>
              <w:pStyle w:val="Tabletext"/>
            </w:pPr>
            <w:r w:rsidRPr="000E57E3">
              <w:t> </w:t>
            </w:r>
          </w:p>
        </w:tc>
        <w:tc>
          <w:tcPr>
            <w:tcW w:w="0" w:type="auto"/>
            <w:vAlign w:val="bottom"/>
          </w:tcPr>
          <w:p w14:paraId="5260FBA1" w14:textId="3467DB0D" w:rsidR="008A6844" w:rsidRPr="000E57E3" w:rsidRDefault="008A6844" w:rsidP="000E57E3">
            <w:pPr>
              <w:pStyle w:val="Tabletext"/>
            </w:pPr>
            <w:r w:rsidRPr="000E57E3">
              <w:t> </w:t>
            </w:r>
          </w:p>
        </w:tc>
        <w:tc>
          <w:tcPr>
            <w:tcW w:w="0" w:type="auto"/>
            <w:vAlign w:val="bottom"/>
          </w:tcPr>
          <w:p w14:paraId="6DA21EAF" w14:textId="0F4B5306" w:rsidR="008A6844" w:rsidRPr="000E57E3" w:rsidRDefault="008A6844" w:rsidP="000E57E3">
            <w:pPr>
              <w:pStyle w:val="Tabletext"/>
            </w:pPr>
            <w:r w:rsidRPr="000E57E3">
              <w:t> </w:t>
            </w:r>
          </w:p>
        </w:tc>
        <w:tc>
          <w:tcPr>
            <w:tcW w:w="0" w:type="auto"/>
            <w:vAlign w:val="bottom"/>
          </w:tcPr>
          <w:p w14:paraId="7F801F8C" w14:textId="57BCC3BA" w:rsidR="008A6844" w:rsidRPr="000E57E3" w:rsidRDefault="008A6844" w:rsidP="000E57E3">
            <w:pPr>
              <w:pStyle w:val="Tabletext"/>
            </w:pPr>
            <w:r w:rsidRPr="000E57E3">
              <w:t>Facilitated</w:t>
            </w:r>
          </w:p>
        </w:tc>
      </w:tr>
      <w:tr w:rsidR="00776CCE" w:rsidRPr="008A6844" w14:paraId="06C74E9D" w14:textId="77777777" w:rsidTr="00CA44B7">
        <w:tc>
          <w:tcPr>
            <w:tcW w:w="0" w:type="auto"/>
            <w:vAlign w:val="bottom"/>
          </w:tcPr>
          <w:p w14:paraId="50895520" w14:textId="271F9FCC" w:rsidR="008A6844" w:rsidRPr="000E57E3" w:rsidRDefault="008A6844" w:rsidP="000E57E3">
            <w:pPr>
              <w:pStyle w:val="Tabletext"/>
            </w:pPr>
            <w:r w:rsidRPr="000E57E3">
              <w:t>MEF2B</w:t>
            </w:r>
          </w:p>
        </w:tc>
        <w:tc>
          <w:tcPr>
            <w:tcW w:w="0" w:type="auto"/>
            <w:vAlign w:val="bottom"/>
          </w:tcPr>
          <w:p w14:paraId="3F939839" w14:textId="034228E2" w:rsidR="008A6844" w:rsidRPr="000E57E3" w:rsidRDefault="008A6844" w:rsidP="000E57E3">
            <w:pPr>
              <w:pStyle w:val="Tabletext"/>
            </w:pPr>
            <w:r w:rsidRPr="000E57E3">
              <w:t> </w:t>
            </w:r>
          </w:p>
        </w:tc>
        <w:tc>
          <w:tcPr>
            <w:tcW w:w="0" w:type="auto"/>
            <w:vAlign w:val="bottom"/>
          </w:tcPr>
          <w:p w14:paraId="1C439641" w14:textId="1C271C6D" w:rsidR="008A6844" w:rsidRPr="000E57E3" w:rsidRDefault="008A6844" w:rsidP="000E57E3">
            <w:pPr>
              <w:pStyle w:val="Tabletext"/>
            </w:pPr>
            <w:r w:rsidRPr="000E57E3">
              <w:t> </w:t>
            </w:r>
          </w:p>
        </w:tc>
        <w:tc>
          <w:tcPr>
            <w:tcW w:w="0" w:type="auto"/>
            <w:vAlign w:val="bottom"/>
          </w:tcPr>
          <w:p w14:paraId="67E80364" w14:textId="237A4F87" w:rsidR="008A6844" w:rsidRPr="000E57E3" w:rsidRDefault="008A6844" w:rsidP="000E57E3">
            <w:pPr>
              <w:pStyle w:val="Tabletext"/>
            </w:pPr>
            <w:r w:rsidRPr="000E57E3">
              <w:t> </w:t>
            </w:r>
          </w:p>
        </w:tc>
        <w:tc>
          <w:tcPr>
            <w:tcW w:w="0" w:type="auto"/>
            <w:vAlign w:val="bottom"/>
          </w:tcPr>
          <w:p w14:paraId="4AD713FB" w14:textId="2649B4ED" w:rsidR="008A6844" w:rsidRPr="000E57E3" w:rsidRDefault="008A6844" w:rsidP="000E57E3">
            <w:pPr>
              <w:pStyle w:val="Tabletext"/>
            </w:pPr>
            <w:r w:rsidRPr="000E57E3">
              <w:t> </w:t>
            </w:r>
          </w:p>
        </w:tc>
        <w:tc>
          <w:tcPr>
            <w:tcW w:w="0" w:type="auto"/>
            <w:vAlign w:val="bottom"/>
          </w:tcPr>
          <w:p w14:paraId="3826594E" w14:textId="74AEBB7D" w:rsidR="008A6844" w:rsidRPr="000E57E3" w:rsidRDefault="008A6844" w:rsidP="000E57E3">
            <w:pPr>
              <w:pStyle w:val="Tabletext"/>
            </w:pPr>
            <w:r w:rsidRPr="000E57E3">
              <w:t> </w:t>
            </w:r>
          </w:p>
        </w:tc>
        <w:tc>
          <w:tcPr>
            <w:tcW w:w="0" w:type="auto"/>
            <w:vAlign w:val="bottom"/>
          </w:tcPr>
          <w:p w14:paraId="323CC600" w14:textId="6E5BB0FB" w:rsidR="008A6844" w:rsidRPr="000E57E3" w:rsidRDefault="008A6844" w:rsidP="000E57E3">
            <w:pPr>
              <w:pStyle w:val="Tabletext"/>
            </w:pPr>
            <w:r w:rsidRPr="000E57E3">
              <w:t> </w:t>
            </w:r>
          </w:p>
        </w:tc>
        <w:tc>
          <w:tcPr>
            <w:tcW w:w="0" w:type="auto"/>
            <w:vAlign w:val="bottom"/>
          </w:tcPr>
          <w:p w14:paraId="6084BE79" w14:textId="4EA16FB7" w:rsidR="008A6844" w:rsidRPr="000E57E3" w:rsidRDefault="008A6844" w:rsidP="000E57E3">
            <w:pPr>
              <w:pStyle w:val="Tabletext"/>
            </w:pPr>
            <w:r w:rsidRPr="000E57E3">
              <w:t> </w:t>
            </w:r>
          </w:p>
        </w:tc>
        <w:tc>
          <w:tcPr>
            <w:tcW w:w="0" w:type="auto"/>
            <w:vAlign w:val="bottom"/>
          </w:tcPr>
          <w:p w14:paraId="5F8C04F1" w14:textId="224793ED" w:rsidR="008A6844" w:rsidRPr="000E57E3" w:rsidRDefault="008A6844" w:rsidP="000E57E3">
            <w:pPr>
              <w:pStyle w:val="Tabletext"/>
            </w:pPr>
            <w:r w:rsidRPr="000E57E3">
              <w:t>Y</w:t>
            </w:r>
          </w:p>
        </w:tc>
        <w:tc>
          <w:tcPr>
            <w:tcW w:w="0" w:type="auto"/>
            <w:vAlign w:val="bottom"/>
          </w:tcPr>
          <w:p w14:paraId="19A67B5A" w14:textId="2F02B9C6" w:rsidR="008A6844" w:rsidRPr="000E57E3" w:rsidRDefault="008A6844" w:rsidP="000E57E3">
            <w:pPr>
              <w:pStyle w:val="Tabletext"/>
            </w:pPr>
            <w:r w:rsidRPr="000E57E3">
              <w:t> </w:t>
            </w:r>
          </w:p>
        </w:tc>
        <w:tc>
          <w:tcPr>
            <w:tcW w:w="0" w:type="auto"/>
            <w:vAlign w:val="bottom"/>
          </w:tcPr>
          <w:p w14:paraId="22D6F175" w14:textId="169DB022" w:rsidR="008A6844" w:rsidRPr="000E57E3" w:rsidRDefault="008A6844" w:rsidP="000E57E3">
            <w:pPr>
              <w:pStyle w:val="Tabletext"/>
            </w:pPr>
            <w:r w:rsidRPr="000E57E3">
              <w:t> </w:t>
            </w:r>
          </w:p>
        </w:tc>
        <w:tc>
          <w:tcPr>
            <w:tcW w:w="0" w:type="auto"/>
            <w:vAlign w:val="bottom"/>
          </w:tcPr>
          <w:p w14:paraId="2AF9CD1A" w14:textId="3A7ABB9A" w:rsidR="008A6844" w:rsidRPr="000E57E3" w:rsidRDefault="008A6844" w:rsidP="000E57E3">
            <w:pPr>
              <w:pStyle w:val="Tabletext"/>
            </w:pPr>
            <w:r w:rsidRPr="000E57E3">
              <w:t> </w:t>
            </w:r>
          </w:p>
        </w:tc>
        <w:tc>
          <w:tcPr>
            <w:tcW w:w="0" w:type="auto"/>
            <w:vAlign w:val="bottom"/>
          </w:tcPr>
          <w:p w14:paraId="4C3E2FBE" w14:textId="117BE614" w:rsidR="008A6844" w:rsidRPr="000E57E3" w:rsidRDefault="008A6844" w:rsidP="000E57E3">
            <w:pPr>
              <w:pStyle w:val="Tabletext"/>
            </w:pPr>
            <w:r w:rsidRPr="000E57E3">
              <w:t>Facilitated</w:t>
            </w:r>
          </w:p>
        </w:tc>
      </w:tr>
      <w:tr w:rsidR="00776CCE" w:rsidRPr="008A6844" w14:paraId="2FF196D4" w14:textId="77777777" w:rsidTr="00CA44B7">
        <w:tc>
          <w:tcPr>
            <w:tcW w:w="0" w:type="auto"/>
            <w:vAlign w:val="bottom"/>
          </w:tcPr>
          <w:p w14:paraId="7810E9B2" w14:textId="623406C0" w:rsidR="008A6844" w:rsidRPr="000E57E3" w:rsidRDefault="008A6844" w:rsidP="000E57E3">
            <w:pPr>
              <w:pStyle w:val="Tabletext"/>
            </w:pPr>
            <w:r w:rsidRPr="000E57E3">
              <w:t>MET</w:t>
            </w:r>
          </w:p>
        </w:tc>
        <w:tc>
          <w:tcPr>
            <w:tcW w:w="0" w:type="auto"/>
            <w:vAlign w:val="bottom"/>
          </w:tcPr>
          <w:p w14:paraId="3BE243EE" w14:textId="00F3D563" w:rsidR="008A6844" w:rsidRPr="000E57E3" w:rsidRDefault="008A6844" w:rsidP="000E57E3">
            <w:pPr>
              <w:pStyle w:val="Tabletext"/>
            </w:pPr>
            <w:r w:rsidRPr="000E57E3">
              <w:t> </w:t>
            </w:r>
          </w:p>
        </w:tc>
        <w:tc>
          <w:tcPr>
            <w:tcW w:w="0" w:type="auto"/>
            <w:vAlign w:val="bottom"/>
          </w:tcPr>
          <w:p w14:paraId="7254DB72" w14:textId="254DDE14" w:rsidR="008A6844" w:rsidRPr="000E57E3" w:rsidRDefault="008A6844" w:rsidP="000E57E3">
            <w:pPr>
              <w:pStyle w:val="Tabletext"/>
            </w:pPr>
            <w:r w:rsidRPr="000E57E3">
              <w:t> </w:t>
            </w:r>
          </w:p>
        </w:tc>
        <w:tc>
          <w:tcPr>
            <w:tcW w:w="0" w:type="auto"/>
            <w:vAlign w:val="bottom"/>
          </w:tcPr>
          <w:p w14:paraId="3C73AA63" w14:textId="374D7810" w:rsidR="008A6844" w:rsidRPr="000E57E3" w:rsidRDefault="008A6844" w:rsidP="000E57E3">
            <w:pPr>
              <w:pStyle w:val="Tabletext"/>
            </w:pPr>
            <w:r w:rsidRPr="000E57E3">
              <w:t> </w:t>
            </w:r>
          </w:p>
        </w:tc>
        <w:tc>
          <w:tcPr>
            <w:tcW w:w="0" w:type="auto"/>
            <w:vAlign w:val="bottom"/>
          </w:tcPr>
          <w:p w14:paraId="3C5C691D" w14:textId="3203D824" w:rsidR="008A6844" w:rsidRPr="000E57E3" w:rsidRDefault="008A6844" w:rsidP="000E57E3">
            <w:pPr>
              <w:pStyle w:val="Tabletext"/>
            </w:pPr>
            <w:r w:rsidRPr="000E57E3">
              <w:t> </w:t>
            </w:r>
          </w:p>
        </w:tc>
        <w:tc>
          <w:tcPr>
            <w:tcW w:w="0" w:type="auto"/>
            <w:vAlign w:val="bottom"/>
          </w:tcPr>
          <w:p w14:paraId="40394C83" w14:textId="5887A276" w:rsidR="008A6844" w:rsidRPr="000E57E3" w:rsidRDefault="008A6844" w:rsidP="000E57E3">
            <w:pPr>
              <w:pStyle w:val="Tabletext"/>
            </w:pPr>
            <w:r w:rsidRPr="000E57E3">
              <w:t>Y</w:t>
            </w:r>
          </w:p>
        </w:tc>
        <w:tc>
          <w:tcPr>
            <w:tcW w:w="0" w:type="auto"/>
            <w:vAlign w:val="bottom"/>
          </w:tcPr>
          <w:p w14:paraId="7139024C" w14:textId="66706A59" w:rsidR="008A6844" w:rsidRPr="000E57E3" w:rsidRDefault="008A6844" w:rsidP="000E57E3">
            <w:pPr>
              <w:pStyle w:val="Tabletext"/>
            </w:pPr>
            <w:r w:rsidRPr="000E57E3">
              <w:t> </w:t>
            </w:r>
          </w:p>
        </w:tc>
        <w:tc>
          <w:tcPr>
            <w:tcW w:w="0" w:type="auto"/>
            <w:vAlign w:val="bottom"/>
          </w:tcPr>
          <w:p w14:paraId="331A0D1B" w14:textId="01ACBE3D" w:rsidR="008A6844" w:rsidRPr="000E57E3" w:rsidRDefault="008A6844" w:rsidP="000E57E3">
            <w:pPr>
              <w:pStyle w:val="Tabletext"/>
            </w:pPr>
            <w:r w:rsidRPr="000E57E3">
              <w:t> </w:t>
            </w:r>
          </w:p>
        </w:tc>
        <w:tc>
          <w:tcPr>
            <w:tcW w:w="0" w:type="auto"/>
            <w:vAlign w:val="bottom"/>
          </w:tcPr>
          <w:p w14:paraId="09758314" w14:textId="5B0ADED5" w:rsidR="008A6844" w:rsidRPr="000E57E3" w:rsidRDefault="008A6844" w:rsidP="000E57E3">
            <w:pPr>
              <w:pStyle w:val="Tabletext"/>
            </w:pPr>
            <w:r w:rsidRPr="000E57E3">
              <w:t> </w:t>
            </w:r>
          </w:p>
        </w:tc>
        <w:tc>
          <w:tcPr>
            <w:tcW w:w="0" w:type="auto"/>
            <w:vAlign w:val="bottom"/>
          </w:tcPr>
          <w:p w14:paraId="7C324791" w14:textId="4B1385D2" w:rsidR="008A6844" w:rsidRPr="000E57E3" w:rsidRDefault="008A6844" w:rsidP="000E57E3">
            <w:pPr>
              <w:pStyle w:val="Tabletext"/>
            </w:pPr>
            <w:r w:rsidRPr="000E57E3">
              <w:t> </w:t>
            </w:r>
          </w:p>
        </w:tc>
        <w:tc>
          <w:tcPr>
            <w:tcW w:w="0" w:type="auto"/>
            <w:vAlign w:val="bottom"/>
          </w:tcPr>
          <w:p w14:paraId="2FF07372" w14:textId="47019E1C" w:rsidR="008A6844" w:rsidRPr="000E57E3" w:rsidRDefault="008A6844" w:rsidP="000E57E3">
            <w:pPr>
              <w:pStyle w:val="Tabletext"/>
            </w:pPr>
            <w:r w:rsidRPr="000E57E3">
              <w:t> </w:t>
            </w:r>
          </w:p>
        </w:tc>
        <w:tc>
          <w:tcPr>
            <w:tcW w:w="0" w:type="auto"/>
            <w:vAlign w:val="bottom"/>
          </w:tcPr>
          <w:p w14:paraId="3689BA4D" w14:textId="241B6354" w:rsidR="008A6844" w:rsidRPr="000E57E3" w:rsidRDefault="008A6844" w:rsidP="000E57E3">
            <w:pPr>
              <w:pStyle w:val="Tabletext"/>
            </w:pPr>
            <w:r w:rsidRPr="000E57E3">
              <w:t> </w:t>
            </w:r>
          </w:p>
        </w:tc>
        <w:tc>
          <w:tcPr>
            <w:tcW w:w="0" w:type="auto"/>
            <w:vAlign w:val="bottom"/>
          </w:tcPr>
          <w:p w14:paraId="5CBCE64D" w14:textId="49BE481C" w:rsidR="008A6844" w:rsidRPr="000E57E3" w:rsidRDefault="008A6844" w:rsidP="000E57E3">
            <w:pPr>
              <w:pStyle w:val="Tabletext"/>
            </w:pPr>
            <w:r w:rsidRPr="000E57E3">
              <w:t>Facilitated</w:t>
            </w:r>
          </w:p>
        </w:tc>
      </w:tr>
      <w:tr w:rsidR="00776CCE" w:rsidRPr="008A6844" w14:paraId="30D652AE" w14:textId="77777777" w:rsidTr="00CA44B7">
        <w:tc>
          <w:tcPr>
            <w:tcW w:w="0" w:type="auto"/>
            <w:vAlign w:val="bottom"/>
          </w:tcPr>
          <w:p w14:paraId="710EA720" w14:textId="292EBB8C" w:rsidR="008A6844" w:rsidRPr="000E57E3" w:rsidRDefault="008A6844" w:rsidP="000E57E3">
            <w:pPr>
              <w:pStyle w:val="Tabletext"/>
            </w:pPr>
            <w:r w:rsidRPr="000E57E3">
              <w:lastRenderedPageBreak/>
              <w:t>MLL</w:t>
            </w:r>
          </w:p>
        </w:tc>
        <w:tc>
          <w:tcPr>
            <w:tcW w:w="0" w:type="auto"/>
            <w:vAlign w:val="bottom"/>
          </w:tcPr>
          <w:p w14:paraId="5A2E6BA9" w14:textId="00DDB7A4" w:rsidR="008A6844" w:rsidRPr="000E57E3" w:rsidRDefault="008A6844" w:rsidP="000E57E3">
            <w:pPr>
              <w:pStyle w:val="Tabletext"/>
            </w:pPr>
            <w:r w:rsidRPr="000E57E3">
              <w:t> </w:t>
            </w:r>
          </w:p>
        </w:tc>
        <w:tc>
          <w:tcPr>
            <w:tcW w:w="0" w:type="auto"/>
            <w:vAlign w:val="bottom"/>
          </w:tcPr>
          <w:p w14:paraId="41E5281B" w14:textId="54DAB085" w:rsidR="008A6844" w:rsidRPr="000E57E3" w:rsidRDefault="008A6844" w:rsidP="000E57E3">
            <w:pPr>
              <w:pStyle w:val="Tabletext"/>
            </w:pPr>
            <w:r w:rsidRPr="000E57E3">
              <w:t> </w:t>
            </w:r>
          </w:p>
        </w:tc>
        <w:tc>
          <w:tcPr>
            <w:tcW w:w="0" w:type="auto"/>
            <w:vAlign w:val="bottom"/>
          </w:tcPr>
          <w:p w14:paraId="0F407B5D" w14:textId="64B2C305" w:rsidR="008A6844" w:rsidRPr="000E57E3" w:rsidRDefault="008A6844" w:rsidP="000E57E3">
            <w:pPr>
              <w:pStyle w:val="Tabletext"/>
            </w:pPr>
            <w:r w:rsidRPr="000E57E3">
              <w:t> </w:t>
            </w:r>
          </w:p>
        </w:tc>
        <w:tc>
          <w:tcPr>
            <w:tcW w:w="0" w:type="auto"/>
            <w:vAlign w:val="bottom"/>
          </w:tcPr>
          <w:p w14:paraId="37C95350" w14:textId="38F080EA" w:rsidR="008A6844" w:rsidRPr="000E57E3" w:rsidRDefault="008A6844" w:rsidP="000E57E3">
            <w:pPr>
              <w:pStyle w:val="Tabletext"/>
            </w:pPr>
            <w:r w:rsidRPr="000E57E3">
              <w:t> </w:t>
            </w:r>
          </w:p>
        </w:tc>
        <w:tc>
          <w:tcPr>
            <w:tcW w:w="0" w:type="auto"/>
            <w:vAlign w:val="bottom"/>
          </w:tcPr>
          <w:p w14:paraId="418DE434" w14:textId="7D8E72A3" w:rsidR="008A6844" w:rsidRPr="000E57E3" w:rsidRDefault="008A6844" w:rsidP="000E57E3">
            <w:pPr>
              <w:pStyle w:val="Tabletext"/>
            </w:pPr>
            <w:r w:rsidRPr="000E57E3">
              <w:t> </w:t>
            </w:r>
          </w:p>
        </w:tc>
        <w:tc>
          <w:tcPr>
            <w:tcW w:w="0" w:type="auto"/>
            <w:vAlign w:val="bottom"/>
          </w:tcPr>
          <w:p w14:paraId="7B7864F2" w14:textId="5CD0CB0D" w:rsidR="008A6844" w:rsidRPr="000E57E3" w:rsidRDefault="008A6844" w:rsidP="000E57E3">
            <w:pPr>
              <w:pStyle w:val="Tabletext"/>
            </w:pPr>
            <w:r w:rsidRPr="000E57E3">
              <w:t> </w:t>
            </w:r>
          </w:p>
        </w:tc>
        <w:tc>
          <w:tcPr>
            <w:tcW w:w="0" w:type="auto"/>
            <w:vAlign w:val="bottom"/>
          </w:tcPr>
          <w:p w14:paraId="54C591BF" w14:textId="510AAB08" w:rsidR="008A6844" w:rsidRPr="000E57E3" w:rsidRDefault="008A6844" w:rsidP="000E57E3">
            <w:pPr>
              <w:pStyle w:val="Tabletext"/>
            </w:pPr>
            <w:r w:rsidRPr="000E57E3">
              <w:t> </w:t>
            </w:r>
          </w:p>
        </w:tc>
        <w:tc>
          <w:tcPr>
            <w:tcW w:w="0" w:type="auto"/>
            <w:vAlign w:val="bottom"/>
          </w:tcPr>
          <w:p w14:paraId="3A7533B7" w14:textId="21502EAB" w:rsidR="008A6844" w:rsidRPr="000E57E3" w:rsidRDefault="008A6844" w:rsidP="000E57E3">
            <w:pPr>
              <w:pStyle w:val="Tabletext"/>
            </w:pPr>
            <w:r w:rsidRPr="000E57E3">
              <w:t> </w:t>
            </w:r>
          </w:p>
        </w:tc>
        <w:tc>
          <w:tcPr>
            <w:tcW w:w="0" w:type="auto"/>
            <w:vAlign w:val="bottom"/>
          </w:tcPr>
          <w:p w14:paraId="3D4DB977" w14:textId="1C1B2B04" w:rsidR="008A6844" w:rsidRPr="000E57E3" w:rsidRDefault="008A6844" w:rsidP="000E57E3">
            <w:pPr>
              <w:pStyle w:val="Tabletext"/>
            </w:pPr>
            <w:r w:rsidRPr="000E57E3">
              <w:t> </w:t>
            </w:r>
          </w:p>
        </w:tc>
        <w:tc>
          <w:tcPr>
            <w:tcW w:w="0" w:type="auto"/>
            <w:vAlign w:val="bottom"/>
          </w:tcPr>
          <w:p w14:paraId="69D0D6BB" w14:textId="594E0A93" w:rsidR="008A6844" w:rsidRPr="000E57E3" w:rsidRDefault="008A6844" w:rsidP="000E57E3">
            <w:pPr>
              <w:pStyle w:val="Tabletext"/>
            </w:pPr>
            <w:r w:rsidRPr="000E57E3">
              <w:t> </w:t>
            </w:r>
          </w:p>
        </w:tc>
        <w:tc>
          <w:tcPr>
            <w:tcW w:w="0" w:type="auto"/>
            <w:vAlign w:val="bottom"/>
          </w:tcPr>
          <w:p w14:paraId="0BCAAF3C" w14:textId="21F8863E" w:rsidR="008A6844" w:rsidRPr="000E57E3" w:rsidRDefault="008A6844" w:rsidP="000E57E3">
            <w:pPr>
              <w:pStyle w:val="Tabletext"/>
            </w:pPr>
            <w:r w:rsidRPr="000E57E3">
              <w:t>Y</w:t>
            </w:r>
          </w:p>
        </w:tc>
        <w:tc>
          <w:tcPr>
            <w:tcW w:w="0" w:type="auto"/>
            <w:vAlign w:val="bottom"/>
          </w:tcPr>
          <w:p w14:paraId="79B14877" w14:textId="5642AE05" w:rsidR="008A6844" w:rsidRPr="000E57E3" w:rsidRDefault="008A6844" w:rsidP="000E57E3">
            <w:pPr>
              <w:pStyle w:val="Tabletext"/>
            </w:pPr>
            <w:r w:rsidRPr="000E57E3">
              <w:t>Facilitated</w:t>
            </w:r>
          </w:p>
        </w:tc>
      </w:tr>
      <w:tr w:rsidR="00776CCE" w:rsidRPr="008A6844" w14:paraId="3CF77084" w14:textId="77777777" w:rsidTr="00CA44B7">
        <w:tc>
          <w:tcPr>
            <w:tcW w:w="0" w:type="auto"/>
            <w:vAlign w:val="bottom"/>
          </w:tcPr>
          <w:p w14:paraId="57F144D6" w14:textId="7BA44DD1" w:rsidR="008A6844" w:rsidRPr="000E57E3" w:rsidRDefault="008A6844" w:rsidP="000E57E3">
            <w:pPr>
              <w:pStyle w:val="Tabletext"/>
            </w:pPr>
            <w:r w:rsidRPr="000E57E3">
              <w:t>MLLT10</w:t>
            </w:r>
          </w:p>
        </w:tc>
        <w:tc>
          <w:tcPr>
            <w:tcW w:w="0" w:type="auto"/>
            <w:vAlign w:val="bottom"/>
          </w:tcPr>
          <w:p w14:paraId="5DEAA1E7" w14:textId="694A5145" w:rsidR="008A6844" w:rsidRPr="000E57E3" w:rsidRDefault="008A6844" w:rsidP="000E57E3">
            <w:pPr>
              <w:pStyle w:val="Tabletext"/>
            </w:pPr>
            <w:r w:rsidRPr="000E57E3">
              <w:t> </w:t>
            </w:r>
          </w:p>
        </w:tc>
        <w:tc>
          <w:tcPr>
            <w:tcW w:w="0" w:type="auto"/>
            <w:vAlign w:val="bottom"/>
          </w:tcPr>
          <w:p w14:paraId="0D5204CC" w14:textId="631CB821" w:rsidR="008A6844" w:rsidRPr="000E57E3" w:rsidRDefault="008A6844" w:rsidP="000E57E3">
            <w:pPr>
              <w:pStyle w:val="Tabletext"/>
            </w:pPr>
            <w:r w:rsidRPr="000E57E3">
              <w:t> </w:t>
            </w:r>
          </w:p>
        </w:tc>
        <w:tc>
          <w:tcPr>
            <w:tcW w:w="0" w:type="auto"/>
            <w:vAlign w:val="bottom"/>
          </w:tcPr>
          <w:p w14:paraId="1E8EAC7A" w14:textId="5FD0B1B0" w:rsidR="008A6844" w:rsidRPr="000E57E3" w:rsidRDefault="008A6844" w:rsidP="000E57E3">
            <w:pPr>
              <w:pStyle w:val="Tabletext"/>
            </w:pPr>
            <w:r w:rsidRPr="000E57E3">
              <w:t> </w:t>
            </w:r>
          </w:p>
        </w:tc>
        <w:tc>
          <w:tcPr>
            <w:tcW w:w="0" w:type="auto"/>
            <w:vAlign w:val="bottom"/>
          </w:tcPr>
          <w:p w14:paraId="627B77CB" w14:textId="643D95C3" w:rsidR="008A6844" w:rsidRPr="000E57E3" w:rsidRDefault="008A6844" w:rsidP="000E57E3">
            <w:pPr>
              <w:pStyle w:val="Tabletext"/>
            </w:pPr>
            <w:r w:rsidRPr="000E57E3">
              <w:t> </w:t>
            </w:r>
          </w:p>
        </w:tc>
        <w:tc>
          <w:tcPr>
            <w:tcW w:w="0" w:type="auto"/>
            <w:vAlign w:val="bottom"/>
          </w:tcPr>
          <w:p w14:paraId="35AF9EC8" w14:textId="29A7381A" w:rsidR="008A6844" w:rsidRPr="000E57E3" w:rsidRDefault="008A6844" w:rsidP="000E57E3">
            <w:pPr>
              <w:pStyle w:val="Tabletext"/>
            </w:pPr>
            <w:r w:rsidRPr="000E57E3">
              <w:t>Y</w:t>
            </w:r>
          </w:p>
        </w:tc>
        <w:tc>
          <w:tcPr>
            <w:tcW w:w="0" w:type="auto"/>
            <w:vAlign w:val="bottom"/>
          </w:tcPr>
          <w:p w14:paraId="2D6B380C" w14:textId="0F200441" w:rsidR="008A6844" w:rsidRPr="000E57E3" w:rsidRDefault="008A6844" w:rsidP="000E57E3">
            <w:pPr>
              <w:pStyle w:val="Tabletext"/>
            </w:pPr>
            <w:r w:rsidRPr="000E57E3">
              <w:t> </w:t>
            </w:r>
          </w:p>
        </w:tc>
        <w:tc>
          <w:tcPr>
            <w:tcW w:w="0" w:type="auto"/>
            <w:vAlign w:val="bottom"/>
          </w:tcPr>
          <w:p w14:paraId="0551F297" w14:textId="5A4FFE0A" w:rsidR="008A6844" w:rsidRPr="000E57E3" w:rsidRDefault="008A6844" w:rsidP="000E57E3">
            <w:pPr>
              <w:pStyle w:val="Tabletext"/>
            </w:pPr>
            <w:r w:rsidRPr="000E57E3">
              <w:t> </w:t>
            </w:r>
          </w:p>
        </w:tc>
        <w:tc>
          <w:tcPr>
            <w:tcW w:w="0" w:type="auto"/>
            <w:vAlign w:val="bottom"/>
          </w:tcPr>
          <w:p w14:paraId="33D4303F" w14:textId="49D1A9F6" w:rsidR="008A6844" w:rsidRPr="000E57E3" w:rsidRDefault="008A6844" w:rsidP="000E57E3">
            <w:pPr>
              <w:pStyle w:val="Tabletext"/>
            </w:pPr>
            <w:r w:rsidRPr="000E57E3">
              <w:t> </w:t>
            </w:r>
          </w:p>
        </w:tc>
        <w:tc>
          <w:tcPr>
            <w:tcW w:w="0" w:type="auto"/>
            <w:vAlign w:val="bottom"/>
          </w:tcPr>
          <w:p w14:paraId="6E4BACDD" w14:textId="0B722487" w:rsidR="008A6844" w:rsidRPr="000E57E3" w:rsidRDefault="008A6844" w:rsidP="000E57E3">
            <w:pPr>
              <w:pStyle w:val="Tabletext"/>
            </w:pPr>
            <w:r w:rsidRPr="000E57E3">
              <w:t> </w:t>
            </w:r>
          </w:p>
        </w:tc>
        <w:tc>
          <w:tcPr>
            <w:tcW w:w="0" w:type="auto"/>
            <w:vAlign w:val="bottom"/>
          </w:tcPr>
          <w:p w14:paraId="68337B2A" w14:textId="34F00092" w:rsidR="008A6844" w:rsidRPr="000E57E3" w:rsidRDefault="008A6844" w:rsidP="000E57E3">
            <w:pPr>
              <w:pStyle w:val="Tabletext"/>
            </w:pPr>
            <w:r w:rsidRPr="000E57E3">
              <w:t> </w:t>
            </w:r>
          </w:p>
        </w:tc>
        <w:tc>
          <w:tcPr>
            <w:tcW w:w="0" w:type="auto"/>
            <w:vAlign w:val="bottom"/>
          </w:tcPr>
          <w:p w14:paraId="1A08F538" w14:textId="7652BD59" w:rsidR="008A6844" w:rsidRPr="000E57E3" w:rsidRDefault="008A6844" w:rsidP="000E57E3">
            <w:pPr>
              <w:pStyle w:val="Tabletext"/>
            </w:pPr>
            <w:r w:rsidRPr="000E57E3">
              <w:t> </w:t>
            </w:r>
          </w:p>
        </w:tc>
        <w:tc>
          <w:tcPr>
            <w:tcW w:w="0" w:type="auto"/>
            <w:vAlign w:val="bottom"/>
          </w:tcPr>
          <w:p w14:paraId="64B41B97" w14:textId="5F36F724" w:rsidR="008A6844" w:rsidRPr="000E57E3" w:rsidRDefault="008A6844" w:rsidP="000E57E3">
            <w:pPr>
              <w:pStyle w:val="Tabletext"/>
            </w:pPr>
            <w:r w:rsidRPr="000E57E3">
              <w:t>Facilitated</w:t>
            </w:r>
          </w:p>
        </w:tc>
      </w:tr>
      <w:tr w:rsidR="00776CCE" w:rsidRPr="008A6844" w14:paraId="3B48A80F" w14:textId="77777777" w:rsidTr="00CA44B7">
        <w:tc>
          <w:tcPr>
            <w:tcW w:w="0" w:type="auto"/>
            <w:vAlign w:val="bottom"/>
          </w:tcPr>
          <w:p w14:paraId="05416690" w14:textId="6D641FDD" w:rsidR="008A6844" w:rsidRPr="000E57E3" w:rsidRDefault="008A6844" w:rsidP="000E57E3">
            <w:pPr>
              <w:pStyle w:val="Tabletext"/>
            </w:pPr>
            <w:r w:rsidRPr="000E57E3">
              <w:t>MLLT3</w:t>
            </w:r>
          </w:p>
        </w:tc>
        <w:tc>
          <w:tcPr>
            <w:tcW w:w="0" w:type="auto"/>
            <w:vAlign w:val="bottom"/>
          </w:tcPr>
          <w:p w14:paraId="390857A0" w14:textId="35274803" w:rsidR="008A6844" w:rsidRPr="000E57E3" w:rsidRDefault="008A6844" w:rsidP="000E57E3">
            <w:pPr>
              <w:pStyle w:val="Tabletext"/>
            </w:pPr>
            <w:r w:rsidRPr="000E57E3">
              <w:t> </w:t>
            </w:r>
          </w:p>
        </w:tc>
        <w:tc>
          <w:tcPr>
            <w:tcW w:w="0" w:type="auto"/>
            <w:vAlign w:val="bottom"/>
          </w:tcPr>
          <w:p w14:paraId="101664E4" w14:textId="3F027621" w:rsidR="008A6844" w:rsidRPr="000E57E3" w:rsidRDefault="008A6844" w:rsidP="000E57E3">
            <w:pPr>
              <w:pStyle w:val="Tabletext"/>
            </w:pPr>
            <w:r w:rsidRPr="000E57E3">
              <w:t> </w:t>
            </w:r>
          </w:p>
        </w:tc>
        <w:tc>
          <w:tcPr>
            <w:tcW w:w="0" w:type="auto"/>
            <w:vAlign w:val="bottom"/>
          </w:tcPr>
          <w:p w14:paraId="46292CD6" w14:textId="5C7A9E10" w:rsidR="008A6844" w:rsidRPr="000E57E3" w:rsidRDefault="008A6844" w:rsidP="000E57E3">
            <w:pPr>
              <w:pStyle w:val="Tabletext"/>
            </w:pPr>
            <w:r w:rsidRPr="000E57E3">
              <w:t> </w:t>
            </w:r>
          </w:p>
        </w:tc>
        <w:tc>
          <w:tcPr>
            <w:tcW w:w="0" w:type="auto"/>
            <w:vAlign w:val="bottom"/>
          </w:tcPr>
          <w:p w14:paraId="34A9D573" w14:textId="670EAFFD" w:rsidR="008A6844" w:rsidRPr="000E57E3" w:rsidRDefault="008A6844" w:rsidP="000E57E3">
            <w:pPr>
              <w:pStyle w:val="Tabletext"/>
            </w:pPr>
            <w:r w:rsidRPr="000E57E3">
              <w:t> </w:t>
            </w:r>
          </w:p>
        </w:tc>
        <w:tc>
          <w:tcPr>
            <w:tcW w:w="0" w:type="auto"/>
            <w:vAlign w:val="bottom"/>
          </w:tcPr>
          <w:p w14:paraId="726E7018" w14:textId="3982777E" w:rsidR="008A6844" w:rsidRPr="000E57E3" w:rsidRDefault="008A6844" w:rsidP="000E57E3">
            <w:pPr>
              <w:pStyle w:val="Tabletext"/>
            </w:pPr>
            <w:r w:rsidRPr="000E57E3">
              <w:t>Y</w:t>
            </w:r>
          </w:p>
        </w:tc>
        <w:tc>
          <w:tcPr>
            <w:tcW w:w="0" w:type="auto"/>
            <w:vAlign w:val="bottom"/>
          </w:tcPr>
          <w:p w14:paraId="11CF4853" w14:textId="5D2EFCE8" w:rsidR="008A6844" w:rsidRPr="000E57E3" w:rsidRDefault="008A6844" w:rsidP="000E57E3">
            <w:pPr>
              <w:pStyle w:val="Tabletext"/>
            </w:pPr>
            <w:r w:rsidRPr="000E57E3">
              <w:t> </w:t>
            </w:r>
          </w:p>
        </w:tc>
        <w:tc>
          <w:tcPr>
            <w:tcW w:w="0" w:type="auto"/>
            <w:vAlign w:val="bottom"/>
          </w:tcPr>
          <w:p w14:paraId="58165884" w14:textId="6EA92BD7" w:rsidR="008A6844" w:rsidRPr="000E57E3" w:rsidRDefault="008A6844" w:rsidP="000E57E3">
            <w:pPr>
              <w:pStyle w:val="Tabletext"/>
            </w:pPr>
            <w:r w:rsidRPr="000E57E3">
              <w:t> </w:t>
            </w:r>
          </w:p>
        </w:tc>
        <w:tc>
          <w:tcPr>
            <w:tcW w:w="0" w:type="auto"/>
            <w:vAlign w:val="bottom"/>
          </w:tcPr>
          <w:p w14:paraId="6C4E9AEA" w14:textId="6B03D5F5" w:rsidR="008A6844" w:rsidRPr="000E57E3" w:rsidRDefault="008A6844" w:rsidP="000E57E3">
            <w:pPr>
              <w:pStyle w:val="Tabletext"/>
            </w:pPr>
            <w:r w:rsidRPr="000E57E3">
              <w:t> </w:t>
            </w:r>
          </w:p>
        </w:tc>
        <w:tc>
          <w:tcPr>
            <w:tcW w:w="0" w:type="auto"/>
            <w:vAlign w:val="bottom"/>
          </w:tcPr>
          <w:p w14:paraId="1E99F07B" w14:textId="0D3405C7" w:rsidR="008A6844" w:rsidRPr="000E57E3" w:rsidRDefault="008A6844" w:rsidP="000E57E3">
            <w:pPr>
              <w:pStyle w:val="Tabletext"/>
            </w:pPr>
            <w:r w:rsidRPr="000E57E3">
              <w:t> </w:t>
            </w:r>
          </w:p>
        </w:tc>
        <w:tc>
          <w:tcPr>
            <w:tcW w:w="0" w:type="auto"/>
            <w:vAlign w:val="bottom"/>
          </w:tcPr>
          <w:p w14:paraId="12AB60B3" w14:textId="1FCE5AD1" w:rsidR="008A6844" w:rsidRPr="000E57E3" w:rsidRDefault="008A6844" w:rsidP="000E57E3">
            <w:pPr>
              <w:pStyle w:val="Tabletext"/>
            </w:pPr>
            <w:r w:rsidRPr="000E57E3">
              <w:t> </w:t>
            </w:r>
          </w:p>
        </w:tc>
        <w:tc>
          <w:tcPr>
            <w:tcW w:w="0" w:type="auto"/>
            <w:vAlign w:val="bottom"/>
          </w:tcPr>
          <w:p w14:paraId="53A9677A" w14:textId="4A7ECE41" w:rsidR="008A6844" w:rsidRPr="000E57E3" w:rsidRDefault="008A6844" w:rsidP="000E57E3">
            <w:pPr>
              <w:pStyle w:val="Tabletext"/>
            </w:pPr>
            <w:r w:rsidRPr="000E57E3">
              <w:t> </w:t>
            </w:r>
          </w:p>
        </w:tc>
        <w:tc>
          <w:tcPr>
            <w:tcW w:w="0" w:type="auto"/>
            <w:vAlign w:val="bottom"/>
          </w:tcPr>
          <w:p w14:paraId="24F392DB" w14:textId="7DBB74A4" w:rsidR="008A6844" w:rsidRPr="000E57E3" w:rsidRDefault="008A6844" w:rsidP="000E57E3">
            <w:pPr>
              <w:pStyle w:val="Tabletext"/>
            </w:pPr>
            <w:r w:rsidRPr="000E57E3">
              <w:t>Facilitated</w:t>
            </w:r>
          </w:p>
        </w:tc>
      </w:tr>
      <w:tr w:rsidR="00776CCE" w:rsidRPr="008A6844" w14:paraId="2E19BD2A" w14:textId="77777777" w:rsidTr="00CA44B7">
        <w:tc>
          <w:tcPr>
            <w:tcW w:w="0" w:type="auto"/>
            <w:vAlign w:val="bottom"/>
          </w:tcPr>
          <w:p w14:paraId="4B940ADB" w14:textId="2C7ABE83" w:rsidR="008A6844" w:rsidRPr="000E57E3" w:rsidRDefault="008A6844" w:rsidP="000E57E3">
            <w:pPr>
              <w:pStyle w:val="Tabletext"/>
            </w:pPr>
            <w:r w:rsidRPr="000E57E3">
              <w:t>MTOR</w:t>
            </w:r>
          </w:p>
        </w:tc>
        <w:tc>
          <w:tcPr>
            <w:tcW w:w="0" w:type="auto"/>
            <w:vAlign w:val="bottom"/>
          </w:tcPr>
          <w:p w14:paraId="097151E6" w14:textId="7BEB81A6" w:rsidR="008A6844" w:rsidRPr="000E57E3" w:rsidRDefault="008A6844" w:rsidP="000E57E3">
            <w:pPr>
              <w:pStyle w:val="Tabletext"/>
            </w:pPr>
            <w:r w:rsidRPr="000E57E3">
              <w:t> </w:t>
            </w:r>
          </w:p>
        </w:tc>
        <w:tc>
          <w:tcPr>
            <w:tcW w:w="0" w:type="auto"/>
            <w:vAlign w:val="bottom"/>
          </w:tcPr>
          <w:p w14:paraId="5B5F8BF7" w14:textId="14D9CA3F" w:rsidR="008A6844" w:rsidRPr="000E57E3" w:rsidRDefault="008A6844" w:rsidP="000E57E3">
            <w:pPr>
              <w:pStyle w:val="Tabletext"/>
            </w:pPr>
            <w:r w:rsidRPr="000E57E3">
              <w:t> </w:t>
            </w:r>
          </w:p>
        </w:tc>
        <w:tc>
          <w:tcPr>
            <w:tcW w:w="0" w:type="auto"/>
            <w:vAlign w:val="bottom"/>
          </w:tcPr>
          <w:p w14:paraId="7B897165" w14:textId="02309FFE" w:rsidR="008A6844" w:rsidRPr="000E57E3" w:rsidRDefault="008A6844" w:rsidP="000E57E3">
            <w:pPr>
              <w:pStyle w:val="Tabletext"/>
            </w:pPr>
            <w:r w:rsidRPr="000E57E3">
              <w:t> </w:t>
            </w:r>
          </w:p>
        </w:tc>
        <w:tc>
          <w:tcPr>
            <w:tcW w:w="0" w:type="auto"/>
            <w:vAlign w:val="bottom"/>
          </w:tcPr>
          <w:p w14:paraId="62D03AC2" w14:textId="1E76833B" w:rsidR="008A6844" w:rsidRPr="000E57E3" w:rsidRDefault="008A6844" w:rsidP="000E57E3">
            <w:pPr>
              <w:pStyle w:val="Tabletext"/>
            </w:pPr>
            <w:r w:rsidRPr="000E57E3">
              <w:t>Y</w:t>
            </w:r>
          </w:p>
        </w:tc>
        <w:tc>
          <w:tcPr>
            <w:tcW w:w="0" w:type="auto"/>
            <w:vAlign w:val="bottom"/>
          </w:tcPr>
          <w:p w14:paraId="696B031C" w14:textId="43952B81" w:rsidR="008A6844" w:rsidRPr="000E57E3" w:rsidRDefault="008A6844" w:rsidP="000E57E3">
            <w:pPr>
              <w:pStyle w:val="Tabletext"/>
            </w:pPr>
            <w:r w:rsidRPr="000E57E3">
              <w:t> </w:t>
            </w:r>
          </w:p>
        </w:tc>
        <w:tc>
          <w:tcPr>
            <w:tcW w:w="0" w:type="auto"/>
            <w:vAlign w:val="bottom"/>
          </w:tcPr>
          <w:p w14:paraId="496332D2" w14:textId="4CB2BFC4" w:rsidR="008A6844" w:rsidRPr="000E57E3" w:rsidRDefault="008A6844" w:rsidP="000E57E3">
            <w:pPr>
              <w:pStyle w:val="Tabletext"/>
            </w:pPr>
            <w:r w:rsidRPr="000E57E3">
              <w:t> </w:t>
            </w:r>
          </w:p>
        </w:tc>
        <w:tc>
          <w:tcPr>
            <w:tcW w:w="0" w:type="auto"/>
            <w:vAlign w:val="bottom"/>
          </w:tcPr>
          <w:p w14:paraId="7DA18078" w14:textId="00739C1F" w:rsidR="008A6844" w:rsidRPr="000E57E3" w:rsidRDefault="008A6844" w:rsidP="000E57E3">
            <w:pPr>
              <w:pStyle w:val="Tabletext"/>
            </w:pPr>
            <w:r w:rsidRPr="000E57E3">
              <w:t> </w:t>
            </w:r>
          </w:p>
        </w:tc>
        <w:tc>
          <w:tcPr>
            <w:tcW w:w="0" w:type="auto"/>
            <w:vAlign w:val="bottom"/>
          </w:tcPr>
          <w:p w14:paraId="37CA8829" w14:textId="6E390389" w:rsidR="008A6844" w:rsidRPr="000E57E3" w:rsidRDefault="008A6844" w:rsidP="000E57E3">
            <w:pPr>
              <w:pStyle w:val="Tabletext"/>
            </w:pPr>
            <w:r w:rsidRPr="000E57E3">
              <w:t> </w:t>
            </w:r>
          </w:p>
        </w:tc>
        <w:tc>
          <w:tcPr>
            <w:tcW w:w="0" w:type="auto"/>
            <w:vAlign w:val="bottom"/>
          </w:tcPr>
          <w:p w14:paraId="6FD65D71" w14:textId="1C499A68" w:rsidR="008A6844" w:rsidRPr="000E57E3" w:rsidRDefault="008A6844" w:rsidP="000E57E3">
            <w:pPr>
              <w:pStyle w:val="Tabletext"/>
            </w:pPr>
            <w:r w:rsidRPr="000E57E3">
              <w:t> </w:t>
            </w:r>
          </w:p>
        </w:tc>
        <w:tc>
          <w:tcPr>
            <w:tcW w:w="0" w:type="auto"/>
            <w:vAlign w:val="bottom"/>
          </w:tcPr>
          <w:p w14:paraId="0DCB9C02" w14:textId="4EB53B8E" w:rsidR="008A6844" w:rsidRPr="000E57E3" w:rsidRDefault="008A6844" w:rsidP="000E57E3">
            <w:pPr>
              <w:pStyle w:val="Tabletext"/>
            </w:pPr>
            <w:r w:rsidRPr="000E57E3">
              <w:t> </w:t>
            </w:r>
          </w:p>
        </w:tc>
        <w:tc>
          <w:tcPr>
            <w:tcW w:w="0" w:type="auto"/>
            <w:vAlign w:val="bottom"/>
          </w:tcPr>
          <w:p w14:paraId="572CB831" w14:textId="19BAA422" w:rsidR="008A6844" w:rsidRPr="000E57E3" w:rsidRDefault="008A6844" w:rsidP="000E57E3">
            <w:pPr>
              <w:pStyle w:val="Tabletext"/>
            </w:pPr>
            <w:r w:rsidRPr="000E57E3">
              <w:t> </w:t>
            </w:r>
          </w:p>
        </w:tc>
        <w:tc>
          <w:tcPr>
            <w:tcW w:w="0" w:type="auto"/>
            <w:vAlign w:val="bottom"/>
          </w:tcPr>
          <w:p w14:paraId="69A303DE" w14:textId="28377542" w:rsidR="008A6844" w:rsidRPr="000E57E3" w:rsidRDefault="008A6844" w:rsidP="000E57E3">
            <w:pPr>
              <w:pStyle w:val="Tabletext"/>
            </w:pPr>
            <w:r w:rsidRPr="000E57E3">
              <w:t>Facilitated</w:t>
            </w:r>
          </w:p>
        </w:tc>
      </w:tr>
      <w:tr w:rsidR="00776CCE" w:rsidRPr="008A6844" w14:paraId="248A59D6" w14:textId="77777777" w:rsidTr="00CA44B7">
        <w:tc>
          <w:tcPr>
            <w:tcW w:w="0" w:type="auto"/>
            <w:vAlign w:val="bottom"/>
          </w:tcPr>
          <w:p w14:paraId="42A5C0CF" w14:textId="6AA51A37" w:rsidR="008A6844" w:rsidRPr="000E57E3" w:rsidRDefault="008A6844" w:rsidP="000E57E3">
            <w:pPr>
              <w:pStyle w:val="Tabletext"/>
            </w:pPr>
            <w:r w:rsidRPr="000E57E3">
              <w:t>MYBL1</w:t>
            </w:r>
          </w:p>
        </w:tc>
        <w:tc>
          <w:tcPr>
            <w:tcW w:w="0" w:type="auto"/>
            <w:vAlign w:val="bottom"/>
          </w:tcPr>
          <w:p w14:paraId="6BE29D63" w14:textId="5AEBA804" w:rsidR="008A6844" w:rsidRPr="000E57E3" w:rsidRDefault="008A6844" w:rsidP="000E57E3">
            <w:pPr>
              <w:pStyle w:val="Tabletext"/>
            </w:pPr>
            <w:r w:rsidRPr="000E57E3">
              <w:t> </w:t>
            </w:r>
          </w:p>
        </w:tc>
        <w:tc>
          <w:tcPr>
            <w:tcW w:w="0" w:type="auto"/>
            <w:vAlign w:val="bottom"/>
          </w:tcPr>
          <w:p w14:paraId="6FBCD726" w14:textId="1D997AD8" w:rsidR="008A6844" w:rsidRPr="000E57E3" w:rsidRDefault="008A6844" w:rsidP="000E57E3">
            <w:pPr>
              <w:pStyle w:val="Tabletext"/>
            </w:pPr>
            <w:r w:rsidRPr="000E57E3">
              <w:t> </w:t>
            </w:r>
          </w:p>
        </w:tc>
        <w:tc>
          <w:tcPr>
            <w:tcW w:w="0" w:type="auto"/>
            <w:vAlign w:val="bottom"/>
          </w:tcPr>
          <w:p w14:paraId="3A96B422" w14:textId="240A7EB2" w:rsidR="008A6844" w:rsidRPr="000E57E3" w:rsidRDefault="008A6844" w:rsidP="000E57E3">
            <w:pPr>
              <w:pStyle w:val="Tabletext"/>
            </w:pPr>
            <w:r w:rsidRPr="000E57E3">
              <w:t> </w:t>
            </w:r>
          </w:p>
        </w:tc>
        <w:tc>
          <w:tcPr>
            <w:tcW w:w="0" w:type="auto"/>
            <w:vAlign w:val="bottom"/>
          </w:tcPr>
          <w:p w14:paraId="42894269" w14:textId="41AB3E6B" w:rsidR="008A6844" w:rsidRPr="000E57E3" w:rsidRDefault="008A6844" w:rsidP="000E57E3">
            <w:pPr>
              <w:pStyle w:val="Tabletext"/>
            </w:pPr>
            <w:r w:rsidRPr="000E57E3">
              <w:t> </w:t>
            </w:r>
          </w:p>
        </w:tc>
        <w:tc>
          <w:tcPr>
            <w:tcW w:w="0" w:type="auto"/>
            <w:vAlign w:val="bottom"/>
          </w:tcPr>
          <w:p w14:paraId="26C5899E" w14:textId="61865AD9" w:rsidR="008A6844" w:rsidRPr="000E57E3" w:rsidRDefault="008A6844" w:rsidP="000E57E3">
            <w:pPr>
              <w:pStyle w:val="Tabletext"/>
            </w:pPr>
            <w:r w:rsidRPr="000E57E3">
              <w:t>Y</w:t>
            </w:r>
          </w:p>
        </w:tc>
        <w:tc>
          <w:tcPr>
            <w:tcW w:w="0" w:type="auto"/>
            <w:vAlign w:val="bottom"/>
          </w:tcPr>
          <w:p w14:paraId="033D3337" w14:textId="7A5817B6" w:rsidR="008A6844" w:rsidRPr="000E57E3" w:rsidRDefault="008A6844" w:rsidP="000E57E3">
            <w:pPr>
              <w:pStyle w:val="Tabletext"/>
            </w:pPr>
            <w:r w:rsidRPr="000E57E3">
              <w:t> </w:t>
            </w:r>
          </w:p>
        </w:tc>
        <w:tc>
          <w:tcPr>
            <w:tcW w:w="0" w:type="auto"/>
            <w:vAlign w:val="bottom"/>
          </w:tcPr>
          <w:p w14:paraId="5DE27D06" w14:textId="20929C00" w:rsidR="008A6844" w:rsidRPr="000E57E3" w:rsidRDefault="008A6844" w:rsidP="000E57E3">
            <w:pPr>
              <w:pStyle w:val="Tabletext"/>
            </w:pPr>
            <w:r w:rsidRPr="000E57E3">
              <w:t> </w:t>
            </w:r>
          </w:p>
        </w:tc>
        <w:tc>
          <w:tcPr>
            <w:tcW w:w="0" w:type="auto"/>
            <w:vAlign w:val="bottom"/>
          </w:tcPr>
          <w:p w14:paraId="54E34A4A" w14:textId="337781A5" w:rsidR="008A6844" w:rsidRPr="000E57E3" w:rsidRDefault="008A6844" w:rsidP="000E57E3">
            <w:pPr>
              <w:pStyle w:val="Tabletext"/>
            </w:pPr>
            <w:r w:rsidRPr="000E57E3">
              <w:t> </w:t>
            </w:r>
          </w:p>
        </w:tc>
        <w:tc>
          <w:tcPr>
            <w:tcW w:w="0" w:type="auto"/>
            <w:vAlign w:val="bottom"/>
          </w:tcPr>
          <w:p w14:paraId="2EA5D412" w14:textId="0AB56206" w:rsidR="008A6844" w:rsidRPr="000E57E3" w:rsidRDefault="008A6844" w:rsidP="000E57E3">
            <w:pPr>
              <w:pStyle w:val="Tabletext"/>
            </w:pPr>
            <w:r w:rsidRPr="000E57E3">
              <w:t> </w:t>
            </w:r>
          </w:p>
        </w:tc>
        <w:tc>
          <w:tcPr>
            <w:tcW w:w="0" w:type="auto"/>
            <w:vAlign w:val="bottom"/>
          </w:tcPr>
          <w:p w14:paraId="2AC5928D" w14:textId="6B7E33CE" w:rsidR="008A6844" w:rsidRPr="000E57E3" w:rsidRDefault="008A6844" w:rsidP="000E57E3">
            <w:pPr>
              <w:pStyle w:val="Tabletext"/>
            </w:pPr>
            <w:r w:rsidRPr="000E57E3">
              <w:t> </w:t>
            </w:r>
          </w:p>
        </w:tc>
        <w:tc>
          <w:tcPr>
            <w:tcW w:w="0" w:type="auto"/>
            <w:vAlign w:val="bottom"/>
          </w:tcPr>
          <w:p w14:paraId="78940728" w14:textId="63964571" w:rsidR="008A6844" w:rsidRPr="000E57E3" w:rsidRDefault="008A6844" w:rsidP="000E57E3">
            <w:pPr>
              <w:pStyle w:val="Tabletext"/>
            </w:pPr>
            <w:r w:rsidRPr="000E57E3">
              <w:t> </w:t>
            </w:r>
          </w:p>
        </w:tc>
        <w:tc>
          <w:tcPr>
            <w:tcW w:w="0" w:type="auto"/>
            <w:vAlign w:val="bottom"/>
          </w:tcPr>
          <w:p w14:paraId="61E384DD" w14:textId="16F2F790" w:rsidR="008A6844" w:rsidRPr="000E57E3" w:rsidRDefault="008A6844" w:rsidP="000E57E3">
            <w:pPr>
              <w:pStyle w:val="Tabletext"/>
            </w:pPr>
            <w:r w:rsidRPr="000E57E3">
              <w:t>Facilitated</w:t>
            </w:r>
          </w:p>
        </w:tc>
      </w:tr>
      <w:tr w:rsidR="00776CCE" w:rsidRPr="008A6844" w14:paraId="23F1A06D" w14:textId="77777777" w:rsidTr="00CA44B7">
        <w:tc>
          <w:tcPr>
            <w:tcW w:w="0" w:type="auto"/>
            <w:vAlign w:val="bottom"/>
          </w:tcPr>
          <w:p w14:paraId="1A088ABC" w14:textId="07A429C0" w:rsidR="008A6844" w:rsidRPr="000E57E3" w:rsidRDefault="008A6844" w:rsidP="000E57E3">
            <w:pPr>
              <w:pStyle w:val="Tabletext"/>
            </w:pPr>
            <w:r w:rsidRPr="000E57E3">
              <w:t>MYC</w:t>
            </w:r>
          </w:p>
        </w:tc>
        <w:tc>
          <w:tcPr>
            <w:tcW w:w="0" w:type="auto"/>
            <w:vAlign w:val="bottom"/>
          </w:tcPr>
          <w:p w14:paraId="54BF091D" w14:textId="3FE26E69" w:rsidR="008A6844" w:rsidRPr="000E57E3" w:rsidRDefault="008A6844" w:rsidP="000E57E3">
            <w:pPr>
              <w:pStyle w:val="Tabletext"/>
            </w:pPr>
            <w:r w:rsidRPr="000E57E3">
              <w:t> </w:t>
            </w:r>
          </w:p>
        </w:tc>
        <w:tc>
          <w:tcPr>
            <w:tcW w:w="0" w:type="auto"/>
            <w:vAlign w:val="bottom"/>
          </w:tcPr>
          <w:p w14:paraId="3FCD8DEE" w14:textId="6CB28CCE" w:rsidR="008A6844" w:rsidRPr="000E57E3" w:rsidRDefault="008A6844" w:rsidP="000E57E3">
            <w:pPr>
              <w:pStyle w:val="Tabletext"/>
            </w:pPr>
            <w:r w:rsidRPr="000E57E3">
              <w:t> </w:t>
            </w:r>
          </w:p>
        </w:tc>
        <w:tc>
          <w:tcPr>
            <w:tcW w:w="0" w:type="auto"/>
            <w:vAlign w:val="bottom"/>
          </w:tcPr>
          <w:p w14:paraId="4BCAA89F" w14:textId="18D0B2CD" w:rsidR="008A6844" w:rsidRPr="000E57E3" w:rsidRDefault="008A6844" w:rsidP="000E57E3">
            <w:pPr>
              <w:pStyle w:val="Tabletext"/>
            </w:pPr>
            <w:r w:rsidRPr="000E57E3">
              <w:t>Y</w:t>
            </w:r>
          </w:p>
        </w:tc>
        <w:tc>
          <w:tcPr>
            <w:tcW w:w="0" w:type="auto"/>
            <w:vAlign w:val="bottom"/>
          </w:tcPr>
          <w:p w14:paraId="38B3A857" w14:textId="19680E9C" w:rsidR="008A6844" w:rsidRPr="000E57E3" w:rsidRDefault="008A6844" w:rsidP="000E57E3">
            <w:pPr>
              <w:pStyle w:val="Tabletext"/>
            </w:pPr>
            <w:r w:rsidRPr="000E57E3">
              <w:t>Y</w:t>
            </w:r>
          </w:p>
        </w:tc>
        <w:tc>
          <w:tcPr>
            <w:tcW w:w="0" w:type="auto"/>
            <w:vAlign w:val="bottom"/>
          </w:tcPr>
          <w:p w14:paraId="5F4DDD82" w14:textId="4805299F" w:rsidR="008A6844" w:rsidRPr="000E57E3" w:rsidRDefault="008A6844" w:rsidP="000E57E3">
            <w:pPr>
              <w:pStyle w:val="Tabletext"/>
            </w:pPr>
            <w:r w:rsidRPr="000E57E3">
              <w:t> </w:t>
            </w:r>
          </w:p>
        </w:tc>
        <w:tc>
          <w:tcPr>
            <w:tcW w:w="0" w:type="auto"/>
            <w:vAlign w:val="bottom"/>
          </w:tcPr>
          <w:p w14:paraId="49379E24" w14:textId="091AA663" w:rsidR="008A6844" w:rsidRPr="000E57E3" w:rsidRDefault="008A6844" w:rsidP="000E57E3">
            <w:pPr>
              <w:pStyle w:val="Tabletext"/>
            </w:pPr>
            <w:r w:rsidRPr="000E57E3">
              <w:t> </w:t>
            </w:r>
          </w:p>
        </w:tc>
        <w:tc>
          <w:tcPr>
            <w:tcW w:w="0" w:type="auto"/>
            <w:vAlign w:val="bottom"/>
          </w:tcPr>
          <w:p w14:paraId="75BAA3B7" w14:textId="5E6DCD79" w:rsidR="008A6844" w:rsidRPr="000E57E3" w:rsidRDefault="008A6844" w:rsidP="000E57E3">
            <w:pPr>
              <w:pStyle w:val="Tabletext"/>
            </w:pPr>
            <w:r w:rsidRPr="000E57E3">
              <w:t> </w:t>
            </w:r>
          </w:p>
        </w:tc>
        <w:tc>
          <w:tcPr>
            <w:tcW w:w="0" w:type="auto"/>
            <w:vAlign w:val="bottom"/>
          </w:tcPr>
          <w:p w14:paraId="14279F1D" w14:textId="35708CED" w:rsidR="008A6844" w:rsidRPr="000E57E3" w:rsidRDefault="008A6844" w:rsidP="000E57E3">
            <w:pPr>
              <w:pStyle w:val="Tabletext"/>
            </w:pPr>
            <w:r w:rsidRPr="000E57E3">
              <w:t>Y</w:t>
            </w:r>
          </w:p>
        </w:tc>
        <w:tc>
          <w:tcPr>
            <w:tcW w:w="0" w:type="auto"/>
            <w:vAlign w:val="bottom"/>
          </w:tcPr>
          <w:p w14:paraId="4F0FEA49" w14:textId="39DB1E24" w:rsidR="008A6844" w:rsidRPr="000E57E3" w:rsidRDefault="008A6844" w:rsidP="000E57E3">
            <w:pPr>
              <w:pStyle w:val="Tabletext"/>
            </w:pPr>
            <w:r w:rsidRPr="000E57E3">
              <w:t> </w:t>
            </w:r>
          </w:p>
        </w:tc>
        <w:tc>
          <w:tcPr>
            <w:tcW w:w="0" w:type="auto"/>
            <w:vAlign w:val="bottom"/>
          </w:tcPr>
          <w:p w14:paraId="309BC8B0" w14:textId="26200DD7" w:rsidR="008A6844" w:rsidRPr="000E57E3" w:rsidRDefault="008A6844" w:rsidP="000E57E3">
            <w:pPr>
              <w:pStyle w:val="Tabletext"/>
            </w:pPr>
            <w:r w:rsidRPr="000E57E3">
              <w:t> </w:t>
            </w:r>
          </w:p>
        </w:tc>
        <w:tc>
          <w:tcPr>
            <w:tcW w:w="0" w:type="auto"/>
            <w:vAlign w:val="bottom"/>
          </w:tcPr>
          <w:p w14:paraId="636EDD6E" w14:textId="36BFC4E0" w:rsidR="008A6844" w:rsidRPr="000E57E3" w:rsidRDefault="008A6844" w:rsidP="000E57E3">
            <w:pPr>
              <w:pStyle w:val="Tabletext"/>
            </w:pPr>
            <w:r w:rsidRPr="000E57E3">
              <w:t> </w:t>
            </w:r>
          </w:p>
        </w:tc>
        <w:tc>
          <w:tcPr>
            <w:tcW w:w="0" w:type="auto"/>
            <w:vAlign w:val="bottom"/>
          </w:tcPr>
          <w:p w14:paraId="2F31A878" w14:textId="75F0A20F" w:rsidR="008A6844" w:rsidRPr="000E57E3" w:rsidRDefault="008A6844" w:rsidP="000E57E3">
            <w:pPr>
              <w:pStyle w:val="Tabletext"/>
            </w:pPr>
            <w:r w:rsidRPr="000E57E3">
              <w:t>Facilitated</w:t>
            </w:r>
          </w:p>
        </w:tc>
      </w:tr>
      <w:tr w:rsidR="00776CCE" w:rsidRPr="008A6844" w14:paraId="6498AFB5" w14:textId="77777777" w:rsidTr="00CA44B7">
        <w:tc>
          <w:tcPr>
            <w:tcW w:w="0" w:type="auto"/>
            <w:vAlign w:val="bottom"/>
          </w:tcPr>
          <w:p w14:paraId="36AA10D2" w14:textId="5099A41F" w:rsidR="008A6844" w:rsidRPr="000E57E3" w:rsidRDefault="008A6844" w:rsidP="000E57E3">
            <w:pPr>
              <w:pStyle w:val="Tabletext"/>
            </w:pPr>
            <w:r w:rsidRPr="000E57E3">
              <w:t>MYH11</w:t>
            </w:r>
          </w:p>
        </w:tc>
        <w:tc>
          <w:tcPr>
            <w:tcW w:w="0" w:type="auto"/>
            <w:vAlign w:val="bottom"/>
          </w:tcPr>
          <w:p w14:paraId="35540CD9" w14:textId="313A0C49" w:rsidR="008A6844" w:rsidRPr="000E57E3" w:rsidRDefault="008A6844" w:rsidP="000E57E3">
            <w:pPr>
              <w:pStyle w:val="Tabletext"/>
            </w:pPr>
            <w:r w:rsidRPr="000E57E3">
              <w:t> </w:t>
            </w:r>
          </w:p>
        </w:tc>
        <w:tc>
          <w:tcPr>
            <w:tcW w:w="0" w:type="auto"/>
            <w:vAlign w:val="bottom"/>
          </w:tcPr>
          <w:p w14:paraId="747DC263" w14:textId="1AF609E3" w:rsidR="008A6844" w:rsidRPr="000E57E3" w:rsidRDefault="008A6844" w:rsidP="000E57E3">
            <w:pPr>
              <w:pStyle w:val="Tabletext"/>
            </w:pPr>
            <w:r w:rsidRPr="000E57E3">
              <w:t> </w:t>
            </w:r>
          </w:p>
        </w:tc>
        <w:tc>
          <w:tcPr>
            <w:tcW w:w="0" w:type="auto"/>
            <w:vAlign w:val="bottom"/>
          </w:tcPr>
          <w:p w14:paraId="17973CD7" w14:textId="6BE61A3C" w:rsidR="008A6844" w:rsidRPr="000E57E3" w:rsidRDefault="008A6844" w:rsidP="000E57E3">
            <w:pPr>
              <w:pStyle w:val="Tabletext"/>
            </w:pPr>
            <w:r w:rsidRPr="000E57E3">
              <w:t> </w:t>
            </w:r>
          </w:p>
        </w:tc>
        <w:tc>
          <w:tcPr>
            <w:tcW w:w="0" w:type="auto"/>
            <w:vAlign w:val="bottom"/>
          </w:tcPr>
          <w:p w14:paraId="2005B4BC" w14:textId="758968A7" w:rsidR="008A6844" w:rsidRPr="000E57E3" w:rsidRDefault="008A6844" w:rsidP="000E57E3">
            <w:pPr>
              <w:pStyle w:val="Tabletext"/>
            </w:pPr>
            <w:r w:rsidRPr="000E57E3">
              <w:t> </w:t>
            </w:r>
          </w:p>
        </w:tc>
        <w:tc>
          <w:tcPr>
            <w:tcW w:w="0" w:type="auto"/>
            <w:vAlign w:val="bottom"/>
          </w:tcPr>
          <w:p w14:paraId="15F365B8" w14:textId="3380CE6C" w:rsidR="008A6844" w:rsidRPr="000E57E3" w:rsidRDefault="008A6844" w:rsidP="000E57E3">
            <w:pPr>
              <w:pStyle w:val="Tabletext"/>
            </w:pPr>
            <w:r w:rsidRPr="000E57E3">
              <w:t>Y</w:t>
            </w:r>
          </w:p>
        </w:tc>
        <w:tc>
          <w:tcPr>
            <w:tcW w:w="0" w:type="auto"/>
            <w:vAlign w:val="bottom"/>
          </w:tcPr>
          <w:p w14:paraId="3591FA05" w14:textId="6F7BD388" w:rsidR="008A6844" w:rsidRPr="000E57E3" w:rsidRDefault="008A6844" w:rsidP="000E57E3">
            <w:pPr>
              <w:pStyle w:val="Tabletext"/>
            </w:pPr>
            <w:r w:rsidRPr="000E57E3">
              <w:t> </w:t>
            </w:r>
          </w:p>
        </w:tc>
        <w:tc>
          <w:tcPr>
            <w:tcW w:w="0" w:type="auto"/>
            <w:vAlign w:val="bottom"/>
          </w:tcPr>
          <w:p w14:paraId="3C3151CE" w14:textId="7C6F017D" w:rsidR="008A6844" w:rsidRPr="000E57E3" w:rsidRDefault="008A6844" w:rsidP="000E57E3">
            <w:pPr>
              <w:pStyle w:val="Tabletext"/>
            </w:pPr>
            <w:r w:rsidRPr="000E57E3">
              <w:t> </w:t>
            </w:r>
          </w:p>
        </w:tc>
        <w:tc>
          <w:tcPr>
            <w:tcW w:w="0" w:type="auto"/>
            <w:vAlign w:val="bottom"/>
          </w:tcPr>
          <w:p w14:paraId="4B1C2A52" w14:textId="499906A1" w:rsidR="008A6844" w:rsidRPr="000E57E3" w:rsidRDefault="008A6844" w:rsidP="000E57E3">
            <w:pPr>
              <w:pStyle w:val="Tabletext"/>
            </w:pPr>
            <w:r w:rsidRPr="000E57E3">
              <w:t> </w:t>
            </w:r>
          </w:p>
        </w:tc>
        <w:tc>
          <w:tcPr>
            <w:tcW w:w="0" w:type="auto"/>
            <w:vAlign w:val="bottom"/>
          </w:tcPr>
          <w:p w14:paraId="12906781" w14:textId="0EA02FD3" w:rsidR="008A6844" w:rsidRPr="000E57E3" w:rsidRDefault="008A6844" w:rsidP="000E57E3">
            <w:pPr>
              <w:pStyle w:val="Tabletext"/>
            </w:pPr>
            <w:r w:rsidRPr="000E57E3">
              <w:t> </w:t>
            </w:r>
          </w:p>
        </w:tc>
        <w:tc>
          <w:tcPr>
            <w:tcW w:w="0" w:type="auto"/>
            <w:vAlign w:val="bottom"/>
          </w:tcPr>
          <w:p w14:paraId="48DF7FED" w14:textId="32576342" w:rsidR="008A6844" w:rsidRPr="000E57E3" w:rsidRDefault="008A6844" w:rsidP="000E57E3">
            <w:pPr>
              <w:pStyle w:val="Tabletext"/>
            </w:pPr>
            <w:r w:rsidRPr="000E57E3">
              <w:t> </w:t>
            </w:r>
          </w:p>
        </w:tc>
        <w:tc>
          <w:tcPr>
            <w:tcW w:w="0" w:type="auto"/>
            <w:vAlign w:val="bottom"/>
          </w:tcPr>
          <w:p w14:paraId="413B8C8D" w14:textId="5D8797E4" w:rsidR="008A6844" w:rsidRPr="000E57E3" w:rsidRDefault="008A6844" w:rsidP="000E57E3">
            <w:pPr>
              <w:pStyle w:val="Tabletext"/>
            </w:pPr>
            <w:r w:rsidRPr="000E57E3">
              <w:t> </w:t>
            </w:r>
          </w:p>
        </w:tc>
        <w:tc>
          <w:tcPr>
            <w:tcW w:w="0" w:type="auto"/>
            <w:vAlign w:val="bottom"/>
          </w:tcPr>
          <w:p w14:paraId="248BD4D1" w14:textId="35DAF985" w:rsidR="008A6844" w:rsidRPr="000E57E3" w:rsidRDefault="008A6844" w:rsidP="000E57E3">
            <w:pPr>
              <w:pStyle w:val="Tabletext"/>
            </w:pPr>
            <w:r w:rsidRPr="000E57E3">
              <w:t>Facilitated</w:t>
            </w:r>
          </w:p>
        </w:tc>
      </w:tr>
      <w:tr w:rsidR="00776CCE" w:rsidRPr="008A6844" w14:paraId="310946CE" w14:textId="77777777" w:rsidTr="00CA44B7">
        <w:tc>
          <w:tcPr>
            <w:tcW w:w="0" w:type="auto"/>
            <w:vAlign w:val="bottom"/>
          </w:tcPr>
          <w:p w14:paraId="7DDECDC9" w14:textId="4BEE09E7" w:rsidR="008A6844" w:rsidRPr="000E57E3" w:rsidRDefault="008A6844" w:rsidP="000E57E3">
            <w:pPr>
              <w:pStyle w:val="Tabletext"/>
            </w:pPr>
            <w:r w:rsidRPr="000E57E3">
              <w:t>NFKBIE</w:t>
            </w:r>
          </w:p>
        </w:tc>
        <w:tc>
          <w:tcPr>
            <w:tcW w:w="0" w:type="auto"/>
            <w:vAlign w:val="bottom"/>
          </w:tcPr>
          <w:p w14:paraId="678980D8" w14:textId="05FEBE2F" w:rsidR="008A6844" w:rsidRPr="000E57E3" w:rsidRDefault="008A6844" w:rsidP="000E57E3">
            <w:pPr>
              <w:pStyle w:val="Tabletext"/>
            </w:pPr>
            <w:r w:rsidRPr="000E57E3">
              <w:t> </w:t>
            </w:r>
          </w:p>
        </w:tc>
        <w:tc>
          <w:tcPr>
            <w:tcW w:w="0" w:type="auto"/>
            <w:vAlign w:val="bottom"/>
          </w:tcPr>
          <w:p w14:paraId="2120BCCE" w14:textId="18D2CDB2" w:rsidR="008A6844" w:rsidRPr="000E57E3" w:rsidRDefault="008A6844" w:rsidP="000E57E3">
            <w:pPr>
              <w:pStyle w:val="Tabletext"/>
            </w:pPr>
            <w:r w:rsidRPr="000E57E3">
              <w:t> </w:t>
            </w:r>
          </w:p>
        </w:tc>
        <w:tc>
          <w:tcPr>
            <w:tcW w:w="0" w:type="auto"/>
            <w:vAlign w:val="bottom"/>
          </w:tcPr>
          <w:p w14:paraId="7FF7F89C" w14:textId="6A29D71D" w:rsidR="008A6844" w:rsidRPr="000E57E3" w:rsidRDefault="008A6844" w:rsidP="000E57E3">
            <w:pPr>
              <w:pStyle w:val="Tabletext"/>
            </w:pPr>
            <w:r w:rsidRPr="000E57E3">
              <w:t> </w:t>
            </w:r>
          </w:p>
        </w:tc>
        <w:tc>
          <w:tcPr>
            <w:tcW w:w="0" w:type="auto"/>
            <w:vAlign w:val="bottom"/>
          </w:tcPr>
          <w:p w14:paraId="67096757" w14:textId="622E6F3D" w:rsidR="008A6844" w:rsidRPr="000E57E3" w:rsidRDefault="008A6844" w:rsidP="000E57E3">
            <w:pPr>
              <w:pStyle w:val="Tabletext"/>
            </w:pPr>
            <w:r w:rsidRPr="000E57E3">
              <w:t> </w:t>
            </w:r>
          </w:p>
        </w:tc>
        <w:tc>
          <w:tcPr>
            <w:tcW w:w="0" w:type="auto"/>
            <w:vAlign w:val="bottom"/>
          </w:tcPr>
          <w:p w14:paraId="6ECE5962" w14:textId="2A6E7318" w:rsidR="008A6844" w:rsidRPr="000E57E3" w:rsidRDefault="008A6844" w:rsidP="000E57E3">
            <w:pPr>
              <w:pStyle w:val="Tabletext"/>
            </w:pPr>
            <w:r w:rsidRPr="000E57E3">
              <w:t> </w:t>
            </w:r>
          </w:p>
        </w:tc>
        <w:tc>
          <w:tcPr>
            <w:tcW w:w="0" w:type="auto"/>
            <w:vAlign w:val="bottom"/>
          </w:tcPr>
          <w:p w14:paraId="7D47EA33" w14:textId="6A4223D4" w:rsidR="008A6844" w:rsidRPr="000E57E3" w:rsidRDefault="008A6844" w:rsidP="000E57E3">
            <w:pPr>
              <w:pStyle w:val="Tabletext"/>
            </w:pPr>
            <w:r w:rsidRPr="000E57E3">
              <w:t> </w:t>
            </w:r>
          </w:p>
        </w:tc>
        <w:tc>
          <w:tcPr>
            <w:tcW w:w="0" w:type="auto"/>
            <w:vAlign w:val="bottom"/>
          </w:tcPr>
          <w:p w14:paraId="4AF0B26B" w14:textId="06655A21" w:rsidR="008A6844" w:rsidRPr="000E57E3" w:rsidRDefault="008A6844" w:rsidP="000E57E3">
            <w:pPr>
              <w:pStyle w:val="Tabletext"/>
            </w:pPr>
            <w:r w:rsidRPr="000E57E3">
              <w:t>Y</w:t>
            </w:r>
          </w:p>
        </w:tc>
        <w:tc>
          <w:tcPr>
            <w:tcW w:w="0" w:type="auto"/>
            <w:vAlign w:val="bottom"/>
          </w:tcPr>
          <w:p w14:paraId="0EF99182" w14:textId="793F5CDB" w:rsidR="008A6844" w:rsidRPr="000E57E3" w:rsidRDefault="008A6844" w:rsidP="000E57E3">
            <w:pPr>
              <w:pStyle w:val="Tabletext"/>
            </w:pPr>
            <w:r w:rsidRPr="000E57E3">
              <w:t>Y</w:t>
            </w:r>
          </w:p>
        </w:tc>
        <w:tc>
          <w:tcPr>
            <w:tcW w:w="0" w:type="auto"/>
            <w:vAlign w:val="bottom"/>
          </w:tcPr>
          <w:p w14:paraId="174FEB84" w14:textId="0EDA3898" w:rsidR="008A6844" w:rsidRPr="000E57E3" w:rsidRDefault="008A6844" w:rsidP="000E57E3">
            <w:pPr>
              <w:pStyle w:val="Tabletext"/>
            </w:pPr>
            <w:r w:rsidRPr="000E57E3">
              <w:t> </w:t>
            </w:r>
          </w:p>
        </w:tc>
        <w:tc>
          <w:tcPr>
            <w:tcW w:w="0" w:type="auto"/>
            <w:vAlign w:val="bottom"/>
          </w:tcPr>
          <w:p w14:paraId="700ADEC6" w14:textId="64B9DC95" w:rsidR="008A6844" w:rsidRPr="000E57E3" w:rsidRDefault="008A6844" w:rsidP="000E57E3">
            <w:pPr>
              <w:pStyle w:val="Tabletext"/>
            </w:pPr>
            <w:r w:rsidRPr="000E57E3">
              <w:t>Y</w:t>
            </w:r>
          </w:p>
        </w:tc>
        <w:tc>
          <w:tcPr>
            <w:tcW w:w="0" w:type="auto"/>
            <w:vAlign w:val="bottom"/>
          </w:tcPr>
          <w:p w14:paraId="6C113821" w14:textId="49503744" w:rsidR="008A6844" w:rsidRPr="000E57E3" w:rsidRDefault="008A6844" w:rsidP="000E57E3">
            <w:pPr>
              <w:pStyle w:val="Tabletext"/>
            </w:pPr>
            <w:r w:rsidRPr="000E57E3">
              <w:t> </w:t>
            </w:r>
          </w:p>
        </w:tc>
        <w:tc>
          <w:tcPr>
            <w:tcW w:w="0" w:type="auto"/>
            <w:vAlign w:val="bottom"/>
          </w:tcPr>
          <w:p w14:paraId="6BA340E6" w14:textId="2564FE33" w:rsidR="008A6844" w:rsidRPr="000E57E3" w:rsidRDefault="008A6844" w:rsidP="000E57E3">
            <w:pPr>
              <w:pStyle w:val="Tabletext"/>
            </w:pPr>
            <w:r w:rsidRPr="000E57E3">
              <w:t>Facilitated</w:t>
            </w:r>
          </w:p>
        </w:tc>
      </w:tr>
      <w:tr w:rsidR="00776CCE" w:rsidRPr="008A6844" w14:paraId="03742431" w14:textId="77777777" w:rsidTr="00CA44B7">
        <w:tc>
          <w:tcPr>
            <w:tcW w:w="0" w:type="auto"/>
            <w:vAlign w:val="bottom"/>
          </w:tcPr>
          <w:p w14:paraId="2A606F8C" w14:textId="199D1072" w:rsidR="008A6844" w:rsidRPr="000E57E3" w:rsidRDefault="008A6844" w:rsidP="000E57E3">
            <w:pPr>
              <w:pStyle w:val="Tabletext"/>
            </w:pPr>
            <w:r w:rsidRPr="000E57E3">
              <w:t>NOTCH2</w:t>
            </w:r>
          </w:p>
        </w:tc>
        <w:tc>
          <w:tcPr>
            <w:tcW w:w="0" w:type="auto"/>
            <w:vAlign w:val="bottom"/>
          </w:tcPr>
          <w:p w14:paraId="50A41C02" w14:textId="398C9212" w:rsidR="008A6844" w:rsidRPr="000E57E3" w:rsidRDefault="008A6844" w:rsidP="000E57E3">
            <w:pPr>
              <w:pStyle w:val="Tabletext"/>
            </w:pPr>
            <w:r w:rsidRPr="000E57E3">
              <w:t> </w:t>
            </w:r>
          </w:p>
        </w:tc>
        <w:tc>
          <w:tcPr>
            <w:tcW w:w="0" w:type="auto"/>
            <w:vAlign w:val="bottom"/>
          </w:tcPr>
          <w:p w14:paraId="42D363E0" w14:textId="60CCA044" w:rsidR="008A6844" w:rsidRPr="000E57E3" w:rsidRDefault="008A6844" w:rsidP="000E57E3">
            <w:pPr>
              <w:pStyle w:val="Tabletext"/>
            </w:pPr>
            <w:r w:rsidRPr="000E57E3">
              <w:t> </w:t>
            </w:r>
          </w:p>
        </w:tc>
        <w:tc>
          <w:tcPr>
            <w:tcW w:w="0" w:type="auto"/>
            <w:vAlign w:val="bottom"/>
          </w:tcPr>
          <w:p w14:paraId="42AB5879" w14:textId="252D47D7" w:rsidR="008A6844" w:rsidRPr="000E57E3" w:rsidRDefault="008A6844" w:rsidP="000E57E3">
            <w:pPr>
              <w:pStyle w:val="Tabletext"/>
            </w:pPr>
            <w:r w:rsidRPr="000E57E3">
              <w:t> </w:t>
            </w:r>
          </w:p>
        </w:tc>
        <w:tc>
          <w:tcPr>
            <w:tcW w:w="0" w:type="auto"/>
            <w:vAlign w:val="bottom"/>
          </w:tcPr>
          <w:p w14:paraId="426DFA77" w14:textId="5529D59A" w:rsidR="008A6844" w:rsidRPr="000E57E3" w:rsidRDefault="008A6844" w:rsidP="000E57E3">
            <w:pPr>
              <w:pStyle w:val="Tabletext"/>
            </w:pPr>
            <w:r w:rsidRPr="000E57E3">
              <w:t> </w:t>
            </w:r>
          </w:p>
        </w:tc>
        <w:tc>
          <w:tcPr>
            <w:tcW w:w="0" w:type="auto"/>
            <w:vAlign w:val="bottom"/>
          </w:tcPr>
          <w:p w14:paraId="102E7F46" w14:textId="40F44E43" w:rsidR="008A6844" w:rsidRPr="000E57E3" w:rsidRDefault="008A6844" w:rsidP="000E57E3">
            <w:pPr>
              <w:pStyle w:val="Tabletext"/>
            </w:pPr>
            <w:r w:rsidRPr="000E57E3">
              <w:t> </w:t>
            </w:r>
          </w:p>
        </w:tc>
        <w:tc>
          <w:tcPr>
            <w:tcW w:w="0" w:type="auto"/>
            <w:vAlign w:val="bottom"/>
          </w:tcPr>
          <w:p w14:paraId="62D56450" w14:textId="776B2798" w:rsidR="008A6844" w:rsidRPr="000E57E3" w:rsidRDefault="008A6844" w:rsidP="000E57E3">
            <w:pPr>
              <w:pStyle w:val="Tabletext"/>
            </w:pPr>
            <w:r w:rsidRPr="000E57E3">
              <w:t> </w:t>
            </w:r>
          </w:p>
        </w:tc>
        <w:tc>
          <w:tcPr>
            <w:tcW w:w="0" w:type="auto"/>
            <w:vAlign w:val="bottom"/>
          </w:tcPr>
          <w:p w14:paraId="2F7640A2" w14:textId="64DAE874" w:rsidR="008A6844" w:rsidRPr="000E57E3" w:rsidRDefault="008A6844" w:rsidP="000E57E3">
            <w:pPr>
              <w:pStyle w:val="Tabletext"/>
            </w:pPr>
            <w:r w:rsidRPr="000E57E3">
              <w:t>Y</w:t>
            </w:r>
          </w:p>
        </w:tc>
        <w:tc>
          <w:tcPr>
            <w:tcW w:w="0" w:type="auto"/>
            <w:vAlign w:val="bottom"/>
          </w:tcPr>
          <w:p w14:paraId="669A4C15" w14:textId="3D149C42" w:rsidR="008A6844" w:rsidRPr="000E57E3" w:rsidRDefault="008A6844" w:rsidP="000E57E3">
            <w:pPr>
              <w:pStyle w:val="Tabletext"/>
            </w:pPr>
            <w:r w:rsidRPr="000E57E3">
              <w:t>Y</w:t>
            </w:r>
          </w:p>
        </w:tc>
        <w:tc>
          <w:tcPr>
            <w:tcW w:w="0" w:type="auto"/>
            <w:vAlign w:val="bottom"/>
          </w:tcPr>
          <w:p w14:paraId="4865BB89" w14:textId="5ABB5BF4" w:rsidR="008A6844" w:rsidRPr="000E57E3" w:rsidRDefault="008A6844" w:rsidP="000E57E3">
            <w:pPr>
              <w:pStyle w:val="Tabletext"/>
            </w:pPr>
            <w:r w:rsidRPr="000E57E3">
              <w:t> </w:t>
            </w:r>
          </w:p>
        </w:tc>
        <w:tc>
          <w:tcPr>
            <w:tcW w:w="0" w:type="auto"/>
            <w:vAlign w:val="bottom"/>
          </w:tcPr>
          <w:p w14:paraId="01D864EB" w14:textId="60C38085" w:rsidR="008A6844" w:rsidRPr="000E57E3" w:rsidRDefault="008A6844" w:rsidP="000E57E3">
            <w:pPr>
              <w:pStyle w:val="Tabletext"/>
            </w:pPr>
            <w:r w:rsidRPr="000E57E3">
              <w:t>Y</w:t>
            </w:r>
          </w:p>
        </w:tc>
        <w:tc>
          <w:tcPr>
            <w:tcW w:w="0" w:type="auto"/>
            <w:vAlign w:val="bottom"/>
          </w:tcPr>
          <w:p w14:paraId="65A43F4B" w14:textId="47266933" w:rsidR="008A6844" w:rsidRPr="000E57E3" w:rsidRDefault="008A6844" w:rsidP="000E57E3">
            <w:pPr>
              <w:pStyle w:val="Tabletext"/>
            </w:pPr>
            <w:r w:rsidRPr="000E57E3">
              <w:t> </w:t>
            </w:r>
          </w:p>
        </w:tc>
        <w:tc>
          <w:tcPr>
            <w:tcW w:w="0" w:type="auto"/>
            <w:vAlign w:val="bottom"/>
          </w:tcPr>
          <w:p w14:paraId="691D1BBA" w14:textId="279E9F2C" w:rsidR="008A6844" w:rsidRPr="000E57E3" w:rsidRDefault="008A6844" w:rsidP="000E57E3">
            <w:pPr>
              <w:pStyle w:val="Tabletext"/>
            </w:pPr>
            <w:r w:rsidRPr="000E57E3">
              <w:t>Facilitated</w:t>
            </w:r>
          </w:p>
        </w:tc>
      </w:tr>
      <w:tr w:rsidR="00776CCE" w:rsidRPr="008A6844" w14:paraId="1AB30F24" w14:textId="77777777" w:rsidTr="00CA44B7">
        <w:tc>
          <w:tcPr>
            <w:tcW w:w="0" w:type="auto"/>
            <w:vAlign w:val="bottom"/>
          </w:tcPr>
          <w:p w14:paraId="241E3D15" w14:textId="625888DB" w:rsidR="008A6844" w:rsidRPr="000E57E3" w:rsidRDefault="008A6844" w:rsidP="000E57E3">
            <w:pPr>
              <w:pStyle w:val="Tabletext"/>
            </w:pPr>
            <w:r w:rsidRPr="000E57E3">
              <w:t>NTRK3</w:t>
            </w:r>
          </w:p>
        </w:tc>
        <w:tc>
          <w:tcPr>
            <w:tcW w:w="0" w:type="auto"/>
            <w:vAlign w:val="bottom"/>
          </w:tcPr>
          <w:p w14:paraId="371A1A3C" w14:textId="79871CE9" w:rsidR="008A6844" w:rsidRPr="000E57E3" w:rsidRDefault="008A6844" w:rsidP="000E57E3">
            <w:pPr>
              <w:pStyle w:val="Tabletext"/>
            </w:pPr>
            <w:r w:rsidRPr="000E57E3">
              <w:t> </w:t>
            </w:r>
          </w:p>
        </w:tc>
        <w:tc>
          <w:tcPr>
            <w:tcW w:w="0" w:type="auto"/>
            <w:vAlign w:val="bottom"/>
          </w:tcPr>
          <w:p w14:paraId="7F6D2DD5" w14:textId="4F6D114D" w:rsidR="008A6844" w:rsidRPr="000E57E3" w:rsidRDefault="008A6844" w:rsidP="000E57E3">
            <w:pPr>
              <w:pStyle w:val="Tabletext"/>
            </w:pPr>
            <w:r w:rsidRPr="000E57E3">
              <w:t> </w:t>
            </w:r>
          </w:p>
        </w:tc>
        <w:tc>
          <w:tcPr>
            <w:tcW w:w="0" w:type="auto"/>
            <w:vAlign w:val="bottom"/>
          </w:tcPr>
          <w:p w14:paraId="1A8453DF" w14:textId="263D9E27" w:rsidR="008A6844" w:rsidRPr="000E57E3" w:rsidRDefault="008A6844" w:rsidP="000E57E3">
            <w:pPr>
              <w:pStyle w:val="Tabletext"/>
            </w:pPr>
            <w:r w:rsidRPr="000E57E3">
              <w:t> </w:t>
            </w:r>
          </w:p>
        </w:tc>
        <w:tc>
          <w:tcPr>
            <w:tcW w:w="0" w:type="auto"/>
            <w:vAlign w:val="bottom"/>
          </w:tcPr>
          <w:p w14:paraId="61923F7E" w14:textId="24E8F637" w:rsidR="008A6844" w:rsidRPr="000E57E3" w:rsidRDefault="008A6844" w:rsidP="000E57E3">
            <w:pPr>
              <w:pStyle w:val="Tabletext"/>
            </w:pPr>
            <w:r w:rsidRPr="000E57E3">
              <w:t> </w:t>
            </w:r>
          </w:p>
        </w:tc>
        <w:tc>
          <w:tcPr>
            <w:tcW w:w="0" w:type="auto"/>
            <w:vAlign w:val="bottom"/>
          </w:tcPr>
          <w:p w14:paraId="429AA86E" w14:textId="183A70BA" w:rsidR="008A6844" w:rsidRPr="000E57E3" w:rsidRDefault="008A6844" w:rsidP="000E57E3">
            <w:pPr>
              <w:pStyle w:val="Tabletext"/>
            </w:pPr>
            <w:r w:rsidRPr="000E57E3">
              <w:t>Y</w:t>
            </w:r>
          </w:p>
        </w:tc>
        <w:tc>
          <w:tcPr>
            <w:tcW w:w="0" w:type="auto"/>
            <w:vAlign w:val="bottom"/>
          </w:tcPr>
          <w:p w14:paraId="423C4DC4" w14:textId="150353C2" w:rsidR="008A6844" w:rsidRPr="000E57E3" w:rsidRDefault="008A6844" w:rsidP="000E57E3">
            <w:pPr>
              <w:pStyle w:val="Tabletext"/>
            </w:pPr>
            <w:r w:rsidRPr="000E57E3">
              <w:t> </w:t>
            </w:r>
          </w:p>
        </w:tc>
        <w:tc>
          <w:tcPr>
            <w:tcW w:w="0" w:type="auto"/>
            <w:vAlign w:val="bottom"/>
          </w:tcPr>
          <w:p w14:paraId="1E802ED3" w14:textId="3BB0F831" w:rsidR="008A6844" w:rsidRPr="000E57E3" w:rsidRDefault="008A6844" w:rsidP="000E57E3">
            <w:pPr>
              <w:pStyle w:val="Tabletext"/>
            </w:pPr>
            <w:r w:rsidRPr="000E57E3">
              <w:t> </w:t>
            </w:r>
          </w:p>
        </w:tc>
        <w:tc>
          <w:tcPr>
            <w:tcW w:w="0" w:type="auto"/>
            <w:vAlign w:val="bottom"/>
          </w:tcPr>
          <w:p w14:paraId="3691073B" w14:textId="0F2E4AEB" w:rsidR="008A6844" w:rsidRPr="000E57E3" w:rsidRDefault="008A6844" w:rsidP="000E57E3">
            <w:pPr>
              <w:pStyle w:val="Tabletext"/>
            </w:pPr>
            <w:r w:rsidRPr="000E57E3">
              <w:t> </w:t>
            </w:r>
          </w:p>
        </w:tc>
        <w:tc>
          <w:tcPr>
            <w:tcW w:w="0" w:type="auto"/>
            <w:vAlign w:val="bottom"/>
          </w:tcPr>
          <w:p w14:paraId="74CF2D36" w14:textId="7DFCC80C" w:rsidR="008A6844" w:rsidRPr="000E57E3" w:rsidRDefault="008A6844" w:rsidP="000E57E3">
            <w:pPr>
              <w:pStyle w:val="Tabletext"/>
            </w:pPr>
            <w:r w:rsidRPr="000E57E3">
              <w:t> </w:t>
            </w:r>
          </w:p>
        </w:tc>
        <w:tc>
          <w:tcPr>
            <w:tcW w:w="0" w:type="auto"/>
            <w:vAlign w:val="bottom"/>
          </w:tcPr>
          <w:p w14:paraId="4B065518" w14:textId="65937AC7" w:rsidR="008A6844" w:rsidRPr="000E57E3" w:rsidRDefault="008A6844" w:rsidP="000E57E3">
            <w:pPr>
              <w:pStyle w:val="Tabletext"/>
            </w:pPr>
            <w:r w:rsidRPr="000E57E3">
              <w:t> </w:t>
            </w:r>
          </w:p>
        </w:tc>
        <w:tc>
          <w:tcPr>
            <w:tcW w:w="0" w:type="auto"/>
            <w:vAlign w:val="bottom"/>
          </w:tcPr>
          <w:p w14:paraId="4CFB69E3" w14:textId="65DA1F66" w:rsidR="008A6844" w:rsidRPr="000E57E3" w:rsidRDefault="008A6844" w:rsidP="000E57E3">
            <w:pPr>
              <w:pStyle w:val="Tabletext"/>
            </w:pPr>
            <w:r w:rsidRPr="000E57E3">
              <w:t> </w:t>
            </w:r>
          </w:p>
        </w:tc>
        <w:tc>
          <w:tcPr>
            <w:tcW w:w="0" w:type="auto"/>
            <w:vAlign w:val="bottom"/>
          </w:tcPr>
          <w:p w14:paraId="641A0014" w14:textId="7BF37699" w:rsidR="008A6844" w:rsidRPr="000E57E3" w:rsidRDefault="008A6844" w:rsidP="000E57E3">
            <w:pPr>
              <w:pStyle w:val="Tabletext"/>
            </w:pPr>
            <w:r w:rsidRPr="000E57E3">
              <w:t>Facilitated</w:t>
            </w:r>
          </w:p>
        </w:tc>
      </w:tr>
      <w:tr w:rsidR="00776CCE" w:rsidRPr="008A6844" w14:paraId="2F89D7CB" w14:textId="77777777" w:rsidTr="00CA44B7">
        <w:tc>
          <w:tcPr>
            <w:tcW w:w="0" w:type="auto"/>
            <w:vAlign w:val="bottom"/>
          </w:tcPr>
          <w:p w14:paraId="719F8BDE" w14:textId="56284BC1" w:rsidR="008A6844" w:rsidRPr="000E57E3" w:rsidRDefault="008A6844" w:rsidP="000E57E3">
            <w:pPr>
              <w:pStyle w:val="Tabletext"/>
            </w:pPr>
            <w:r w:rsidRPr="000E57E3">
              <w:t>NUP214</w:t>
            </w:r>
          </w:p>
        </w:tc>
        <w:tc>
          <w:tcPr>
            <w:tcW w:w="0" w:type="auto"/>
            <w:vAlign w:val="bottom"/>
          </w:tcPr>
          <w:p w14:paraId="10C5BADD" w14:textId="62EF101D" w:rsidR="008A6844" w:rsidRPr="000E57E3" w:rsidRDefault="008A6844" w:rsidP="000E57E3">
            <w:pPr>
              <w:pStyle w:val="Tabletext"/>
            </w:pPr>
            <w:r w:rsidRPr="000E57E3">
              <w:t> </w:t>
            </w:r>
          </w:p>
        </w:tc>
        <w:tc>
          <w:tcPr>
            <w:tcW w:w="0" w:type="auto"/>
            <w:vAlign w:val="bottom"/>
          </w:tcPr>
          <w:p w14:paraId="0C9E6377" w14:textId="084A230C" w:rsidR="008A6844" w:rsidRPr="000E57E3" w:rsidRDefault="008A6844" w:rsidP="000E57E3">
            <w:pPr>
              <w:pStyle w:val="Tabletext"/>
            </w:pPr>
            <w:r w:rsidRPr="000E57E3">
              <w:t> </w:t>
            </w:r>
          </w:p>
        </w:tc>
        <w:tc>
          <w:tcPr>
            <w:tcW w:w="0" w:type="auto"/>
            <w:vAlign w:val="bottom"/>
          </w:tcPr>
          <w:p w14:paraId="335A8208" w14:textId="1F2F362A" w:rsidR="008A6844" w:rsidRPr="000E57E3" w:rsidRDefault="008A6844" w:rsidP="000E57E3">
            <w:pPr>
              <w:pStyle w:val="Tabletext"/>
            </w:pPr>
            <w:r w:rsidRPr="000E57E3">
              <w:t> </w:t>
            </w:r>
          </w:p>
        </w:tc>
        <w:tc>
          <w:tcPr>
            <w:tcW w:w="0" w:type="auto"/>
            <w:vAlign w:val="bottom"/>
          </w:tcPr>
          <w:p w14:paraId="323B306B" w14:textId="713DA293" w:rsidR="008A6844" w:rsidRPr="000E57E3" w:rsidRDefault="008A6844" w:rsidP="000E57E3">
            <w:pPr>
              <w:pStyle w:val="Tabletext"/>
            </w:pPr>
            <w:r w:rsidRPr="000E57E3">
              <w:t> </w:t>
            </w:r>
          </w:p>
        </w:tc>
        <w:tc>
          <w:tcPr>
            <w:tcW w:w="0" w:type="auto"/>
            <w:vAlign w:val="bottom"/>
          </w:tcPr>
          <w:p w14:paraId="23BD459A" w14:textId="6492DFE1" w:rsidR="008A6844" w:rsidRPr="000E57E3" w:rsidRDefault="008A6844" w:rsidP="000E57E3">
            <w:pPr>
              <w:pStyle w:val="Tabletext"/>
            </w:pPr>
            <w:r w:rsidRPr="000E57E3">
              <w:t>Y</w:t>
            </w:r>
          </w:p>
        </w:tc>
        <w:tc>
          <w:tcPr>
            <w:tcW w:w="0" w:type="auto"/>
            <w:vAlign w:val="bottom"/>
          </w:tcPr>
          <w:p w14:paraId="2F23D86C" w14:textId="71A3ABF4" w:rsidR="008A6844" w:rsidRPr="000E57E3" w:rsidRDefault="008A6844" w:rsidP="000E57E3">
            <w:pPr>
              <w:pStyle w:val="Tabletext"/>
            </w:pPr>
            <w:r w:rsidRPr="000E57E3">
              <w:t> </w:t>
            </w:r>
          </w:p>
        </w:tc>
        <w:tc>
          <w:tcPr>
            <w:tcW w:w="0" w:type="auto"/>
            <w:vAlign w:val="bottom"/>
          </w:tcPr>
          <w:p w14:paraId="0D3278E9" w14:textId="2F089B17" w:rsidR="008A6844" w:rsidRPr="000E57E3" w:rsidRDefault="008A6844" w:rsidP="000E57E3">
            <w:pPr>
              <w:pStyle w:val="Tabletext"/>
            </w:pPr>
            <w:r w:rsidRPr="000E57E3">
              <w:t> </w:t>
            </w:r>
          </w:p>
        </w:tc>
        <w:tc>
          <w:tcPr>
            <w:tcW w:w="0" w:type="auto"/>
            <w:vAlign w:val="bottom"/>
          </w:tcPr>
          <w:p w14:paraId="645535AB" w14:textId="7832871C" w:rsidR="008A6844" w:rsidRPr="000E57E3" w:rsidRDefault="008A6844" w:rsidP="000E57E3">
            <w:pPr>
              <w:pStyle w:val="Tabletext"/>
            </w:pPr>
            <w:r w:rsidRPr="000E57E3">
              <w:t> </w:t>
            </w:r>
          </w:p>
        </w:tc>
        <w:tc>
          <w:tcPr>
            <w:tcW w:w="0" w:type="auto"/>
            <w:vAlign w:val="bottom"/>
          </w:tcPr>
          <w:p w14:paraId="33F8D5B6" w14:textId="4576417F" w:rsidR="008A6844" w:rsidRPr="000E57E3" w:rsidRDefault="008A6844" w:rsidP="000E57E3">
            <w:pPr>
              <w:pStyle w:val="Tabletext"/>
            </w:pPr>
            <w:r w:rsidRPr="000E57E3">
              <w:t> </w:t>
            </w:r>
          </w:p>
        </w:tc>
        <w:tc>
          <w:tcPr>
            <w:tcW w:w="0" w:type="auto"/>
            <w:vAlign w:val="bottom"/>
          </w:tcPr>
          <w:p w14:paraId="6C2B72DE" w14:textId="64BB7695" w:rsidR="008A6844" w:rsidRPr="000E57E3" w:rsidRDefault="008A6844" w:rsidP="000E57E3">
            <w:pPr>
              <w:pStyle w:val="Tabletext"/>
            </w:pPr>
            <w:r w:rsidRPr="000E57E3">
              <w:t> </w:t>
            </w:r>
          </w:p>
        </w:tc>
        <w:tc>
          <w:tcPr>
            <w:tcW w:w="0" w:type="auto"/>
            <w:vAlign w:val="bottom"/>
          </w:tcPr>
          <w:p w14:paraId="59E2A0FD" w14:textId="06C11CFB" w:rsidR="008A6844" w:rsidRPr="000E57E3" w:rsidRDefault="008A6844" w:rsidP="000E57E3">
            <w:pPr>
              <w:pStyle w:val="Tabletext"/>
            </w:pPr>
            <w:r w:rsidRPr="000E57E3">
              <w:t> </w:t>
            </w:r>
          </w:p>
        </w:tc>
        <w:tc>
          <w:tcPr>
            <w:tcW w:w="0" w:type="auto"/>
            <w:vAlign w:val="bottom"/>
          </w:tcPr>
          <w:p w14:paraId="6646EAF1" w14:textId="39817D69" w:rsidR="008A6844" w:rsidRPr="000E57E3" w:rsidRDefault="008A6844" w:rsidP="000E57E3">
            <w:pPr>
              <w:pStyle w:val="Tabletext"/>
            </w:pPr>
            <w:r w:rsidRPr="000E57E3">
              <w:t>Facilitated</w:t>
            </w:r>
          </w:p>
        </w:tc>
      </w:tr>
      <w:tr w:rsidR="00776CCE" w:rsidRPr="008A6844" w14:paraId="068391DC" w14:textId="77777777" w:rsidTr="00CA44B7">
        <w:tc>
          <w:tcPr>
            <w:tcW w:w="0" w:type="auto"/>
            <w:vAlign w:val="bottom"/>
          </w:tcPr>
          <w:p w14:paraId="71744138" w14:textId="007F6630" w:rsidR="008A6844" w:rsidRPr="000E57E3" w:rsidRDefault="008A6844" w:rsidP="000E57E3">
            <w:pPr>
              <w:pStyle w:val="Tabletext"/>
            </w:pPr>
            <w:r w:rsidRPr="000E57E3">
              <w:t>PARN</w:t>
            </w:r>
          </w:p>
        </w:tc>
        <w:tc>
          <w:tcPr>
            <w:tcW w:w="0" w:type="auto"/>
            <w:vAlign w:val="bottom"/>
          </w:tcPr>
          <w:p w14:paraId="13F6EAEC" w14:textId="327FFAEF" w:rsidR="008A6844" w:rsidRPr="000E57E3" w:rsidRDefault="008A6844" w:rsidP="000E57E3">
            <w:pPr>
              <w:pStyle w:val="Tabletext"/>
            </w:pPr>
            <w:r w:rsidRPr="000E57E3">
              <w:t> </w:t>
            </w:r>
          </w:p>
        </w:tc>
        <w:tc>
          <w:tcPr>
            <w:tcW w:w="0" w:type="auto"/>
            <w:vAlign w:val="bottom"/>
          </w:tcPr>
          <w:p w14:paraId="029F10AB" w14:textId="72CA5ED7" w:rsidR="008A6844" w:rsidRPr="000E57E3" w:rsidRDefault="008A6844" w:rsidP="000E57E3">
            <w:pPr>
              <w:pStyle w:val="Tabletext"/>
            </w:pPr>
            <w:r w:rsidRPr="000E57E3">
              <w:t> </w:t>
            </w:r>
          </w:p>
        </w:tc>
        <w:tc>
          <w:tcPr>
            <w:tcW w:w="0" w:type="auto"/>
            <w:vAlign w:val="bottom"/>
          </w:tcPr>
          <w:p w14:paraId="2B4F14B0" w14:textId="58A55667" w:rsidR="008A6844" w:rsidRPr="000E57E3" w:rsidRDefault="008A6844" w:rsidP="000E57E3">
            <w:pPr>
              <w:pStyle w:val="Tabletext"/>
            </w:pPr>
            <w:r w:rsidRPr="000E57E3">
              <w:t> </w:t>
            </w:r>
          </w:p>
        </w:tc>
        <w:tc>
          <w:tcPr>
            <w:tcW w:w="0" w:type="auto"/>
            <w:vAlign w:val="bottom"/>
          </w:tcPr>
          <w:p w14:paraId="13D96FFF" w14:textId="59F08C0D" w:rsidR="008A6844" w:rsidRPr="000E57E3" w:rsidRDefault="008A6844" w:rsidP="000E57E3">
            <w:pPr>
              <w:pStyle w:val="Tabletext"/>
            </w:pPr>
            <w:r w:rsidRPr="000E57E3">
              <w:t> </w:t>
            </w:r>
          </w:p>
        </w:tc>
        <w:tc>
          <w:tcPr>
            <w:tcW w:w="0" w:type="auto"/>
            <w:vAlign w:val="bottom"/>
          </w:tcPr>
          <w:p w14:paraId="17AA3BC4" w14:textId="7C39B85E" w:rsidR="008A6844" w:rsidRPr="000E57E3" w:rsidRDefault="008A6844" w:rsidP="000E57E3">
            <w:pPr>
              <w:pStyle w:val="Tabletext"/>
            </w:pPr>
            <w:r w:rsidRPr="000E57E3">
              <w:t> </w:t>
            </w:r>
          </w:p>
        </w:tc>
        <w:tc>
          <w:tcPr>
            <w:tcW w:w="0" w:type="auto"/>
            <w:vAlign w:val="bottom"/>
          </w:tcPr>
          <w:p w14:paraId="78C39588" w14:textId="4D62F2B2" w:rsidR="008A6844" w:rsidRPr="000E57E3" w:rsidRDefault="008A6844" w:rsidP="000E57E3">
            <w:pPr>
              <w:pStyle w:val="Tabletext"/>
            </w:pPr>
            <w:r w:rsidRPr="000E57E3">
              <w:t>Y</w:t>
            </w:r>
          </w:p>
        </w:tc>
        <w:tc>
          <w:tcPr>
            <w:tcW w:w="0" w:type="auto"/>
            <w:vAlign w:val="bottom"/>
          </w:tcPr>
          <w:p w14:paraId="024C7F9E" w14:textId="68057CF0" w:rsidR="008A6844" w:rsidRPr="000E57E3" w:rsidRDefault="008A6844" w:rsidP="000E57E3">
            <w:pPr>
              <w:pStyle w:val="Tabletext"/>
            </w:pPr>
            <w:r w:rsidRPr="000E57E3">
              <w:t> </w:t>
            </w:r>
          </w:p>
        </w:tc>
        <w:tc>
          <w:tcPr>
            <w:tcW w:w="0" w:type="auto"/>
            <w:vAlign w:val="bottom"/>
          </w:tcPr>
          <w:p w14:paraId="4BC87197" w14:textId="35970111" w:rsidR="008A6844" w:rsidRPr="000E57E3" w:rsidRDefault="008A6844" w:rsidP="000E57E3">
            <w:pPr>
              <w:pStyle w:val="Tabletext"/>
            </w:pPr>
            <w:r w:rsidRPr="000E57E3">
              <w:t> </w:t>
            </w:r>
          </w:p>
        </w:tc>
        <w:tc>
          <w:tcPr>
            <w:tcW w:w="0" w:type="auto"/>
            <w:vAlign w:val="bottom"/>
          </w:tcPr>
          <w:p w14:paraId="63BA999A" w14:textId="7D10C901" w:rsidR="008A6844" w:rsidRPr="000E57E3" w:rsidRDefault="008A6844" w:rsidP="000E57E3">
            <w:pPr>
              <w:pStyle w:val="Tabletext"/>
            </w:pPr>
            <w:r w:rsidRPr="000E57E3">
              <w:t> </w:t>
            </w:r>
          </w:p>
        </w:tc>
        <w:tc>
          <w:tcPr>
            <w:tcW w:w="0" w:type="auto"/>
            <w:vAlign w:val="bottom"/>
          </w:tcPr>
          <w:p w14:paraId="08A3A16F" w14:textId="07FC37C8" w:rsidR="008A6844" w:rsidRPr="000E57E3" w:rsidRDefault="008A6844" w:rsidP="000E57E3">
            <w:pPr>
              <w:pStyle w:val="Tabletext"/>
            </w:pPr>
            <w:r w:rsidRPr="000E57E3">
              <w:t> </w:t>
            </w:r>
          </w:p>
        </w:tc>
        <w:tc>
          <w:tcPr>
            <w:tcW w:w="0" w:type="auto"/>
            <w:vAlign w:val="bottom"/>
          </w:tcPr>
          <w:p w14:paraId="0874D5CD" w14:textId="71F4B66A" w:rsidR="008A6844" w:rsidRPr="000E57E3" w:rsidRDefault="008A6844" w:rsidP="000E57E3">
            <w:pPr>
              <w:pStyle w:val="Tabletext"/>
            </w:pPr>
            <w:r w:rsidRPr="000E57E3">
              <w:t> </w:t>
            </w:r>
          </w:p>
        </w:tc>
        <w:tc>
          <w:tcPr>
            <w:tcW w:w="0" w:type="auto"/>
            <w:vAlign w:val="bottom"/>
          </w:tcPr>
          <w:p w14:paraId="053ACEFA" w14:textId="5406FAA4" w:rsidR="008A6844" w:rsidRPr="000E57E3" w:rsidRDefault="008A6844" w:rsidP="000E57E3">
            <w:pPr>
              <w:pStyle w:val="Tabletext"/>
            </w:pPr>
            <w:r w:rsidRPr="000E57E3">
              <w:t>Facilitated</w:t>
            </w:r>
          </w:p>
        </w:tc>
      </w:tr>
      <w:tr w:rsidR="00776CCE" w:rsidRPr="008A6844" w14:paraId="5D4A2F10" w14:textId="77777777" w:rsidTr="00CA44B7">
        <w:tc>
          <w:tcPr>
            <w:tcW w:w="0" w:type="auto"/>
            <w:vAlign w:val="bottom"/>
          </w:tcPr>
          <w:p w14:paraId="3E97799A" w14:textId="01FC55F4" w:rsidR="008A6844" w:rsidRPr="000E57E3" w:rsidRDefault="008A6844" w:rsidP="000E57E3">
            <w:pPr>
              <w:pStyle w:val="Tabletext"/>
            </w:pPr>
            <w:r w:rsidRPr="000E57E3">
              <w:t>PAX5</w:t>
            </w:r>
          </w:p>
        </w:tc>
        <w:tc>
          <w:tcPr>
            <w:tcW w:w="0" w:type="auto"/>
            <w:vAlign w:val="bottom"/>
          </w:tcPr>
          <w:p w14:paraId="5420EBB3" w14:textId="487A1CA6" w:rsidR="008A6844" w:rsidRPr="000E57E3" w:rsidRDefault="008A6844" w:rsidP="000E57E3">
            <w:pPr>
              <w:pStyle w:val="Tabletext"/>
            </w:pPr>
            <w:r w:rsidRPr="000E57E3">
              <w:t> </w:t>
            </w:r>
          </w:p>
        </w:tc>
        <w:tc>
          <w:tcPr>
            <w:tcW w:w="0" w:type="auto"/>
            <w:vAlign w:val="bottom"/>
          </w:tcPr>
          <w:p w14:paraId="0DFF1B4E" w14:textId="0FA9F031" w:rsidR="008A6844" w:rsidRPr="000E57E3" w:rsidRDefault="008A6844" w:rsidP="000E57E3">
            <w:pPr>
              <w:pStyle w:val="Tabletext"/>
            </w:pPr>
            <w:r w:rsidRPr="000E57E3">
              <w:t> </w:t>
            </w:r>
          </w:p>
        </w:tc>
        <w:tc>
          <w:tcPr>
            <w:tcW w:w="0" w:type="auto"/>
            <w:vAlign w:val="bottom"/>
          </w:tcPr>
          <w:p w14:paraId="0EC73AAF" w14:textId="057030CA" w:rsidR="008A6844" w:rsidRPr="000E57E3" w:rsidRDefault="008A6844" w:rsidP="000E57E3">
            <w:pPr>
              <w:pStyle w:val="Tabletext"/>
            </w:pPr>
            <w:r w:rsidRPr="000E57E3">
              <w:t> </w:t>
            </w:r>
          </w:p>
        </w:tc>
        <w:tc>
          <w:tcPr>
            <w:tcW w:w="0" w:type="auto"/>
            <w:vAlign w:val="bottom"/>
          </w:tcPr>
          <w:p w14:paraId="0C22F9A9" w14:textId="3C0C7692" w:rsidR="008A6844" w:rsidRPr="000E57E3" w:rsidRDefault="008A6844" w:rsidP="000E57E3">
            <w:pPr>
              <w:pStyle w:val="Tabletext"/>
            </w:pPr>
            <w:r w:rsidRPr="000E57E3">
              <w:t> </w:t>
            </w:r>
          </w:p>
        </w:tc>
        <w:tc>
          <w:tcPr>
            <w:tcW w:w="0" w:type="auto"/>
            <w:vAlign w:val="bottom"/>
          </w:tcPr>
          <w:p w14:paraId="34D070B5" w14:textId="452D99ED" w:rsidR="008A6844" w:rsidRPr="000E57E3" w:rsidRDefault="008A6844" w:rsidP="000E57E3">
            <w:pPr>
              <w:pStyle w:val="Tabletext"/>
            </w:pPr>
            <w:r w:rsidRPr="000E57E3">
              <w:t> </w:t>
            </w:r>
          </w:p>
        </w:tc>
        <w:tc>
          <w:tcPr>
            <w:tcW w:w="0" w:type="auto"/>
            <w:vAlign w:val="bottom"/>
          </w:tcPr>
          <w:p w14:paraId="3B809EF4" w14:textId="0176FF9B" w:rsidR="008A6844" w:rsidRPr="000E57E3" w:rsidRDefault="008A6844" w:rsidP="000E57E3">
            <w:pPr>
              <w:pStyle w:val="Tabletext"/>
            </w:pPr>
            <w:r w:rsidRPr="000E57E3">
              <w:t> </w:t>
            </w:r>
          </w:p>
        </w:tc>
        <w:tc>
          <w:tcPr>
            <w:tcW w:w="0" w:type="auto"/>
            <w:vAlign w:val="bottom"/>
          </w:tcPr>
          <w:p w14:paraId="505ED041" w14:textId="4D387D01" w:rsidR="008A6844" w:rsidRPr="000E57E3" w:rsidRDefault="008A6844" w:rsidP="000E57E3">
            <w:pPr>
              <w:pStyle w:val="Tabletext"/>
            </w:pPr>
            <w:r w:rsidRPr="000E57E3">
              <w:t> </w:t>
            </w:r>
          </w:p>
        </w:tc>
        <w:tc>
          <w:tcPr>
            <w:tcW w:w="0" w:type="auto"/>
            <w:vAlign w:val="bottom"/>
          </w:tcPr>
          <w:p w14:paraId="606830BE" w14:textId="0B2062D7" w:rsidR="008A6844" w:rsidRPr="000E57E3" w:rsidRDefault="008A6844" w:rsidP="000E57E3">
            <w:pPr>
              <w:pStyle w:val="Tabletext"/>
            </w:pPr>
            <w:r w:rsidRPr="000E57E3">
              <w:t>Y</w:t>
            </w:r>
          </w:p>
        </w:tc>
        <w:tc>
          <w:tcPr>
            <w:tcW w:w="0" w:type="auto"/>
            <w:vAlign w:val="bottom"/>
          </w:tcPr>
          <w:p w14:paraId="1822CEC7" w14:textId="747C7804" w:rsidR="008A6844" w:rsidRPr="000E57E3" w:rsidRDefault="008A6844" w:rsidP="000E57E3">
            <w:pPr>
              <w:pStyle w:val="Tabletext"/>
            </w:pPr>
            <w:r w:rsidRPr="000E57E3">
              <w:t> </w:t>
            </w:r>
          </w:p>
        </w:tc>
        <w:tc>
          <w:tcPr>
            <w:tcW w:w="0" w:type="auto"/>
            <w:vAlign w:val="bottom"/>
          </w:tcPr>
          <w:p w14:paraId="0A637566" w14:textId="66152E35" w:rsidR="008A6844" w:rsidRPr="000E57E3" w:rsidRDefault="008A6844" w:rsidP="000E57E3">
            <w:pPr>
              <w:pStyle w:val="Tabletext"/>
            </w:pPr>
            <w:r w:rsidRPr="000E57E3">
              <w:t> </w:t>
            </w:r>
          </w:p>
        </w:tc>
        <w:tc>
          <w:tcPr>
            <w:tcW w:w="0" w:type="auto"/>
            <w:vAlign w:val="bottom"/>
          </w:tcPr>
          <w:p w14:paraId="249B7A03" w14:textId="559A91BA" w:rsidR="008A6844" w:rsidRPr="000E57E3" w:rsidRDefault="008A6844" w:rsidP="000E57E3">
            <w:pPr>
              <w:pStyle w:val="Tabletext"/>
            </w:pPr>
            <w:r w:rsidRPr="000E57E3">
              <w:t> </w:t>
            </w:r>
          </w:p>
        </w:tc>
        <w:tc>
          <w:tcPr>
            <w:tcW w:w="0" w:type="auto"/>
            <w:vAlign w:val="bottom"/>
          </w:tcPr>
          <w:p w14:paraId="7BA48227" w14:textId="25D56AAF" w:rsidR="008A6844" w:rsidRPr="000E57E3" w:rsidRDefault="008A6844" w:rsidP="000E57E3">
            <w:pPr>
              <w:pStyle w:val="Tabletext"/>
            </w:pPr>
            <w:r w:rsidRPr="000E57E3">
              <w:t>Facilitated</w:t>
            </w:r>
          </w:p>
        </w:tc>
      </w:tr>
      <w:tr w:rsidR="00776CCE" w:rsidRPr="008A6844" w14:paraId="3694B6CB" w14:textId="77777777" w:rsidTr="00CA44B7">
        <w:tc>
          <w:tcPr>
            <w:tcW w:w="0" w:type="auto"/>
            <w:vAlign w:val="bottom"/>
          </w:tcPr>
          <w:p w14:paraId="548233DC" w14:textId="02356DC8" w:rsidR="008A6844" w:rsidRPr="000E57E3" w:rsidRDefault="008A6844" w:rsidP="000E57E3">
            <w:pPr>
              <w:pStyle w:val="Tabletext"/>
            </w:pPr>
            <w:r w:rsidRPr="000E57E3">
              <w:t>PHF6</w:t>
            </w:r>
          </w:p>
        </w:tc>
        <w:tc>
          <w:tcPr>
            <w:tcW w:w="0" w:type="auto"/>
            <w:vAlign w:val="bottom"/>
          </w:tcPr>
          <w:p w14:paraId="220C5684" w14:textId="56C13193" w:rsidR="008A6844" w:rsidRPr="000E57E3" w:rsidRDefault="008A6844" w:rsidP="000E57E3">
            <w:pPr>
              <w:pStyle w:val="Tabletext"/>
            </w:pPr>
            <w:r w:rsidRPr="000E57E3">
              <w:t> </w:t>
            </w:r>
          </w:p>
        </w:tc>
        <w:tc>
          <w:tcPr>
            <w:tcW w:w="0" w:type="auto"/>
            <w:vAlign w:val="bottom"/>
          </w:tcPr>
          <w:p w14:paraId="4E5FC664" w14:textId="4C97BCC8" w:rsidR="008A6844" w:rsidRPr="000E57E3" w:rsidRDefault="008A6844" w:rsidP="000E57E3">
            <w:pPr>
              <w:pStyle w:val="Tabletext"/>
            </w:pPr>
            <w:r w:rsidRPr="000E57E3">
              <w:t> </w:t>
            </w:r>
          </w:p>
        </w:tc>
        <w:tc>
          <w:tcPr>
            <w:tcW w:w="0" w:type="auto"/>
            <w:vAlign w:val="bottom"/>
          </w:tcPr>
          <w:p w14:paraId="4B4ACC42" w14:textId="7432101B" w:rsidR="008A6844" w:rsidRPr="000E57E3" w:rsidRDefault="008A6844" w:rsidP="000E57E3">
            <w:pPr>
              <w:pStyle w:val="Tabletext"/>
            </w:pPr>
            <w:r w:rsidRPr="000E57E3">
              <w:t>Y</w:t>
            </w:r>
          </w:p>
        </w:tc>
        <w:tc>
          <w:tcPr>
            <w:tcW w:w="0" w:type="auto"/>
            <w:vAlign w:val="bottom"/>
          </w:tcPr>
          <w:p w14:paraId="0F8AE954" w14:textId="3FA0D8A4" w:rsidR="008A6844" w:rsidRPr="000E57E3" w:rsidRDefault="008A6844" w:rsidP="000E57E3">
            <w:pPr>
              <w:pStyle w:val="Tabletext"/>
            </w:pPr>
            <w:r w:rsidRPr="000E57E3">
              <w:t> </w:t>
            </w:r>
          </w:p>
        </w:tc>
        <w:tc>
          <w:tcPr>
            <w:tcW w:w="0" w:type="auto"/>
            <w:vAlign w:val="bottom"/>
          </w:tcPr>
          <w:p w14:paraId="5F25FDD3" w14:textId="18A3D6BC" w:rsidR="008A6844" w:rsidRPr="000E57E3" w:rsidRDefault="008A6844" w:rsidP="000E57E3">
            <w:pPr>
              <w:pStyle w:val="Tabletext"/>
            </w:pPr>
            <w:r w:rsidRPr="000E57E3">
              <w:t>Y</w:t>
            </w:r>
          </w:p>
        </w:tc>
        <w:tc>
          <w:tcPr>
            <w:tcW w:w="0" w:type="auto"/>
            <w:vAlign w:val="bottom"/>
          </w:tcPr>
          <w:p w14:paraId="4F877E57" w14:textId="6071A4E4" w:rsidR="008A6844" w:rsidRPr="000E57E3" w:rsidRDefault="008A6844" w:rsidP="000E57E3">
            <w:pPr>
              <w:pStyle w:val="Tabletext"/>
            </w:pPr>
            <w:r w:rsidRPr="000E57E3">
              <w:t> </w:t>
            </w:r>
          </w:p>
        </w:tc>
        <w:tc>
          <w:tcPr>
            <w:tcW w:w="0" w:type="auto"/>
            <w:vAlign w:val="bottom"/>
          </w:tcPr>
          <w:p w14:paraId="1C069EA8" w14:textId="02CF9A52" w:rsidR="008A6844" w:rsidRPr="000E57E3" w:rsidRDefault="008A6844" w:rsidP="000E57E3">
            <w:pPr>
              <w:pStyle w:val="Tabletext"/>
            </w:pPr>
            <w:r w:rsidRPr="000E57E3">
              <w:t>Y</w:t>
            </w:r>
          </w:p>
        </w:tc>
        <w:tc>
          <w:tcPr>
            <w:tcW w:w="0" w:type="auto"/>
            <w:vAlign w:val="bottom"/>
          </w:tcPr>
          <w:p w14:paraId="45015EB5" w14:textId="715FE6F2" w:rsidR="008A6844" w:rsidRPr="000E57E3" w:rsidRDefault="008A6844" w:rsidP="000E57E3">
            <w:pPr>
              <w:pStyle w:val="Tabletext"/>
            </w:pPr>
            <w:r w:rsidRPr="000E57E3">
              <w:t> </w:t>
            </w:r>
          </w:p>
        </w:tc>
        <w:tc>
          <w:tcPr>
            <w:tcW w:w="0" w:type="auto"/>
            <w:vAlign w:val="bottom"/>
          </w:tcPr>
          <w:p w14:paraId="609B3120" w14:textId="072BC3BC" w:rsidR="008A6844" w:rsidRPr="000E57E3" w:rsidRDefault="008A6844" w:rsidP="000E57E3">
            <w:pPr>
              <w:pStyle w:val="Tabletext"/>
            </w:pPr>
            <w:r w:rsidRPr="000E57E3">
              <w:t> </w:t>
            </w:r>
          </w:p>
        </w:tc>
        <w:tc>
          <w:tcPr>
            <w:tcW w:w="0" w:type="auto"/>
            <w:vAlign w:val="bottom"/>
          </w:tcPr>
          <w:p w14:paraId="3CB87DA1" w14:textId="3500CA68" w:rsidR="008A6844" w:rsidRPr="000E57E3" w:rsidRDefault="008A6844" w:rsidP="000E57E3">
            <w:pPr>
              <w:pStyle w:val="Tabletext"/>
            </w:pPr>
            <w:r w:rsidRPr="000E57E3">
              <w:t> </w:t>
            </w:r>
          </w:p>
        </w:tc>
        <w:tc>
          <w:tcPr>
            <w:tcW w:w="0" w:type="auto"/>
            <w:vAlign w:val="bottom"/>
          </w:tcPr>
          <w:p w14:paraId="0CB85DA3" w14:textId="7A61B9B7" w:rsidR="008A6844" w:rsidRPr="000E57E3" w:rsidRDefault="008A6844" w:rsidP="000E57E3">
            <w:pPr>
              <w:pStyle w:val="Tabletext"/>
            </w:pPr>
            <w:r w:rsidRPr="000E57E3">
              <w:t>Y</w:t>
            </w:r>
          </w:p>
        </w:tc>
        <w:tc>
          <w:tcPr>
            <w:tcW w:w="0" w:type="auto"/>
            <w:vAlign w:val="bottom"/>
          </w:tcPr>
          <w:p w14:paraId="17ECE905" w14:textId="121E9BB1" w:rsidR="008A6844" w:rsidRPr="000E57E3" w:rsidRDefault="008A6844" w:rsidP="000E57E3">
            <w:pPr>
              <w:pStyle w:val="Tabletext"/>
            </w:pPr>
            <w:r w:rsidRPr="000E57E3">
              <w:t>Facilitated</w:t>
            </w:r>
          </w:p>
        </w:tc>
      </w:tr>
      <w:tr w:rsidR="00776CCE" w:rsidRPr="008A6844" w14:paraId="533585E2" w14:textId="77777777" w:rsidTr="00CA44B7">
        <w:tc>
          <w:tcPr>
            <w:tcW w:w="0" w:type="auto"/>
            <w:vAlign w:val="bottom"/>
          </w:tcPr>
          <w:p w14:paraId="774E76EC" w14:textId="475E05A5" w:rsidR="008A6844" w:rsidRPr="000E57E3" w:rsidRDefault="008A6844" w:rsidP="000E57E3">
            <w:pPr>
              <w:pStyle w:val="Tabletext"/>
            </w:pPr>
            <w:r w:rsidRPr="000E57E3">
              <w:t>PIGA</w:t>
            </w:r>
          </w:p>
        </w:tc>
        <w:tc>
          <w:tcPr>
            <w:tcW w:w="0" w:type="auto"/>
            <w:vAlign w:val="bottom"/>
          </w:tcPr>
          <w:p w14:paraId="183529A8" w14:textId="7D0B5CE9" w:rsidR="008A6844" w:rsidRPr="000E57E3" w:rsidRDefault="008A6844" w:rsidP="000E57E3">
            <w:pPr>
              <w:pStyle w:val="Tabletext"/>
            </w:pPr>
            <w:r w:rsidRPr="000E57E3">
              <w:t> </w:t>
            </w:r>
          </w:p>
        </w:tc>
        <w:tc>
          <w:tcPr>
            <w:tcW w:w="0" w:type="auto"/>
            <w:vAlign w:val="bottom"/>
          </w:tcPr>
          <w:p w14:paraId="4A8BD77D" w14:textId="37F84BE8" w:rsidR="008A6844" w:rsidRPr="000E57E3" w:rsidRDefault="008A6844" w:rsidP="000E57E3">
            <w:pPr>
              <w:pStyle w:val="Tabletext"/>
            </w:pPr>
            <w:r w:rsidRPr="000E57E3">
              <w:t> </w:t>
            </w:r>
          </w:p>
        </w:tc>
        <w:tc>
          <w:tcPr>
            <w:tcW w:w="0" w:type="auto"/>
            <w:vAlign w:val="bottom"/>
          </w:tcPr>
          <w:p w14:paraId="71D6BEDC" w14:textId="4B84E776" w:rsidR="008A6844" w:rsidRPr="000E57E3" w:rsidRDefault="008A6844" w:rsidP="000E57E3">
            <w:pPr>
              <w:pStyle w:val="Tabletext"/>
            </w:pPr>
            <w:r w:rsidRPr="000E57E3">
              <w:t> </w:t>
            </w:r>
          </w:p>
        </w:tc>
        <w:tc>
          <w:tcPr>
            <w:tcW w:w="0" w:type="auto"/>
            <w:vAlign w:val="bottom"/>
          </w:tcPr>
          <w:p w14:paraId="5664DFB4" w14:textId="44B06E16" w:rsidR="008A6844" w:rsidRPr="000E57E3" w:rsidRDefault="008A6844" w:rsidP="000E57E3">
            <w:pPr>
              <w:pStyle w:val="Tabletext"/>
            </w:pPr>
            <w:r w:rsidRPr="000E57E3">
              <w:t> </w:t>
            </w:r>
          </w:p>
        </w:tc>
        <w:tc>
          <w:tcPr>
            <w:tcW w:w="0" w:type="auto"/>
            <w:vAlign w:val="bottom"/>
          </w:tcPr>
          <w:p w14:paraId="76E6D7E0" w14:textId="3F7C2220" w:rsidR="008A6844" w:rsidRPr="000E57E3" w:rsidRDefault="008A6844" w:rsidP="000E57E3">
            <w:pPr>
              <w:pStyle w:val="Tabletext"/>
            </w:pPr>
            <w:r w:rsidRPr="000E57E3">
              <w:t> </w:t>
            </w:r>
          </w:p>
        </w:tc>
        <w:tc>
          <w:tcPr>
            <w:tcW w:w="0" w:type="auto"/>
            <w:vAlign w:val="bottom"/>
          </w:tcPr>
          <w:p w14:paraId="10F4A443" w14:textId="18360131" w:rsidR="008A6844" w:rsidRPr="000E57E3" w:rsidRDefault="008A6844" w:rsidP="000E57E3">
            <w:pPr>
              <w:pStyle w:val="Tabletext"/>
            </w:pPr>
            <w:r w:rsidRPr="000E57E3">
              <w:t> </w:t>
            </w:r>
          </w:p>
        </w:tc>
        <w:tc>
          <w:tcPr>
            <w:tcW w:w="0" w:type="auto"/>
            <w:vAlign w:val="bottom"/>
          </w:tcPr>
          <w:p w14:paraId="144E69CC" w14:textId="6AD866ED" w:rsidR="008A6844" w:rsidRPr="000E57E3" w:rsidRDefault="008A6844" w:rsidP="000E57E3">
            <w:pPr>
              <w:pStyle w:val="Tabletext"/>
            </w:pPr>
            <w:r w:rsidRPr="000E57E3">
              <w:t>Y</w:t>
            </w:r>
          </w:p>
        </w:tc>
        <w:tc>
          <w:tcPr>
            <w:tcW w:w="0" w:type="auto"/>
            <w:vAlign w:val="bottom"/>
          </w:tcPr>
          <w:p w14:paraId="1F3D6737" w14:textId="0AF17FCC" w:rsidR="008A6844" w:rsidRPr="000E57E3" w:rsidRDefault="008A6844" w:rsidP="000E57E3">
            <w:pPr>
              <w:pStyle w:val="Tabletext"/>
            </w:pPr>
            <w:r w:rsidRPr="000E57E3">
              <w:t> </w:t>
            </w:r>
          </w:p>
        </w:tc>
        <w:tc>
          <w:tcPr>
            <w:tcW w:w="0" w:type="auto"/>
            <w:vAlign w:val="bottom"/>
          </w:tcPr>
          <w:p w14:paraId="11AD73FD" w14:textId="6DC06596" w:rsidR="008A6844" w:rsidRPr="000E57E3" w:rsidRDefault="008A6844" w:rsidP="000E57E3">
            <w:pPr>
              <w:pStyle w:val="Tabletext"/>
            </w:pPr>
            <w:r w:rsidRPr="000E57E3">
              <w:t> </w:t>
            </w:r>
          </w:p>
        </w:tc>
        <w:tc>
          <w:tcPr>
            <w:tcW w:w="0" w:type="auto"/>
            <w:vAlign w:val="bottom"/>
          </w:tcPr>
          <w:p w14:paraId="46475D91" w14:textId="09061957" w:rsidR="008A6844" w:rsidRPr="000E57E3" w:rsidRDefault="008A6844" w:rsidP="000E57E3">
            <w:pPr>
              <w:pStyle w:val="Tabletext"/>
            </w:pPr>
            <w:r w:rsidRPr="000E57E3">
              <w:t> </w:t>
            </w:r>
          </w:p>
        </w:tc>
        <w:tc>
          <w:tcPr>
            <w:tcW w:w="0" w:type="auto"/>
            <w:vAlign w:val="bottom"/>
          </w:tcPr>
          <w:p w14:paraId="3ADD6768" w14:textId="4A06DD2C" w:rsidR="008A6844" w:rsidRPr="000E57E3" w:rsidRDefault="008A6844" w:rsidP="000E57E3">
            <w:pPr>
              <w:pStyle w:val="Tabletext"/>
            </w:pPr>
            <w:r w:rsidRPr="000E57E3">
              <w:t> </w:t>
            </w:r>
          </w:p>
        </w:tc>
        <w:tc>
          <w:tcPr>
            <w:tcW w:w="0" w:type="auto"/>
            <w:vAlign w:val="bottom"/>
          </w:tcPr>
          <w:p w14:paraId="5AD4D18D" w14:textId="045FAE2A" w:rsidR="008A6844" w:rsidRPr="000E57E3" w:rsidRDefault="008A6844" w:rsidP="000E57E3">
            <w:pPr>
              <w:pStyle w:val="Tabletext"/>
            </w:pPr>
            <w:r w:rsidRPr="000E57E3">
              <w:t>Facilitated</w:t>
            </w:r>
          </w:p>
        </w:tc>
      </w:tr>
      <w:tr w:rsidR="00776CCE" w:rsidRPr="008A6844" w14:paraId="04EB41E2" w14:textId="77777777" w:rsidTr="00CA44B7">
        <w:tc>
          <w:tcPr>
            <w:tcW w:w="0" w:type="auto"/>
            <w:vAlign w:val="bottom"/>
          </w:tcPr>
          <w:p w14:paraId="12168F5F" w14:textId="504B22F6" w:rsidR="008A6844" w:rsidRPr="000E57E3" w:rsidRDefault="008A6844" w:rsidP="000E57E3">
            <w:pPr>
              <w:pStyle w:val="Tabletext"/>
            </w:pPr>
            <w:r w:rsidRPr="000E57E3">
              <w:t>PIM1</w:t>
            </w:r>
          </w:p>
        </w:tc>
        <w:tc>
          <w:tcPr>
            <w:tcW w:w="0" w:type="auto"/>
            <w:vAlign w:val="bottom"/>
          </w:tcPr>
          <w:p w14:paraId="0686F32D" w14:textId="6D89297B" w:rsidR="008A6844" w:rsidRPr="000E57E3" w:rsidRDefault="008A6844" w:rsidP="000E57E3">
            <w:pPr>
              <w:pStyle w:val="Tabletext"/>
            </w:pPr>
            <w:r w:rsidRPr="000E57E3">
              <w:t> </w:t>
            </w:r>
          </w:p>
        </w:tc>
        <w:tc>
          <w:tcPr>
            <w:tcW w:w="0" w:type="auto"/>
            <w:vAlign w:val="bottom"/>
          </w:tcPr>
          <w:p w14:paraId="022BB9A7" w14:textId="42094606" w:rsidR="008A6844" w:rsidRPr="000E57E3" w:rsidRDefault="008A6844" w:rsidP="000E57E3">
            <w:pPr>
              <w:pStyle w:val="Tabletext"/>
            </w:pPr>
            <w:r w:rsidRPr="000E57E3">
              <w:t> </w:t>
            </w:r>
          </w:p>
        </w:tc>
        <w:tc>
          <w:tcPr>
            <w:tcW w:w="0" w:type="auto"/>
            <w:vAlign w:val="bottom"/>
          </w:tcPr>
          <w:p w14:paraId="627DE6E6" w14:textId="78D03535" w:rsidR="008A6844" w:rsidRPr="000E57E3" w:rsidRDefault="008A6844" w:rsidP="000E57E3">
            <w:pPr>
              <w:pStyle w:val="Tabletext"/>
            </w:pPr>
            <w:r w:rsidRPr="000E57E3">
              <w:t> </w:t>
            </w:r>
          </w:p>
        </w:tc>
        <w:tc>
          <w:tcPr>
            <w:tcW w:w="0" w:type="auto"/>
            <w:vAlign w:val="bottom"/>
          </w:tcPr>
          <w:p w14:paraId="130FFE58" w14:textId="66963B12" w:rsidR="008A6844" w:rsidRPr="000E57E3" w:rsidRDefault="008A6844" w:rsidP="000E57E3">
            <w:pPr>
              <w:pStyle w:val="Tabletext"/>
            </w:pPr>
            <w:r w:rsidRPr="000E57E3">
              <w:t>Y</w:t>
            </w:r>
          </w:p>
        </w:tc>
        <w:tc>
          <w:tcPr>
            <w:tcW w:w="0" w:type="auto"/>
            <w:vAlign w:val="bottom"/>
          </w:tcPr>
          <w:p w14:paraId="679D38F4" w14:textId="2C651574" w:rsidR="008A6844" w:rsidRPr="000E57E3" w:rsidRDefault="008A6844" w:rsidP="000E57E3">
            <w:pPr>
              <w:pStyle w:val="Tabletext"/>
            </w:pPr>
            <w:r w:rsidRPr="000E57E3">
              <w:t> </w:t>
            </w:r>
          </w:p>
        </w:tc>
        <w:tc>
          <w:tcPr>
            <w:tcW w:w="0" w:type="auto"/>
            <w:vAlign w:val="bottom"/>
          </w:tcPr>
          <w:p w14:paraId="159ED152" w14:textId="3CF4DCE8" w:rsidR="008A6844" w:rsidRPr="000E57E3" w:rsidRDefault="008A6844" w:rsidP="000E57E3">
            <w:pPr>
              <w:pStyle w:val="Tabletext"/>
            </w:pPr>
            <w:r w:rsidRPr="000E57E3">
              <w:t> </w:t>
            </w:r>
          </w:p>
        </w:tc>
        <w:tc>
          <w:tcPr>
            <w:tcW w:w="0" w:type="auto"/>
            <w:vAlign w:val="bottom"/>
          </w:tcPr>
          <w:p w14:paraId="08D0E0C1" w14:textId="18CB7AFD" w:rsidR="008A6844" w:rsidRPr="000E57E3" w:rsidRDefault="008A6844" w:rsidP="000E57E3">
            <w:pPr>
              <w:pStyle w:val="Tabletext"/>
            </w:pPr>
            <w:r w:rsidRPr="000E57E3">
              <w:t> </w:t>
            </w:r>
          </w:p>
        </w:tc>
        <w:tc>
          <w:tcPr>
            <w:tcW w:w="0" w:type="auto"/>
            <w:vAlign w:val="bottom"/>
          </w:tcPr>
          <w:p w14:paraId="504AF4CC" w14:textId="5139F30F" w:rsidR="008A6844" w:rsidRPr="000E57E3" w:rsidRDefault="008A6844" w:rsidP="000E57E3">
            <w:pPr>
              <w:pStyle w:val="Tabletext"/>
            </w:pPr>
            <w:r w:rsidRPr="000E57E3">
              <w:t>Y</w:t>
            </w:r>
          </w:p>
        </w:tc>
        <w:tc>
          <w:tcPr>
            <w:tcW w:w="0" w:type="auto"/>
            <w:vAlign w:val="bottom"/>
          </w:tcPr>
          <w:p w14:paraId="669E2826" w14:textId="372E544D" w:rsidR="008A6844" w:rsidRPr="000E57E3" w:rsidRDefault="008A6844" w:rsidP="000E57E3">
            <w:pPr>
              <w:pStyle w:val="Tabletext"/>
            </w:pPr>
            <w:r w:rsidRPr="000E57E3">
              <w:t> </w:t>
            </w:r>
          </w:p>
        </w:tc>
        <w:tc>
          <w:tcPr>
            <w:tcW w:w="0" w:type="auto"/>
            <w:vAlign w:val="bottom"/>
          </w:tcPr>
          <w:p w14:paraId="5C77252D" w14:textId="0764DD40" w:rsidR="008A6844" w:rsidRPr="000E57E3" w:rsidRDefault="008A6844" w:rsidP="000E57E3">
            <w:pPr>
              <w:pStyle w:val="Tabletext"/>
            </w:pPr>
            <w:r w:rsidRPr="000E57E3">
              <w:t> </w:t>
            </w:r>
          </w:p>
        </w:tc>
        <w:tc>
          <w:tcPr>
            <w:tcW w:w="0" w:type="auto"/>
            <w:vAlign w:val="bottom"/>
          </w:tcPr>
          <w:p w14:paraId="61DA1459" w14:textId="43889A78" w:rsidR="008A6844" w:rsidRPr="000E57E3" w:rsidRDefault="008A6844" w:rsidP="000E57E3">
            <w:pPr>
              <w:pStyle w:val="Tabletext"/>
            </w:pPr>
            <w:r w:rsidRPr="000E57E3">
              <w:t> </w:t>
            </w:r>
          </w:p>
        </w:tc>
        <w:tc>
          <w:tcPr>
            <w:tcW w:w="0" w:type="auto"/>
            <w:vAlign w:val="bottom"/>
          </w:tcPr>
          <w:p w14:paraId="064B94D8" w14:textId="6A9ACC9A" w:rsidR="008A6844" w:rsidRPr="000E57E3" w:rsidRDefault="008A6844" w:rsidP="000E57E3">
            <w:pPr>
              <w:pStyle w:val="Tabletext"/>
            </w:pPr>
            <w:r w:rsidRPr="000E57E3">
              <w:t>Facilitated</w:t>
            </w:r>
          </w:p>
        </w:tc>
      </w:tr>
      <w:tr w:rsidR="00776CCE" w:rsidRPr="008A6844" w14:paraId="04BD3ABB" w14:textId="77777777" w:rsidTr="00CA44B7">
        <w:tc>
          <w:tcPr>
            <w:tcW w:w="0" w:type="auto"/>
            <w:vAlign w:val="bottom"/>
          </w:tcPr>
          <w:p w14:paraId="7DD12653" w14:textId="6A82C2A4" w:rsidR="008A6844" w:rsidRPr="000E57E3" w:rsidRDefault="008A6844" w:rsidP="000E57E3">
            <w:pPr>
              <w:pStyle w:val="Tabletext"/>
            </w:pPr>
            <w:r w:rsidRPr="000E57E3">
              <w:t>PLCG1</w:t>
            </w:r>
          </w:p>
        </w:tc>
        <w:tc>
          <w:tcPr>
            <w:tcW w:w="0" w:type="auto"/>
            <w:vAlign w:val="bottom"/>
          </w:tcPr>
          <w:p w14:paraId="5BB82A46" w14:textId="3571FBF3" w:rsidR="008A6844" w:rsidRPr="000E57E3" w:rsidRDefault="008A6844" w:rsidP="000E57E3">
            <w:pPr>
              <w:pStyle w:val="Tabletext"/>
            </w:pPr>
            <w:r w:rsidRPr="000E57E3">
              <w:t> </w:t>
            </w:r>
          </w:p>
        </w:tc>
        <w:tc>
          <w:tcPr>
            <w:tcW w:w="0" w:type="auto"/>
            <w:vAlign w:val="bottom"/>
          </w:tcPr>
          <w:p w14:paraId="433A9D77" w14:textId="70DB621B" w:rsidR="008A6844" w:rsidRPr="000E57E3" w:rsidRDefault="008A6844" w:rsidP="000E57E3">
            <w:pPr>
              <w:pStyle w:val="Tabletext"/>
            </w:pPr>
            <w:r w:rsidRPr="000E57E3">
              <w:t> </w:t>
            </w:r>
          </w:p>
        </w:tc>
        <w:tc>
          <w:tcPr>
            <w:tcW w:w="0" w:type="auto"/>
            <w:vAlign w:val="bottom"/>
          </w:tcPr>
          <w:p w14:paraId="3AB7B67F" w14:textId="2B4F94EE" w:rsidR="008A6844" w:rsidRPr="000E57E3" w:rsidRDefault="008A6844" w:rsidP="000E57E3">
            <w:pPr>
              <w:pStyle w:val="Tabletext"/>
            </w:pPr>
            <w:r w:rsidRPr="000E57E3">
              <w:t> </w:t>
            </w:r>
          </w:p>
        </w:tc>
        <w:tc>
          <w:tcPr>
            <w:tcW w:w="0" w:type="auto"/>
            <w:vAlign w:val="bottom"/>
          </w:tcPr>
          <w:p w14:paraId="34E0FEEE" w14:textId="27113053" w:rsidR="008A6844" w:rsidRPr="000E57E3" w:rsidRDefault="008A6844" w:rsidP="000E57E3">
            <w:pPr>
              <w:pStyle w:val="Tabletext"/>
            </w:pPr>
            <w:r w:rsidRPr="000E57E3">
              <w:t> </w:t>
            </w:r>
          </w:p>
        </w:tc>
        <w:tc>
          <w:tcPr>
            <w:tcW w:w="0" w:type="auto"/>
            <w:vAlign w:val="bottom"/>
          </w:tcPr>
          <w:p w14:paraId="36A0AD4E" w14:textId="5977AD07" w:rsidR="008A6844" w:rsidRPr="000E57E3" w:rsidRDefault="008A6844" w:rsidP="000E57E3">
            <w:pPr>
              <w:pStyle w:val="Tabletext"/>
            </w:pPr>
            <w:r w:rsidRPr="000E57E3">
              <w:t> </w:t>
            </w:r>
          </w:p>
        </w:tc>
        <w:tc>
          <w:tcPr>
            <w:tcW w:w="0" w:type="auto"/>
            <w:vAlign w:val="bottom"/>
          </w:tcPr>
          <w:p w14:paraId="4D254FB1" w14:textId="5F35CD51" w:rsidR="008A6844" w:rsidRPr="000E57E3" w:rsidRDefault="008A6844" w:rsidP="000E57E3">
            <w:pPr>
              <w:pStyle w:val="Tabletext"/>
            </w:pPr>
            <w:r w:rsidRPr="000E57E3">
              <w:t> </w:t>
            </w:r>
          </w:p>
        </w:tc>
        <w:tc>
          <w:tcPr>
            <w:tcW w:w="0" w:type="auto"/>
            <w:vAlign w:val="bottom"/>
          </w:tcPr>
          <w:p w14:paraId="2B6F28A5" w14:textId="2E128C38" w:rsidR="008A6844" w:rsidRPr="000E57E3" w:rsidRDefault="008A6844" w:rsidP="000E57E3">
            <w:pPr>
              <w:pStyle w:val="Tabletext"/>
            </w:pPr>
            <w:r w:rsidRPr="000E57E3">
              <w:t>Y</w:t>
            </w:r>
          </w:p>
        </w:tc>
        <w:tc>
          <w:tcPr>
            <w:tcW w:w="0" w:type="auto"/>
            <w:vAlign w:val="bottom"/>
          </w:tcPr>
          <w:p w14:paraId="627718A2" w14:textId="189A1A7C" w:rsidR="008A6844" w:rsidRPr="000E57E3" w:rsidRDefault="008A6844" w:rsidP="000E57E3">
            <w:pPr>
              <w:pStyle w:val="Tabletext"/>
            </w:pPr>
            <w:r w:rsidRPr="000E57E3">
              <w:t> </w:t>
            </w:r>
          </w:p>
        </w:tc>
        <w:tc>
          <w:tcPr>
            <w:tcW w:w="0" w:type="auto"/>
            <w:vAlign w:val="bottom"/>
          </w:tcPr>
          <w:p w14:paraId="0DF8DEC3" w14:textId="6AF6CE3A" w:rsidR="008A6844" w:rsidRPr="000E57E3" w:rsidRDefault="008A6844" w:rsidP="000E57E3">
            <w:pPr>
              <w:pStyle w:val="Tabletext"/>
            </w:pPr>
            <w:r w:rsidRPr="000E57E3">
              <w:t> </w:t>
            </w:r>
          </w:p>
        </w:tc>
        <w:tc>
          <w:tcPr>
            <w:tcW w:w="0" w:type="auto"/>
            <w:vAlign w:val="bottom"/>
          </w:tcPr>
          <w:p w14:paraId="1F86A580" w14:textId="19527657" w:rsidR="008A6844" w:rsidRPr="000E57E3" w:rsidRDefault="008A6844" w:rsidP="000E57E3">
            <w:pPr>
              <w:pStyle w:val="Tabletext"/>
            </w:pPr>
            <w:r w:rsidRPr="000E57E3">
              <w:t>Y</w:t>
            </w:r>
          </w:p>
        </w:tc>
        <w:tc>
          <w:tcPr>
            <w:tcW w:w="0" w:type="auto"/>
            <w:vAlign w:val="bottom"/>
          </w:tcPr>
          <w:p w14:paraId="0B87DDFE" w14:textId="0B92B768" w:rsidR="008A6844" w:rsidRPr="000E57E3" w:rsidRDefault="008A6844" w:rsidP="000E57E3">
            <w:pPr>
              <w:pStyle w:val="Tabletext"/>
            </w:pPr>
            <w:r w:rsidRPr="000E57E3">
              <w:t> </w:t>
            </w:r>
          </w:p>
        </w:tc>
        <w:tc>
          <w:tcPr>
            <w:tcW w:w="0" w:type="auto"/>
            <w:vAlign w:val="bottom"/>
          </w:tcPr>
          <w:p w14:paraId="765C1F7A" w14:textId="1692D56B" w:rsidR="008A6844" w:rsidRPr="000E57E3" w:rsidRDefault="008A6844" w:rsidP="000E57E3">
            <w:pPr>
              <w:pStyle w:val="Tabletext"/>
            </w:pPr>
            <w:r w:rsidRPr="000E57E3">
              <w:t>Facilitated</w:t>
            </w:r>
          </w:p>
        </w:tc>
      </w:tr>
      <w:tr w:rsidR="00776CCE" w:rsidRPr="008A6844" w14:paraId="05A90216" w14:textId="77777777" w:rsidTr="00CA44B7">
        <w:tc>
          <w:tcPr>
            <w:tcW w:w="0" w:type="auto"/>
            <w:vAlign w:val="bottom"/>
          </w:tcPr>
          <w:p w14:paraId="0E591FC4" w14:textId="3FC1BBA4" w:rsidR="008A6844" w:rsidRPr="000E57E3" w:rsidRDefault="008A6844" w:rsidP="000E57E3">
            <w:pPr>
              <w:pStyle w:val="Tabletext"/>
            </w:pPr>
            <w:r w:rsidRPr="000E57E3">
              <w:t>PLCG2</w:t>
            </w:r>
          </w:p>
        </w:tc>
        <w:tc>
          <w:tcPr>
            <w:tcW w:w="0" w:type="auto"/>
            <w:vAlign w:val="bottom"/>
          </w:tcPr>
          <w:p w14:paraId="0C246006" w14:textId="06485E85" w:rsidR="008A6844" w:rsidRPr="000E57E3" w:rsidRDefault="008A6844" w:rsidP="000E57E3">
            <w:pPr>
              <w:pStyle w:val="Tabletext"/>
            </w:pPr>
            <w:r w:rsidRPr="000E57E3">
              <w:t> </w:t>
            </w:r>
          </w:p>
        </w:tc>
        <w:tc>
          <w:tcPr>
            <w:tcW w:w="0" w:type="auto"/>
            <w:vAlign w:val="bottom"/>
          </w:tcPr>
          <w:p w14:paraId="6A847409" w14:textId="215EC2ED" w:rsidR="008A6844" w:rsidRPr="000E57E3" w:rsidRDefault="008A6844" w:rsidP="000E57E3">
            <w:pPr>
              <w:pStyle w:val="Tabletext"/>
            </w:pPr>
            <w:r w:rsidRPr="000E57E3">
              <w:t> </w:t>
            </w:r>
          </w:p>
        </w:tc>
        <w:tc>
          <w:tcPr>
            <w:tcW w:w="0" w:type="auto"/>
            <w:vAlign w:val="bottom"/>
          </w:tcPr>
          <w:p w14:paraId="76645D66" w14:textId="4B68B0D3" w:rsidR="008A6844" w:rsidRPr="000E57E3" w:rsidRDefault="008A6844" w:rsidP="000E57E3">
            <w:pPr>
              <w:pStyle w:val="Tabletext"/>
            </w:pPr>
            <w:r w:rsidRPr="000E57E3">
              <w:t> </w:t>
            </w:r>
          </w:p>
        </w:tc>
        <w:tc>
          <w:tcPr>
            <w:tcW w:w="0" w:type="auto"/>
            <w:vAlign w:val="bottom"/>
          </w:tcPr>
          <w:p w14:paraId="036013FC" w14:textId="0A54675F" w:rsidR="008A6844" w:rsidRPr="000E57E3" w:rsidRDefault="008A6844" w:rsidP="000E57E3">
            <w:pPr>
              <w:pStyle w:val="Tabletext"/>
            </w:pPr>
            <w:r w:rsidRPr="000E57E3">
              <w:t> </w:t>
            </w:r>
          </w:p>
        </w:tc>
        <w:tc>
          <w:tcPr>
            <w:tcW w:w="0" w:type="auto"/>
            <w:vAlign w:val="bottom"/>
          </w:tcPr>
          <w:p w14:paraId="17EB5CD4" w14:textId="630E5D62" w:rsidR="008A6844" w:rsidRPr="000E57E3" w:rsidRDefault="008A6844" w:rsidP="000E57E3">
            <w:pPr>
              <w:pStyle w:val="Tabletext"/>
            </w:pPr>
            <w:r w:rsidRPr="000E57E3">
              <w:t> </w:t>
            </w:r>
          </w:p>
        </w:tc>
        <w:tc>
          <w:tcPr>
            <w:tcW w:w="0" w:type="auto"/>
            <w:vAlign w:val="bottom"/>
          </w:tcPr>
          <w:p w14:paraId="3B54DFEC" w14:textId="39216972" w:rsidR="008A6844" w:rsidRPr="000E57E3" w:rsidRDefault="008A6844" w:rsidP="000E57E3">
            <w:pPr>
              <w:pStyle w:val="Tabletext"/>
            </w:pPr>
            <w:r w:rsidRPr="000E57E3">
              <w:t> </w:t>
            </w:r>
          </w:p>
        </w:tc>
        <w:tc>
          <w:tcPr>
            <w:tcW w:w="0" w:type="auto"/>
            <w:vAlign w:val="bottom"/>
          </w:tcPr>
          <w:p w14:paraId="421F2F56" w14:textId="51D70305" w:rsidR="008A6844" w:rsidRPr="000E57E3" w:rsidRDefault="008A6844" w:rsidP="000E57E3">
            <w:pPr>
              <w:pStyle w:val="Tabletext"/>
            </w:pPr>
            <w:r w:rsidRPr="000E57E3">
              <w:t>Y</w:t>
            </w:r>
          </w:p>
        </w:tc>
        <w:tc>
          <w:tcPr>
            <w:tcW w:w="0" w:type="auto"/>
            <w:vAlign w:val="bottom"/>
          </w:tcPr>
          <w:p w14:paraId="4167BE79" w14:textId="409BB108" w:rsidR="008A6844" w:rsidRPr="000E57E3" w:rsidRDefault="008A6844" w:rsidP="000E57E3">
            <w:pPr>
              <w:pStyle w:val="Tabletext"/>
            </w:pPr>
            <w:r w:rsidRPr="000E57E3">
              <w:t>Y</w:t>
            </w:r>
          </w:p>
        </w:tc>
        <w:tc>
          <w:tcPr>
            <w:tcW w:w="0" w:type="auto"/>
            <w:vAlign w:val="bottom"/>
          </w:tcPr>
          <w:p w14:paraId="440305B1" w14:textId="2FE34E0F" w:rsidR="008A6844" w:rsidRPr="000E57E3" w:rsidRDefault="008A6844" w:rsidP="000E57E3">
            <w:pPr>
              <w:pStyle w:val="Tabletext"/>
            </w:pPr>
            <w:r w:rsidRPr="000E57E3">
              <w:t> </w:t>
            </w:r>
          </w:p>
        </w:tc>
        <w:tc>
          <w:tcPr>
            <w:tcW w:w="0" w:type="auto"/>
            <w:vAlign w:val="bottom"/>
          </w:tcPr>
          <w:p w14:paraId="42FE3A0E" w14:textId="3E365A3C" w:rsidR="008A6844" w:rsidRPr="000E57E3" w:rsidRDefault="008A6844" w:rsidP="000E57E3">
            <w:pPr>
              <w:pStyle w:val="Tabletext"/>
            </w:pPr>
            <w:r w:rsidRPr="000E57E3">
              <w:t>Y</w:t>
            </w:r>
          </w:p>
        </w:tc>
        <w:tc>
          <w:tcPr>
            <w:tcW w:w="0" w:type="auto"/>
            <w:vAlign w:val="bottom"/>
          </w:tcPr>
          <w:p w14:paraId="2E06145D" w14:textId="46307FE5" w:rsidR="008A6844" w:rsidRPr="000E57E3" w:rsidRDefault="008A6844" w:rsidP="000E57E3">
            <w:pPr>
              <w:pStyle w:val="Tabletext"/>
            </w:pPr>
            <w:r w:rsidRPr="000E57E3">
              <w:t> </w:t>
            </w:r>
          </w:p>
        </w:tc>
        <w:tc>
          <w:tcPr>
            <w:tcW w:w="0" w:type="auto"/>
            <w:vAlign w:val="bottom"/>
          </w:tcPr>
          <w:p w14:paraId="3A47EF21" w14:textId="4DA754B3" w:rsidR="008A6844" w:rsidRPr="000E57E3" w:rsidRDefault="008A6844" w:rsidP="000E57E3">
            <w:pPr>
              <w:pStyle w:val="Tabletext"/>
            </w:pPr>
            <w:r w:rsidRPr="000E57E3">
              <w:t>Facilitated</w:t>
            </w:r>
          </w:p>
        </w:tc>
      </w:tr>
      <w:tr w:rsidR="00776CCE" w:rsidRPr="008A6844" w14:paraId="296E2C1C" w14:textId="77777777" w:rsidTr="00CA44B7">
        <w:tc>
          <w:tcPr>
            <w:tcW w:w="0" w:type="auto"/>
            <w:vAlign w:val="bottom"/>
          </w:tcPr>
          <w:p w14:paraId="7124E0ED" w14:textId="029EF31C" w:rsidR="008A6844" w:rsidRPr="000E57E3" w:rsidRDefault="008A6844" w:rsidP="000E57E3">
            <w:pPr>
              <w:pStyle w:val="Tabletext"/>
            </w:pPr>
            <w:r w:rsidRPr="000E57E3">
              <w:t>POT1</w:t>
            </w:r>
          </w:p>
        </w:tc>
        <w:tc>
          <w:tcPr>
            <w:tcW w:w="0" w:type="auto"/>
            <w:vAlign w:val="bottom"/>
          </w:tcPr>
          <w:p w14:paraId="2ED5D89D" w14:textId="26E130D8" w:rsidR="008A6844" w:rsidRPr="000E57E3" w:rsidRDefault="008A6844" w:rsidP="000E57E3">
            <w:pPr>
              <w:pStyle w:val="Tabletext"/>
            </w:pPr>
            <w:r w:rsidRPr="000E57E3">
              <w:t> </w:t>
            </w:r>
          </w:p>
        </w:tc>
        <w:tc>
          <w:tcPr>
            <w:tcW w:w="0" w:type="auto"/>
            <w:vAlign w:val="bottom"/>
          </w:tcPr>
          <w:p w14:paraId="5CE3C3E5" w14:textId="281BA6BD" w:rsidR="008A6844" w:rsidRPr="000E57E3" w:rsidRDefault="008A6844" w:rsidP="000E57E3">
            <w:pPr>
              <w:pStyle w:val="Tabletext"/>
            </w:pPr>
            <w:r w:rsidRPr="000E57E3">
              <w:t> </w:t>
            </w:r>
          </w:p>
        </w:tc>
        <w:tc>
          <w:tcPr>
            <w:tcW w:w="0" w:type="auto"/>
            <w:vAlign w:val="bottom"/>
          </w:tcPr>
          <w:p w14:paraId="28DEFF43" w14:textId="47D86A17" w:rsidR="008A6844" w:rsidRPr="000E57E3" w:rsidRDefault="008A6844" w:rsidP="000E57E3">
            <w:pPr>
              <w:pStyle w:val="Tabletext"/>
            </w:pPr>
            <w:r w:rsidRPr="000E57E3">
              <w:t> </w:t>
            </w:r>
          </w:p>
        </w:tc>
        <w:tc>
          <w:tcPr>
            <w:tcW w:w="0" w:type="auto"/>
            <w:vAlign w:val="bottom"/>
          </w:tcPr>
          <w:p w14:paraId="0DF3635E" w14:textId="546ACE7E" w:rsidR="008A6844" w:rsidRPr="000E57E3" w:rsidRDefault="008A6844" w:rsidP="000E57E3">
            <w:pPr>
              <w:pStyle w:val="Tabletext"/>
            </w:pPr>
            <w:r w:rsidRPr="000E57E3">
              <w:t> </w:t>
            </w:r>
          </w:p>
        </w:tc>
        <w:tc>
          <w:tcPr>
            <w:tcW w:w="0" w:type="auto"/>
            <w:vAlign w:val="bottom"/>
          </w:tcPr>
          <w:p w14:paraId="4D37BF33" w14:textId="2080A552" w:rsidR="008A6844" w:rsidRPr="000E57E3" w:rsidRDefault="008A6844" w:rsidP="000E57E3">
            <w:pPr>
              <w:pStyle w:val="Tabletext"/>
            </w:pPr>
            <w:r w:rsidRPr="000E57E3">
              <w:t> </w:t>
            </w:r>
          </w:p>
        </w:tc>
        <w:tc>
          <w:tcPr>
            <w:tcW w:w="0" w:type="auto"/>
            <w:vAlign w:val="bottom"/>
          </w:tcPr>
          <w:p w14:paraId="6EAEEE40" w14:textId="025303B3" w:rsidR="008A6844" w:rsidRPr="000E57E3" w:rsidRDefault="008A6844" w:rsidP="000E57E3">
            <w:pPr>
              <w:pStyle w:val="Tabletext"/>
            </w:pPr>
            <w:r w:rsidRPr="000E57E3">
              <w:t> </w:t>
            </w:r>
          </w:p>
        </w:tc>
        <w:tc>
          <w:tcPr>
            <w:tcW w:w="0" w:type="auto"/>
            <w:vAlign w:val="bottom"/>
          </w:tcPr>
          <w:p w14:paraId="47F70E93" w14:textId="45C19363" w:rsidR="008A6844" w:rsidRPr="000E57E3" w:rsidRDefault="008A6844" w:rsidP="000E57E3">
            <w:pPr>
              <w:pStyle w:val="Tabletext"/>
            </w:pPr>
            <w:r w:rsidRPr="000E57E3">
              <w:t> </w:t>
            </w:r>
          </w:p>
        </w:tc>
        <w:tc>
          <w:tcPr>
            <w:tcW w:w="0" w:type="auto"/>
            <w:vAlign w:val="bottom"/>
          </w:tcPr>
          <w:p w14:paraId="6BF70B05" w14:textId="2E4020FF" w:rsidR="008A6844" w:rsidRPr="000E57E3" w:rsidRDefault="008A6844" w:rsidP="000E57E3">
            <w:pPr>
              <w:pStyle w:val="Tabletext"/>
            </w:pPr>
            <w:r w:rsidRPr="000E57E3">
              <w:t>Y</w:t>
            </w:r>
          </w:p>
        </w:tc>
        <w:tc>
          <w:tcPr>
            <w:tcW w:w="0" w:type="auto"/>
            <w:vAlign w:val="bottom"/>
          </w:tcPr>
          <w:p w14:paraId="7F6EB50D" w14:textId="6D3EB3EC" w:rsidR="008A6844" w:rsidRPr="000E57E3" w:rsidRDefault="008A6844" w:rsidP="000E57E3">
            <w:pPr>
              <w:pStyle w:val="Tabletext"/>
            </w:pPr>
            <w:r w:rsidRPr="000E57E3">
              <w:t> </w:t>
            </w:r>
          </w:p>
        </w:tc>
        <w:tc>
          <w:tcPr>
            <w:tcW w:w="0" w:type="auto"/>
            <w:vAlign w:val="bottom"/>
          </w:tcPr>
          <w:p w14:paraId="5524A5D6" w14:textId="1989440C" w:rsidR="008A6844" w:rsidRPr="000E57E3" w:rsidRDefault="008A6844" w:rsidP="000E57E3">
            <w:pPr>
              <w:pStyle w:val="Tabletext"/>
            </w:pPr>
            <w:r w:rsidRPr="000E57E3">
              <w:t>Y</w:t>
            </w:r>
          </w:p>
        </w:tc>
        <w:tc>
          <w:tcPr>
            <w:tcW w:w="0" w:type="auto"/>
            <w:vAlign w:val="bottom"/>
          </w:tcPr>
          <w:p w14:paraId="79FAF528" w14:textId="420435A2" w:rsidR="008A6844" w:rsidRPr="000E57E3" w:rsidRDefault="008A6844" w:rsidP="000E57E3">
            <w:pPr>
              <w:pStyle w:val="Tabletext"/>
            </w:pPr>
            <w:r w:rsidRPr="000E57E3">
              <w:t> </w:t>
            </w:r>
          </w:p>
        </w:tc>
        <w:tc>
          <w:tcPr>
            <w:tcW w:w="0" w:type="auto"/>
            <w:vAlign w:val="bottom"/>
          </w:tcPr>
          <w:p w14:paraId="2B9BE762" w14:textId="368A6750" w:rsidR="008A6844" w:rsidRPr="000E57E3" w:rsidRDefault="008A6844" w:rsidP="000E57E3">
            <w:pPr>
              <w:pStyle w:val="Tabletext"/>
            </w:pPr>
            <w:r w:rsidRPr="000E57E3">
              <w:t>Facilitated</w:t>
            </w:r>
          </w:p>
        </w:tc>
      </w:tr>
      <w:tr w:rsidR="00776CCE" w:rsidRPr="008A6844" w14:paraId="55DC34E6" w14:textId="77777777" w:rsidTr="00CA44B7">
        <w:tc>
          <w:tcPr>
            <w:tcW w:w="0" w:type="auto"/>
            <w:vAlign w:val="bottom"/>
          </w:tcPr>
          <w:p w14:paraId="78184248" w14:textId="7BE62CB3" w:rsidR="008A6844" w:rsidRPr="000E57E3" w:rsidRDefault="008A6844" w:rsidP="000E57E3">
            <w:pPr>
              <w:pStyle w:val="Tabletext"/>
            </w:pPr>
            <w:r w:rsidRPr="000E57E3">
              <w:t>PPM1D</w:t>
            </w:r>
          </w:p>
        </w:tc>
        <w:tc>
          <w:tcPr>
            <w:tcW w:w="0" w:type="auto"/>
            <w:vAlign w:val="bottom"/>
          </w:tcPr>
          <w:p w14:paraId="55B3AE7A" w14:textId="484DC45D" w:rsidR="008A6844" w:rsidRPr="000E57E3" w:rsidRDefault="008A6844" w:rsidP="000E57E3">
            <w:pPr>
              <w:pStyle w:val="Tabletext"/>
            </w:pPr>
            <w:r w:rsidRPr="000E57E3">
              <w:t> </w:t>
            </w:r>
          </w:p>
        </w:tc>
        <w:tc>
          <w:tcPr>
            <w:tcW w:w="0" w:type="auto"/>
            <w:vAlign w:val="bottom"/>
          </w:tcPr>
          <w:p w14:paraId="693974EE" w14:textId="6A730F01" w:rsidR="008A6844" w:rsidRPr="000E57E3" w:rsidRDefault="008A6844" w:rsidP="000E57E3">
            <w:pPr>
              <w:pStyle w:val="Tabletext"/>
            </w:pPr>
            <w:r w:rsidRPr="000E57E3">
              <w:t> </w:t>
            </w:r>
          </w:p>
        </w:tc>
        <w:tc>
          <w:tcPr>
            <w:tcW w:w="0" w:type="auto"/>
            <w:vAlign w:val="bottom"/>
          </w:tcPr>
          <w:p w14:paraId="5C47BCE7" w14:textId="5B1396CB" w:rsidR="008A6844" w:rsidRPr="000E57E3" w:rsidRDefault="008A6844" w:rsidP="000E57E3">
            <w:pPr>
              <w:pStyle w:val="Tabletext"/>
            </w:pPr>
            <w:r w:rsidRPr="000E57E3">
              <w:t>Y</w:t>
            </w:r>
          </w:p>
        </w:tc>
        <w:tc>
          <w:tcPr>
            <w:tcW w:w="0" w:type="auto"/>
            <w:vAlign w:val="bottom"/>
          </w:tcPr>
          <w:p w14:paraId="4726E014" w14:textId="198CC623" w:rsidR="008A6844" w:rsidRPr="000E57E3" w:rsidRDefault="008A6844" w:rsidP="000E57E3">
            <w:pPr>
              <w:pStyle w:val="Tabletext"/>
            </w:pPr>
            <w:r w:rsidRPr="000E57E3">
              <w:t> </w:t>
            </w:r>
          </w:p>
        </w:tc>
        <w:tc>
          <w:tcPr>
            <w:tcW w:w="0" w:type="auto"/>
            <w:vAlign w:val="bottom"/>
          </w:tcPr>
          <w:p w14:paraId="396F4A44" w14:textId="4899DEC4" w:rsidR="008A6844" w:rsidRPr="000E57E3" w:rsidRDefault="008A6844" w:rsidP="000E57E3">
            <w:pPr>
              <w:pStyle w:val="Tabletext"/>
            </w:pPr>
            <w:r w:rsidRPr="000E57E3">
              <w:t> </w:t>
            </w:r>
          </w:p>
        </w:tc>
        <w:tc>
          <w:tcPr>
            <w:tcW w:w="0" w:type="auto"/>
            <w:vAlign w:val="bottom"/>
          </w:tcPr>
          <w:p w14:paraId="7D80D4DD" w14:textId="5203EBEE" w:rsidR="008A6844" w:rsidRPr="000E57E3" w:rsidRDefault="008A6844" w:rsidP="000E57E3">
            <w:pPr>
              <w:pStyle w:val="Tabletext"/>
            </w:pPr>
            <w:r w:rsidRPr="000E57E3">
              <w:t> </w:t>
            </w:r>
          </w:p>
        </w:tc>
        <w:tc>
          <w:tcPr>
            <w:tcW w:w="0" w:type="auto"/>
            <w:vAlign w:val="bottom"/>
          </w:tcPr>
          <w:p w14:paraId="52730B09" w14:textId="7B7EE46C" w:rsidR="008A6844" w:rsidRPr="000E57E3" w:rsidRDefault="008A6844" w:rsidP="000E57E3">
            <w:pPr>
              <w:pStyle w:val="Tabletext"/>
            </w:pPr>
            <w:r w:rsidRPr="000E57E3">
              <w:t> </w:t>
            </w:r>
          </w:p>
        </w:tc>
        <w:tc>
          <w:tcPr>
            <w:tcW w:w="0" w:type="auto"/>
            <w:vAlign w:val="bottom"/>
          </w:tcPr>
          <w:p w14:paraId="227B2FB7" w14:textId="4E0DF0B4" w:rsidR="008A6844" w:rsidRPr="000E57E3" w:rsidRDefault="008A6844" w:rsidP="000E57E3">
            <w:pPr>
              <w:pStyle w:val="Tabletext"/>
            </w:pPr>
            <w:r w:rsidRPr="000E57E3">
              <w:t> </w:t>
            </w:r>
          </w:p>
        </w:tc>
        <w:tc>
          <w:tcPr>
            <w:tcW w:w="0" w:type="auto"/>
            <w:vAlign w:val="bottom"/>
          </w:tcPr>
          <w:p w14:paraId="6AE231FB" w14:textId="07D811C5" w:rsidR="008A6844" w:rsidRPr="000E57E3" w:rsidRDefault="008A6844" w:rsidP="000E57E3">
            <w:pPr>
              <w:pStyle w:val="Tabletext"/>
            </w:pPr>
            <w:r w:rsidRPr="000E57E3">
              <w:t> </w:t>
            </w:r>
          </w:p>
        </w:tc>
        <w:tc>
          <w:tcPr>
            <w:tcW w:w="0" w:type="auto"/>
            <w:vAlign w:val="bottom"/>
          </w:tcPr>
          <w:p w14:paraId="02A4545C" w14:textId="072E6705" w:rsidR="008A6844" w:rsidRPr="000E57E3" w:rsidRDefault="008A6844" w:rsidP="000E57E3">
            <w:pPr>
              <w:pStyle w:val="Tabletext"/>
            </w:pPr>
            <w:r w:rsidRPr="000E57E3">
              <w:t> </w:t>
            </w:r>
          </w:p>
        </w:tc>
        <w:tc>
          <w:tcPr>
            <w:tcW w:w="0" w:type="auto"/>
            <w:vAlign w:val="bottom"/>
          </w:tcPr>
          <w:p w14:paraId="75450FBB" w14:textId="1A32E3FD" w:rsidR="008A6844" w:rsidRPr="000E57E3" w:rsidRDefault="008A6844" w:rsidP="000E57E3">
            <w:pPr>
              <w:pStyle w:val="Tabletext"/>
            </w:pPr>
            <w:r w:rsidRPr="000E57E3">
              <w:t> </w:t>
            </w:r>
          </w:p>
        </w:tc>
        <w:tc>
          <w:tcPr>
            <w:tcW w:w="0" w:type="auto"/>
            <w:vAlign w:val="bottom"/>
          </w:tcPr>
          <w:p w14:paraId="75796F9F" w14:textId="2D612B17" w:rsidR="008A6844" w:rsidRPr="000E57E3" w:rsidRDefault="008A6844" w:rsidP="000E57E3">
            <w:pPr>
              <w:pStyle w:val="Tabletext"/>
            </w:pPr>
            <w:r w:rsidRPr="000E57E3">
              <w:t>Facilitated</w:t>
            </w:r>
          </w:p>
        </w:tc>
      </w:tr>
      <w:tr w:rsidR="00776CCE" w:rsidRPr="008A6844" w14:paraId="7899912A" w14:textId="77777777" w:rsidTr="00CA44B7">
        <w:tc>
          <w:tcPr>
            <w:tcW w:w="0" w:type="auto"/>
            <w:vAlign w:val="bottom"/>
          </w:tcPr>
          <w:p w14:paraId="0DAA1F4F" w14:textId="3662EB80" w:rsidR="008A6844" w:rsidRPr="000E57E3" w:rsidRDefault="008A6844" w:rsidP="000E57E3">
            <w:pPr>
              <w:pStyle w:val="Tabletext"/>
            </w:pPr>
            <w:r w:rsidRPr="000E57E3">
              <w:t>PRDM1</w:t>
            </w:r>
          </w:p>
        </w:tc>
        <w:tc>
          <w:tcPr>
            <w:tcW w:w="0" w:type="auto"/>
            <w:vAlign w:val="bottom"/>
          </w:tcPr>
          <w:p w14:paraId="527FDC76" w14:textId="0BF14F11" w:rsidR="008A6844" w:rsidRPr="000E57E3" w:rsidRDefault="008A6844" w:rsidP="000E57E3">
            <w:pPr>
              <w:pStyle w:val="Tabletext"/>
            </w:pPr>
            <w:r w:rsidRPr="000E57E3">
              <w:t> </w:t>
            </w:r>
          </w:p>
        </w:tc>
        <w:tc>
          <w:tcPr>
            <w:tcW w:w="0" w:type="auto"/>
            <w:vAlign w:val="bottom"/>
          </w:tcPr>
          <w:p w14:paraId="0E396EA4" w14:textId="4372F02E" w:rsidR="008A6844" w:rsidRPr="000E57E3" w:rsidRDefault="008A6844" w:rsidP="000E57E3">
            <w:pPr>
              <w:pStyle w:val="Tabletext"/>
            </w:pPr>
            <w:r w:rsidRPr="000E57E3">
              <w:t> </w:t>
            </w:r>
          </w:p>
        </w:tc>
        <w:tc>
          <w:tcPr>
            <w:tcW w:w="0" w:type="auto"/>
            <w:vAlign w:val="bottom"/>
          </w:tcPr>
          <w:p w14:paraId="4C563FE7" w14:textId="2B74E69C" w:rsidR="008A6844" w:rsidRPr="000E57E3" w:rsidRDefault="008A6844" w:rsidP="000E57E3">
            <w:pPr>
              <w:pStyle w:val="Tabletext"/>
            </w:pPr>
            <w:r w:rsidRPr="000E57E3">
              <w:t> </w:t>
            </w:r>
          </w:p>
        </w:tc>
        <w:tc>
          <w:tcPr>
            <w:tcW w:w="0" w:type="auto"/>
            <w:vAlign w:val="bottom"/>
          </w:tcPr>
          <w:p w14:paraId="23DE4ED8" w14:textId="3EBFB69A" w:rsidR="008A6844" w:rsidRPr="000E57E3" w:rsidRDefault="008A6844" w:rsidP="000E57E3">
            <w:pPr>
              <w:pStyle w:val="Tabletext"/>
            </w:pPr>
            <w:r w:rsidRPr="000E57E3">
              <w:t> </w:t>
            </w:r>
          </w:p>
        </w:tc>
        <w:tc>
          <w:tcPr>
            <w:tcW w:w="0" w:type="auto"/>
            <w:vAlign w:val="bottom"/>
          </w:tcPr>
          <w:p w14:paraId="22838AB7" w14:textId="5BCD1A2B" w:rsidR="008A6844" w:rsidRPr="000E57E3" w:rsidRDefault="008A6844" w:rsidP="000E57E3">
            <w:pPr>
              <w:pStyle w:val="Tabletext"/>
            </w:pPr>
            <w:r w:rsidRPr="000E57E3">
              <w:t> </w:t>
            </w:r>
          </w:p>
        </w:tc>
        <w:tc>
          <w:tcPr>
            <w:tcW w:w="0" w:type="auto"/>
            <w:vAlign w:val="bottom"/>
          </w:tcPr>
          <w:p w14:paraId="2B6D4495" w14:textId="6671D6DC" w:rsidR="008A6844" w:rsidRPr="000E57E3" w:rsidRDefault="008A6844" w:rsidP="000E57E3">
            <w:pPr>
              <w:pStyle w:val="Tabletext"/>
            </w:pPr>
            <w:r w:rsidRPr="000E57E3">
              <w:t> </w:t>
            </w:r>
          </w:p>
        </w:tc>
        <w:tc>
          <w:tcPr>
            <w:tcW w:w="0" w:type="auto"/>
            <w:vAlign w:val="bottom"/>
          </w:tcPr>
          <w:p w14:paraId="19ECC127" w14:textId="384C9DB3" w:rsidR="008A6844" w:rsidRPr="000E57E3" w:rsidRDefault="008A6844" w:rsidP="000E57E3">
            <w:pPr>
              <w:pStyle w:val="Tabletext"/>
            </w:pPr>
            <w:r w:rsidRPr="000E57E3">
              <w:t>Y</w:t>
            </w:r>
          </w:p>
        </w:tc>
        <w:tc>
          <w:tcPr>
            <w:tcW w:w="0" w:type="auto"/>
            <w:vAlign w:val="bottom"/>
          </w:tcPr>
          <w:p w14:paraId="2ABAB169" w14:textId="6E4AA574" w:rsidR="008A6844" w:rsidRPr="000E57E3" w:rsidRDefault="008A6844" w:rsidP="000E57E3">
            <w:pPr>
              <w:pStyle w:val="Tabletext"/>
            </w:pPr>
            <w:r w:rsidRPr="000E57E3">
              <w:t>Y</w:t>
            </w:r>
          </w:p>
        </w:tc>
        <w:tc>
          <w:tcPr>
            <w:tcW w:w="0" w:type="auto"/>
            <w:vAlign w:val="bottom"/>
          </w:tcPr>
          <w:p w14:paraId="5734E47B" w14:textId="40BA53A5" w:rsidR="008A6844" w:rsidRPr="000E57E3" w:rsidRDefault="008A6844" w:rsidP="000E57E3">
            <w:pPr>
              <w:pStyle w:val="Tabletext"/>
            </w:pPr>
            <w:r w:rsidRPr="000E57E3">
              <w:t> </w:t>
            </w:r>
          </w:p>
        </w:tc>
        <w:tc>
          <w:tcPr>
            <w:tcW w:w="0" w:type="auto"/>
            <w:vAlign w:val="bottom"/>
          </w:tcPr>
          <w:p w14:paraId="232E2CA2" w14:textId="4727A833" w:rsidR="008A6844" w:rsidRPr="000E57E3" w:rsidRDefault="008A6844" w:rsidP="000E57E3">
            <w:pPr>
              <w:pStyle w:val="Tabletext"/>
            </w:pPr>
            <w:r w:rsidRPr="000E57E3">
              <w:t> </w:t>
            </w:r>
          </w:p>
        </w:tc>
        <w:tc>
          <w:tcPr>
            <w:tcW w:w="0" w:type="auto"/>
            <w:vAlign w:val="bottom"/>
          </w:tcPr>
          <w:p w14:paraId="3D73168C" w14:textId="576C7C66" w:rsidR="008A6844" w:rsidRPr="000E57E3" w:rsidRDefault="008A6844" w:rsidP="000E57E3">
            <w:pPr>
              <w:pStyle w:val="Tabletext"/>
            </w:pPr>
            <w:r w:rsidRPr="000E57E3">
              <w:t> </w:t>
            </w:r>
          </w:p>
        </w:tc>
        <w:tc>
          <w:tcPr>
            <w:tcW w:w="0" w:type="auto"/>
            <w:vAlign w:val="bottom"/>
          </w:tcPr>
          <w:p w14:paraId="0334CE95" w14:textId="77ED4704" w:rsidR="008A6844" w:rsidRPr="000E57E3" w:rsidRDefault="008A6844" w:rsidP="000E57E3">
            <w:pPr>
              <w:pStyle w:val="Tabletext"/>
            </w:pPr>
            <w:r w:rsidRPr="000E57E3">
              <w:t>Facilitated</w:t>
            </w:r>
          </w:p>
        </w:tc>
      </w:tr>
      <w:tr w:rsidR="00776CCE" w:rsidRPr="008A6844" w14:paraId="29E32B1A" w14:textId="77777777" w:rsidTr="00CA44B7">
        <w:tc>
          <w:tcPr>
            <w:tcW w:w="0" w:type="auto"/>
            <w:vAlign w:val="bottom"/>
          </w:tcPr>
          <w:p w14:paraId="322756B4" w14:textId="0AF9572B" w:rsidR="008A6844" w:rsidRPr="000E57E3" w:rsidRDefault="008A6844" w:rsidP="000E57E3">
            <w:pPr>
              <w:pStyle w:val="Tabletext"/>
            </w:pPr>
            <w:r w:rsidRPr="000E57E3">
              <w:t>PRPF8</w:t>
            </w:r>
          </w:p>
        </w:tc>
        <w:tc>
          <w:tcPr>
            <w:tcW w:w="0" w:type="auto"/>
            <w:vAlign w:val="bottom"/>
          </w:tcPr>
          <w:p w14:paraId="2A3601A5" w14:textId="1A91D47B" w:rsidR="008A6844" w:rsidRPr="000E57E3" w:rsidRDefault="008A6844" w:rsidP="000E57E3">
            <w:pPr>
              <w:pStyle w:val="Tabletext"/>
            </w:pPr>
            <w:r w:rsidRPr="000E57E3">
              <w:t> </w:t>
            </w:r>
          </w:p>
        </w:tc>
        <w:tc>
          <w:tcPr>
            <w:tcW w:w="0" w:type="auto"/>
            <w:vAlign w:val="bottom"/>
          </w:tcPr>
          <w:p w14:paraId="74E9F101" w14:textId="67912D93" w:rsidR="008A6844" w:rsidRPr="000E57E3" w:rsidRDefault="008A6844" w:rsidP="000E57E3">
            <w:pPr>
              <w:pStyle w:val="Tabletext"/>
            </w:pPr>
            <w:r w:rsidRPr="000E57E3">
              <w:t> </w:t>
            </w:r>
          </w:p>
        </w:tc>
        <w:tc>
          <w:tcPr>
            <w:tcW w:w="0" w:type="auto"/>
            <w:vAlign w:val="bottom"/>
          </w:tcPr>
          <w:p w14:paraId="4DCF99F1" w14:textId="478E57C3" w:rsidR="008A6844" w:rsidRPr="000E57E3" w:rsidRDefault="008A6844" w:rsidP="000E57E3">
            <w:pPr>
              <w:pStyle w:val="Tabletext"/>
            </w:pPr>
            <w:r w:rsidRPr="000E57E3">
              <w:t> </w:t>
            </w:r>
          </w:p>
        </w:tc>
        <w:tc>
          <w:tcPr>
            <w:tcW w:w="0" w:type="auto"/>
            <w:vAlign w:val="bottom"/>
          </w:tcPr>
          <w:p w14:paraId="30517FA7" w14:textId="3AC9BB3E" w:rsidR="008A6844" w:rsidRPr="000E57E3" w:rsidRDefault="008A6844" w:rsidP="000E57E3">
            <w:pPr>
              <w:pStyle w:val="Tabletext"/>
            </w:pPr>
            <w:r w:rsidRPr="000E57E3">
              <w:t> </w:t>
            </w:r>
          </w:p>
        </w:tc>
        <w:tc>
          <w:tcPr>
            <w:tcW w:w="0" w:type="auto"/>
            <w:vAlign w:val="bottom"/>
          </w:tcPr>
          <w:p w14:paraId="419AFFFC" w14:textId="68210679" w:rsidR="008A6844" w:rsidRPr="000E57E3" w:rsidRDefault="008A6844" w:rsidP="000E57E3">
            <w:pPr>
              <w:pStyle w:val="Tabletext"/>
            </w:pPr>
            <w:r w:rsidRPr="000E57E3">
              <w:t>Y</w:t>
            </w:r>
          </w:p>
        </w:tc>
        <w:tc>
          <w:tcPr>
            <w:tcW w:w="0" w:type="auto"/>
            <w:vAlign w:val="bottom"/>
          </w:tcPr>
          <w:p w14:paraId="725B49F9" w14:textId="56023EB3" w:rsidR="008A6844" w:rsidRPr="000E57E3" w:rsidRDefault="008A6844" w:rsidP="000E57E3">
            <w:pPr>
              <w:pStyle w:val="Tabletext"/>
            </w:pPr>
            <w:r w:rsidRPr="000E57E3">
              <w:t> </w:t>
            </w:r>
          </w:p>
        </w:tc>
        <w:tc>
          <w:tcPr>
            <w:tcW w:w="0" w:type="auto"/>
            <w:vAlign w:val="bottom"/>
          </w:tcPr>
          <w:p w14:paraId="3331D716" w14:textId="2F2C44B3" w:rsidR="008A6844" w:rsidRPr="000E57E3" w:rsidRDefault="008A6844" w:rsidP="000E57E3">
            <w:pPr>
              <w:pStyle w:val="Tabletext"/>
            </w:pPr>
            <w:r w:rsidRPr="000E57E3">
              <w:t> </w:t>
            </w:r>
          </w:p>
        </w:tc>
        <w:tc>
          <w:tcPr>
            <w:tcW w:w="0" w:type="auto"/>
            <w:vAlign w:val="bottom"/>
          </w:tcPr>
          <w:p w14:paraId="1A1523C3" w14:textId="5054618A" w:rsidR="008A6844" w:rsidRPr="000E57E3" w:rsidRDefault="008A6844" w:rsidP="000E57E3">
            <w:pPr>
              <w:pStyle w:val="Tabletext"/>
            </w:pPr>
            <w:r w:rsidRPr="000E57E3">
              <w:t> </w:t>
            </w:r>
          </w:p>
        </w:tc>
        <w:tc>
          <w:tcPr>
            <w:tcW w:w="0" w:type="auto"/>
            <w:vAlign w:val="bottom"/>
          </w:tcPr>
          <w:p w14:paraId="3809AF3B" w14:textId="502ED528" w:rsidR="008A6844" w:rsidRPr="000E57E3" w:rsidRDefault="008A6844" w:rsidP="000E57E3">
            <w:pPr>
              <w:pStyle w:val="Tabletext"/>
            </w:pPr>
            <w:r w:rsidRPr="000E57E3">
              <w:t> </w:t>
            </w:r>
          </w:p>
        </w:tc>
        <w:tc>
          <w:tcPr>
            <w:tcW w:w="0" w:type="auto"/>
            <w:vAlign w:val="bottom"/>
          </w:tcPr>
          <w:p w14:paraId="66943788" w14:textId="2FB43A32" w:rsidR="008A6844" w:rsidRPr="000E57E3" w:rsidRDefault="008A6844" w:rsidP="000E57E3">
            <w:pPr>
              <w:pStyle w:val="Tabletext"/>
            </w:pPr>
            <w:r w:rsidRPr="000E57E3">
              <w:t> </w:t>
            </w:r>
          </w:p>
        </w:tc>
        <w:tc>
          <w:tcPr>
            <w:tcW w:w="0" w:type="auto"/>
            <w:vAlign w:val="bottom"/>
          </w:tcPr>
          <w:p w14:paraId="5F235916" w14:textId="302961C3" w:rsidR="008A6844" w:rsidRPr="000E57E3" w:rsidRDefault="008A6844" w:rsidP="000E57E3">
            <w:pPr>
              <w:pStyle w:val="Tabletext"/>
            </w:pPr>
            <w:r w:rsidRPr="000E57E3">
              <w:t> </w:t>
            </w:r>
          </w:p>
        </w:tc>
        <w:tc>
          <w:tcPr>
            <w:tcW w:w="0" w:type="auto"/>
            <w:vAlign w:val="bottom"/>
          </w:tcPr>
          <w:p w14:paraId="6A1D846B" w14:textId="3E984843" w:rsidR="008A6844" w:rsidRPr="000E57E3" w:rsidRDefault="008A6844" w:rsidP="000E57E3">
            <w:pPr>
              <w:pStyle w:val="Tabletext"/>
            </w:pPr>
            <w:r w:rsidRPr="000E57E3">
              <w:t>Facilitated</w:t>
            </w:r>
          </w:p>
        </w:tc>
      </w:tr>
      <w:tr w:rsidR="00776CCE" w:rsidRPr="008A6844" w14:paraId="3DA645E3" w14:textId="77777777" w:rsidTr="00CA44B7">
        <w:tc>
          <w:tcPr>
            <w:tcW w:w="0" w:type="auto"/>
            <w:vAlign w:val="bottom"/>
          </w:tcPr>
          <w:p w14:paraId="7A9D9F07" w14:textId="2ED3EB56" w:rsidR="008A6844" w:rsidRPr="000E57E3" w:rsidRDefault="008A6844" w:rsidP="000E57E3">
            <w:pPr>
              <w:pStyle w:val="Tabletext"/>
            </w:pPr>
            <w:r w:rsidRPr="000E57E3">
              <w:t>PTEN</w:t>
            </w:r>
          </w:p>
        </w:tc>
        <w:tc>
          <w:tcPr>
            <w:tcW w:w="0" w:type="auto"/>
            <w:vAlign w:val="bottom"/>
          </w:tcPr>
          <w:p w14:paraId="0BEAD239" w14:textId="12F7FBDD" w:rsidR="008A6844" w:rsidRPr="000E57E3" w:rsidRDefault="008A6844" w:rsidP="000E57E3">
            <w:pPr>
              <w:pStyle w:val="Tabletext"/>
            </w:pPr>
            <w:r w:rsidRPr="000E57E3">
              <w:t> </w:t>
            </w:r>
          </w:p>
        </w:tc>
        <w:tc>
          <w:tcPr>
            <w:tcW w:w="0" w:type="auto"/>
            <w:vAlign w:val="bottom"/>
          </w:tcPr>
          <w:p w14:paraId="4A8F7FCA" w14:textId="4E861AE9" w:rsidR="008A6844" w:rsidRPr="000E57E3" w:rsidRDefault="008A6844" w:rsidP="000E57E3">
            <w:pPr>
              <w:pStyle w:val="Tabletext"/>
            </w:pPr>
            <w:r w:rsidRPr="000E57E3">
              <w:t> </w:t>
            </w:r>
          </w:p>
        </w:tc>
        <w:tc>
          <w:tcPr>
            <w:tcW w:w="0" w:type="auto"/>
            <w:vAlign w:val="bottom"/>
          </w:tcPr>
          <w:p w14:paraId="7E26533A" w14:textId="09C33D61" w:rsidR="008A6844" w:rsidRPr="000E57E3" w:rsidRDefault="008A6844" w:rsidP="000E57E3">
            <w:pPr>
              <w:pStyle w:val="Tabletext"/>
            </w:pPr>
            <w:r w:rsidRPr="000E57E3">
              <w:t>Y</w:t>
            </w:r>
          </w:p>
        </w:tc>
        <w:tc>
          <w:tcPr>
            <w:tcW w:w="0" w:type="auto"/>
            <w:vAlign w:val="bottom"/>
          </w:tcPr>
          <w:p w14:paraId="1F53D906" w14:textId="221678D3" w:rsidR="008A6844" w:rsidRPr="000E57E3" w:rsidRDefault="008A6844" w:rsidP="000E57E3">
            <w:pPr>
              <w:pStyle w:val="Tabletext"/>
            </w:pPr>
            <w:r w:rsidRPr="000E57E3">
              <w:t> </w:t>
            </w:r>
          </w:p>
        </w:tc>
        <w:tc>
          <w:tcPr>
            <w:tcW w:w="0" w:type="auto"/>
            <w:vAlign w:val="bottom"/>
          </w:tcPr>
          <w:p w14:paraId="6EB985E1" w14:textId="5325EE2C" w:rsidR="008A6844" w:rsidRPr="000E57E3" w:rsidRDefault="008A6844" w:rsidP="000E57E3">
            <w:pPr>
              <w:pStyle w:val="Tabletext"/>
            </w:pPr>
            <w:r w:rsidRPr="000E57E3">
              <w:t> </w:t>
            </w:r>
          </w:p>
        </w:tc>
        <w:tc>
          <w:tcPr>
            <w:tcW w:w="0" w:type="auto"/>
            <w:vAlign w:val="bottom"/>
          </w:tcPr>
          <w:p w14:paraId="5E520C9C" w14:textId="712EFEAD" w:rsidR="008A6844" w:rsidRPr="000E57E3" w:rsidRDefault="008A6844" w:rsidP="000E57E3">
            <w:pPr>
              <w:pStyle w:val="Tabletext"/>
            </w:pPr>
            <w:r w:rsidRPr="000E57E3">
              <w:t> </w:t>
            </w:r>
          </w:p>
        </w:tc>
        <w:tc>
          <w:tcPr>
            <w:tcW w:w="0" w:type="auto"/>
            <w:vAlign w:val="bottom"/>
          </w:tcPr>
          <w:p w14:paraId="0CBAB0E4" w14:textId="32ED13E2" w:rsidR="008A6844" w:rsidRPr="000E57E3" w:rsidRDefault="008A6844" w:rsidP="000E57E3">
            <w:pPr>
              <w:pStyle w:val="Tabletext"/>
            </w:pPr>
            <w:r w:rsidRPr="000E57E3">
              <w:t> </w:t>
            </w:r>
          </w:p>
        </w:tc>
        <w:tc>
          <w:tcPr>
            <w:tcW w:w="0" w:type="auto"/>
            <w:vAlign w:val="bottom"/>
          </w:tcPr>
          <w:p w14:paraId="7120C3BC" w14:textId="4C208145" w:rsidR="008A6844" w:rsidRPr="000E57E3" w:rsidRDefault="008A6844" w:rsidP="000E57E3">
            <w:pPr>
              <w:pStyle w:val="Tabletext"/>
            </w:pPr>
            <w:r w:rsidRPr="000E57E3">
              <w:t>Y</w:t>
            </w:r>
          </w:p>
        </w:tc>
        <w:tc>
          <w:tcPr>
            <w:tcW w:w="0" w:type="auto"/>
            <w:vAlign w:val="bottom"/>
          </w:tcPr>
          <w:p w14:paraId="11020A3F" w14:textId="160C0870" w:rsidR="008A6844" w:rsidRPr="000E57E3" w:rsidRDefault="008A6844" w:rsidP="000E57E3">
            <w:pPr>
              <w:pStyle w:val="Tabletext"/>
            </w:pPr>
            <w:r w:rsidRPr="000E57E3">
              <w:t> </w:t>
            </w:r>
          </w:p>
        </w:tc>
        <w:tc>
          <w:tcPr>
            <w:tcW w:w="0" w:type="auto"/>
            <w:vAlign w:val="bottom"/>
          </w:tcPr>
          <w:p w14:paraId="164FCB9C" w14:textId="66AC7864" w:rsidR="008A6844" w:rsidRPr="000E57E3" w:rsidRDefault="008A6844" w:rsidP="000E57E3">
            <w:pPr>
              <w:pStyle w:val="Tabletext"/>
            </w:pPr>
            <w:r w:rsidRPr="000E57E3">
              <w:t> </w:t>
            </w:r>
          </w:p>
        </w:tc>
        <w:tc>
          <w:tcPr>
            <w:tcW w:w="0" w:type="auto"/>
            <w:vAlign w:val="bottom"/>
          </w:tcPr>
          <w:p w14:paraId="0E42E668" w14:textId="01938E04" w:rsidR="008A6844" w:rsidRPr="000E57E3" w:rsidRDefault="008A6844" w:rsidP="000E57E3">
            <w:pPr>
              <w:pStyle w:val="Tabletext"/>
            </w:pPr>
            <w:r w:rsidRPr="000E57E3">
              <w:t>Y</w:t>
            </w:r>
          </w:p>
        </w:tc>
        <w:tc>
          <w:tcPr>
            <w:tcW w:w="0" w:type="auto"/>
            <w:vAlign w:val="bottom"/>
          </w:tcPr>
          <w:p w14:paraId="378DE93E" w14:textId="14BBE255" w:rsidR="008A6844" w:rsidRPr="000E57E3" w:rsidRDefault="008A6844" w:rsidP="000E57E3">
            <w:pPr>
              <w:pStyle w:val="Tabletext"/>
            </w:pPr>
            <w:r w:rsidRPr="000E57E3">
              <w:t>Facilitated</w:t>
            </w:r>
          </w:p>
        </w:tc>
      </w:tr>
      <w:tr w:rsidR="00776CCE" w:rsidRPr="008A6844" w14:paraId="72EBF917" w14:textId="77777777" w:rsidTr="00CA44B7">
        <w:tc>
          <w:tcPr>
            <w:tcW w:w="0" w:type="auto"/>
            <w:vAlign w:val="bottom"/>
          </w:tcPr>
          <w:p w14:paraId="3D22E573" w14:textId="61BFDC77" w:rsidR="008A6844" w:rsidRPr="000E57E3" w:rsidRDefault="008A6844" w:rsidP="000E57E3">
            <w:pPr>
              <w:pStyle w:val="Tabletext"/>
            </w:pPr>
            <w:r w:rsidRPr="000E57E3">
              <w:t>RAD21</w:t>
            </w:r>
          </w:p>
        </w:tc>
        <w:tc>
          <w:tcPr>
            <w:tcW w:w="0" w:type="auto"/>
            <w:vAlign w:val="bottom"/>
          </w:tcPr>
          <w:p w14:paraId="7EC93D36" w14:textId="1879BDD7" w:rsidR="008A6844" w:rsidRPr="000E57E3" w:rsidRDefault="008A6844" w:rsidP="000E57E3">
            <w:pPr>
              <w:pStyle w:val="Tabletext"/>
            </w:pPr>
            <w:r w:rsidRPr="000E57E3">
              <w:t> </w:t>
            </w:r>
          </w:p>
        </w:tc>
        <w:tc>
          <w:tcPr>
            <w:tcW w:w="0" w:type="auto"/>
            <w:vAlign w:val="bottom"/>
          </w:tcPr>
          <w:p w14:paraId="093E2D44" w14:textId="11749735" w:rsidR="008A6844" w:rsidRPr="000E57E3" w:rsidRDefault="008A6844" w:rsidP="000E57E3">
            <w:pPr>
              <w:pStyle w:val="Tabletext"/>
            </w:pPr>
            <w:r w:rsidRPr="000E57E3">
              <w:t> </w:t>
            </w:r>
          </w:p>
        </w:tc>
        <w:tc>
          <w:tcPr>
            <w:tcW w:w="0" w:type="auto"/>
            <w:vAlign w:val="bottom"/>
          </w:tcPr>
          <w:p w14:paraId="315B4BDE" w14:textId="40D98546" w:rsidR="008A6844" w:rsidRPr="000E57E3" w:rsidRDefault="008A6844" w:rsidP="000E57E3">
            <w:pPr>
              <w:pStyle w:val="Tabletext"/>
            </w:pPr>
            <w:r w:rsidRPr="000E57E3">
              <w:t>Y</w:t>
            </w:r>
          </w:p>
        </w:tc>
        <w:tc>
          <w:tcPr>
            <w:tcW w:w="0" w:type="auto"/>
            <w:vAlign w:val="bottom"/>
          </w:tcPr>
          <w:p w14:paraId="167A460A" w14:textId="73DAB108" w:rsidR="008A6844" w:rsidRPr="000E57E3" w:rsidRDefault="008A6844" w:rsidP="000E57E3">
            <w:pPr>
              <w:pStyle w:val="Tabletext"/>
            </w:pPr>
            <w:r w:rsidRPr="000E57E3">
              <w:t> </w:t>
            </w:r>
          </w:p>
        </w:tc>
        <w:tc>
          <w:tcPr>
            <w:tcW w:w="0" w:type="auto"/>
            <w:vAlign w:val="bottom"/>
          </w:tcPr>
          <w:p w14:paraId="6BDD9E8F" w14:textId="27C6819C" w:rsidR="008A6844" w:rsidRPr="000E57E3" w:rsidRDefault="008A6844" w:rsidP="000E57E3">
            <w:pPr>
              <w:pStyle w:val="Tabletext"/>
            </w:pPr>
            <w:r w:rsidRPr="000E57E3">
              <w:t> </w:t>
            </w:r>
          </w:p>
        </w:tc>
        <w:tc>
          <w:tcPr>
            <w:tcW w:w="0" w:type="auto"/>
            <w:vAlign w:val="bottom"/>
          </w:tcPr>
          <w:p w14:paraId="3018C53E" w14:textId="05670156" w:rsidR="008A6844" w:rsidRPr="000E57E3" w:rsidRDefault="008A6844" w:rsidP="000E57E3">
            <w:pPr>
              <w:pStyle w:val="Tabletext"/>
            </w:pPr>
            <w:r w:rsidRPr="000E57E3">
              <w:t> </w:t>
            </w:r>
          </w:p>
        </w:tc>
        <w:tc>
          <w:tcPr>
            <w:tcW w:w="0" w:type="auto"/>
            <w:vAlign w:val="bottom"/>
          </w:tcPr>
          <w:p w14:paraId="4153A793" w14:textId="5BAAF48A" w:rsidR="008A6844" w:rsidRPr="000E57E3" w:rsidRDefault="008A6844" w:rsidP="000E57E3">
            <w:pPr>
              <w:pStyle w:val="Tabletext"/>
            </w:pPr>
            <w:r w:rsidRPr="000E57E3">
              <w:t> </w:t>
            </w:r>
          </w:p>
        </w:tc>
        <w:tc>
          <w:tcPr>
            <w:tcW w:w="0" w:type="auto"/>
            <w:vAlign w:val="bottom"/>
          </w:tcPr>
          <w:p w14:paraId="41509A41" w14:textId="48744A18" w:rsidR="008A6844" w:rsidRPr="000E57E3" w:rsidRDefault="008A6844" w:rsidP="000E57E3">
            <w:pPr>
              <w:pStyle w:val="Tabletext"/>
            </w:pPr>
            <w:r w:rsidRPr="000E57E3">
              <w:t> </w:t>
            </w:r>
          </w:p>
        </w:tc>
        <w:tc>
          <w:tcPr>
            <w:tcW w:w="0" w:type="auto"/>
            <w:vAlign w:val="bottom"/>
          </w:tcPr>
          <w:p w14:paraId="4C3A8003" w14:textId="304B4D24" w:rsidR="008A6844" w:rsidRPr="000E57E3" w:rsidRDefault="008A6844" w:rsidP="000E57E3">
            <w:pPr>
              <w:pStyle w:val="Tabletext"/>
            </w:pPr>
            <w:r w:rsidRPr="000E57E3">
              <w:t> </w:t>
            </w:r>
          </w:p>
        </w:tc>
        <w:tc>
          <w:tcPr>
            <w:tcW w:w="0" w:type="auto"/>
            <w:vAlign w:val="bottom"/>
          </w:tcPr>
          <w:p w14:paraId="7B4DC91B" w14:textId="53DB306C" w:rsidR="008A6844" w:rsidRPr="000E57E3" w:rsidRDefault="008A6844" w:rsidP="000E57E3">
            <w:pPr>
              <w:pStyle w:val="Tabletext"/>
            </w:pPr>
            <w:r w:rsidRPr="000E57E3">
              <w:t> </w:t>
            </w:r>
          </w:p>
        </w:tc>
        <w:tc>
          <w:tcPr>
            <w:tcW w:w="0" w:type="auto"/>
            <w:vAlign w:val="bottom"/>
          </w:tcPr>
          <w:p w14:paraId="7228FEBA" w14:textId="1ADD90FA" w:rsidR="008A6844" w:rsidRPr="000E57E3" w:rsidRDefault="008A6844" w:rsidP="000E57E3">
            <w:pPr>
              <w:pStyle w:val="Tabletext"/>
            </w:pPr>
            <w:r w:rsidRPr="000E57E3">
              <w:t>Y</w:t>
            </w:r>
          </w:p>
        </w:tc>
        <w:tc>
          <w:tcPr>
            <w:tcW w:w="0" w:type="auto"/>
            <w:vAlign w:val="bottom"/>
          </w:tcPr>
          <w:p w14:paraId="29C11165" w14:textId="410F9652" w:rsidR="008A6844" w:rsidRPr="000E57E3" w:rsidRDefault="008A6844" w:rsidP="000E57E3">
            <w:pPr>
              <w:pStyle w:val="Tabletext"/>
            </w:pPr>
            <w:r w:rsidRPr="000E57E3">
              <w:t>Facilitated</w:t>
            </w:r>
          </w:p>
        </w:tc>
      </w:tr>
      <w:tr w:rsidR="00776CCE" w:rsidRPr="008A6844" w14:paraId="422DDE01" w14:textId="77777777" w:rsidTr="00CA44B7">
        <w:tc>
          <w:tcPr>
            <w:tcW w:w="0" w:type="auto"/>
            <w:vAlign w:val="bottom"/>
          </w:tcPr>
          <w:p w14:paraId="23715807" w14:textId="74AAA513" w:rsidR="008A6844" w:rsidRPr="000E57E3" w:rsidRDefault="008A6844" w:rsidP="000E57E3">
            <w:pPr>
              <w:pStyle w:val="Tabletext"/>
            </w:pPr>
            <w:r w:rsidRPr="000E57E3">
              <w:t>RARA</w:t>
            </w:r>
          </w:p>
        </w:tc>
        <w:tc>
          <w:tcPr>
            <w:tcW w:w="0" w:type="auto"/>
            <w:vAlign w:val="bottom"/>
          </w:tcPr>
          <w:p w14:paraId="4E4AC91A" w14:textId="518BCC80" w:rsidR="008A6844" w:rsidRPr="000E57E3" w:rsidRDefault="008A6844" w:rsidP="000E57E3">
            <w:pPr>
              <w:pStyle w:val="Tabletext"/>
            </w:pPr>
            <w:r w:rsidRPr="000E57E3">
              <w:t> </w:t>
            </w:r>
          </w:p>
        </w:tc>
        <w:tc>
          <w:tcPr>
            <w:tcW w:w="0" w:type="auto"/>
            <w:vAlign w:val="bottom"/>
          </w:tcPr>
          <w:p w14:paraId="2611CC01" w14:textId="7B313B6A" w:rsidR="008A6844" w:rsidRPr="000E57E3" w:rsidRDefault="008A6844" w:rsidP="000E57E3">
            <w:pPr>
              <w:pStyle w:val="Tabletext"/>
            </w:pPr>
            <w:r w:rsidRPr="000E57E3">
              <w:t> </w:t>
            </w:r>
          </w:p>
        </w:tc>
        <w:tc>
          <w:tcPr>
            <w:tcW w:w="0" w:type="auto"/>
            <w:vAlign w:val="bottom"/>
          </w:tcPr>
          <w:p w14:paraId="13CC08E0" w14:textId="2AC14772" w:rsidR="008A6844" w:rsidRPr="000E57E3" w:rsidRDefault="008A6844" w:rsidP="000E57E3">
            <w:pPr>
              <w:pStyle w:val="Tabletext"/>
            </w:pPr>
            <w:r w:rsidRPr="000E57E3">
              <w:t> </w:t>
            </w:r>
          </w:p>
        </w:tc>
        <w:tc>
          <w:tcPr>
            <w:tcW w:w="0" w:type="auto"/>
            <w:vAlign w:val="bottom"/>
          </w:tcPr>
          <w:p w14:paraId="157D29EE" w14:textId="53DEB6A8" w:rsidR="008A6844" w:rsidRPr="000E57E3" w:rsidRDefault="008A6844" w:rsidP="000E57E3">
            <w:pPr>
              <w:pStyle w:val="Tabletext"/>
            </w:pPr>
            <w:r w:rsidRPr="000E57E3">
              <w:t> </w:t>
            </w:r>
          </w:p>
        </w:tc>
        <w:tc>
          <w:tcPr>
            <w:tcW w:w="0" w:type="auto"/>
            <w:vAlign w:val="bottom"/>
          </w:tcPr>
          <w:p w14:paraId="7DBE5DE8" w14:textId="2212277F" w:rsidR="008A6844" w:rsidRPr="000E57E3" w:rsidRDefault="008A6844" w:rsidP="000E57E3">
            <w:pPr>
              <w:pStyle w:val="Tabletext"/>
            </w:pPr>
            <w:r w:rsidRPr="000E57E3">
              <w:t>Y</w:t>
            </w:r>
          </w:p>
        </w:tc>
        <w:tc>
          <w:tcPr>
            <w:tcW w:w="0" w:type="auto"/>
            <w:vAlign w:val="bottom"/>
          </w:tcPr>
          <w:p w14:paraId="0B25944E" w14:textId="2D81EC29" w:rsidR="008A6844" w:rsidRPr="000E57E3" w:rsidRDefault="008A6844" w:rsidP="000E57E3">
            <w:pPr>
              <w:pStyle w:val="Tabletext"/>
            </w:pPr>
            <w:r w:rsidRPr="000E57E3">
              <w:t> </w:t>
            </w:r>
          </w:p>
        </w:tc>
        <w:tc>
          <w:tcPr>
            <w:tcW w:w="0" w:type="auto"/>
            <w:vAlign w:val="bottom"/>
          </w:tcPr>
          <w:p w14:paraId="3BB7341A" w14:textId="6C4D9D22" w:rsidR="008A6844" w:rsidRPr="000E57E3" w:rsidRDefault="008A6844" w:rsidP="000E57E3">
            <w:pPr>
              <w:pStyle w:val="Tabletext"/>
            </w:pPr>
            <w:r w:rsidRPr="000E57E3">
              <w:t> </w:t>
            </w:r>
          </w:p>
        </w:tc>
        <w:tc>
          <w:tcPr>
            <w:tcW w:w="0" w:type="auto"/>
            <w:vAlign w:val="bottom"/>
          </w:tcPr>
          <w:p w14:paraId="7E569305" w14:textId="7892230D" w:rsidR="008A6844" w:rsidRPr="000E57E3" w:rsidRDefault="008A6844" w:rsidP="000E57E3">
            <w:pPr>
              <w:pStyle w:val="Tabletext"/>
            </w:pPr>
            <w:r w:rsidRPr="000E57E3">
              <w:t> </w:t>
            </w:r>
          </w:p>
        </w:tc>
        <w:tc>
          <w:tcPr>
            <w:tcW w:w="0" w:type="auto"/>
            <w:vAlign w:val="bottom"/>
          </w:tcPr>
          <w:p w14:paraId="5A533541" w14:textId="195793C0" w:rsidR="008A6844" w:rsidRPr="000E57E3" w:rsidRDefault="008A6844" w:rsidP="000E57E3">
            <w:pPr>
              <w:pStyle w:val="Tabletext"/>
            </w:pPr>
            <w:r w:rsidRPr="000E57E3">
              <w:t> </w:t>
            </w:r>
          </w:p>
        </w:tc>
        <w:tc>
          <w:tcPr>
            <w:tcW w:w="0" w:type="auto"/>
            <w:vAlign w:val="bottom"/>
          </w:tcPr>
          <w:p w14:paraId="452EE3FE" w14:textId="4FCBE120" w:rsidR="008A6844" w:rsidRPr="000E57E3" w:rsidRDefault="008A6844" w:rsidP="000E57E3">
            <w:pPr>
              <w:pStyle w:val="Tabletext"/>
            </w:pPr>
            <w:r w:rsidRPr="000E57E3">
              <w:t> </w:t>
            </w:r>
          </w:p>
        </w:tc>
        <w:tc>
          <w:tcPr>
            <w:tcW w:w="0" w:type="auto"/>
            <w:vAlign w:val="bottom"/>
          </w:tcPr>
          <w:p w14:paraId="32ED57E6" w14:textId="5B886130" w:rsidR="008A6844" w:rsidRPr="000E57E3" w:rsidRDefault="008A6844" w:rsidP="000E57E3">
            <w:pPr>
              <w:pStyle w:val="Tabletext"/>
            </w:pPr>
            <w:r w:rsidRPr="000E57E3">
              <w:t> </w:t>
            </w:r>
          </w:p>
        </w:tc>
        <w:tc>
          <w:tcPr>
            <w:tcW w:w="0" w:type="auto"/>
            <w:vAlign w:val="bottom"/>
          </w:tcPr>
          <w:p w14:paraId="5651D71D" w14:textId="1A05631A" w:rsidR="008A6844" w:rsidRPr="000E57E3" w:rsidRDefault="008A6844" w:rsidP="000E57E3">
            <w:pPr>
              <w:pStyle w:val="Tabletext"/>
            </w:pPr>
            <w:r w:rsidRPr="000E57E3">
              <w:t>Facilitated</w:t>
            </w:r>
          </w:p>
        </w:tc>
      </w:tr>
      <w:tr w:rsidR="00776CCE" w:rsidRPr="008A6844" w14:paraId="3F3EA551" w14:textId="77777777" w:rsidTr="00CA44B7">
        <w:tc>
          <w:tcPr>
            <w:tcW w:w="0" w:type="auto"/>
            <w:vAlign w:val="bottom"/>
          </w:tcPr>
          <w:p w14:paraId="42812D3E" w14:textId="6158F681" w:rsidR="008A6844" w:rsidRPr="000E57E3" w:rsidRDefault="008A6844" w:rsidP="000E57E3">
            <w:pPr>
              <w:pStyle w:val="Tabletext"/>
            </w:pPr>
            <w:r w:rsidRPr="000E57E3">
              <w:t>RB1</w:t>
            </w:r>
          </w:p>
        </w:tc>
        <w:tc>
          <w:tcPr>
            <w:tcW w:w="0" w:type="auto"/>
            <w:vAlign w:val="bottom"/>
          </w:tcPr>
          <w:p w14:paraId="70B16D2D" w14:textId="2CF5AA27" w:rsidR="008A6844" w:rsidRPr="000E57E3" w:rsidRDefault="008A6844" w:rsidP="000E57E3">
            <w:pPr>
              <w:pStyle w:val="Tabletext"/>
            </w:pPr>
            <w:r w:rsidRPr="000E57E3">
              <w:t> </w:t>
            </w:r>
          </w:p>
        </w:tc>
        <w:tc>
          <w:tcPr>
            <w:tcW w:w="0" w:type="auto"/>
            <w:vAlign w:val="bottom"/>
          </w:tcPr>
          <w:p w14:paraId="61B64664" w14:textId="678D543C" w:rsidR="008A6844" w:rsidRPr="000E57E3" w:rsidRDefault="008A6844" w:rsidP="000E57E3">
            <w:pPr>
              <w:pStyle w:val="Tabletext"/>
            </w:pPr>
            <w:r w:rsidRPr="000E57E3">
              <w:t> </w:t>
            </w:r>
          </w:p>
        </w:tc>
        <w:tc>
          <w:tcPr>
            <w:tcW w:w="0" w:type="auto"/>
            <w:vAlign w:val="bottom"/>
          </w:tcPr>
          <w:p w14:paraId="28B74BA9" w14:textId="33E5793C" w:rsidR="008A6844" w:rsidRPr="000E57E3" w:rsidRDefault="008A6844" w:rsidP="000E57E3">
            <w:pPr>
              <w:pStyle w:val="Tabletext"/>
            </w:pPr>
            <w:r w:rsidRPr="000E57E3">
              <w:t> </w:t>
            </w:r>
          </w:p>
        </w:tc>
        <w:tc>
          <w:tcPr>
            <w:tcW w:w="0" w:type="auto"/>
            <w:vAlign w:val="bottom"/>
          </w:tcPr>
          <w:p w14:paraId="1ADE6A5D" w14:textId="0568BACF" w:rsidR="008A6844" w:rsidRPr="000E57E3" w:rsidRDefault="008A6844" w:rsidP="000E57E3">
            <w:pPr>
              <w:pStyle w:val="Tabletext"/>
            </w:pPr>
            <w:r w:rsidRPr="000E57E3">
              <w:t> </w:t>
            </w:r>
          </w:p>
        </w:tc>
        <w:tc>
          <w:tcPr>
            <w:tcW w:w="0" w:type="auto"/>
            <w:vAlign w:val="bottom"/>
          </w:tcPr>
          <w:p w14:paraId="61A32EB3" w14:textId="1DD339AB" w:rsidR="008A6844" w:rsidRPr="000E57E3" w:rsidRDefault="008A6844" w:rsidP="000E57E3">
            <w:pPr>
              <w:pStyle w:val="Tabletext"/>
            </w:pPr>
            <w:r w:rsidRPr="000E57E3">
              <w:t>Y</w:t>
            </w:r>
          </w:p>
        </w:tc>
        <w:tc>
          <w:tcPr>
            <w:tcW w:w="0" w:type="auto"/>
            <w:vAlign w:val="bottom"/>
          </w:tcPr>
          <w:p w14:paraId="4C437CB7" w14:textId="4B581DE0" w:rsidR="008A6844" w:rsidRPr="000E57E3" w:rsidRDefault="008A6844" w:rsidP="000E57E3">
            <w:pPr>
              <w:pStyle w:val="Tabletext"/>
            </w:pPr>
            <w:r w:rsidRPr="000E57E3">
              <w:t> </w:t>
            </w:r>
          </w:p>
        </w:tc>
        <w:tc>
          <w:tcPr>
            <w:tcW w:w="0" w:type="auto"/>
            <w:vAlign w:val="bottom"/>
          </w:tcPr>
          <w:p w14:paraId="541463B4" w14:textId="0E7F0287" w:rsidR="008A6844" w:rsidRPr="000E57E3" w:rsidRDefault="008A6844" w:rsidP="000E57E3">
            <w:pPr>
              <w:pStyle w:val="Tabletext"/>
            </w:pPr>
            <w:r w:rsidRPr="000E57E3">
              <w:t> </w:t>
            </w:r>
          </w:p>
        </w:tc>
        <w:tc>
          <w:tcPr>
            <w:tcW w:w="0" w:type="auto"/>
            <w:vAlign w:val="bottom"/>
          </w:tcPr>
          <w:p w14:paraId="2D41C775" w14:textId="3990BAF4" w:rsidR="008A6844" w:rsidRPr="000E57E3" w:rsidRDefault="008A6844" w:rsidP="000E57E3">
            <w:pPr>
              <w:pStyle w:val="Tabletext"/>
            </w:pPr>
            <w:r w:rsidRPr="000E57E3">
              <w:t> </w:t>
            </w:r>
          </w:p>
        </w:tc>
        <w:tc>
          <w:tcPr>
            <w:tcW w:w="0" w:type="auto"/>
            <w:vAlign w:val="bottom"/>
          </w:tcPr>
          <w:p w14:paraId="4F8DAFE4" w14:textId="0060E82E" w:rsidR="008A6844" w:rsidRPr="000E57E3" w:rsidRDefault="008A6844" w:rsidP="000E57E3">
            <w:pPr>
              <w:pStyle w:val="Tabletext"/>
            </w:pPr>
            <w:r w:rsidRPr="000E57E3">
              <w:t> </w:t>
            </w:r>
          </w:p>
        </w:tc>
        <w:tc>
          <w:tcPr>
            <w:tcW w:w="0" w:type="auto"/>
            <w:vAlign w:val="bottom"/>
          </w:tcPr>
          <w:p w14:paraId="09A1963F" w14:textId="20B7CF68" w:rsidR="008A6844" w:rsidRPr="000E57E3" w:rsidRDefault="008A6844" w:rsidP="000E57E3">
            <w:pPr>
              <w:pStyle w:val="Tabletext"/>
            </w:pPr>
            <w:r w:rsidRPr="000E57E3">
              <w:t> </w:t>
            </w:r>
          </w:p>
        </w:tc>
        <w:tc>
          <w:tcPr>
            <w:tcW w:w="0" w:type="auto"/>
            <w:vAlign w:val="bottom"/>
          </w:tcPr>
          <w:p w14:paraId="170DAF41" w14:textId="469C8014" w:rsidR="008A6844" w:rsidRPr="000E57E3" w:rsidRDefault="008A6844" w:rsidP="000E57E3">
            <w:pPr>
              <w:pStyle w:val="Tabletext"/>
            </w:pPr>
            <w:r w:rsidRPr="000E57E3">
              <w:t> </w:t>
            </w:r>
          </w:p>
        </w:tc>
        <w:tc>
          <w:tcPr>
            <w:tcW w:w="0" w:type="auto"/>
            <w:vAlign w:val="bottom"/>
          </w:tcPr>
          <w:p w14:paraId="03090538" w14:textId="7CEA6970" w:rsidR="008A6844" w:rsidRPr="000E57E3" w:rsidRDefault="008A6844" w:rsidP="000E57E3">
            <w:pPr>
              <w:pStyle w:val="Tabletext"/>
            </w:pPr>
            <w:r w:rsidRPr="000E57E3">
              <w:t>Facilitated</w:t>
            </w:r>
          </w:p>
        </w:tc>
      </w:tr>
      <w:tr w:rsidR="00776CCE" w:rsidRPr="008A6844" w14:paraId="3EEBD82C" w14:textId="77777777" w:rsidTr="00CA44B7">
        <w:tc>
          <w:tcPr>
            <w:tcW w:w="0" w:type="auto"/>
            <w:vAlign w:val="bottom"/>
          </w:tcPr>
          <w:p w14:paraId="00612F70" w14:textId="78D0D6A3" w:rsidR="008A6844" w:rsidRPr="000E57E3" w:rsidRDefault="008A6844" w:rsidP="000E57E3">
            <w:pPr>
              <w:pStyle w:val="Tabletext"/>
            </w:pPr>
            <w:r w:rsidRPr="000E57E3">
              <w:t>RBBP6</w:t>
            </w:r>
          </w:p>
        </w:tc>
        <w:tc>
          <w:tcPr>
            <w:tcW w:w="0" w:type="auto"/>
            <w:vAlign w:val="bottom"/>
          </w:tcPr>
          <w:p w14:paraId="2B6584F9" w14:textId="7EC7366E" w:rsidR="008A6844" w:rsidRPr="000E57E3" w:rsidRDefault="008A6844" w:rsidP="000E57E3">
            <w:pPr>
              <w:pStyle w:val="Tabletext"/>
            </w:pPr>
            <w:r w:rsidRPr="000E57E3">
              <w:t> </w:t>
            </w:r>
          </w:p>
        </w:tc>
        <w:tc>
          <w:tcPr>
            <w:tcW w:w="0" w:type="auto"/>
            <w:vAlign w:val="bottom"/>
          </w:tcPr>
          <w:p w14:paraId="70AB2184" w14:textId="3B8006AF" w:rsidR="008A6844" w:rsidRPr="000E57E3" w:rsidRDefault="008A6844" w:rsidP="000E57E3">
            <w:pPr>
              <w:pStyle w:val="Tabletext"/>
            </w:pPr>
            <w:r w:rsidRPr="000E57E3">
              <w:t> </w:t>
            </w:r>
          </w:p>
        </w:tc>
        <w:tc>
          <w:tcPr>
            <w:tcW w:w="0" w:type="auto"/>
            <w:vAlign w:val="bottom"/>
          </w:tcPr>
          <w:p w14:paraId="7031C41B" w14:textId="398D30A1" w:rsidR="008A6844" w:rsidRPr="000E57E3" w:rsidRDefault="008A6844" w:rsidP="000E57E3">
            <w:pPr>
              <w:pStyle w:val="Tabletext"/>
            </w:pPr>
            <w:r w:rsidRPr="000E57E3">
              <w:t>Y</w:t>
            </w:r>
          </w:p>
        </w:tc>
        <w:tc>
          <w:tcPr>
            <w:tcW w:w="0" w:type="auto"/>
            <w:vAlign w:val="bottom"/>
          </w:tcPr>
          <w:p w14:paraId="403D2317" w14:textId="788F6E25" w:rsidR="008A6844" w:rsidRPr="000E57E3" w:rsidRDefault="008A6844" w:rsidP="000E57E3">
            <w:pPr>
              <w:pStyle w:val="Tabletext"/>
            </w:pPr>
            <w:r w:rsidRPr="000E57E3">
              <w:t> </w:t>
            </w:r>
          </w:p>
        </w:tc>
        <w:tc>
          <w:tcPr>
            <w:tcW w:w="0" w:type="auto"/>
            <w:vAlign w:val="bottom"/>
          </w:tcPr>
          <w:p w14:paraId="0477F6C3" w14:textId="31818398" w:rsidR="008A6844" w:rsidRPr="000E57E3" w:rsidRDefault="008A6844" w:rsidP="000E57E3">
            <w:pPr>
              <w:pStyle w:val="Tabletext"/>
            </w:pPr>
            <w:r w:rsidRPr="000E57E3">
              <w:t> </w:t>
            </w:r>
          </w:p>
        </w:tc>
        <w:tc>
          <w:tcPr>
            <w:tcW w:w="0" w:type="auto"/>
            <w:vAlign w:val="bottom"/>
          </w:tcPr>
          <w:p w14:paraId="09423C4F" w14:textId="50A22553" w:rsidR="008A6844" w:rsidRPr="000E57E3" w:rsidRDefault="008A6844" w:rsidP="000E57E3">
            <w:pPr>
              <w:pStyle w:val="Tabletext"/>
            </w:pPr>
            <w:r w:rsidRPr="000E57E3">
              <w:t> </w:t>
            </w:r>
          </w:p>
        </w:tc>
        <w:tc>
          <w:tcPr>
            <w:tcW w:w="0" w:type="auto"/>
            <w:vAlign w:val="bottom"/>
          </w:tcPr>
          <w:p w14:paraId="4D104F48" w14:textId="777EC973" w:rsidR="008A6844" w:rsidRPr="000E57E3" w:rsidRDefault="008A6844" w:rsidP="000E57E3">
            <w:pPr>
              <w:pStyle w:val="Tabletext"/>
            </w:pPr>
            <w:r w:rsidRPr="000E57E3">
              <w:t> </w:t>
            </w:r>
          </w:p>
        </w:tc>
        <w:tc>
          <w:tcPr>
            <w:tcW w:w="0" w:type="auto"/>
            <w:vAlign w:val="bottom"/>
          </w:tcPr>
          <w:p w14:paraId="05BE59EC" w14:textId="56033AFC" w:rsidR="008A6844" w:rsidRPr="000E57E3" w:rsidRDefault="008A6844" w:rsidP="000E57E3">
            <w:pPr>
              <w:pStyle w:val="Tabletext"/>
            </w:pPr>
            <w:r w:rsidRPr="000E57E3">
              <w:t> </w:t>
            </w:r>
          </w:p>
        </w:tc>
        <w:tc>
          <w:tcPr>
            <w:tcW w:w="0" w:type="auto"/>
            <w:vAlign w:val="bottom"/>
          </w:tcPr>
          <w:p w14:paraId="728C6143" w14:textId="54FAB947" w:rsidR="008A6844" w:rsidRPr="000E57E3" w:rsidRDefault="008A6844" w:rsidP="000E57E3">
            <w:pPr>
              <w:pStyle w:val="Tabletext"/>
            </w:pPr>
            <w:r w:rsidRPr="000E57E3">
              <w:t> </w:t>
            </w:r>
          </w:p>
        </w:tc>
        <w:tc>
          <w:tcPr>
            <w:tcW w:w="0" w:type="auto"/>
            <w:vAlign w:val="bottom"/>
          </w:tcPr>
          <w:p w14:paraId="0E7C3FD4" w14:textId="31A2A991" w:rsidR="008A6844" w:rsidRPr="000E57E3" w:rsidRDefault="008A6844" w:rsidP="000E57E3">
            <w:pPr>
              <w:pStyle w:val="Tabletext"/>
            </w:pPr>
            <w:r w:rsidRPr="000E57E3">
              <w:t> </w:t>
            </w:r>
          </w:p>
        </w:tc>
        <w:tc>
          <w:tcPr>
            <w:tcW w:w="0" w:type="auto"/>
            <w:vAlign w:val="bottom"/>
          </w:tcPr>
          <w:p w14:paraId="4FA95E7D" w14:textId="484FF22C" w:rsidR="008A6844" w:rsidRPr="000E57E3" w:rsidRDefault="008A6844" w:rsidP="000E57E3">
            <w:pPr>
              <w:pStyle w:val="Tabletext"/>
            </w:pPr>
            <w:r w:rsidRPr="000E57E3">
              <w:t> </w:t>
            </w:r>
          </w:p>
        </w:tc>
        <w:tc>
          <w:tcPr>
            <w:tcW w:w="0" w:type="auto"/>
            <w:vAlign w:val="bottom"/>
          </w:tcPr>
          <w:p w14:paraId="2F9ABD46" w14:textId="3E0A5B4D" w:rsidR="008A6844" w:rsidRPr="000E57E3" w:rsidRDefault="008A6844" w:rsidP="000E57E3">
            <w:pPr>
              <w:pStyle w:val="Tabletext"/>
            </w:pPr>
            <w:r w:rsidRPr="000E57E3">
              <w:t>Facilitated</w:t>
            </w:r>
          </w:p>
        </w:tc>
      </w:tr>
      <w:tr w:rsidR="00776CCE" w:rsidRPr="008A6844" w14:paraId="7FA4DD1A" w14:textId="77777777" w:rsidTr="00CA44B7">
        <w:tc>
          <w:tcPr>
            <w:tcW w:w="0" w:type="auto"/>
            <w:vAlign w:val="bottom"/>
          </w:tcPr>
          <w:p w14:paraId="3A98DA3C" w14:textId="72C32355" w:rsidR="008A6844" w:rsidRPr="000E57E3" w:rsidRDefault="008A6844" w:rsidP="000E57E3">
            <w:pPr>
              <w:pStyle w:val="Tabletext"/>
            </w:pPr>
            <w:r w:rsidRPr="000E57E3">
              <w:t>RBM15</w:t>
            </w:r>
          </w:p>
        </w:tc>
        <w:tc>
          <w:tcPr>
            <w:tcW w:w="0" w:type="auto"/>
            <w:vAlign w:val="bottom"/>
          </w:tcPr>
          <w:p w14:paraId="14F8F050" w14:textId="432F5B81" w:rsidR="008A6844" w:rsidRPr="000E57E3" w:rsidRDefault="008A6844" w:rsidP="000E57E3">
            <w:pPr>
              <w:pStyle w:val="Tabletext"/>
            </w:pPr>
            <w:r w:rsidRPr="000E57E3">
              <w:t> </w:t>
            </w:r>
          </w:p>
        </w:tc>
        <w:tc>
          <w:tcPr>
            <w:tcW w:w="0" w:type="auto"/>
            <w:vAlign w:val="bottom"/>
          </w:tcPr>
          <w:p w14:paraId="2D27EF9A" w14:textId="0AD645CC" w:rsidR="008A6844" w:rsidRPr="000E57E3" w:rsidRDefault="008A6844" w:rsidP="000E57E3">
            <w:pPr>
              <w:pStyle w:val="Tabletext"/>
            </w:pPr>
            <w:r w:rsidRPr="000E57E3">
              <w:t> </w:t>
            </w:r>
          </w:p>
        </w:tc>
        <w:tc>
          <w:tcPr>
            <w:tcW w:w="0" w:type="auto"/>
            <w:vAlign w:val="bottom"/>
          </w:tcPr>
          <w:p w14:paraId="701FA5CF" w14:textId="59406618" w:rsidR="008A6844" w:rsidRPr="000E57E3" w:rsidRDefault="008A6844" w:rsidP="000E57E3">
            <w:pPr>
              <w:pStyle w:val="Tabletext"/>
            </w:pPr>
            <w:r w:rsidRPr="000E57E3">
              <w:t> </w:t>
            </w:r>
          </w:p>
        </w:tc>
        <w:tc>
          <w:tcPr>
            <w:tcW w:w="0" w:type="auto"/>
            <w:vAlign w:val="bottom"/>
          </w:tcPr>
          <w:p w14:paraId="0928DF41" w14:textId="16998F65" w:rsidR="008A6844" w:rsidRPr="000E57E3" w:rsidRDefault="008A6844" w:rsidP="000E57E3">
            <w:pPr>
              <w:pStyle w:val="Tabletext"/>
            </w:pPr>
            <w:r w:rsidRPr="000E57E3">
              <w:t> </w:t>
            </w:r>
          </w:p>
        </w:tc>
        <w:tc>
          <w:tcPr>
            <w:tcW w:w="0" w:type="auto"/>
            <w:vAlign w:val="bottom"/>
          </w:tcPr>
          <w:p w14:paraId="00096735" w14:textId="1C1EE604" w:rsidR="008A6844" w:rsidRPr="000E57E3" w:rsidRDefault="008A6844" w:rsidP="000E57E3">
            <w:pPr>
              <w:pStyle w:val="Tabletext"/>
            </w:pPr>
            <w:r w:rsidRPr="000E57E3">
              <w:t>Y</w:t>
            </w:r>
          </w:p>
        </w:tc>
        <w:tc>
          <w:tcPr>
            <w:tcW w:w="0" w:type="auto"/>
            <w:vAlign w:val="bottom"/>
          </w:tcPr>
          <w:p w14:paraId="03C8FE46" w14:textId="686AF680" w:rsidR="008A6844" w:rsidRPr="000E57E3" w:rsidRDefault="008A6844" w:rsidP="000E57E3">
            <w:pPr>
              <w:pStyle w:val="Tabletext"/>
            </w:pPr>
            <w:r w:rsidRPr="000E57E3">
              <w:t> </w:t>
            </w:r>
          </w:p>
        </w:tc>
        <w:tc>
          <w:tcPr>
            <w:tcW w:w="0" w:type="auto"/>
            <w:vAlign w:val="bottom"/>
          </w:tcPr>
          <w:p w14:paraId="50CF88BD" w14:textId="6A7F7E8A" w:rsidR="008A6844" w:rsidRPr="000E57E3" w:rsidRDefault="008A6844" w:rsidP="000E57E3">
            <w:pPr>
              <w:pStyle w:val="Tabletext"/>
            </w:pPr>
            <w:r w:rsidRPr="000E57E3">
              <w:t> </w:t>
            </w:r>
          </w:p>
        </w:tc>
        <w:tc>
          <w:tcPr>
            <w:tcW w:w="0" w:type="auto"/>
            <w:vAlign w:val="bottom"/>
          </w:tcPr>
          <w:p w14:paraId="44BDA2D4" w14:textId="38265F81" w:rsidR="008A6844" w:rsidRPr="000E57E3" w:rsidRDefault="008A6844" w:rsidP="000E57E3">
            <w:pPr>
              <w:pStyle w:val="Tabletext"/>
            </w:pPr>
            <w:r w:rsidRPr="000E57E3">
              <w:t> </w:t>
            </w:r>
          </w:p>
        </w:tc>
        <w:tc>
          <w:tcPr>
            <w:tcW w:w="0" w:type="auto"/>
            <w:vAlign w:val="bottom"/>
          </w:tcPr>
          <w:p w14:paraId="3A1C836C" w14:textId="332ABCDE" w:rsidR="008A6844" w:rsidRPr="000E57E3" w:rsidRDefault="008A6844" w:rsidP="000E57E3">
            <w:pPr>
              <w:pStyle w:val="Tabletext"/>
            </w:pPr>
            <w:r w:rsidRPr="000E57E3">
              <w:t> </w:t>
            </w:r>
          </w:p>
        </w:tc>
        <w:tc>
          <w:tcPr>
            <w:tcW w:w="0" w:type="auto"/>
            <w:vAlign w:val="bottom"/>
          </w:tcPr>
          <w:p w14:paraId="72EA88FE" w14:textId="099C64CC" w:rsidR="008A6844" w:rsidRPr="000E57E3" w:rsidRDefault="008A6844" w:rsidP="000E57E3">
            <w:pPr>
              <w:pStyle w:val="Tabletext"/>
            </w:pPr>
            <w:r w:rsidRPr="000E57E3">
              <w:t> </w:t>
            </w:r>
          </w:p>
        </w:tc>
        <w:tc>
          <w:tcPr>
            <w:tcW w:w="0" w:type="auto"/>
            <w:vAlign w:val="bottom"/>
          </w:tcPr>
          <w:p w14:paraId="2A967268" w14:textId="4FD398E9" w:rsidR="008A6844" w:rsidRPr="000E57E3" w:rsidRDefault="008A6844" w:rsidP="000E57E3">
            <w:pPr>
              <w:pStyle w:val="Tabletext"/>
            </w:pPr>
            <w:r w:rsidRPr="000E57E3">
              <w:t> </w:t>
            </w:r>
          </w:p>
        </w:tc>
        <w:tc>
          <w:tcPr>
            <w:tcW w:w="0" w:type="auto"/>
            <w:vAlign w:val="bottom"/>
          </w:tcPr>
          <w:p w14:paraId="68AFDC9E" w14:textId="039E0255" w:rsidR="008A6844" w:rsidRPr="000E57E3" w:rsidRDefault="008A6844" w:rsidP="000E57E3">
            <w:pPr>
              <w:pStyle w:val="Tabletext"/>
            </w:pPr>
            <w:r w:rsidRPr="000E57E3">
              <w:t>Facilitated</w:t>
            </w:r>
          </w:p>
        </w:tc>
      </w:tr>
      <w:tr w:rsidR="00776CCE" w:rsidRPr="008A6844" w14:paraId="72AEF0B9" w14:textId="77777777" w:rsidTr="00CA44B7">
        <w:tc>
          <w:tcPr>
            <w:tcW w:w="0" w:type="auto"/>
            <w:vAlign w:val="bottom"/>
          </w:tcPr>
          <w:p w14:paraId="7BF588C7" w14:textId="3C55E01E" w:rsidR="008A6844" w:rsidRPr="000E57E3" w:rsidRDefault="008A6844" w:rsidP="000E57E3">
            <w:pPr>
              <w:pStyle w:val="Tabletext"/>
            </w:pPr>
            <w:r w:rsidRPr="000E57E3">
              <w:t>REL</w:t>
            </w:r>
          </w:p>
        </w:tc>
        <w:tc>
          <w:tcPr>
            <w:tcW w:w="0" w:type="auto"/>
            <w:vAlign w:val="bottom"/>
          </w:tcPr>
          <w:p w14:paraId="158D3B9F" w14:textId="4583C2ED" w:rsidR="008A6844" w:rsidRPr="000E57E3" w:rsidRDefault="008A6844" w:rsidP="000E57E3">
            <w:pPr>
              <w:pStyle w:val="Tabletext"/>
            </w:pPr>
            <w:r w:rsidRPr="000E57E3">
              <w:t> </w:t>
            </w:r>
          </w:p>
        </w:tc>
        <w:tc>
          <w:tcPr>
            <w:tcW w:w="0" w:type="auto"/>
            <w:vAlign w:val="bottom"/>
          </w:tcPr>
          <w:p w14:paraId="66350A04" w14:textId="6AD9EABE" w:rsidR="008A6844" w:rsidRPr="000E57E3" w:rsidRDefault="008A6844" w:rsidP="000E57E3">
            <w:pPr>
              <w:pStyle w:val="Tabletext"/>
            </w:pPr>
            <w:r w:rsidRPr="000E57E3">
              <w:t> </w:t>
            </w:r>
          </w:p>
        </w:tc>
        <w:tc>
          <w:tcPr>
            <w:tcW w:w="0" w:type="auto"/>
            <w:vAlign w:val="bottom"/>
          </w:tcPr>
          <w:p w14:paraId="1BCE31B1" w14:textId="450F6366" w:rsidR="008A6844" w:rsidRPr="000E57E3" w:rsidRDefault="008A6844" w:rsidP="000E57E3">
            <w:pPr>
              <w:pStyle w:val="Tabletext"/>
            </w:pPr>
            <w:r w:rsidRPr="000E57E3">
              <w:t> </w:t>
            </w:r>
          </w:p>
        </w:tc>
        <w:tc>
          <w:tcPr>
            <w:tcW w:w="0" w:type="auto"/>
            <w:vAlign w:val="bottom"/>
          </w:tcPr>
          <w:p w14:paraId="50551EE7" w14:textId="7A651AF1" w:rsidR="008A6844" w:rsidRPr="000E57E3" w:rsidRDefault="008A6844" w:rsidP="000E57E3">
            <w:pPr>
              <w:pStyle w:val="Tabletext"/>
            </w:pPr>
            <w:r w:rsidRPr="000E57E3">
              <w:t> </w:t>
            </w:r>
          </w:p>
        </w:tc>
        <w:tc>
          <w:tcPr>
            <w:tcW w:w="0" w:type="auto"/>
            <w:vAlign w:val="bottom"/>
          </w:tcPr>
          <w:p w14:paraId="6C8F6852" w14:textId="13C7760E" w:rsidR="008A6844" w:rsidRPr="000E57E3" w:rsidRDefault="008A6844" w:rsidP="000E57E3">
            <w:pPr>
              <w:pStyle w:val="Tabletext"/>
            </w:pPr>
            <w:r w:rsidRPr="000E57E3">
              <w:t> </w:t>
            </w:r>
          </w:p>
        </w:tc>
        <w:tc>
          <w:tcPr>
            <w:tcW w:w="0" w:type="auto"/>
            <w:vAlign w:val="bottom"/>
          </w:tcPr>
          <w:p w14:paraId="54A1FAEA" w14:textId="6608BD24" w:rsidR="008A6844" w:rsidRPr="000E57E3" w:rsidRDefault="008A6844" w:rsidP="000E57E3">
            <w:pPr>
              <w:pStyle w:val="Tabletext"/>
            </w:pPr>
            <w:r w:rsidRPr="000E57E3">
              <w:t> </w:t>
            </w:r>
          </w:p>
        </w:tc>
        <w:tc>
          <w:tcPr>
            <w:tcW w:w="0" w:type="auto"/>
            <w:vAlign w:val="bottom"/>
          </w:tcPr>
          <w:p w14:paraId="6523B6DA" w14:textId="784D07E9" w:rsidR="008A6844" w:rsidRPr="000E57E3" w:rsidRDefault="008A6844" w:rsidP="000E57E3">
            <w:pPr>
              <w:pStyle w:val="Tabletext"/>
            </w:pPr>
            <w:r w:rsidRPr="000E57E3">
              <w:t> </w:t>
            </w:r>
          </w:p>
        </w:tc>
        <w:tc>
          <w:tcPr>
            <w:tcW w:w="0" w:type="auto"/>
            <w:vAlign w:val="bottom"/>
          </w:tcPr>
          <w:p w14:paraId="262AACDA" w14:textId="3E355CD2" w:rsidR="008A6844" w:rsidRPr="000E57E3" w:rsidRDefault="008A6844" w:rsidP="000E57E3">
            <w:pPr>
              <w:pStyle w:val="Tabletext"/>
            </w:pPr>
            <w:r w:rsidRPr="000E57E3">
              <w:t>Y</w:t>
            </w:r>
          </w:p>
        </w:tc>
        <w:tc>
          <w:tcPr>
            <w:tcW w:w="0" w:type="auto"/>
            <w:vAlign w:val="bottom"/>
          </w:tcPr>
          <w:p w14:paraId="4E35F100" w14:textId="2036C2C7" w:rsidR="008A6844" w:rsidRPr="000E57E3" w:rsidRDefault="008A6844" w:rsidP="000E57E3">
            <w:pPr>
              <w:pStyle w:val="Tabletext"/>
            </w:pPr>
            <w:r w:rsidRPr="000E57E3">
              <w:t> </w:t>
            </w:r>
          </w:p>
        </w:tc>
        <w:tc>
          <w:tcPr>
            <w:tcW w:w="0" w:type="auto"/>
            <w:vAlign w:val="bottom"/>
          </w:tcPr>
          <w:p w14:paraId="066B639F" w14:textId="6FDB01A4" w:rsidR="008A6844" w:rsidRPr="000E57E3" w:rsidRDefault="008A6844" w:rsidP="000E57E3">
            <w:pPr>
              <w:pStyle w:val="Tabletext"/>
            </w:pPr>
            <w:r w:rsidRPr="000E57E3">
              <w:t> </w:t>
            </w:r>
          </w:p>
        </w:tc>
        <w:tc>
          <w:tcPr>
            <w:tcW w:w="0" w:type="auto"/>
            <w:vAlign w:val="bottom"/>
          </w:tcPr>
          <w:p w14:paraId="60D97D56" w14:textId="3FDAD701" w:rsidR="008A6844" w:rsidRPr="000E57E3" w:rsidRDefault="008A6844" w:rsidP="000E57E3">
            <w:pPr>
              <w:pStyle w:val="Tabletext"/>
            </w:pPr>
            <w:r w:rsidRPr="000E57E3">
              <w:t> </w:t>
            </w:r>
          </w:p>
        </w:tc>
        <w:tc>
          <w:tcPr>
            <w:tcW w:w="0" w:type="auto"/>
            <w:vAlign w:val="bottom"/>
          </w:tcPr>
          <w:p w14:paraId="12AA3D63" w14:textId="497726E4" w:rsidR="008A6844" w:rsidRPr="000E57E3" w:rsidRDefault="008A6844" w:rsidP="000E57E3">
            <w:pPr>
              <w:pStyle w:val="Tabletext"/>
            </w:pPr>
            <w:r w:rsidRPr="000E57E3">
              <w:t>Facilitated</w:t>
            </w:r>
          </w:p>
        </w:tc>
      </w:tr>
      <w:tr w:rsidR="00776CCE" w:rsidRPr="008A6844" w14:paraId="6819BB46" w14:textId="77777777" w:rsidTr="00CA44B7">
        <w:tc>
          <w:tcPr>
            <w:tcW w:w="0" w:type="auto"/>
            <w:vAlign w:val="bottom"/>
          </w:tcPr>
          <w:p w14:paraId="7C81A6DB" w14:textId="3E32631E" w:rsidR="008A6844" w:rsidRPr="000E57E3" w:rsidRDefault="008A6844" w:rsidP="000E57E3">
            <w:pPr>
              <w:pStyle w:val="Tabletext"/>
            </w:pPr>
            <w:r w:rsidRPr="000E57E3">
              <w:t>RHOA</w:t>
            </w:r>
          </w:p>
        </w:tc>
        <w:tc>
          <w:tcPr>
            <w:tcW w:w="0" w:type="auto"/>
            <w:vAlign w:val="bottom"/>
          </w:tcPr>
          <w:p w14:paraId="14EB12E0" w14:textId="2E1144F3" w:rsidR="008A6844" w:rsidRPr="000E57E3" w:rsidRDefault="008A6844" w:rsidP="000E57E3">
            <w:pPr>
              <w:pStyle w:val="Tabletext"/>
            </w:pPr>
            <w:r w:rsidRPr="000E57E3">
              <w:t> </w:t>
            </w:r>
          </w:p>
        </w:tc>
        <w:tc>
          <w:tcPr>
            <w:tcW w:w="0" w:type="auto"/>
            <w:vAlign w:val="bottom"/>
          </w:tcPr>
          <w:p w14:paraId="193FE3D5" w14:textId="678EE9F4" w:rsidR="008A6844" w:rsidRPr="000E57E3" w:rsidRDefault="008A6844" w:rsidP="000E57E3">
            <w:pPr>
              <w:pStyle w:val="Tabletext"/>
            </w:pPr>
            <w:r w:rsidRPr="000E57E3">
              <w:t> </w:t>
            </w:r>
          </w:p>
        </w:tc>
        <w:tc>
          <w:tcPr>
            <w:tcW w:w="0" w:type="auto"/>
            <w:vAlign w:val="bottom"/>
          </w:tcPr>
          <w:p w14:paraId="43142EA8" w14:textId="70B22103" w:rsidR="008A6844" w:rsidRPr="000E57E3" w:rsidRDefault="008A6844" w:rsidP="000E57E3">
            <w:pPr>
              <w:pStyle w:val="Tabletext"/>
            </w:pPr>
            <w:r w:rsidRPr="000E57E3">
              <w:t> </w:t>
            </w:r>
          </w:p>
        </w:tc>
        <w:tc>
          <w:tcPr>
            <w:tcW w:w="0" w:type="auto"/>
            <w:vAlign w:val="bottom"/>
          </w:tcPr>
          <w:p w14:paraId="784EB96C" w14:textId="7CA95517" w:rsidR="008A6844" w:rsidRPr="000E57E3" w:rsidRDefault="008A6844" w:rsidP="000E57E3">
            <w:pPr>
              <w:pStyle w:val="Tabletext"/>
            </w:pPr>
            <w:r w:rsidRPr="000E57E3">
              <w:t> </w:t>
            </w:r>
          </w:p>
        </w:tc>
        <w:tc>
          <w:tcPr>
            <w:tcW w:w="0" w:type="auto"/>
            <w:vAlign w:val="bottom"/>
          </w:tcPr>
          <w:p w14:paraId="7F2C4EA1" w14:textId="07324DDE" w:rsidR="008A6844" w:rsidRPr="000E57E3" w:rsidRDefault="008A6844" w:rsidP="000E57E3">
            <w:pPr>
              <w:pStyle w:val="Tabletext"/>
            </w:pPr>
            <w:r w:rsidRPr="000E57E3">
              <w:t> </w:t>
            </w:r>
          </w:p>
        </w:tc>
        <w:tc>
          <w:tcPr>
            <w:tcW w:w="0" w:type="auto"/>
            <w:vAlign w:val="bottom"/>
          </w:tcPr>
          <w:p w14:paraId="61D173FE" w14:textId="2FE1F087" w:rsidR="008A6844" w:rsidRPr="000E57E3" w:rsidRDefault="008A6844" w:rsidP="000E57E3">
            <w:pPr>
              <w:pStyle w:val="Tabletext"/>
            </w:pPr>
            <w:r w:rsidRPr="000E57E3">
              <w:t> </w:t>
            </w:r>
          </w:p>
        </w:tc>
        <w:tc>
          <w:tcPr>
            <w:tcW w:w="0" w:type="auto"/>
            <w:vAlign w:val="bottom"/>
          </w:tcPr>
          <w:p w14:paraId="3B5BBAB4" w14:textId="09D52B56" w:rsidR="008A6844" w:rsidRPr="000E57E3" w:rsidRDefault="008A6844" w:rsidP="000E57E3">
            <w:pPr>
              <w:pStyle w:val="Tabletext"/>
            </w:pPr>
            <w:r w:rsidRPr="000E57E3">
              <w:t>Y</w:t>
            </w:r>
          </w:p>
        </w:tc>
        <w:tc>
          <w:tcPr>
            <w:tcW w:w="0" w:type="auto"/>
            <w:vAlign w:val="bottom"/>
          </w:tcPr>
          <w:p w14:paraId="491666A7" w14:textId="51EC2FDF" w:rsidR="008A6844" w:rsidRPr="000E57E3" w:rsidRDefault="008A6844" w:rsidP="000E57E3">
            <w:pPr>
              <w:pStyle w:val="Tabletext"/>
            </w:pPr>
            <w:r w:rsidRPr="000E57E3">
              <w:t> </w:t>
            </w:r>
          </w:p>
        </w:tc>
        <w:tc>
          <w:tcPr>
            <w:tcW w:w="0" w:type="auto"/>
            <w:vAlign w:val="bottom"/>
          </w:tcPr>
          <w:p w14:paraId="7B6CF7A5" w14:textId="6CF56F9A" w:rsidR="008A6844" w:rsidRPr="000E57E3" w:rsidRDefault="008A6844" w:rsidP="000E57E3">
            <w:pPr>
              <w:pStyle w:val="Tabletext"/>
            </w:pPr>
            <w:r w:rsidRPr="000E57E3">
              <w:t> </w:t>
            </w:r>
          </w:p>
        </w:tc>
        <w:tc>
          <w:tcPr>
            <w:tcW w:w="0" w:type="auto"/>
            <w:vAlign w:val="bottom"/>
          </w:tcPr>
          <w:p w14:paraId="1E65731F" w14:textId="1EC74EE0" w:rsidR="008A6844" w:rsidRPr="000E57E3" w:rsidRDefault="008A6844" w:rsidP="000E57E3">
            <w:pPr>
              <w:pStyle w:val="Tabletext"/>
            </w:pPr>
            <w:r w:rsidRPr="000E57E3">
              <w:t>Y</w:t>
            </w:r>
          </w:p>
        </w:tc>
        <w:tc>
          <w:tcPr>
            <w:tcW w:w="0" w:type="auto"/>
            <w:vAlign w:val="bottom"/>
          </w:tcPr>
          <w:p w14:paraId="34FE419B" w14:textId="5F299874" w:rsidR="008A6844" w:rsidRPr="000E57E3" w:rsidRDefault="008A6844" w:rsidP="000E57E3">
            <w:pPr>
              <w:pStyle w:val="Tabletext"/>
            </w:pPr>
            <w:r w:rsidRPr="000E57E3">
              <w:t> </w:t>
            </w:r>
          </w:p>
        </w:tc>
        <w:tc>
          <w:tcPr>
            <w:tcW w:w="0" w:type="auto"/>
            <w:vAlign w:val="bottom"/>
          </w:tcPr>
          <w:p w14:paraId="1927ACE1" w14:textId="59CA7301" w:rsidR="008A6844" w:rsidRPr="000E57E3" w:rsidRDefault="008A6844" w:rsidP="000E57E3">
            <w:pPr>
              <w:pStyle w:val="Tabletext"/>
            </w:pPr>
            <w:r w:rsidRPr="000E57E3">
              <w:t>Facilitated</w:t>
            </w:r>
          </w:p>
        </w:tc>
      </w:tr>
      <w:tr w:rsidR="00776CCE" w:rsidRPr="008A6844" w14:paraId="47917E0A" w14:textId="77777777" w:rsidTr="00CA44B7">
        <w:tc>
          <w:tcPr>
            <w:tcW w:w="0" w:type="auto"/>
            <w:vAlign w:val="bottom"/>
          </w:tcPr>
          <w:p w14:paraId="641F69E0" w14:textId="339D167B" w:rsidR="008A6844" w:rsidRPr="000E57E3" w:rsidRDefault="008A6844" w:rsidP="000E57E3">
            <w:pPr>
              <w:pStyle w:val="Tabletext"/>
            </w:pPr>
            <w:r w:rsidRPr="000E57E3">
              <w:t>RPL15</w:t>
            </w:r>
          </w:p>
        </w:tc>
        <w:tc>
          <w:tcPr>
            <w:tcW w:w="0" w:type="auto"/>
            <w:vAlign w:val="bottom"/>
          </w:tcPr>
          <w:p w14:paraId="242DA100" w14:textId="2C744626" w:rsidR="008A6844" w:rsidRPr="000E57E3" w:rsidRDefault="008A6844" w:rsidP="000E57E3">
            <w:pPr>
              <w:pStyle w:val="Tabletext"/>
            </w:pPr>
            <w:r w:rsidRPr="000E57E3">
              <w:t> </w:t>
            </w:r>
          </w:p>
        </w:tc>
        <w:tc>
          <w:tcPr>
            <w:tcW w:w="0" w:type="auto"/>
            <w:vAlign w:val="bottom"/>
          </w:tcPr>
          <w:p w14:paraId="058642B0" w14:textId="03B3F501" w:rsidR="008A6844" w:rsidRPr="000E57E3" w:rsidRDefault="008A6844" w:rsidP="000E57E3">
            <w:pPr>
              <w:pStyle w:val="Tabletext"/>
            </w:pPr>
            <w:r w:rsidRPr="000E57E3">
              <w:t> </w:t>
            </w:r>
          </w:p>
        </w:tc>
        <w:tc>
          <w:tcPr>
            <w:tcW w:w="0" w:type="auto"/>
            <w:vAlign w:val="bottom"/>
          </w:tcPr>
          <w:p w14:paraId="0AB90A92" w14:textId="29CAC8A2" w:rsidR="008A6844" w:rsidRPr="000E57E3" w:rsidRDefault="008A6844" w:rsidP="000E57E3">
            <w:pPr>
              <w:pStyle w:val="Tabletext"/>
            </w:pPr>
            <w:r w:rsidRPr="000E57E3">
              <w:t> </w:t>
            </w:r>
          </w:p>
        </w:tc>
        <w:tc>
          <w:tcPr>
            <w:tcW w:w="0" w:type="auto"/>
            <w:vAlign w:val="bottom"/>
          </w:tcPr>
          <w:p w14:paraId="77D73217" w14:textId="637FBB34" w:rsidR="008A6844" w:rsidRPr="000E57E3" w:rsidRDefault="008A6844" w:rsidP="000E57E3">
            <w:pPr>
              <w:pStyle w:val="Tabletext"/>
            </w:pPr>
            <w:r w:rsidRPr="000E57E3">
              <w:t> </w:t>
            </w:r>
          </w:p>
        </w:tc>
        <w:tc>
          <w:tcPr>
            <w:tcW w:w="0" w:type="auto"/>
            <w:vAlign w:val="bottom"/>
          </w:tcPr>
          <w:p w14:paraId="15A99F42" w14:textId="363D9741" w:rsidR="008A6844" w:rsidRPr="000E57E3" w:rsidRDefault="008A6844" w:rsidP="000E57E3">
            <w:pPr>
              <w:pStyle w:val="Tabletext"/>
            </w:pPr>
            <w:r w:rsidRPr="000E57E3">
              <w:t> </w:t>
            </w:r>
          </w:p>
        </w:tc>
        <w:tc>
          <w:tcPr>
            <w:tcW w:w="0" w:type="auto"/>
            <w:vAlign w:val="bottom"/>
          </w:tcPr>
          <w:p w14:paraId="274F670B" w14:textId="73E05886" w:rsidR="008A6844" w:rsidRPr="000E57E3" w:rsidRDefault="008A6844" w:rsidP="000E57E3">
            <w:pPr>
              <w:pStyle w:val="Tabletext"/>
            </w:pPr>
            <w:r w:rsidRPr="000E57E3">
              <w:t>Y</w:t>
            </w:r>
          </w:p>
        </w:tc>
        <w:tc>
          <w:tcPr>
            <w:tcW w:w="0" w:type="auto"/>
            <w:vAlign w:val="bottom"/>
          </w:tcPr>
          <w:p w14:paraId="2C30D016" w14:textId="00B10A90" w:rsidR="008A6844" w:rsidRPr="000E57E3" w:rsidRDefault="008A6844" w:rsidP="000E57E3">
            <w:pPr>
              <w:pStyle w:val="Tabletext"/>
            </w:pPr>
            <w:r w:rsidRPr="000E57E3">
              <w:t> </w:t>
            </w:r>
          </w:p>
        </w:tc>
        <w:tc>
          <w:tcPr>
            <w:tcW w:w="0" w:type="auto"/>
            <w:vAlign w:val="bottom"/>
          </w:tcPr>
          <w:p w14:paraId="67ABB395" w14:textId="22EEEFC9" w:rsidR="008A6844" w:rsidRPr="000E57E3" w:rsidRDefault="008A6844" w:rsidP="000E57E3">
            <w:pPr>
              <w:pStyle w:val="Tabletext"/>
            </w:pPr>
            <w:r w:rsidRPr="000E57E3">
              <w:t> </w:t>
            </w:r>
          </w:p>
        </w:tc>
        <w:tc>
          <w:tcPr>
            <w:tcW w:w="0" w:type="auto"/>
            <w:vAlign w:val="bottom"/>
          </w:tcPr>
          <w:p w14:paraId="411541EE" w14:textId="4371B1B6" w:rsidR="008A6844" w:rsidRPr="000E57E3" w:rsidRDefault="008A6844" w:rsidP="000E57E3">
            <w:pPr>
              <w:pStyle w:val="Tabletext"/>
            </w:pPr>
            <w:r w:rsidRPr="000E57E3">
              <w:t> </w:t>
            </w:r>
          </w:p>
        </w:tc>
        <w:tc>
          <w:tcPr>
            <w:tcW w:w="0" w:type="auto"/>
            <w:vAlign w:val="bottom"/>
          </w:tcPr>
          <w:p w14:paraId="678F2964" w14:textId="7BBB613A" w:rsidR="008A6844" w:rsidRPr="000E57E3" w:rsidRDefault="008A6844" w:rsidP="000E57E3">
            <w:pPr>
              <w:pStyle w:val="Tabletext"/>
            </w:pPr>
            <w:r w:rsidRPr="000E57E3">
              <w:t> </w:t>
            </w:r>
          </w:p>
        </w:tc>
        <w:tc>
          <w:tcPr>
            <w:tcW w:w="0" w:type="auto"/>
            <w:vAlign w:val="bottom"/>
          </w:tcPr>
          <w:p w14:paraId="7A33CAAD" w14:textId="5E8DE8F3" w:rsidR="008A6844" w:rsidRPr="000E57E3" w:rsidRDefault="008A6844" w:rsidP="000E57E3">
            <w:pPr>
              <w:pStyle w:val="Tabletext"/>
            </w:pPr>
            <w:r w:rsidRPr="000E57E3">
              <w:t> </w:t>
            </w:r>
          </w:p>
        </w:tc>
        <w:tc>
          <w:tcPr>
            <w:tcW w:w="0" w:type="auto"/>
            <w:vAlign w:val="bottom"/>
          </w:tcPr>
          <w:p w14:paraId="2FF33786" w14:textId="052EAE4A" w:rsidR="008A6844" w:rsidRPr="000E57E3" w:rsidRDefault="008A6844" w:rsidP="000E57E3">
            <w:pPr>
              <w:pStyle w:val="Tabletext"/>
            </w:pPr>
            <w:r w:rsidRPr="000E57E3">
              <w:t>Facilitated</w:t>
            </w:r>
          </w:p>
        </w:tc>
      </w:tr>
      <w:tr w:rsidR="00776CCE" w:rsidRPr="008A6844" w14:paraId="54D581A4" w14:textId="77777777" w:rsidTr="00CA44B7">
        <w:tc>
          <w:tcPr>
            <w:tcW w:w="0" w:type="auto"/>
            <w:vAlign w:val="bottom"/>
          </w:tcPr>
          <w:p w14:paraId="20473AF8" w14:textId="1DDB6039" w:rsidR="008A6844" w:rsidRPr="000E57E3" w:rsidRDefault="008A6844" w:rsidP="000E57E3">
            <w:pPr>
              <w:pStyle w:val="Tabletext"/>
            </w:pPr>
            <w:r w:rsidRPr="000E57E3">
              <w:t>RPL26</w:t>
            </w:r>
          </w:p>
        </w:tc>
        <w:tc>
          <w:tcPr>
            <w:tcW w:w="0" w:type="auto"/>
            <w:vAlign w:val="bottom"/>
          </w:tcPr>
          <w:p w14:paraId="67ADF7A9" w14:textId="040736EA" w:rsidR="008A6844" w:rsidRPr="000E57E3" w:rsidRDefault="008A6844" w:rsidP="000E57E3">
            <w:pPr>
              <w:pStyle w:val="Tabletext"/>
            </w:pPr>
            <w:r w:rsidRPr="000E57E3">
              <w:t> </w:t>
            </w:r>
          </w:p>
        </w:tc>
        <w:tc>
          <w:tcPr>
            <w:tcW w:w="0" w:type="auto"/>
            <w:vAlign w:val="bottom"/>
          </w:tcPr>
          <w:p w14:paraId="1802F7BF" w14:textId="23D25812" w:rsidR="008A6844" w:rsidRPr="000E57E3" w:rsidRDefault="008A6844" w:rsidP="000E57E3">
            <w:pPr>
              <w:pStyle w:val="Tabletext"/>
            </w:pPr>
            <w:r w:rsidRPr="000E57E3">
              <w:t> </w:t>
            </w:r>
          </w:p>
        </w:tc>
        <w:tc>
          <w:tcPr>
            <w:tcW w:w="0" w:type="auto"/>
            <w:vAlign w:val="bottom"/>
          </w:tcPr>
          <w:p w14:paraId="44E71CB3" w14:textId="578972B2" w:rsidR="008A6844" w:rsidRPr="000E57E3" w:rsidRDefault="008A6844" w:rsidP="000E57E3">
            <w:pPr>
              <w:pStyle w:val="Tabletext"/>
            </w:pPr>
            <w:r w:rsidRPr="000E57E3">
              <w:t> </w:t>
            </w:r>
          </w:p>
        </w:tc>
        <w:tc>
          <w:tcPr>
            <w:tcW w:w="0" w:type="auto"/>
            <w:vAlign w:val="bottom"/>
          </w:tcPr>
          <w:p w14:paraId="7144CF59" w14:textId="4F01ED6E" w:rsidR="008A6844" w:rsidRPr="000E57E3" w:rsidRDefault="008A6844" w:rsidP="000E57E3">
            <w:pPr>
              <w:pStyle w:val="Tabletext"/>
            </w:pPr>
            <w:r w:rsidRPr="000E57E3">
              <w:t> </w:t>
            </w:r>
          </w:p>
        </w:tc>
        <w:tc>
          <w:tcPr>
            <w:tcW w:w="0" w:type="auto"/>
            <w:vAlign w:val="bottom"/>
          </w:tcPr>
          <w:p w14:paraId="77D37EBE" w14:textId="17FE7BD7" w:rsidR="008A6844" w:rsidRPr="000E57E3" w:rsidRDefault="008A6844" w:rsidP="000E57E3">
            <w:pPr>
              <w:pStyle w:val="Tabletext"/>
            </w:pPr>
            <w:r w:rsidRPr="000E57E3">
              <w:t> </w:t>
            </w:r>
          </w:p>
        </w:tc>
        <w:tc>
          <w:tcPr>
            <w:tcW w:w="0" w:type="auto"/>
            <w:vAlign w:val="bottom"/>
          </w:tcPr>
          <w:p w14:paraId="07B23125" w14:textId="18E1A9A5" w:rsidR="008A6844" w:rsidRPr="000E57E3" w:rsidRDefault="008A6844" w:rsidP="000E57E3">
            <w:pPr>
              <w:pStyle w:val="Tabletext"/>
            </w:pPr>
            <w:r w:rsidRPr="000E57E3">
              <w:t>Y</w:t>
            </w:r>
          </w:p>
        </w:tc>
        <w:tc>
          <w:tcPr>
            <w:tcW w:w="0" w:type="auto"/>
            <w:vAlign w:val="bottom"/>
          </w:tcPr>
          <w:p w14:paraId="5A13FE21" w14:textId="2435DDCF" w:rsidR="008A6844" w:rsidRPr="000E57E3" w:rsidRDefault="008A6844" w:rsidP="000E57E3">
            <w:pPr>
              <w:pStyle w:val="Tabletext"/>
            </w:pPr>
            <w:r w:rsidRPr="000E57E3">
              <w:t> </w:t>
            </w:r>
          </w:p>
        </w:tc>
        <w:tc>
          <w:tcPr>
            <w:tcW w:w="0" w:type="auto"/>
            <w:vAlign w:val="bottom"/>
          </w:tcPr>
          <w:p w14:paraId="4C091FD7" w14:textId="418B10E3" w:rsidR="008A6844" w:rsidRPr="000E57E3" w:rsidRDefault="008A6844" w:rsidP="000E57E3">
            <w:pPr>
              <w:pStyle w:val="Tabletext"/>
            </w:pPr>
            <w:r w:rsidRPr="000E57E3">
              <w:t> </w:t>
            </w:r>
          </w:p>
        </w:tc>
        <w:tc>
          <w:tcPr>
            <w:tcW w:w="0" w:type="auto"/>
            <w:vAlign w:val="bottom"/>
          </w:tcPr>
          <w:p w14:paraId="15174B82" w14:textId="0F13A145" w:rsidR="008A6844" w:rsidRPr="000E57E3" w:rsidRDefault="008A6844" w:rsidP="000E57E3">
            <w:pPr>
              <w:pStyle w:val="Tabletext"/>
            </w:pPr>
            <w:r w:rsidRPr="000E57E3">
              <w:t> </w:t>
            </w:r>
          </w:p>
        </w:tc>
        <w:tc>
          <w:tcPr>
            <w:tcW w:w="0" w:type="auto"/>
            <w:vAlign w:val="bottom"/>
          </w:tcPr>
          <w:p w14:paraId="39B869E2" w14:textId="7F1E8E82" w:rsidR="008A6844" w:rsidRPr="000E57E3" w:rsidRDefault="008A6844" w:rsidP="000E57E3">
            <w:pPr>
              <w:pStyle w:val="Tabletext"/>
            </w:pPr>
            <w:r w:rsidRPr="000E57E3">
              <w:t> </w:t>
            </w:r>
          </w:p>
        </w:tc>
        <w:tc>
          <w:tcPr>
            <w:tcW w:w="0" w:type="auto"/>
            <w:vAlign w:val="bottom"/>
          </w:tcPr>
          <w:p w14:paraId="72C2CAA8" w14:textId="524E0524" w:rsidR="008A6844" w:rsidRPr="000E57E3" w:rsidRDefault="008A6844" w:rsidP="000E57E3">
            <w:pPr>
              <w:pStyle w:val="Tabletext"/>
            </w:pPr>
            <w:r w:rsidRPr="000E57E3">
              <w:t> </w:t>
            </w:r>
          </w:p>
        </w:tc>
        <w:tc>
          <w:tcPr>
            <w:tcW w:w="0" w:type="auto"/>
            <w:vAlign w:val="bottom"/>
          </w:tcPr>
          <w:p w14:paraId="35E57AC7" w14:textId="16280FEC" w:rsidR="008A6844" w:rsidRPr="000E57E3" w:rsidRDefault="008A6844" w:rsidP="000E57E3">
            <w:pPr>
              <w:pStyle w:val="Tabletext"/>
            </w:pPr>
            <w:r w:rsidRPr="000E57E3">
              <w:t>Facilitated</w:t>
            </w:r>
          </w:p>
        </w:tc>
      </w:tr>
      <w:tr w:rsidR="00776CCE" w:rsidRPr="008A6844" w14:paraId="152DA74B" w14:textId="77777777" w:rsidTr="00CA44B7">
        <w:tc>
          <w:tcPr>
            <w:tcW w:w="0" w:type="auto"/>
            <w:vAlign w:val="bottom"/>
          </w:tcPr>
          <w:p w14:paraId="084F4C3D" w14:textId="1377A47E" w:rsidR="008A6844" w:rsidRPr="000E57E3" w:rsidRDefault="008A6844" w:rsidP="000E57E3">
            <w:pPr>
              <w:pStyle w:val="Tabletext"/>
            </w:pPr>
            <w:r w:rsidRPr="000E57E3">
              <w:t>RPS14</w:t>
            </w:r>
          </w:p>
        </w:tc>
        <w:tc>
          <w:tcPr>
            <w:tcW w:w="0" w:type="auto"/>
            <w:vAlign w:val="bottom"/>
          </w:tcPr>
          <w:p w14:paraId="652C69BE" w14:textId="6FEE2ABF" w:rsidR="008A6844" w:rsidRPr="000E57E3" w:rsidRDefault="008A6844" w:rsidP="000E57E3">
            <w:pPr>
              <w:pStyle w:val="Tabletext"/>
            </w:pPr>
            <w:r w:rsidRPr="000E57E3">
              <w:t> </w:t>
            </w:r>
          </w:p>
        </w:tc>
        <w:tc>
          <w:tcPr>
            <w:tcW w:w="0" w:type="auto"/>
            <w:vAlign w:val="bottom"/>
          </w:tcPr>
          <w:p w14:paraId="73E196F4" w14:textId="1EEACB56" w:rsidR="008A6844" w:rsidRPr="000E57E3" w:rsidRDefault="008A6844" w:rsidP="000E57E3">
            <w:pPr>
              <w:pStyle w:val="Tabletext"/>
            </w:pPr>
            <w:r w:rsidRPr="000E57E3">
              <w:t> </w:t>
            </w:r>
          </w:p>
        </w:tc>
        <w:tc>
          <w:tcPr>
            <w:tcW w:w="0" w:type="auto"/>
            <w:vAlign w:val="bottom"/>
          </w:tcPr>
          <w:p w14:paraId="3069154A" w14:textId="30877617" w:rsidR="008A6844" w:rsidRPr="000E57E3" w:rsidRDefault="008A6844" w:rsidP="000E57E3">
            <w:pPr>
              <w:pStyle w:val="Tabletext"/>
            </w:pPr>
            <w:r w:rsidRPr="000E57E3">
              <w:t>Y</w:t>
            </w:r>
          </w:p>
        </w:tc>
        <w:tc>
          <w:tcPr>
            <w:tcW w:w="0" w:type="auto"/>
            <w:vAlign w:val="bottom"/>
          </w:tcPr>
          <w:p w14:paraId="4A627B18" w14:textId="57CA0DA5" w:rsidR="008A6844" w:rsidRPr="000E57E3" w:rsidRDefault="008A6844" w:rsidP="000E57E3">
            <w:pPr>
              <w:pStyle w:val="Tabletext"/>
            </w:pPr>
            <w:r w:rsidRPr="000E57E3">
              <w:t> </w:t>
            </w:r>
          </w:p>
        </w:tc>
        <w:tc>
          <w:tcPr>
            <w:tcW w:w="0" w:type="auto"/>
            <w:vAlign w:val="bottom"/>
          </w:tcPr>
          <w:p w14:paraId="3F191EF0" w14:textId="7D7A631B" w:rsidR="008A6844" w:rsidRPr="000E57E3" w:rsidRDefault="008A6844" w:rsidP="000E57E3">
            <w:pPr>
              <w:pStyle w:val="Tabletext"/>
            </w:pPr>
            <w:r w:rsidRPr="000E57E3">
              <w:t> </w:t>
            </w:r>
          </w:p>
        </w:tc>
        <w:tc>
          <w:tcPr>
            <w:tcW w:w="0" w:type="auto"/>
            <w:vAlign w:val="bottom"/>
          </w:tcPr>
          <w:p w14:paraId="41C4A126" w14:textId="5B38FFCA" w:rsidR="008A6844" w:rsidRPr="000E57E3" w:rsidRDefault="008A6844" w:rsidP="000E57E3">
            <w:pPr>
              <w:pStyle w:val="Tabletext"/>
            </w:pPr>
            <w:r w:rsidRPr="000E57E3">
              <w:t> </w:t>
            </w:r>
          </w:p>
        </w:tc>
        <w:tc>
          <w:tcPr>
            <w:tcW w:w="0" w:type="auto"/>
            <w:vAlign w:val="bottom"/>
          </w:tcPr>
          <w:p w14:paraId="2F66FEFB" w14:textId="34B9C153" w:rsidR="008A6844" w:rsidRPr="000E57E3" w:rsidRDefault="008A6844" w:rsidP="000E57E3">
            <w:pPr>
              <w:pStyle w:val="Tabletext"/>
            </w:pPr>
            <w:r w:rsidRPr="000E57E3">
              <w:t> </w:t>
            </w:r>
          </w:p>
        </w:tc>
        <w:tc>
          <w:tcPr>
            <w:tcW w:w="0" w:type="auto"/>
            <w:vAlign w:val="bottom"/>
          </w:tcPr>
          <w:p w14:paraId="1D50A44C" w14:textId="553A57EE" w:rsidR="008A6844" w:rsidRPr="000E57E3" w:rsidRDefault="008A6844" w:rsidP="000E57E3">
            <w:pPr>
              <w:pStyle w:val="Tabletext"/>
            </w:pPr>
            <w:r w:rsidRPr="000E57E3">
              <w:t> </w:t>
            </w:r>
          </w:p>
        </w:tc>
        <w:tc>
          <w:tcPr>
            <w:tcW w:w="0" w:type="auto"/>
            <w:vAlign w:val="bottom"/>
          </w:tcPr>
          <w:p w14:paraId="39BBCB88" w14:textId="3A4C29F1" w:rsidR="008A6844" w:rsidRPr="000E57E3" w:rsidRDefault="008A6844" w:rsidP="000E57E3">
            <w:pPr>
              <w:pStyle w:val="Tabletext"/>
            </w:pPr>
            <w:r w:rsidRPr="000E57E3">
              <w:t> </w:t>
            </w:r>
          </w:p>
        </w:tc>
        <w:tc>
          <w:tcPr>
            <w:tcW w:w="0" w:type="auto"/>
            <w:vAlign w:val="bottom"/>
          </w:tcPr>
          <w:p w14:paraId="747BE4AA" w14:textId="16F1CC48" w:rsidR="008A6844" w:rsidRPr="000E57E3" w:rsidRDefault="008A6844" w:rsidP="000E57E3">
            <w:pPr>
              <w:pStyle w:val="Tabletext"/>
            </w:pPr>
            <w:r w:rsidRPr="000E57E3">
              <w:t> </w:t>
            </w:r>
          </w:p>
        </w:tc>
        <w:tc>
          <w:tcPr>
            <w:tcW w:w="0" w:type="auto"/>
            <w:vAlign w:val="bottom"/>
          </w:tcPr>
          <w:p w14:paraId="500039CE" w14:textId="5536B5CE" w:rsidR="008A6844" w:rsidRPr="000E57E3" w:rsidRDefault="008A6844" w:rsidP="000E57E3">
            <w:pPr>
              <w:pStyle w:val="Tabletext"/>
            </w:pPr>
            <w:r w:rsidRPr="000E57E3">
              <w:t> </w:t>
            </w:r>
          </w:p>
        </w:tc>
        <w:tc>
          <w:tcPr>
            <w:tcW w:w="0" w:type="auto"/>
            <w:vAlign w:val="bottom"/>
          </w:tcPr>
          <w:p w14:paraId="33B66AFB" w14:textId="2EE97CE6" w:rsidR="008A6844" w:rsidRPr="000E57E3" w:rsidRDefault="008A6844" w:rsidP="000E57E3">
            <w:pPr>
              <w:pStyle w:val="Tabletext"/>
            </w:pPr>
            <w:r w:rsidRPr="000E57E3">
              <w:t>Facilitated</w:t>
            </w:r>
          </w:p>
        </w:tc>
      </w:tr>
      <w:tr w:rsidR="00776CCE" w:rsidRPr="008A6844" w14:paraId="480899AE" w14:textId="77777777" w:rsidTr="00CA44B7">
        <w:tc>
          <w:tcPr>
            <w:tcW w:w="0" w:type="auto"/>
            <w:vAlign w:val="bottom"/>
          </w:tcPr>
          <w:p w14:paraId="5F58559E" w14:textId="0CFC764A" w:rsidR="008A6844" w:rsidRPr="000E57E3" w:rsidRDefault="008A6844" w:rsidP="000E57E3">
            <w:pPr>
              <w:pStyle w:val="Tabletext"/>
            </w:pPr>
            <w:r w:rsidRPr="000E57E3">
              <w:t>RPS15</w:t>
            </w:r>
          </w:p>
        </w:tc>
        <w:tc>
          <w:tcPr>
            <w:tcW w:w="0" w:type="auto"/>
            <w:vAlign w:val="bottom"/>
          </w:tcPr>
          <w:p w14:paraId="5AD9652A" w14:textId="4C52B2B3" w:rsidR="008A6844" w:rsidRPr="000E57E3" w:rsidRDefault="008A6844" w:rsidP="000E57E3">
            <w:pPr>
              <w:pStyle w:val="Tabletext"/>
            </w:pPr>
            <w:r w:rsidRPr="000E57E3">
              <w:t> </w:t>
            </w:r>
          </w:p>
        </w:tc>
        <w:tc>
          <w:tcPr>
            <w:tcW w:w="0" w:type="auto"/>
            <w:vAlign w:val="bottom"/>
          </w:tcPr>
          <w:p w14:paraId="610AE322" w14:textId="1B9E5140" w:rsidR="008A6844" w:rsidRPr="000E57E3" w:rsidRDefault="008A6844" w:rsidP="000E57E3">
            <w:pPr>
              <w:pStyle w:val="Tabletext"/>
            </w:pPr>
            <w:r w:rsidRPr="000E57E3">
              <w:t> </w:t>
            </w:r>
          </w:p>
        </w:tc>
        <w:tc>
          <w:tcPr>
            <w:tcW w:w="0" w:type="auto"/>
            <w:vAlign w:val="bottom"/>
          </w:tcPr>
          <w:p w14:paraId="79B8783F" w14:textId="239FBE06" w:rsidR="008A6844" w:rsidRPr="000E57E3" w:rsidRDefault="008A6844" w:rsidP="000E57E3">
            <w:pPr>
              <w:pStyle w:val="Tabletext"/>
            </w:pPr>
            <w:r w:rsidRPr="000E57E3">
              <w:t> </w:t>
            </w:r>
          </w:p>
        </w:tc>
        <w:tc>
          <w:tcPr>
            <w:tcW w:w="0" w:type="auto"/>
            <w:vAlign w:val="bottom"/>
          </w:tcPr>
          <w:p w14:paraId="34EA147B" w14:textId="4249A161" w:rsidR="008A6844" w:rsidRPr="000E57E3" w:rsidRDefault="008A6844" w:rsidP="000E57E3">
            <w:pPr>
              <w:pStyle w:val="Tabletext"/>
            </w:pPr>
            <w:r w:rsidRPr="000E57E3">
              <w:t> </w:t>
            </w:r>
          </w:p>
        </w:tc>
        <w:tc>
          <w:tcPr>
            <w:tcW w:w="0" w:type="auto"/>
            <w:vAlign w:val="bottom"/>
          </w:tcPr>
          <w:p w14:paraId="13207573" w14:textId="1DC0DEBB" w:rsidR="008A6844" w:rsidRPr="000E57E3" w:rsidRDefault="008A6844" w:rsidP="000E57E3">
            <w:pPr>
              <w:pStyle w:val="Tabletext"/>
            </w:pPr>
            <w:r w:rsidRPr="000E57E3">
              <w:t> </w:t>
            </w:r>
          </w:p>
        </w:tc>
        <w:tc>
          <w:tcPr>
            <w:tcW w:w="0" w:type="auto"/>
            <w:vAlign w:val="bottom"/>
          </w:tcPr>
          <w:p w14:paraId="5F466A2F" w14:textId="0B2D7345" w:rsidR="008A6844" w:rsidRPr="000E57E3" w:rsidRDefault="008A6844" w:rsidP="000E57E3">
            <w:pPr>
              <w:pStyle w:val="Tabletext"/>
            </w:pPr>
            <w:r w:rsidRPr="000E57E3">
              <w:t> </w:t>
            </w:r>
          </w:p>
        </w:tc>
        <w:tc>
          <w:tcPr>
            <w:tcW w:w="0" w:type="auto"/>
            <w:vAlign w:val="bottom"/>
          </w:tcPr>
          <w:p w14:paraId="2B6469C3" w14:textId="69ABCE8B" w:rsidR="008A6844" w:rsidRPr="000E57E3" w:rsidRDefault="008A6844" w:rsidP="000E57E3">
            <w:pPr>
              <w:pStyle w:val="Tabletext"/>
            </w:pPr>
            <w:r w:rsidRPr="000E57E3">
              <w:t> </w:t>
            </w:r>
          </w:p>
        </w:tc>
        <w:tc>
          <w:tcPr>
            <w:tcW w:w="0" w:type="auto"/>
            <w:vAlign w:val="bottom"/>
          </w:tcPr>
          <w:p w14:paraId="463A2BC4" w14:textId="7F1F9856" w:rsidR="008A6844" w:rsidRPr="000E57E3" w:rsidRDefault="008A6844" w:rsidP="000E57E3">
            <w:pPr>
              <w:pStyle w:val="Tabletext"/>
            </w:pPr>
            <w:r w:rsidRPr="000E57E3">
              <w:t> </w:t>
            </w:r>
          </w:p>
        </w:tc>
        <w:tc>
          <w:tcPr>
            <w:tcW w:w="0" w:type="auto"/>
            <w:vAlign w:val="bottom"/>
          </w:tcPr>
          <w:p w14:paraId="40ADD472" w14:textId="7A242661" w:rsidR="008A6844" w:rsidRPr="000E57E3" w:rsidRDefault="008A6844" w:rsidP="000E57E3">
            <w:pPr>
              <w:pStyle w:val="Tabletext"/>
            </w:pPr>
            <w:r w:rsidRPr="000E57E3">
              <w:t> </w:t>
            </w:r>
          </w:p>
        </w:tc>
        <w:tc>
          <w:tcPr>
            <w:tcW w:w="0" w:type="auto"/>
            <w:vAlign w:val="bottom"/>
          </w:tcPr>
          <w:p w14:paraId="67BBF5E0" w14:textId="57E16347" w:rsidR="008A6844" w:rsidRPr="000E57E3" w:rsidRDefault="008A6844" w:rsidP="000E57E3">
            <w:pPr>
              <w:pStyle w:val="Tabletext"/>
            </w:pPr>
            <w:r w:rsidRPr="000E57E3">
              <w:t>Y</w:t>
            </w:r>
          </w:p>
        </w:tc>
        <w:tc>
          <w:tcPr>
            <w:tcW w:w="0" w:type="auto"/>
            <w:vAlign w:val="bottom"/>
          </w:tcPr>
          <w:p w14:paraId="30D471C3" w14:textId="7CAA875C" w:rsidR="008A6844" w:rsidRPr="000E57E3" w:rsidRDefault="008A6844" w:rsidP="000E57E3">
            <w:pPr>
              <w:pStyle w:val="Tabletext"/>
            </w:pPr>
            <w:r w:rsidRPr="000E57E3">
              <w:t> </w:t>
            </w:r>
          </w:p>
        </w:tc>
        <w:tc>
          <w:tcPr>
            <w:tcW w:w="0" w:type="auto"/>
            <w:vAlign w:val="bottom"/>
          </w:tcPr>
          <w:p w14:paraId="611D0215" w14:textId="3517DC31" w:rsidR="008A6844" w:rsidRPr="000E57E3" w:rsidRDefault="008A6844" w:rsidP="000E57E3">
            <w:pPr>
              <w:pStyle w:val="Tabletext"/>
            </w:pPr>
            <w:r w:rsidRPr="000E57E3">
              <w:t>Facilitated</w:t>
            </w:r>
          </w:p>
        </w:tc>
      </w:tr>
      <w:tr w:rsidR="00776CCE" w:rsidRPr="008A6844" w14:paraId="122E05C9" w14:textId="77777777" w:rsidTr="00CA44B7">
        <w:tc>
          <w:tcPr>
            <w:tcW w:w="0" w:type="auto"/>
            <w:vAlign w:val="bottom"/>
          </w:tcPr>
          <w:p w14:paraId="74BBB41F" w14:textId="0AA0AAFE" w:rsidR="008A6844" w:rsidRPr="000E57E3" w:rsidRDefault="008A6844" w:rsidP="000E57E3">
            <w:pPr>
              <w:pStyle w:val="Tabletext"/>
            </w:pPr>
            <w:r w:rsidRPr="000E57E3">
              <w:t>RPS29</w:t>
            </w:r>
          </w:p>
        </w:tc>
        <w:tc>
          <w:tcPr>
            <w:tcW w:w="0" w:type="auto"/>
            <w:vAlign w:val="bottom"/>
          </w:tcPr>
          <w:p w14:paraId="5FF9F41C" w14:textId="50CC83E0" w:rsidR="008A6844" w:rsidRPr="000E57E3" w:rsidRDefault="008A6844" w:rsidP="000E57E3">
            <w:pPr>
              <w:pStyle w:val="Tabletext"/>
            </w:pPr>
            <w:r w:rsidRPr="000E57E3">
              <w:t> </w:t>
            </w:r>
          </w:p>
        </w:tc>
        <w:tc>
          <w:tcPr>
            <w:tcW w:w="0" w:type="auto"/>
            <w:vAlign w:val="bottom"/>
          </w:tcPr>
          <w:p w14:paraId="1316B0EA" w14:textId="50EC0BA7" w:rsidR="008A6844" w:rsidRPr="000E57E3" w:rsidRDefault="008A6844" w:rsidP="000E57E3">
            <w:pPr>
              <w:pStyle w:val="Tabletext"/>
            </w:pPr>
            <w:r w:rsidRPr="000E57E3">
              <w:t> </w:t>
            </w:r>
          </w:p>
        </w:tc>
        <w:tc>
          <w:tcPr>
            <w:tcW w:w="0" w:type="auto"/>
            <w:vAlign w:val="bottom"/>
          </w:tcPr>
          <w:p w14:paraId="688DB335" w14:textId="0A87F95C" w:rsidR="008A6844" w:rsidRPr="000E57E3" w:rsidRDefault="008A6844" w:rsidP="000E57E3">
            <w:pPr>
              <w:pStyle w:val="Tabletext"/>
            </w:pPr>
            <w:r w:rsidRPr="000E57E3">
              <w:t> </w:t>
            </w:r>
          </w:p>
        </w:tc>
        <w:tc>
          <w:tcPr>
            <w:tcW w:w="0" w:type="auto"/>
            <w:vAlign w:val="bottom"/>
          </w:tcPr>
          <w:p w14:paraId="1F20ECEB" w14:textId="1D760349" w:rsidR="008A6844" w:rsidRPr="000E57E3" w:rsidRDefault="008A6844" w:rsidP="000E57E3">
            <w:pPr>
              <w:pStyle w:val="Tabletext"/>
            </w:pPr>
            <w:r w:rsidRPr="000E57E3">
              <w:t> </w:t>
            </w:r>
          </w:p>
        </w:tc>
        <w:tc>
          <w:tcPr>
            <w:tcW w:w="0" w:type="auto"/>
            <w:vAlign w:val="bottom"/>
          </w:tcPr>
          <w:p w14:paraId="4D2DC617" w14:textId="5368B839" w:rsidR="008A6844" w:rsidRPr="000E57E3" w:rsidRDefault="008A6844" w:rsidP="000E57E3">
            <w:pPr>
              <w:pStyle w:val="Tabletext"/>
            </w:pPr>
            <w:r w:rsidRPr="000E57E3">
              <w:t> </w:t>
            </w:r>
          </w:p>
        </w:tc>
        <w:tc>
          <w:tcPr>
            <w:tcW w:w="0" w:type="auto"/>
            <w:vAlign w:val="bottom"/>
          </w:tcPr>
          <w:p w14:paraId="70154E93" w14:textId="73703F17" w:rsidR="008A6844" w:rsidRPr="000E57E3" w:rsidRDefault="008A6844" w:rsidP="000E57E3">
            <w:pPr>
              <w:pStyle w:val="Tabletext"/>
            </w:pPr>
            <w:r w:rsidRPr="000E57E3">
              <w:t>Y</w:t>
            </w:r>
          </w:p>
        </w:tc>
        <w:tc>
          <w:tcPr>
            <w:tcW w:w="0" w:type="auto"/>
            <w:vAlign w:val="bottom"/>
          </w:tcPr>
          <w:p w14:paraId="7C743EA8" w14:textId="34315423" w:rsidR="008A6844" w:rsidRPr="000E57E3" w:rsidRDefault="008A6844" w:rsidP="000E57E3">
            <w:pPr>
              <w:pStyle w:val="Tabletext"/>
            </w:pPr>
            <w:r w:rsidRPr="000E57E3">
              <w:t> </w:t>
            </w:r>
          </w:p>
        </w:tc>
        <w:tc>
          <w:tcPr>
            <w:tcW w:w="0" w:type="auto"/>
            <w:vAlign w:val="bottom"/>
          </w:tcPr>
          <w:p w14:paraId="1294AA8C" w14:textId="63758314" w:rsidR="008A6844" w:rsidRPr="000E57E3" w:rsidRDefault="008A6844" w:rsidP="000E57E3">
            <w:pPr>
              <w:pStyle w:val="Tabletext"/>
            </w:pPr>
            <w:r w:rsidRPr="000E57E3">
              <w:t> </w:t>
            </w:r>
          </w:p>
        </w:tc>
        <w:tc>
          <w:tcPr>
            <w:tcW w:w="0" w:type="auto"/>
            <w:vAlign w:val="bottom"/>
          </w:tcPr>
          <w:p w14:paraId="6C5F658B" w14:textId="2E32713B" w:rsidR="008A6844" w:rsidRPr="000E57E3" w:rsidRDefault="008A6844" w:rsidP="000E57E3">
            <w:pPr>
              <w:pStyle w:val="Tabletext"/>
            </w:pPr>
            <w:r w:rsidRPr="000E57E3">
              <w:t> </w:t>
            </w:r>
          </w:p>
        </w:tc>
        <w:tc>
          <w:tcPr>
            <w:tcW w:w="0" w:type="auto"/>
            <w:vAlign w:val="bottom"/>
          </w:tcPr>
          <w:p w14:paraId="22C7778A" w14:textId="602EAB8A" w:rsidR="008A6844" w:rsidRPr="000E57E3" w:rsidRDefault="008A6844" w:rsidP="000E57E3">
            <w:pPr>
              <w:pStyle w:val="Tabletext"/>
            </w:pPr>
            <w:r w:rsidRPr="000E57E3">
              <w:t> </w:t>
            </w:r>
          </w:p>
        </w:tc>
        <w:tc>
          <w:tcPr>
            <w:tcW w:w="0" w:type="auto"/>
            <w:vAlign w:val="bottom"/>
          </w:tcPr>
          <w:p w14:paraId="5941AE4A" w14:textId="7977B56E" w:rsidR="008A6844" w:rsidRPr="000E57E3" w:rsidRDefault="008A6844" w:rsidP="000E57E3">
            <w:pPr>
              <w:pStyle w:val="Tabletext"/>
            </w:pPr>
            <w:r w:rsidRPr="000E57E3">
              <w:t> </w:t>
            </w:r>
          </w:p>
        </w:tc>
        <w:tc>
          <w:tcPr>
            <w:tcW w:w="0" w:type="auto"/>
            <w:vAlign w:val="bottom"/>
          </w:tcPr>
          <w:p w14:paraId="47C83FD3" w14:textId="0078372C" w:rsidR="008A6844" w:rsidRPr="000E57E3" w:rsidRDefault="008A6844" w:rsidP="000E57E3">
            <w:pPr>
              <w:pStyle w:val="Tabletext"/>
            </w:pPr>
            <w:r w:rsidRPr="000E57E3">
              <w:t>Facilitated</w:t>
            </w:r>
          </w:p>
        </w:tc>
      </w:tr>
      <w:tr w:rsidR="00776CCE" w:rsidRPr="008A6844" w14:paraId="15C230F3" w14:textId="77777777" w:rsidTr="00CA44B7">
        <w:tc>
          <w:tcPr>
            <w:tcW w:w="0" w:type="auto"/>
            <w:vAlign w:val="bottom"/>
          </w:tcPr>
          <w:p w14:paraId="4F6BE0DC" w14:textId="55DC953F" w:rsidR="008A6844" w:rsidRPr="000E57E3" w:rsidRDefault="008A6844" w:rsidP="000E57E3">
            <w:pPr>
              <w:pStyle w:val="Tabletext"/>
            </w:pPr>
            <w:r w:rsidRPr="000E57E3">
              <w:t>RRAGC</w:t>
            </w:r>
          </w:p>
        </w:tc>
        <w:tc>
          <w:tcPr>
            <w:tcW w:w="0" w:type="auto"/>
            <w:vAlign w:val="bottom"/>
          </w:tcPr>
          <w:p w14:paraId="789E49D0" w14:textId="0A56755C" w:rsidR="008A6844" w:rsidRPr="000E57E3" w:rsidRDefault="008A6844" w:rsidP="000E57E3">
            <w:pPr>
              <w:pStyle w:val="Tabletext"/>
            </w:pPr>
            <w:r w:rsidRPr="000E57E3">
              <w:t> </w:t>
            </w:r>
          </w:p>
        </w:tc>
        <w:tc>
          <w:tcPr>
            <w:tcW w:w="0" w:type="auto"/>
            <w:vAlign w:val="bottom"/>
          </w:tcPr>
          <w:p w14:paraId="6B82A500" w14:textId="31E0EF96" w:rsidR="008A6844" w:rsidRPr="000E57E3" w:rsidRDefault="008A6844" w:rsidP="000E57E3">
            <w:pPr>
              <w:pStyle w:val="Tabletext"/>
            </w:pPr>
            <w:r w:rsidRPr="000E57E3">
              <w:t> </w:t>
            </w:r>
          </w:p>
        </w:tc>
        <w:tc>
          <w:tcPr>
            <w:tcW w:w="0" w:type="auto"/>
            <w:vAlign w:val="bottom"/>
          </w:tcPr>
          <w:p w14:paraId="0E00D555" w14:textId="1D542AEE" w:rsidR="008A6844" w:rsidRPr="000E57E3" w:rsidRDefault="008A6844" w:rsidP="000E57E3">
            <w:pPr>
              <w:pStyle w:val="Tabletext"/>
            </w:pPr>
            <w:r w:rsidRPr="000E57E3">
              <w:t> </w:t>
            </w:r>
          </w:p>
        </w:tc>
        <w:tc>
          <w:tcPr>
            <w:tcW w:w="0" w:type="auto"/>
            <w:vAlign w:val="bottom"/>
          </w:tcPr>
          <w:p w14:paraId="5104D9BF" w14:textId="40FFB358" w:rsidR="008A6844" w:rsidRPr="000E57E3" w:rsidRDefault="008A6844" w:rsidP="000E57E3">
            <w:pPr>
              <w:pStyle w:val="Tabletext"/>
            </w:pPr>
            <w:r w:rsidRPr="000E57E3">
              <w:t> </w:t>
            </w:r>
          </w:p>
        </w:tc>
        <w:tc>
          <w:tcPr>
            <w:tcW w:w="0" w:type="auto"/>
            <w:vAlign w:val="bottom"/>
          </w:tcPr>
          <w:p w14:paraId="4222533F" w14:textId="2C900A5E" w:rsidR="008A6844" w:rsidRPr="000E57E3" w:rsidRDefault="008A6844" w:rsidP="000E57E3">
            <w:pPr>
              <w:pStyle w:val="Tabletext"/>
            </w:pPr>
            <w:r w:rsidRPr="000E57E3">
              <w:t> </w:t>
            </w:r>
          </w:p>
        </w:tc>
        <w:tc>
          <w:tcPr>
            <w:tcW w:w="0" w:type="auto"/>
            <w:vAlign w:val="bottom"/>
          </w:tcPr>
          <w:p w14:paraId="39E07014" w14:textId="2CEA71FF" w:rsidR="008A6844" w:rsidRPr="000E57E3" w:rsidRDefault="008A6844" w:rsidP="000E57E3">
            <w:pPr>
              <w:pStyle w:val="Tabletext"/>
            </w:pPr>
            <w:r w:rsidRPr="000E57E3">
              <w:t> </w:t>
            </w:r>
          </w:p>
        </w:tc>
        <w:tc>
          <w:tcPr>
            <w:tcW w:w="0" w:type="auto"/>
            <w:vAlign w:val="bottom"/>
          </w:tcPr>
          <w:p w14:paraId="72388116" w14:textId="3923FFCE" w:rsidR="008A6844" w:rsidRPr="000E57E3" w:rsidRDefault="008A6844" w:rsidP="000E57E3">
            <w:pPr>
              <w:pStyle w:val="Tabletext"/>
            </w:pPr>
            <w:r w:rsidRPr="000E57E3">
              <w:t>Y</w:t>
            </w:r>
          </w:p>
        </w:tc>
        <w:tc>
          <w:tcPr>
            <w:tcW w:w="0" w:type="auto"/>
            <w:vAlign w:val="bottom"/>
          </w:tcPr>
          <w:p w14:paraId="7CBD1051" w14:textId="35195635" w:rsidR="008A6844" w:rsidRPr="000E57E3" w:rsidRDefault="008A6844" w:rsidP="000E57E3">
            <w:pPr>
              <w:pStyle w:val="Tabletext"/>
            </w:pPr>
            <w:r w:rsidRPr="000E57E3">
              <w:t> </w:t>
            </w:r>
          </w:p>
        </w:tc>
        <w:tc>
          <w:tcPr>
            <w:tcW w:w="0" w:type="auto"/>
            <w:vAlign w:val="bottom"/>
          </w:tcPr>
          <w:p w14:paraId="7C27DFD8" w14:textId="280CF6F6" w:rsidR="008A6844" w:rsidRPr="000E57E3" w:rsidRDefault="008A6844" w:rsidP="000E57E3">
            <w:pPr>
              <w:pStyle w:val="Tabletext"/>
            </w:pPr>
            <w:r w:rsidRPr="000E57E3">
              <w:t> </w:t>
            </w:r>
          </w:p>
        </w:tc>
        <w:tc>
          <w:tcPr>
            <w:tcW w:w="0" w:type="auto"/>
            <w:vAlign w:val="bottom"/>
          </w:tcPr>
          <w:p w14:paraId="20C35B61" w14:textId="146B0EB1" w:rsidR="008A6844" w:rsidRPr="000E57E3" w:rsidRDefault="008A6844" w:rsidP="000E57E3">
            <w:pPr>
              <w:pStyle w:val="Tabletext"/>
            </w:pPr>
            <w:r w:rsidRPr="000E57E3">
              <w:t>Y</w:t>
            </w:r>
          </w:p>
        </w:tc>
        <w:tc>
          <w:tcPr>
            <w:tcW w:w="0" w:type="auto"/>
            <w:vAlign w:val="bottom"/>
          </w:tcPr>
          <w:p w14:paraId="01956019" w14:textId="6A1F4F2D" w:rsidR="008A6844" w:rsidRPr="000E57E3" w:rsidRDefault="008A6844" w:rsidP="000E57E3">
            <w:pPr>
              <w:pStyle w:val="Tabletext"/>
            </w:pPr>
            <w:r w:rsidRPr="000E57E3">
              <w:t> </w:t>
            </w:r>
          </w:p>
        </w:tc>
        <w:tc>
          <w:tcPr>
            <w:tcW w:w="0" w:type="auto"/>
            <w:vAlign w:val="bottom"/>
          </w:tcPr>
          <w:p w14:paraId="5A9459F9" w14:textId="4E2D5800" w:rsidR="008A6844" w:rsidRPr="000E57E3" w:rsidRDefault="008A6844" w:rsidP="000E57E3">
            <w:pPr>
              <w:pStyle w:val="Tabletext"/>
            </w:pPr>
            <w:r w:rsidRPr="000E57E3">
              <w:t>Facilitated</w:t>
            </w:r>
          </w:p>
        </w:tc>
      </w:tr>
      <w:tr w:rsidR="00776CCE" w:rsidRPr="008A6844" w14:paraId="3E3A7615" w14:textId="77777777" w:rsidTr="00CA44B7">
        <w:tc>
          <w:tcPr>
            <w:tcW w:w="0" w:type="auto"/>
            <w:vAlign w:val="bottom"/>
          </w:tcPr>
          <w:p w14:paraId="76AACD56" w14:textId="63D0DD17" w:rsidR="008A6844" w:rsidRPr="000E57E3" w:rsidRDefault="008A6844" w:rsidP="000E57E3">
            <w:pPr>
              <w:pStyle w:val="Tabletext"/>
            </w:pPr>
            <w:r w:rsidRPr="000E57E3">
              <w:t>SAMD9</w:t>
            </w:r>
          </w:p>
        </w:tc>
        <w:tc>
          <w:tcPr>
            <w:tcW w:w="0" w:type="auto"/>
            <w:vAlign w:val="bottom"/>
          </w:tcPr>
          <w:p w14:paraId="119459D3" w14:textId="5EBEB6E9" w:rsidR="008A6844" w:rsidRPr="000E57E3" w:rsidRDefault="008A6844" w:rsidP="000E57E3">
            <w:pPr>
              <w:pStyle w:val="Tabletext"/>
            </w:pPr>
            <w:r w:rsidRPr="000E57E3">
              <w:t> </w:t>
            </w:r>
          </w:p>
        </w:tc>
        <w:tc>
          <w:tcPr>
            <w:tcW w:w="0" w:type="auto"/>
            <w:vAlign w:val="bottom"/>
          </w:tcPr>
          <w:p w14:paraId="0346B79E" w14:textId="557BF6A3" w:rsidR="008A6844" w:rsidRPr="000E57E3" w:rsidRDefault="008A6844" w:rsidP="000E57E3">
            <w:pPr>
              <w:pStyle w:val="Tabletext"/>
            </w:pPr>
            <w:r w:rsidRPr="000E57E3">
              <w:t> </w:t>
            </w:r>
          </w:p>
        </w:tc>
        <w:tc>
          <w:tcPr>
            <w:tcW w:w="0" w:type="auto"/>
            <w:vAlign w:val="bottom"/>
          </w:tcPr>
          <w:p w14:paraId="4AFED235" w14:textId="0FB1BDEF" w:rsidR="008A6844" w:rsidRPr="000E57E3" w:rsidRDefault="008A6844" w:rsidP="000E57E3">
            <w:pPr>
              <w:pStyle w:val="Tabletext"/>
            </w:pPr>
            <w:r w:rsidRPr="000E57E3">
              <w:t> </w:t>
            </w:r>
          </w:p>
        </w:tc>
        <w:tc>
          <w:tcPr>
            <w:tcW w:w="0" w:type="auto"/>
            <w:vAlign w:val="bottom"/>
          </w:tcPr>
          <w:p w14:paraId="2CD322BC" w14:textId="30D030D3" w:rsidR="008A6844" w:rsidRPr="000E57E3" w:rsidRDefault="008A6844" w:rsidP="000E57E3">
            <w:pPr>
              <w:pStyle w:val="Tabletext"/>
            </w:pPr>
            <w:r w:rsidRPr="000E57E3">
              <w:t> </w:t>
            </w:r>
          </w:p>
        </w:tc>
        <w:tc>
          <w:tcPr>
            <w:tcW w:w="0" w:type="auto"/>
            <w:vAlign w:val="bottom"/>
          </w:tcPr>
          <w:p w14:paraId="3AE84ADB" w14:textId="3DEDCE91" w:rsidR="008A6844" w:rsidRPr="000E57E3" w:rsidRDefault="008A6844" w:rsidP="000E57E3">
            <w:pPr>
              <w:pStyle w:val="Tabletext"/>
            </w:pPr>
            <w:r w:rsidRPr="000E57E3">
              <w:t> </w:t>
            </w:r>
          </w:p>
        </w:tc>
        <w:tc>
          <w:tcPr>
            <w:tcW w:w="0" w:type="auto"/>
            <w:vAlign w:val="bottom"/>
          </w:tcPr>
          <w:p w14:paraId="7C8C951D" w14:textId="671A6831" w:rsidR="008A6844" w:rsidRPr="000E57E3" w:rsidRDefault="008A6844" w:rsidP="000E57E3">
            <w:pPr>
              <w:pStyle w:val="Tabletext"/>
            </w:pPr>
            <w:r w:rsidRPr="000E57E3">
              <w:t>Y</w:t>
            </w:r>
          </w:p>
        </w:tc>
        <w:tc>
          <w:tcPr>
            <w:tcW w:w="0" w:type="auto"/>
            <w:vAlign w:val="bottom"/>
          </w:tcPr>
          <w:p w14:paraId="38416668" w14:textId="7B1BFFA1" w:rsidR="008A6844" w:rsidRPr="000E57E3" w:rsidRDefault="008A6844" w:rsidP="000E57E3">
            <w:pPr>
              <w:pStyle w:val="Tabletext"/>
            </w:pPr>
            <w:r w:rsidRPr="000E57E3">
              <w:t> </w:t>
            </w:r>
          </w:p>
        </w:tc>
        <w:tc>
          <w:tcPr>
            <w:tcW w:w="0" w:type="auto"/>
            <w:vAlign w:val="bottom"/>
          </w:tcPr>
          <w:p w14:paraId="40027AC6" w14:textId="7C2ACFE7" w:rsidR="008A6844" w:rsidRPr="000E57E3" w:rsidRDefault="008A6844" w:rsidP="000E57E3">
            <w:pPr>
              <w:pStyle w:val="Tabletext"/>
            </w:pPr>
            <w:r w:rsidRPr="000E57E3">
              <w:t> </w:t>
            </w:r>
          </w:p>
        </w:tc>
        <w:tc>
          <w:tcPr>
            <w:tcW w:w="0" w:type="auto"/>
            <w:vAlign w:val="bottom"/>
          </w:tcPr>
          <w:p w14:paraId="3A2CD359" w14:textId="1176BA0C" w:rsidR="008A6844" w:rsidRPr="000E57E3" w:rsidRDefault="008A6844" w:rsidP="000E57E3">
            <w:pPr>
              <w:pStyle w:val="Tabletext"/>
            </w:pPr>
            <w:r w:rsidRPr="000E57E3">
              <w:t> </w:t>
            </w:r>
          </w:p>
        </w:tc>
        <w:tc>
          <w:tcPr>
            <w:tcW w:w="0" w:type="auto"/>
            <w:vAlign w:val="bottom"/>
          </w:tcPr>
          <w:p w14:paraId="64B4D9DE" w14:textId="12CC0BD8" w:rsidR="008A6844" w:rsidRPr="000E57E3" w:rsidRDefault="008A6844" w:rsidP="000E57E3">
            <w:pPr>
              <w:pStyle w:val="Tabletext"/>
            </w:pPr>
            <w:r w:rsidRPr="000E57E3">
              <w:t> </w:t>
            </w:r>
          </w:p>
        </w:tc>
        <w:tc>
          <w:tcPr>
            <w:tcW w:w="0" w:type="auto"/>
            <w:vAlign w:val="bottom"/>
          </w:tcPr>
          <w:p w14:paraId="09170001" w14:textId="38EF1AC3" w:rsidR="008A6844" w:rsidRPr="000E57E3" w:rsidRDefault="008A6844" w:rsidP="000E57E3">
            <w:pPr>
              <w:pStyle w:val="Tabletext"/>
            </w:pPr>
            <w:r w:rsidRPr="000E57E3">
              <w:t> </w:t>
            </w:r>
          </w:p>
        </w:tc>
        <w:tc>
          <w:tcPr>
            <w:tcW w:w="0" w:type="auto"/>
            <w:vAlign w:val="bottom"/>
          </w:tcPr>
          <w:p w14:paraId="5267DE7C" w14:textId="47E274A5" w:rsidR="008A6844" w:rsidRPr="000E57E3" w:rsidRDefault="008A6844" w:rsidP="000E57E3">
            <w:pPr>
              <w:pStyle w:val="Tabletext"/>
            </w:pPr>
            <w:r w:rsidRPr="000E57E3">
              <w:t>Facilitated</w:t>
            </w:r>
          </w:p>
        </w:tc>
      </w:tr>
      <w:tr w:rsidR="00776CCE" w:rsidRPr="008A6844" w14:paraId="39A6EBEC" w14:textId="77777777" w:rsidTr="00CA44B7">
        <w:tc>
          <w:tcPr>
            <w:tcW w:w="0" w:type="auto"/>
            <w:vAlign w:val="bottom"/>
          </w:tcPr>
          <w:p w14:paraId="0343DA9F" w14:textId="53B57E85" w:rsidR="008A6844" w:rsidRPr="000E57E3" w:rsidRDefault="008A6844" w:rsidP="000E57E3">
            <w:pPr>
              <w:pStyle w:val="Tabletext"/>
            </w:pPr>
            <w:r w:rsidRPr="000E57E3">
              <w:t>SAMD9L</w:t>
            </w:r>
          </w:p>
        </w:tc>
        <w:tc>
          <w:tcPr>
            <w:tcW w:w="0" w:type="auto"/>
            <w:vAlign w:val="bottom"/>
          </w:tcPr>
          <w:p w14:paraId="5D26C753" w14:textId="74C3A096" w:rsidR="008A6844" w:rsidRPr="000E57E3" w:rsidRDefault="008A6844" w:rsidP="000E57E3">
            <w:pPr>
              <w:pStyle w:val="Tabletext"/>
            </w:pPr>
            <w:r w:rsidRPr="000E57E3">
              <w:t> </w:t>
            </w:r>
          </w:p>
        </w:tc>
        <w:tc>
          <w:tcPr>
            <w:tcW w:w="0" w:type="auto"/>
            <w:vAlign w:val="bottom"/>
          </w:tcPr>
          <w:p w14:paraId="33B99286" w14:textId="0FF48664" w:rsidR="008A6844" w:rsidRPr="000E57E3" w:rsidRDefault="008A6844" w:rsidP="000E57E3">
            <w:pPr>
              <w:pStyle w:val="Tabletext"/>
            </w:pPr>
            <w:r w:rsidRPr="000E57E3">
              <w:t> </w:t>
            </w:r>
          </w:p>
        </w:tc>
        <w:tc>
          <w:tcPr>
            <w:tcW w:w="0" w:type="auto"/>
            <w:vAlign w:val="bottom"/>
          </w:tcPr>
          <w:p w14:paraId="7136E137" w14:textId="32D47362" w:rsidR="008A6844" w:rsidRPr="000E57E3" w:rsidRDefault="008A6844" w:rsidP="000E57E3">
            <w:pPr>
              <w:pStyle w:val="Tabletext"/>
            </w:pPr>
            <w:r w:rsidRPr="000E57E3">
              <w:t> </w:t>
            </w:r>
          </w:p>
        </w:tc>
        <w:tc>
          <w:tcPr>
            <w:tcW w:w="0" w:type="auto"/>
            <w:vAlign w:val="bottom"/>
          </w:tcPr>
          <w:p w14:paraId="616AE035" w14:textId="1B5B5444" w:rsidR="008A6844" w:rsidRPr="000E57E3" w:rsidRDefault="008A6844" w:rsidP="000E57E3">
            <w:pPr>
              <w:pStyle w:val="Tabletext"/>
            </w:pPr>
            <w:r w:rsidRPr="000E57E3">
              <w:t> </w:t>
            </w:r>
          </w:p>
        </w:tc>
        <w:tc>
          <w:tcPr>
            <w:tcW w:w="0" w:type="auto"/>
            <w:vAlign w:val="bottom"/>
          </w:tcPr>
          <w:p w14:paraId="5C283A60" w14:textId="19BC6A21" w:rsidR="008A6844" w:rsidRPr="000E57E3" w:rsidRDefault="008A6844" w:rsidP="000E57E3">
            <w:pPr>
              <w:pStyle w:val="Tabletext"/>
            </w:pPr>
            <w:r w:rsidRPr="000E57E3">
              <w:t> </w:t>
            </w:r>
          </w:p>
        </w:tc>
        <w:tc>
          <w:tcPr>
            <w:tcW w:w="0" w:type="auto"/>
            <w:vAlign w:val="bottom"/>
          </w:tcPr>
          <w:p w14:paraId="0E546F03" w14:textId="6C403B05" w:rsidR="008A6844" w:rsidRPr="000E57E3" w:rsidRDefault="008A6844" w:rsidP="000E57E3">
            <w:pPr>
              <w:pStyle w:val="Tabletext"/>
            </w:pPr>
            <w:r w:rsidRPr="000E57E3">
              <w:t>Y</w:t>
            </w:r>
          </w:p>
        </w:tc>
        <w:tc>
          <w:tcPr>
            <w:tcW w:w="0" w:type="auto"/>
            <w:vAlign w:val="bottom"/>
          </w:tcPr>
          <w:p w14:paraId="58337C69" w14:textId="77251025" w:rsidR="008A6844" w:rsidRPr="000E57E3" w:rsidRDefault="008A6844" w:rsidP="000E57E3">
            <w:pPr>
              <w:pStyle w:val="Tabletext"/>
            </w:pPr>
            <w:r w:rsidRPr="000E57E3">
              <w:t> </w:t>
            </w:r>
          </w:p>
        </w:tc>
        <w:tc>
          <w:tcPr>
            <w:tcW w:w="0" w:type="auto"/>
            <w:vAlign w:val="bottom"/>
          </w:tcPr>
          <w:p w14:paraId="4A38BC6F" w14:textId="63E959D8" w:rsidR="008A6844" w:rsidRPr="000E57E3" w:rsidRDefault="008A6844" w:rsidP="000E57E3">
            <w:pPr>
              <w:pStyle w:val="Tabletext"/>
            </w:pPr>
            <w:r w:rsidRPr="000E57E3">
              <w:t> </w:t>
            </w:r>
          </w:p>
        </w:tc>
        <w:tc>
          <w:tcPr>
            <w:tcW w:w="0" w:type="auto"/>
            <w:vAlign w:val="bottom"/>
          </w:tcPr>
          <w:p w14:paraId="7DA1C490" w14:textId="0A289DCC" w:rsidR="008A6844" w:rsidRPr="000E57E3" w:rsidRDefault="008A6844" w:rsidP="000E57E3">
            <w:pPr>
              <w:pStyle w:val="Tabletext"/>
            </w:pPr>
            <w:r w:rsidRPr="000E57E3">
              <w:t> </w:t>
            </w:r>
          </w:p>
        </w:tc>
        <w:tc>
          <w:tcPr>
            <w:tcW w:w="0" w:type="auto"/>
            <w:vAlign w:val="bottom"/>
          </w:tcPr>
          <w:p w14:paraId="41FECB23" w14:textId="533A44EB" w:rsidR="008A6844" w:rsidRPr="000E57E3" w:rsidRDefault="008A6844" w:rsidP="000E57E3">
            <w:pPr>
              <w:pStyle w:val="Tabletext"/>
            </w:pPr>
            <w:r w:rsidRPr="000E57E3">
              <w:t> </w:t>
            </w:r>
          </w:p>
        </w:tc>
        <w:tc>
          <w:tcPr>
            <w:tcW w:w="0" w:type="auto"/>
            <w:vAlign w:val="bottom"/>
          </w:tcPr>
          <w:p w14:paraId="66C3DD3F" w14:textId="7D72D2D8" w:rsidR="008A6844" w:rsidRPr="000E57E3" w:rsidRDefault="008A6844" w:rsidP="000E57E3">
            <w:pPr>
              <w:pStyle w:val="Tabletext"/>
            </w:pPr>
            <w:r w:rsidRPr="000E57E3">
              <w:t> </w:t>
            </w:r>
          </w:p>
        </w:tc>
        <w:tc>
          <w:tcPr>
            <w:tcW w:w="0" w:type="auto"/>
            <w:vAlign w:val="bottom"/>
          </w:tcPr>
          <w:p w14:paraId="030BAA6F" w14:textId="390FA2C1" w:rsidR="008A6844" w:rsidRPr="000E57E3" w:rsidRDefault="008A6844" w:rsidP="000E57E3">
            <w:pPr>
              <w:pStyle w:val="Tabletext"/>
            </w:pPr>
            <w:r w:rsidRPr="000E57E3">
              <w:t>Facilitated</w:t>
            </w:r>
          </w:p>
        </w:tc>
      </w:tr>
      <w:tr w:rsidR="00776CCE" w:rsidRPr="008A6844" w14:paraId="3F2E6EA2" w14:textId="77777777" w:rsidTr="00CA44B7">
        <w:tc>
          <w:tcPr>
            <w:tcW w:w="0" w:type="auto"/>
            <w:vAlign w:val="bottom"/>
          </w:tcPr>
          <w:p w14:paraId="3AC41815" w14:textId="73571677" w:rsidR="008A6844" w:rsidRPr="000E57E3" w:rsidRDefault="008A6844" w:rsidP="000E57E3">
            <w:pPr>
              <w:pStyle w:val="Tabletext"/>
            </w:pPr>
            <w:r w:rsidRPr="000E57E3">
              <w:t>SH2B3</w:t>
            </w:r>
          </w:p>
        </w:tc>
        <w:tc>
          <w:tcPr>
            <w:tcW w:w="0" w:type="auto"/>
            <w:vAlign w:val="bottom"/>
          </w:tcPr>
          <w:p w14:paraId="0FDCC183" w14:textId="6F05B65C" w:rsidR="008A6844" w:rsidRPr="000E57E3" w:rsidRDefault="008A6844" w:rsidP="000E57E3">
            <w:pPr>
              <w:pStyle w:val="Tabletext"/>
            </w:pPr>
            <w:r w:rsidRPr="000E57E3">
              <w:t> </w:t>
            </w:r>
          </w:p>
        </w:tc>
        <w:tc>
          <w:tcPr>
            <w:tcW w:w="0" w:type="auto"/>
            <w:vAlign w:val="bottom"/>
          </w:tcPr>
          <w:p w14:paraId="22F876F0" w14:textId="4931CD40" w:rsidR="008A6844" w:rsidRPr="000E57E3" w:rsidRDefault="008A6844" w:rsidP="000E57E3">
            <w:pPr>
              <w:pStyle w:val="Tabletext"/>
            </w:pPr>
            <w:r w:rsidRPr="000E57E3">
              <w:t> </w:t>
            </w:r>
          </w:p>
        </w:tc>
        <w:tc>
          <w:tcPr>
            <w:tcW w:w="0" w:type="auto"/>
            <w:vAlign w:val="bottom"/>
          </w:tcPr>
          <w:p w14:paraId="30F79F71" w14:textId="169BE466" w:rsidR="008A6844" w:rsidRPr="000E57E3" w:rsidRDefault="008A6844" w:rsidP="000E57E3">
            <w:pPr>
              <w:pStyle w:val="Tabletext"/>
            </w:pPr>
            <w:r w:rsidRPr="000E57E3">
              <w:t>Y</w:t>
            </w:r>
          </w:p>
        </w:tc>
        <w:tc>
          <w:tcPr>
            <w:tcW w:w="0" w:type="auto"/>
            <w:vAlign w:val="bottom"/>
          </w:tcPr>
          <w:p w14:paraId="26AC8C1E" w14:textId="7595CFDA" w:rsidR="008A6844" w:rsidRPr="000E57E3" w:rsidRDefault="008A6844" w:rsidP="000E57E3">
            <w:pPr>
              <w:pStyle w:val="Tabletext"/>
            </w:pPr>
            <w:r w:rsidRPr="000E57E3">
              <w:t> </w:t>
            </w:r>
          </w:p>
        </w:tc>
        <w:tc>
          <w:tcPr>
            <w:tcW w:w="0" w:type="auto"/>
            <w:vAlign w:val="bottom"/>
          </w:tcPr>
          <w:p w14:paraId="44881B1D" w14:textId="0F53E43F" w:rsidR="008A6844" w:rsidRPr="000E57E3" w:rsidRDefault="008A6844" w:rsidP="000E57E3">
            <w:pPr>
              <w:pStyle w:val="Tabletext"/>
            </w:pPr>
            <w:r w:rsidRPr="000E57E3">
              <w:t>Y</w:t>
            </w:r>
          </w:p>
        </w:tc>
        <w:tc>
          <w:tcPr>
            <w:tcW w:w="0" w:type="auto"/>
            <w:vAlign w:val="bottom"/>
          </w:tcPr>
          <w:p w14:paraId="3484F490" w14:textId="2067F6B7" w:rsidR="008A6844" w:rsidRPr="000E57E3" w:rsidRDefault="008A6844" w:rsidP="000E57E3">
            <w:pPr>
              <w:pStyle w:val="Tabletext"/>
            </w:pPr>
            <w:r w:rsidRPr="000E57E3">
              <w:t> </w:t>
            </w:r>
          </w:p>
        </w:tc>
        <w:tc>
          <w:tcPr>
            <w:tcW w:w="0" w:type="auto"/>
            <w:vAlign w:val="bottom"/>
          </w:tcPr>
          <w:p w14:paraId="6BA707A9" w14:textId="4F709C4D" w:rsidR="008A6844" w:rsidRPr="000E57E3" w:rsidRDefault="008A6844" w:rsidP="000E57E3">
            <w:pPr>
              <w:pStyle w:val="Tabletext"/>
            </w:pPr>
            <w:r w:rsidRPr="000E57E3">
              <w:t> </w:t>
            </w:r>
          </w:p>
        </w:tc>
        <w:tc>
          <w:tcPr>
            <w:tcW w:w="0" w:type="auto"/>
            <w:vAlign w:val="bottom"/>
          </w:tcPr>
          <w:p w14:paraId="01DDC5F3" w14:textId="2E291D4D" w:rsidR="008A6844" w:rsidRPr="000E57E3" w:rsidRDefault="008A6844" w:rsidP="000E57E3">
            <w:pPr>
              <w:pStyle w:val="Tabletext"/>
            </w:pPr>
            <w:r w:rsidRPr="000E57E3">
              <w:t> </w:t>
            </w:r>
          </w:p>
        </w:tc>
        <w:tc>
          <w:tcPr>
            <w:tcW w:w="0" w:type="auto"/>
            <w:vAlign w:val="bottom"/>
          </w:tcPr>
          <w:p w14:paraId="33FFAFF4" w14:textId="7A55D8F4" w:rsidR="008A6844" w:rsidRPr="000E57E3" w:rsidRDefault="008A6844" w:rsidP="000E57E3">
            <w:pPr>
              <w:pStyle w:val="Tabletext"/>
            </w:pPr>
            <w:r w:rsidRPr="000E57E3">
              <w:t> </w:t>
            </w:r>
          </w:p>
        </w:tc>
        <w:tc>
          <w:tcPr>
            <w:tcW w:w="0" w:type="auto"/>
            <w:vAlign w:val="bottom"/>
          </w:tcPr>
          <w:p w14:paraId="730DF1B7" w14:textId="4A70FB81" w:rsidR="008A6844" w:rsidRPr="000E57E3" w:rsidRDefault="008A6844" w:rsidP="000E57E3">
            <w:pPr>
              <w:pStyle w:val="Tabletext"/>
            </w:pPr>
            <w:r w:rsidRPr="000E57E3">
              <w:t> </w:t>
            </w:r>
          </w:p>
        </w:tc>
        <w:tc>
          <w:tcPr>
            <w:tcW w:w="0" w:type="auto"/>
            <w:vAlign w:val="bottom"/>
          </w:tcPr>
          <w:p w14:paraId="78FEF4A9" w14:textId="6B6D6F3C" w:rsidR="008A6844" w:rsidRPr="000E57E3" w:rsidRDefault="008A6844" w:rsidP="000E57E3">
            <w:pPr>
              <w:pStyle w:val="Tabletext"/>
            </w:pPr>
            <w:r w:rsidRPr="000E57E3">
              <w:t> </w:t>
            </w:r>
          </w:p>
        </w:tc>
        <w:tc>
          <w:tcPr>
            <w:tcW w:w="0" w:type="auto"/>
            <w:vAlign w:val="bottom"/>
          </w:tcPr>
          <w:p w14:paraId="67FCE8E9" w14:textId="605135CC" w:rsidR="008A6844" w:rsidRPr="000E57E3" w:rsidRDefault="008A6844" w:rsidP="000E57E3">
            <w:pPr>
              <w:pStyle w:val="Tabletext"/>
            </w:pPr>
            <w:r w:rsidRPr="000E57E3">
              <w:t>Facilitated</w:t>
            </w:r>
          </w:p>
        </w:tc>
      </w:tr>
      <w:tr w:rsidR="00776CCE" w:rsidRPr="008A6844" w14:paraId="2F6346DB" w14:textId="77777777" w:rsidTr="00CA44B7">
        <w:tc>
          <w:tcPr>
            <w:tcW w:w="0" w:type="auto"/>
            <w:vAlign w:val="bottom"/>
          </w:tcPr>
          <w:p w14:paraId="40D89FF9" w14:textId="0EA21D72" w:rsidR="008A6844" w:rsidRPr="000E57E3" w:rsidRDefault="008A6844" w:rsidP="000E57E3">
            <w:pPr>
              <w:pStyle w:val="Tabletext"/>
            </w:pPr>
            <w:r w:rsidRPr="000E57E3">
              <w:t>SLC29A1</w:t>
            </w:r>
          </w:p>
        </w:tc>
        <w:tc>
          <w:tcPr>
            <w:tcW w:w="0" w:type="auto"/>
            <w:vAlign w:val="bottom"/>
          </w:tcPr>
          <w:p w14:paraId="517DECFF" w14:textId="7C5068BD" w:rsidR="008A6844" w:rsidRPr="000E57E3" w:rsidRDefault="008A6844" w:rsidP="000E57E3">
            <w:pPr>
              <w:pStyle w:val="Tabletext"/>
            </w:pPr>
            <w:r w:rsidRPr="000E57E3">
              <w:t> </w:t>
            </w:r>
          </w:p>
        </w:tc>
        <w:tc>
          <w:tcPr>
            <w:tcW w:w="0" w:type="auto"/>
            <w:vAlign w:val="bottom"/>
          </w:tcPr>
          <w:p w14:paraId="66F9CECC" w14:textId="33CF220F" w:rsidR="008A6844" w:rsidRPr="000E57E3" w:rsidRDefault="008A6844" w:rsidP="000E57E3">
            <w:pPr>
              <w:pStyle w:val="Tabletext"/>
            </w:pPr>
            <w:r w:rsidRPr="000E57E3">
              <w:t> </w:t>
            </w:r>
          </w:p>
        </w:tc>
        <w:tc>
          <w:tcPr>
            <w:tcW w:w="0" w:type="auto"/>
            <w:vAlign w:val="bottom"/>
          </w:tcPr>
          <w:p w14:paraId="187F51FC" w14:textId="2C5A559E" w:rsidR="008A6844" w:rsidRPr="000E57E3" w:rsidRDefault="008A6844" w:rsidP="000E57E3">
            <w:pPr>
              <w:pStyle w:val="Tabletext"/>
            </w:pPr>
            <w:r w:rsidRPr="000E57E3">
              <w:t>Y</w:t>
            </w:r>
          </w:p>
        </w:tc>
        <w:tc>
          <w:tcPr>
            <w:tcW w:w="0" w:type="auto"/>
            <w:vAlign w:val="bottom"/>
          </w:tcPr>
          <w:p w14:paraId="6778FD45" w14:textId="209362C5" w:rsidR="008A6844" w:rsidRPr="000E57E3" w:rsidRDefault="008A6844" w:rsidP="000E57E3">
            <w:pPr>
              <w:pStyle w:val="Tabletext"/>
            </w:pPr>
            <w:r w:rsidRPr="000E57E3">
              <w:t> </w:t>
            </w:r>
          </w:p>
        </w:tc>
        <w:tc>
          <w:tcPr>
            <w:tcW w:w="0" w:type="auto"/>
            <w:vAlign w:val="bottom"/>
          </w:tcPr>
          <w:p w14:paraId="27994045" w14:textId="5140E746" w:rsidR="008A6844" w:rsidRPr="000E57E3" w:rsidRDefault="008A6844" w:rsidP="000E57E3">
            <w:pPr>
              <w:pStyle w:val="Tabletext"/>
            </w:pPr>
            <w:r w:rsidRPr="000E57E3">
              <w:t> </w:t>
            </w:r>
          </w:p>
        </w:tc>
        <w:tc>
          <w:tcPr>
            <w:tcW w:w="0" w:type="auto"/>
            <w:vAlign w:val="bottom"/>
          </w:tcPr>
          <w:p w14:paraId="3D4368BD" w14:textId="41F53BC0" w:rsidR="008A6844" w:rsidRPr="000E57E3" w:rsidRDefault="008A6844" w:rsidP="000E57E3">
            <w:pPr>
              <w:pStyle w:val="Tabletext"/>
            </w:pPr>
            <w:r w:rsidRPr="000E57E3">
              <w:t> </w:t>
            </w:r>
          </w:p>
        </w:tc>
        <w:tc>
          <w:tcPr>
            <w:tcW w:w="0" w:type="auto"/>
            <w:vAlign w:val="bottom"/>
          </w:tcPr>
          <w:p w14:paraId="5E15F40C" w14:textId="78020DFD" w:rsidR="008A6844" w:rsidRPr="000E57E3" w:rsidRDefault="008A6844" w:rsidP="000E57E3">
            <w:pPr>
              <w:pStyle w:val="Tabletext"/>
            </w:pPr>
            <w:r w:rsidRPr="000E57E3">
              <w:t> </w:t>
            </w:r>
          </w:p>
        </w:tc>
        <w:tc>
          <w:tcPr>
            <w:tcW w:w="0" w:type="auto"/>
            <w:vAlign w:val="bottom"/>
          </w:tcPr>
          <w:p w14:paraId="0B4064F4" w14:textId="01DF8991" w:rsidR="008A6844" w:rsidRPr="000E57E3" w:rsidRDefault="008A6844" w:rsidP="000E57E3">
            <w:pPr>
              <w:pStyle w:val="Tabletext"/>
            </w:pPr>
            <w:r w:rsidRPr="000E57E3">
              <w:t> </w:t>
            </w:r>
          </w:p>
        </w:tc>
        <w:tc>
          <w:tcPr>
            <w:tcW w:w="0" w:type="auto"/>
            <w:vAlign w:val="bottom"/>
          </w:tcPr>
          <w:p w14:paraId="406D8A08" w14:textId="77AD2D74" w:rsidR="008A6844" w:rsidRPr="000E57E3" w:rsidRDefault="008A6844" w:rsidP="000E57E3">
            <w:pPr>
              <w:pStyle w:val="Tabletext"/>
            </w:pPr>
            <w:r w:rsidRPr="000E57E3">
              <w:t> </w:t>
            </w:r>
          </w:p>
        </w:tc>
        <w:tc>
          <w:tcPr>
            <w:tcW w:w="0" w:type="auto"/>
            <w:vAlign w:val="bottom"/>
          </w:tcPr>
          <w:p w14:paraId="455520E2" w14:textId="49B5BAAC" w:rsidR="008A6844" w:rsidRPr="000E57E3" w:rsidRDefault="008A6844" w:rsidP="000E57E3">
            <w:pPr>
              <w:pStyle w:val="Tabletext"/>
            </w:pPr>
            <w:r w:rsidRPr="000E57E3">
              <w:t> </w:t>
            </w:r>
          </w:p>
        </w:tc>
        <w:tc>
          <w:tcPr>
            <w:tcW w:w="0" w:type="auto"/>
            <w:vAlign w:val="bottom"/>
          </w:tcPr>
          <w:p w14:paraId="6DDB5EFB" w14:textId="5BC728E2" w:rsidR="008A6844" w:rsidRPr="000E57E3" w:rsidRDefault="008A6844" w:rsidP="000E57E3">
            <w:pPr>
              <w:pStyle w:val="Tabletext"/>
            </w:pPr>
            <w:r w:rsidRPr="000E57E3">
              <w:t> </w:t>
            </w:r>
          </w:p>
        </w:tc>
        <w:tc>
          <w:tcPr>
            <w:tcW w:w="0" w:type="auto"/>
            <w:vAlign w:val="bottom"/>
          </w:tcPr>
          <w:p w14:paraId="13D7BE12" w14:textId="02783C20" w:rsidR="008A6844" w:rsidRPr="000E57E3" w:rsidRDefault="008A6844" w:rsidP="000E57E3">
            <w:pPr>
              <w:pStyle w:val="Tabletext"/>
            </w:pPr>
            <w:r w:rsidRPr="000E57E3">
              <w:t>Facilitated</w:t>
            </w:r>
          </w:p>
        </w:tc>
      </w:tr>
      <w:tr w:rsidR="00776CCE" w:rsidRPr="008A6844" w14:paraId="0B8FF8A8" w14:textId="77777777" w:rsidTr="00CA44B7">
        <w:tc>
          <w:tcPr>
            <w:tcW w:w="0" w:type="auto"/>
            <w:vAlign w:val="bottom"/>
          </w:tcPr>
          <w:p w14:paraId="1F15B3E4" w14:textId="2D42FBE1" w:rsidR="008A6844" w:rsidRPr="000E57E3" w:rsidRDefault="008A6844" w:rsidP="000E57E3">
            <w:pPr>
              <w:pStyle w:val="Tabletext"/>
            </w:pPr>
            <w:r w:rsidRPr="000E57E3">
              <w:lastRenderedPageBreak/>
              <w:t>SMARCD2</w:t>
            </w:r>
          </w:p>
        </w:tc>
        <w:tc>
          <w:tcPr>
            <w:tcW w:w="0" w:type="auto"/>
            <w:vAlign w:val="bottom"/>
          </w:tcPr>
          <w:p w14:paraId="1EA2E7EE" w14:textId="7DC5BF13" w:rsidR="008A6844" w:rsidRPr="000E57E3" w:rsidRDefault="008A6844" w:rsidP="000E57E3">
            <w:pPr>
              <w:pStyle w:val="Tabletext"/>
            </w:pPr>
            <w:r w:rsidRPr="000E57E3">
              <w:t> </w:t>
            </w:r>
          </w:p>
        </w:tc>
        <w:tc>
          <w:tcPr>
            <w:tcW w:w="0" w:type="auto"/>
            <w:vAlign w:val="bottom"/>
          </w:tcPr>
          <w:p w14:paraId="6AA84E7B" w14:textId="26404207" w:rsidR="008A6844" w:rsidRPr="000E57E3" w:rsidRDefault="008A6844" w:rsidP="000E57E3">
            <w:pPr>
              <w:pStyle w:val="Tabletext"/>
            </w:pPr>
            <w:r w:rsidRPr="000E57E3">
              <w:t> </w:t>
            </w:r>
          </w:p>
        </w:tc>
        <w:tc>
          <w:tcPr>
            <w:tcW w:w="0" w:type="auto"/>
            <w:vAlign w:val="bottom"/>
          </w:tcPr>
          <w:p w14:paraId="55D7A74A" w14:textId="0A31BF6B" w:rsidR="008A6844" w:rsidRPr="000E57E3" w:rsidRDefault="008A6844" w:rsidP="000E57E3">
            <w:pPr>
              <w:pStyle w:val="Tabletext"/>
            </w:pPr>
            <w:r w:rsidRPr="000E57E3">
              <w:t> </w:t>
            </w:r>
          </w:p>
        </w:tc>
        <w:tc>
          <w:tcPr>
            <w:tcW w:w="0" w:type="auto"/>
            <w:vAlign w:val="bottom"/>
          </w:tcPr>
          <w:p w14:paraId="4D399D38" w14:textId="31891A2E" w:rsidR="008A6844" w:rsidRPr="000E57E3" w:rsidRDefault="008A6844" w:rsidP="000E57E3">
            <w:pPr>
              <w:pStyle w:val="Tabletext"/>
            </w:pPr>
            <w:r w:rsidRPr="000E57E3">
              <w:t> </w:t>
            </w:r>
          </w:p>
        </w:tc>
        <w:tc>
          <w:tcPr>
            <w:tcW w:w="0" w:type="auto"/>
            <w:vAlign w:val="bottom"/>
          </w:tcPr>
          <w:p w14:paraId="3651574B" w14:textId="73BE13ED" w:rsidR="008A6844" w:rsidRPr="000E57E3" w:rsidRDefault="008A6844" w:rsidP="000E57E3">
            <w:pPr>
              <w:pStyle w:val="Tabletext"/>
            </w:pPr>
            <w:r w:rsidRPr="000E57E3">
              <w:t> </w:t>
            </w:r>
          </w:p>
        </w:tc>
        <w:tc>
          <w:tcPr>
            <w:tcW w:w="0" w:type="auto"/>
            <w:vAlign w:val="bottom"/>
          </w:tcPr>
          <w:p w14:paraId="698EABF0" w14:textId="5E0F544C" w:rsidR="008A6844" w:rsidRPr="000E57E3" w:rsidRDefault="008A6844" w:rsidP="000E57E3">
            <w:pPr>
              <w:pStyle w:val="Tabletext"/>
            </w:pPr>
            <w:r w:rsidRPr="000E57E3">
              <w:t>Y</w:t>
            </w:r>
          </w:p>
        </w:tc>
        <w:tc>
          <w:tcPr>
            <w:tcW w:w="0" w:type="auto"/>
            <w:vAlign w:val="bottom"/>
          </w:tcPr>
          <w:p w14:paraId="21671245" w14:textId="0D21C25A" w:rsidR="008A6844" w:rsidRPr="000E57E3" w:rsidRDefault="008A6844" w:rsidP="000E57E3">
            <w:pPr>
              <w:pStyle w:val="Tabletext"/>
            </w:pPr>
            <w:r w:rsidRPr="000E57E3">
              <w:t> </w:t>
            </w:r>
          </w:p>
        </w:tc>
        <w:tc>
          <w:tcPr>
            <w:tcW w:w="0" w:type="auto"/>
            <w:vAlign w:val="bottom"/>
          </w:tcPr>
          <w:p w14:paraId="0A34B31E" w14:textId="6329A8E5" w:rsidR="008A6844" w:rsidRPr="000E57E3" w:rsidRDefault="008A6844" w:rsidP="000E57E3">
            <w:pPr>
              <w:pStyle w:val="Tabletext"/>
            </w:pPr>
            <w:r w:rsidRPr="000E57E3">
              <w:t> </w:t>
            </w:r>
          </w:p>
        </w:tc>
        <w:tc>
          <w:tcPr>
            <w:tcW w:w="0" w:type="auto"/>
            <w:vAlign w:val="bottom"/>
          </w:tcPr>
          <w:p w14:paraId="22C83568" w14:textId="50414DDB" w:rsidR="008A6844" w:rsidRPr="000E57E3" w:rsidRDefault="008A6844" w:rsidP="000E57E3">
            <w:pPr>
              <w:pStyle w:val="Tabletext"/>
            </w:pPr>
            <w:r w:rsidRPr="000E57E3">
              <w:t> </w:t>
            </w:r>
          </w:p>
        </w:tc>
        <w:tc>
          <w:tcPr>
            <w:tcW w:w="0" w:type="auto"/>
            <w:vAlign w:val="bottom"/>
          </w:tcPr>
          <w:p w14:paraId="75B59066" w14:textId="74549D47" w:rsidR="008A6844" w:rsidRPr="000E57E3" w:rsidRDefault="008A6844" w:rsidP="000E57E3">
            <w:pPr>
              <w:pStyle w:val="Tabletext"/>
            </w:pPr>
            <w:r w:rsidRPr="000E57E3">
              <w:t> </w:t>
            </w:r>
          </w:p>
        </w:tc>
        <w:tc>
          <w:tcPr>
            <w:tcW w:w="0" w:type="auto"/>
            <w:vAlign w:val="bottom"/>
          </w:tcPr>
          <w:p w14:paraId="51718D0B" w14:textId="6D229B03" w:rsidR="008A6844" w:rsidRPr="000E57E3" w:rsidRDefault="008A6844" w:rsidP="000E57E3">
            <w:pPr>
              <w:pStyle w:val="Tabletext"/>
            </w:pPr>
            <w:r w:rsidRPr="000E57E3">
              <w:t> </w:t>
            </w:r>
          </w:p>
        </w:tc>
        <w:tc>
          <w:tcPr>
            <w:tcW w:w="0" w:type="auto"/>
            <w:vAlign w:val="bottom"/>
          </w:tcPr>
          <w:p w14:paraId="0C3CBFBB" w14:textId="63A1A36B" w:rsidR="008A6844" w:rsidRPr="000E57E3" w:rsidRDefault="008A6844" w:rsidP="000E57E3">
            <w:pPr>
              <w:pStyle w:val="Tabletext"/>
            </w:pPr>
            <w:r w:rsidRPr="000E57E3">
              <w:t>Facilitated</w:t>
            </w:r>
          </w:p>
        </w:tc>
      </w:tr>
      <w:tr w:rsidR="00776CCE" w:rsidRPr="008A6844" w14:paraId="22FA8BF6" w14:textId="77777777" w:rsidTr="00CA44B7">
        <w:tc>
          <w:tcPr>
            <w:tcW w:w="0" w:type="auto"/>
            <w:vAlign w:val="bottom"/>
          </w:tcPr>
          <w:p w14:paraId="7EEC7F91" w14:textId="00D83097" w:rsidR="008A6844" w:rsidRPr="000E57E3" w:rsidRDefault="008A6844" w:rsidP="000E57E3">
            <w:pPr>
              <w:pStyle w:val="Tabletext"/>
            </w:pPr>
            <w:r w:rsidRPr="000E57E3">
              <w:t>SMC1A</w:t>
            </w:r>
          </w:p>
        </w:tc>
        <w:tc>
          <w:tcPr>
            <w:tcW w:w="0" w:type="auto"/>
            <w:vAlign w:val="bottom"/>
          </w:tcPr>
          <w:p w14:paraId="51E6DCC1" w14:textId="00CCCAA1" w:rsidR="008A6844" w:rsidRPr="000E57E3" w:rsidRDefault="008A6844" w:rsidP="000E57E3">
            <w:pPr>
              <w:pStyle w:val="Tabletext"/>
            </w:pPr>
            <w:r w:rsidRPr="000E57E3">
              <w:t> </w:t>
            </w:r>
          </w:p>
        </w:tc>
        <w:tc>
          <w:tcPr>
            <w:tcW w:w="0" w:type="auto"/>
            <w:vAlign w:val="bottom"/>
          </w:tcPr>
          <w:p w14:paraId="20AFB45A" w14:textId="4B8637B0" w:rsidR="008A6844" w:rsidRPr="000E57E3" w:rsidRDefault="008A6844" w:rsidP="000E57E3">
            <w:pPr>
              <w:pStyle w:val="Tabletext"/>
            </w:pPr>
            <w:r w:rsidRPr="000E57E3">
              <w:t> </w:t>
            </w:r>
          </w:p>
        </w:tc>
        <w:tc>
          <w:tcPr>
            <w:tcW w:w="0" w:type="auto"/>
            <w:vAlign w:val="bottom"/>
          </w:tcPr>
          <w:p w14:paraId="0FA6AB2D" w14:textId="77133EED" w:rsidR="008A6844" w:rsidRPr="000E57E3" w:rsidRDefault="008A6844" w:rsidP="000E57E3">
            <w:pPr>
              <w:pStyle w:val="Tabletext"/>
            </w:pPr>
            <w:r w:rsidRPr="000E57E3">
              <w:t>Y</w:t>
            </w:r>
          </w:p>
        </w:tc>
        <w:tc>
          <w:tcPr>
            <w:tcW w:w="0" w:type="auto"/>
            <w:vAlign w:val="bottom"/>
          </w:tcPr>
          <w:p w14:paraId="0801A5F5" w14:textId="3861EF7A" w:rsidR="008A6844" w:rsidRPr="000E57E3" w:rsidRDefault="008A6844" w:rsidP="000E57E3">
            <w:pPr>
              <w:pStyle w:val="Tabletext"/>
            </w:pPr>
            <w:r w:rsidRPr="000E57E3">
              <w:t> </w:t>
            </w:r>
          </w:p>
        </w:tc>
        <w:tc>
          <w:tcPr>
            <w:tcW w:w="0" w:type="auto"/>
            <w:vAlign w:val="bottom"/>
          </w:tcPr>
          <w:p w14:paraId="42485BDB" w14:textId="202CEC05" w:rsidR="008A6844" w:rsidRPr="000E57E3" w:rsidRDefault="008A6844" w:rsidP="000E57E3">
            <w:pPr>
              <w:pStyle w:val="Tabletext"/>
            </w:pPr>
            <w:r w:rsidRPr="000E57E3">
              <w:t> </w:t>
            </w:r>
          </w:p>
        </w:tc>
        <w:tc>
          <w:tcPr>
            <w:tcW w:w="0" w:type="auto"/>
            <w:vAlign w:val="bottom"/>
          </w:tcPr>
          <w:p w14:paraId="6CF8AEB5" w14:textId="76674757" w:rsidR="008A6844" w:rsidRPr="000E57E3" w:rsidRDefault="008A6844" w:rsidP="000E57E3">
            <w:pPr>
              <w:pStyle w:val="Tabletext"/>
            </w:pPr>
            <w:r w:rsidRPr="000E57E3">
              <w:t> </w:t>
            </w:r>
          </w:p>
        </w:tc>
        <w:tc>
          <w:tcPr>
            <w:tcW w:w="0" w:type="auto"/>
            <w:vAlign w:val="bottom"/>
          </w:tcPr>
          <w:p w14:paraId="1B5340E7" w14:textId="7328D867" w:rsidR="008A6844" w:rsidRPr="000E57E3" w:rsidRDefault="008A6844" w:rsidP="000E57E3">
            <w:pPr>
              <w:pStyle w:val="Tabletext"/>
            </w:pPr>
            <w:r w:rsidRPr="000E57E3">
              <w:t> </w:t>
            </w:r>
          </w:p>
        </w:tc>
        <w:tc>
          <w:tcPr>
            <w:tcW w:w="0" w:type="auto"/>
            <w:vAlign w:val="bottom"/>
          </w:tcPr>
          <w:p w14:paraId="63EDAE2A" w14:textId="0102D4BE" w:rsidR="008A6844" w:rsidRPr="000E57E3" w:rsidRDefault="008A6844" w:rsidP="000E57E3">
            <w:pPr>
              <w:pStyle w:val="Tabletext"/>
            </w:pPr>
            <w:r w:rsidRPr="000E57E3">
              <w:t> </w:t>
            </w:r>
          </w:p>
        </w:tc>
        <w:tc>
          <w:tcPr>
            <w:tcW w:w="0" w:type="auto"/>
            <w:vAlign w:val="bottom"/>
          </w:tcPr>
          <w:p w14:paraId="303F6FB4" w14:textId="64A83119" w:rsidR="008A6844" w:rsidRPr="000E57E3" w:rsidRDefault="008A6844" w:rsidP="000E57E3">
            <w:pPr>
              <w:pStyle w:val="Tabletext"/>
            </w:pPr>
            <w:r w:rsidRPr="000E57E3">
              <w:t> </w:t>
            </w:r>
          </w:p>
        </w:tc>
        <w:tc>
          <w:tcPr>
            <w:tcW w:w="0" w:type="auto"/>
            <w:vAlign w:val="bottom"/>
          </w:tcPr>
          <w:p w14:paraId="0CAD1C31" w14:textId="23706F24" w:rsidR="008A6844" w:rsidRPr="000E57E3" w:rsidRDefault="008A6844" w:rsidP="000E57E3">
            <w:pPr>
              <w:pStyle w:val="Tabletext"/>
            </w:pPr>
            <w:r w:rsidRPr="000E57E3">
              <w:t> </w:t>
            </w:r>
          </w:p>
        </w:tc>
        <w:tc>
          <w:tcPr>
            <w:tcW w:w="0" w:type="auto"/>
            <w:vAlign w:val="bottom"/>
          </w:tcPr>
          <w:p w14:paraId="681F486F" w14:textId="2B647BF7" w:rsidR="008A6844" w:rsidRPr="000E57E3" w:rsidRDefault="008A6844" w:rsidP="000E57E3">
            <w:pPr>
              <w:pStyle w:val="Tabletext"/>
            </w:pPr>
            <w:r w:rsidRPr="000E57E3">
              <w:t>Y</w:t>
            </w:r>
          </w:p>
        </w:tc>
        <w:tc>
          <w:tcPr>
            <w:tcW w:w="0" w:type="auto"/>
            <w:vAlign w:val="bottom"/>
          </w:tcPr>
          <w:p w14:paraId="132AB2DA" w14:textId="48F47BEF" w:rsidR="008A6844" w:rsidRPr="000E57E3" w:rsidRDefault="008A6844" w:rsidP="000E57E3">
            <w:pPr>
              <w:pStyle w:val="Tabletext"/>
            </w:pPr>
            <w:r w:rsidRPr="000E57E3">
              <w:t>Facilitated</w:t>
            </w:r>
          </w:p>
        </w:tc>
      </w:tr>
      <w:tr w:rsidR="00776CCE" w:rsidRPr="008A6844" w14:paraId="0CA155DB" w14:textId="77777777" w:rsidTr="00CA44B7">
        <w:tc>
          <w:tcPr>
            <w:tcW w:w="0" w:type="auto"/>
            <w:vAlign w:val="bottom"/>
          </w:tcPr>
          <w:p w14:paraId="224051A4" w14:textId="246763A3" w:rsidR="008A6844" w:rsidRPr="000E57E3" w:rsidRDefault="008A6844" w:rsidP="000E57E3">
            <w:pPr>
              <w:pStyle w:val="Tabletext"/>
            </w:pPr>
            <w:r w:rsidRPr="000E57E3">
              <w:t>SMC3</w:t>
            </w:r>
          </w:p>
        </w:tc>
        <w:tc>
          <w:tcPr>
            <w:tcW w:w="0" w:type="auto"/>
            <w:vAlign w:val="bottom"/>
          </w:tcPr>
          <w:p w14:paraId="1888B674" w14:textId="2D663D15" w:rsidR="008A6844" w:rsidRPr="000E57E3" w:rsidRDefault="008A6844" w:rsidP="000E57E3">
            <w:pPr>
              <w:pStyle w:val="Tabletext"/>
            </w:pPr>
            <w:r w:rsidRPr="000E57E3">
              <w:t> </w:t>
            </w:r>
          </w:p>
        </w:tc>
        <w:tc>
          <w:tcPr>
            <w:tcW w:w="0" w:type="auto"/>
            <w:vAlign w:val="bottom"/>
          </w:tcPr>
          <w:p w14:paraId="4FCC4A9E" w14:textId="46421270" w:rsidR="008A6844" w:rsidRPr="000E57E3" w:rsidRDefault="008A6844" w:rsidP="000E57E3">
            <w:pPr>
              <w:pStyle w:val="Tabletext"/>
            </w:pPr>
            <w:r w:rsidRPr="000E57E3">
              <w:t> </w:t>
            </w:r>
          </w:p>
        </w:tc>
        <w:tc>
          <w:tcPr>
            <w:tcW w:w="0" w:type="auto"/>
            <w:vAlign w:val="bottom"/>
          </w:tcPr>
          <w:p w14:paraId="6B577E5D" w14:textId="6FCA3B49" w:rsidR="008A6844" w:rsidRPr="000E57E3" w:rsidRDefault="008A6844" w:rsidP="000E57E3">
            <w:pPr>
              <w:pStyle w:val="Tabletext"/>
            </w:pPr>
            <w:r w:rsidRPr="000E57E3">
              <w:t>Y</w:t>
            </w:r>
          </w:p>
        </w:tc>
        <w:tc>
          <w:tcPr>
            <w:tcW w:w="0" w:type="auto"/>
            <w:vAlign w:val="bottom"/>
          </w:tcPr>
          <w:p w14:paraId="1697B65D" w14:textId="3C514F3D" w:rsidR="008A6844" w:rsidRPr="000E57E3" w:rsidRDefault="008A6844" w:rsidP="000E57E3">
            <w:pPr>
              <w:pStyle w:val="Tabletext"/>
            </w:pPr>
            <w:r w:rsidRPr="000E57E3">
              <w:t> </w:t>
            </w:r>
          </w:p>
        </w:tc>
        <w:tc>
          <w:tcPr>
            <w:tcW w:w="0" w:type="auto"/>
            <w:vAlign w:val="bottom"/>
          </w:tcPr>
          <w:p w14:paraId="553BDBEF" w14:textId="1659AA69" w:rsidR="008A6844" w:rsidRPr="000E57E3" w:rsidRDefault="008A6844" w:rsidP="000E57E3">
            <w:pPr>
              <w:pStyle w:val="Tabletext"/>
            </w:pPr>
            <w:r w:rsidRPr="000E57E3">
              <w:t> </w:t>
            </w:r>
          </w:p>
        </w:tc>
        <w:tc>
          <w:tcPr>
            <w:tcW w:w="0" w:type="auto"/>
            <w:vAlign w:val="bottom"/>
          </w:tcPr>
          <w:p w14:paraId="74714AF8" w14:textId="08EB2A0E" w:rsidR="008A6844" w:rsidRPr="000E57E3" w:rsidRDefault="008A6844" w:rsidP="000E57E3">
            <w:pPr>
              <w:pStyle w:val="Tabletext"/>
            </w:pPr>
            <w:r w:rsidRPr="000E57E3">
              <w:t> </w:t>
            </w:r>
          </w:p>
        </w:tc>
        <w:tc>
          <w:tcPr>
            <w:tcW w:w="0" w:type="auto"/>
            <w:vAlign w:val="bottom"/>
          </w:tcPr>
          <w:p w14:paraId="3956028E" w14:textId="40B91F7F" w:rsidR="008A6844" w:rsidRPr="000E57E3" w:rsidRDefault="008A6844" w:rsidP="000E57E3">
            <w:pPr>
              <w:pStyle w:val="Tabletext"/>
            </w:pPr>
            <w:r w:rsidRPr="000E57E3">
              <w:t> </w:t>
            </w:r>
          </w:p>
        </w:tc>
        <w:tc>
          <w:tcPr>
            <w:tcW w:w="0" w:type="auto"/>
            <w:vAlign w:val="bottom"/>
          </w:tcPr>
          <w:p w14:paraId="33ACE22B" w14:textId="18FA1EC2" w:rsidR="008A6844" w:rsidRPr="000E57E3" w:rsidRDefault="008A6844" w:rsidP="000E57E3">
            <w:pPr>
              <w:pStyle w:val="Tabletext"/>
            </w:pPr>
            <w:r w:rsidRPr="000E57E3">
              <w:t> </w:t>
            </w:r>
          </w:p>
        </w:tc>
        <w:tc>
          <w:tcPr>
            <w:tcW w:w="0" w:type="auto"/>
            <w:vAlign w:val="bottom"/>
          </w:tcPr>
          <w:p w14:paraId="0A6D6AA2" w14:textId="4E7AC73A" w:rsidR="008A6844" w:rsidRPr="000E57E3" w:rsidRDefault="008A6844" w:rsidP="000E57E3">
            <w:pPr>
              <w:pStyle w:val="Tabletext"/>
            </w:pPr>
            <w:r w:rsidRPr="000E57E3">
              <w:t> </w:t>
            </w:r>
          </w:p>
        </w:tc>
        <w:tc>
          <w:tcPr>
            <w:tcW w:w="0" w:type="auto"/>
            <w:vAlign w:val="bottom"/>
          </w:tcPr>
          <w:p w14:paraId="22A0889E" w14:textId="5739D23D" w:rsidR="008A6844" w:rsidRPr="000E57E3" w:rsidRDefault="008A6844" w:rsidP="000E57E3">
            <w:pPr>
              <w:pStyle w:val="Tabletext"/>
            </w:pPr>
            <w:r w:rsidRPr="000E57E3">
              <w:t> </w:t>
            </w:r>
          </w:p>
        </w:tc>
        <w:tc>
          <w:tcPr>
            <w:tcW w:w="0" w:type="auto"/>
            <w:vAlign w:val="bottom"/>
          </w:tcPr>
          <w:p w14:paraId="03A5DEFB" w14:textId="604343A7" w:rsidR="008A6844" w:rsidRPr="000E57E3" w:rsidRDefault="008A6844" w:rsidP="000E57E3">
            <w:pPr>
              <w:pStyle w:val="Tabletext"/>
            </w:pPr>
            <w:r w:rsidRPr="000E57E3">
              <w:t>Y</w:t>
            </w:r>
          </w:p>
        </w:tc>
        <w:tc>
          <w:tcPr>
            <w:tcW w:w="0" w:type="auto"/>
            <w:vAlign w:val="bottom"/>
          </w:tcPr>
          <w:p w14:paraId="0D6804E6" w14:textId="0F87412D" w:rsidR="008A6844" w:rsidRPr="000E57E3" w:rsidRDefault="008A6844" w:rsidP="000E57E3">
            <w:pPr>
              <w:pStyle w:val="Tabletext"/>
            </w:pPr>
            <w:r w:rsidRPr="000E57E3">
              <w:t>Facilitated</w:t>
            </w:r>
          </w:p>
        </w:tc>
      </w:tr>
      <w:tr w:rsidR="00776CCE" w:rsidRPr="008A6844" w14:paraId="3C9E3D50" w14:textId="77777777" w:rsidTr="00CA44B7">
        <w:tc>
          <w:tcPr>
            <w:tcW w:w="0" w:type="auto"/>
            <w:vAlign w:val="bottom"/>
          </w:tcPr>
          <w:p w14:paraId="3E168DCB" w14:textId="1DA2EB13" w:rsidR="008A6844" w:rsidRPr="000E57E3" w:rsidRDefault="008A6844" w:rsidP="000E57E3">
            <w:pPr>
              <w:pStyle w:val="Tabletext"/>
            </w:pPr>
            <w:r w:rsidRPr="000E57E3">
              <w:t>SOCS1</w:t>
            </w:r>
          </w:p>
        </w:tc>
        <w:tc>
          <w:tcPr>
            <w:tcW w:w="0" w:type="auto"/>
            <w:vAlign w:val="bottom"/>
          </w:tcPr>
          <w:p w14:paraId="024A6CDE" w14:textId="0E20F68C" w:rsidR="008A6844" w:rsidRPr="000E57E3" w:rsidRDefault="008A6844" w:rsidP="000E57E3">
            <w:pPr>
              <w:pStyle w:val="Tabletext"/>
            </w:pPr>
            <w:r w:rsidRPr="000E57E3">
              <w:t> </w:t>
            </w:r>
          </w:p>
        </w:tc>
        <w:tc>
          <w:tcPr>
            <w:tcW w:w="0" w:type="auto"/>
            <w:vAlign w:val="bottom"/>
          </w:tcPr>
          <w:p w14:paraId="7C3F40C9" w14:textId="219F06A5" w:rsidR="008A6844" w:rsidRPr="000E57E3" w:rsidRDefault="008A6844" w:rsidP="000E57E3">
            <w:pPr>
              <w:pStyle w:val="Tabletext"/>
            </w:pPr>
            <w:r w:rsidRPr="000E57E3">
              <w:t> </w:t>
            </w:r>
          </w:p>
        </w:tc>
        <w:tc>
          <w:tcPr>
            <w:tcW w:w="0" w:type="auto"/>
            <w:vAlign w:val="bottom"/>
          </w:tcPr>
          <w:p w14:paraId="21A54B72" w14:textId="6CCE9ABE" w:rsidR="008A6844" w:rsidRPr="000E57E3" w:rsidRDefault="008A6844" w:rsidP="000E57E3">
            <w:pPr>
              <w:pStyle w:val="Tabletext"/>
            </w:pPr>
            <w:r w:rsidRPr="000E57E3">
              <w:t> </w:t>
            </w:r>
          </w:p>
        </w:tc>
        <w:tc>
          <w:tcPr>
            <w:tcW w:w="0" w:type="auto"/>
            <w:vAlign w:val="bottom"/>
          </w:tcPr>
          <w:p w14:paraId="5D4C1886" w14:textId="4D134AB5" w:rsidR="008A6844" w:rsidRPr="000E57E3" w:rsidRDefault="008A6844" w:rsidP="000E57E3">
            <w:pPr>
              <w:pStyle w:val="Tabletext"/>
            </w:pPr>
            <w:r w:rsidRPr="000E57E3">
              <w:t>Y</w:t>
            </w:r>
          </w:p>
        </w:tc>
        <w:tc>
          <w:tcPr>
            <w:tcW w:w="0" w:type="auto"/>
            <w:vAlign w:val="bottom"/>
          </w:tcPr>
          <w:p w14:paraId="4B55AACA" w14:textId="7825D9F1" w:rsidR="008A6844" w:rsidRPr="000E57E3" w:rsidRDefault="008A6844" w:rsidP="000E57E3">
            <w:pPr>
              <w:pStyle w:val="Tabletext"/>
            </w:pPr>
            <w:r w:rsidRPr="000E57E3">
              <w:t> </w:t>
            </w:r>
          </w:p>
        </w:tc>
        <w:tc>
          <w:tcPr>
            <w:tcW w:w="0" w:type="auto"/>
            <w:vAlign w:val="bottom"/>
          </w:tcPr>
          <w:p w14:paraId="3085E69E" w14:textId="5F26EABC" w:rsidR="008A6844" w:rsidRPr="000E57E3" w:rsidRDefault="008A6844" w:rsidP="000E57E3">
            <w:pPr>
              <w:pStyle w:val="Tabletext"/>
            </w:pPr>
            <w:r w:rsidRPr="000E57E3">
              <w:t> </w:t>
            </w:r>
          </w:p>
        </w:tc>
        <w:tc>
          <w:tcPr>
            <w:tcW w:w="0" w:type="auto"/>
            <w:vAlign w:val="bottom"/>
          </w:tcPr>
          <w:p w14:paraId="1BED1012" w14:textId="7308159F" w:rsidR="008A6844" w:rsidRPr="000E57E3" w:rsidRDefault="008A6844" w:rsidP="000E57E3">
            <w:pPr>
              <w:pStyle w:val="Tabletext"/>
            </w:pPr>
            <w:r w:rsidRPr="000E57E3">
              <w:t>Y</w:t>
            </w:r>
          </w:p>
        </w:tc>
        <w:tc>
          <w:tcPr>
            <w:tcW w:w="0" w:type="auto"/>
            <w:vAlign w:val="bottom"/>
          </w:tcPr>
          <w:p w14:paraId="708E3FC1" w14:textId="1832611C" w:rsidR="008A6844" w:rsidRPr="000E57E3" w:rsidRDefault="008A6844" w:rsidP="000E57E3">
            <w:pPr>
              <w:pStyle w:val="Tabletext"/>
            </w:pPr>
            <w:r w:rsidRPr="000E57E3">
              <w:t>Y</w:t>
            </w:r>
          </w:p>
        </w:tc>
        <w:tc>
          <w:tcPr>
            <w:tcW w:w="0" w:type="auto"/>
            <w:vAlign w:val="bottom"/>
          </w:tcPr>
          <w:p w14:paraId="1C30B851" w14:textId="5FC43BD2" w:rsidR="008A6844" w:rsidRPr="000E57E3" w:rsidRDefault="008A6844" w:rsidP="000E57E3">
            <w:pPr>
              <w:pStyle w:val="Tabletext"/>
            </w:pPr>
            <w:r w:rsidRPr="000E57E3">
              <w:t> </w:t>
            </w:r>
          </w:p>
        </w:tc>
        <w:tc>
          <w:tcPr>
            <w:tcW w:w="0" w:type="auto"/>
            <w:vAlign w:val="bottom"/>
          </w:tcPr>
          <w:p w14:paraId="141BAFCE" w14:textId="0637E087" w:rsidR="008A6844" w:rsidRPr="000E57E3" w:rsidRDefault="008A6844" w:rsidP="000E57E3">
            <w:pPr>
              <w:pStyle w:val="Tabletext"/>
            </w:pPr>
            <w:r w:rsidRPr="000E57E3">
              <w:t>Y</w:t>
            </w:r>
          </w:p>
        </w:tc>
        <w:tc>
          <w:tcPr>
            <w:tcW w:w="0" w:type="auto"/>
            <w:vAlign w:val="bottom"/>
          </w:tcPr>
          <w:p w14:paraId="0534240B" w14:textId="28AD4A79" w:rsidR="008A6844" w:rsidRPr="000E57E3" w:rsidRDefault="008A6844" w:rsidP="000E57E3">
            <w:pPr>
              <w:pStyle w:val="Tabletext"/>
            </w:pPr>
            <w:r w:rsidRPr="000E57E3">
              <w:t> </w:t>
            </w:r>
          </w:p>
        </w:tc>
        <w:tc>
          <w:tcPr>
            <w:tcW w:w="0" w:type="auto"/>
            <w:vAlign w:val="bottom"/>
          </w:tcPr>
          <w:p w14:paraId="3C5761EF" w14:textId="1B0EDCF9" w:rsidR="008A6844" w:rsidRPr="000E57E3" w:rsidRDefault="008A6844" w:rsidP="000E57E3">
            <w:pPr>
              <w:pStyle w:val="Tabletext"/>
            </w:pPr>
            <w:r w:rsidRPr="000E57E3">
              <w:t>Facilitated</w:t>
            </w:r>
          </w:p>
        </w:tc>
      </w:tr>
      <w:tr w:rsidR="00776CCE" w:rsidRPr="008A6844" w14:paraId="5C028644" w14:textId="77777777" w:rsidTr="00CA44B7">
        <w:tc>
          <w:tcPr>
            <w:tcW w:w="0" w:type="auto"/>
            <w:vAlign w:val="bottom"/>
          </w:tcPr>
          <w:p w14:paraId="2D915209" w14:textId="67E5D324" w:rsidR="008A6844" w:rsidRPr="000E57E3" w:rsidRDefault="008A6844" w:rsidP="000E57E3">
            <w:pPr>
              <w:pStyle w:val="Tabletext"/>
            </w:pPr>
            <w:r w:rsidRPr="000E57E3">
              <w:t>SRP54</w:t>
            </w:r>
          </w:p>
        </w:tc>
        <w:tc>
          <w:tcPr>
            <w:tcW w:w="0" w:type="auto"/>
            <w:vAlign w:val="bottom"/>
          </w:tcPr>
          <w:p w14:paraId="3B04FD55" w14:textId="76E1F041" w:rsidR="008A6844" w:rsidRPr="000E57E3" w:rsidRDefault="008A6844" w:rsidP="000E57E3">
            <w:pPr>
              <w:pStyle w:val="Tabletext"/>
            </w:pPr>
            <w:r w:rsidRPr="000E57E3">
              <w:t> </w:t>
            </w:r>
          </w:p>
        </w:tc>
        <w:tc>
          <w:tcPr>
            <w:tcW w:w="0" w:type="auto"/>
            <w:vAlign w:val="bottom"/>
          </w:tcPr>
          <w:p w14:paraId="49778C75" w14:textId="54CAE832" w:rsidR="008A6844" w:rsidRPr="000E57E3" w:rsidRDefault="008A6844" w:rsidP="000E57E3">
            <w:pPr>
              <w:pStyle w:val="Tabletext"/>
            </w:pPr>
            <w:r w:rsidRPr="000E57E3">
              <w:t> </w:t>
            </w:r>
          </w:p>
        </w:tc>
        <w:tc>
          <w:tcPr>
            <w:tcW w:w="0" w:type="auto"/>
            <w:vAlign w:val="bottom"/>
          </w:tcPr>
          <w:p w14:paraId="0A543189" w14:textId="073AA64D" w:rsidR="008A6844" w:rsidRPr="000E57E3" w:rsidRDefault="008A6844" w:rsidP="000E57E3">
            <w:pPr>
              <w:pStyle w:val="Tabletext"/>
            </w:pPr>
            <w:r w:rsidRPr="000E57E3">
              <w:t> </w:t>
            </w:r>
          </w:p>
        </w:tc>
        <w:tc>
          <w:tcPr>
            <w:tcW w:w="0" w:type="auto"/>
            <w:vAlign w:val="bottom"/>
          </w:tcPr>
          <w:p w14:paraId="5AFCFDC1" w14:textId="700A8D2B" w:rsidR="008A6844" w:rsidRPr="000E57E3" w:rsidRDefault="008A6844" w:rsidP="000E57E3">
            <w:pPr>
              <w:pStyle w:val="Tabletext"/>
            </w:pPr>
            <w:r w:rsidRPr="000E57E3">
              <w:t> </w:t>
            </w:r>
          </w:p>
        </w:tc>
        <w:tc>
          <w:tcPr>
            <w:tcW w:w="0" w:type="auto"/>
            <w:vAlign w:val="bottom"/>
          </w:tcPr>
          <w:p w14:paraId="369FBCAA" w14:textId="5FD6A979" w:rsidR="008A6844" w:rsidRPr="000E57E3" w:rsidRDefault="008A6844" w:rsidP="000E57E3">
            <w:pPr>
              <w:pStyle w:val="Tabletext"/>
            </w:pPr>
            <w:r w:rsidRPr="000E57E3">
              <w:t> </w:t>
            </w:r>
          </w:p>
        </w:tc>
        <w:tc>
          <w:tcPr>
            <w:tcW w:w="0" w:type="auto"/>
            <w:vAlign w:val="bottom"/>
          </w:tcPr>
          <w:p w14:paraId="2915A0A6" w14:textId="493074BA" w:rsidR="008A6844" w:rsidRPr="000E57E3" w:rsidRDefault="008A6844" w:rsidP="000E57E3">
            <w:pPr>
              <w:pStyle w:val="Tabletext"/>
            </w:pPr>
            <w:r w:rsidRPr="000E57E3">
              <w:t>Y</w:t>
            </w:r>
          </w:p>
        </w:tc>
        <w:tc>
          <w:tcPr>
            <w:tcW w:w="0" w:type="auto"/>
            <w:vAlign w:val="bottom"/>
          </w:tcPr>
          <w:p w14:paraId="3DC0C072" w14:textId="62FAE161" w:rsidR="008A6844" w:rsidRPr="000E57E3" w:rsidRDefault="008A6844" w:rsidP="000E57E3">
            <w:pPr>
              <w:pStyle w:val="Tabletext"/>
            </w:pPr>
            <w:r w:rsidRPr="000E57E3">
              <w:t> </w:t>
            </w:r>
          </w:p>
        </w:tc>
        <w:tc>
          <w:tcPr>
            <w:tcW w:w="0" w:type="auto"/>
            <w:vAlign w:val="bottom"/>
          </w:tcPr>
          <w:p w14:paraId="26A39B79" w14:textId="4DA52FF6" w:rsidR="008A6844" w:rsidRPr="000E57E3" w:rsidRDefault="008A6844" w:rsidP="000E57E3">
            <w:pPr>
              <w:pStyle w:val="Tabletext"/>
            </w:pPr>
            <w:r w:rsidRPr="000E57E3">
              <w:t> </w:t>
            </w:r>
          </w:p>
        </w:tc>
        <w:tc>
          <w:tcPr>
            <w:tcW w:w="0" w:type="auto"/>
            <w:vAlign w:val="bottom"/>
          </w:tcPr>
          <w:p w14:paraId="6D90446D" w14:textId="552DD585" w:rsidR="008A6844" w:rsidRPr="000E57E3" w:rsidRDefault="008A6844" w:rsidP="000E57E3">
            <w:pPr>
              <w:pStyle w:val="Tabletext"/>
            </w:pPr>
            <w:r w:rsidRPr="000E57E3">
              <w:t> </w:t>
            </w:r>
          </w:p>
        </w:tc>
        <w:tc>
          <w:tcPr>
            <w:tcW w:w="0" w:type="auto"/>
            <w:vAlign w:val="bottom"/>
          </w:tcPr>
          <w:p w14:paraId="529DF0C6" w14:textId="5A653165" w:rsidR="008A6844" w:rsidRPr="000E57E3" w:rsidRDefault="008A6844" w:rsidP="000E57E3">
            <w:pPr>
              <w:pStyle w:val="Tabletext"/>
            </w:pPr>
            <w:r w:rsidRPr="000E57E3">
              <w:t> </w:t>
            </w:r>
          </w:p>
        </w:tc>
        <w:tc>
          <w:tcPr>
            <w:tcW w:w="0" w:type="auto"/>
            <w:vAlign w:val="bottom"/>
          </w:tcPr>
          <w:p w14:paraId="102ABA6B" w14:textId="7724E6F9" w:rsidR="008A6844" w:rsidRPr="000E57E3" w:rsidRDefault="008A6844" w:rsidP="000E57E3">
            <w:pPr>
              <w:pStyle w:val="Tabletext"/>
            </w:pPr>
            <w:r w:rsidRPr="000E57E3">
              <w:t> </w:t>
            </w:r>
          </w:p>
        </w:tc>
        <w:tc>
          <w:tcPr>
            <w:tcW w:w="0" w:type="auto"/>
            <w:vAlign w:val="bottom"/>
          </w:tcPr>
          <w:p w14:paraId="523E5038" w14:textId="5DBDE540" w:rsidR="008A6844" w:rsidRPr="000E57E3" w:rsidRDefault="008A6844" w:rsidP="000E57E3">
            <w:pPr>
              <w:pStyle w:val="Tabletext"/>
            </w:pPr>
            <w:r w:rsidRPr="000E57E3">
              <w:t>Facilitated</w:t>
            </w:r>
          </w:p>
        </w:tc>
      </w:tr>
      <w:tr w:rsidR="00776CCE" w:rsidRPr="008A6844" w14:paraId="7F63CC14" w14:textId="77777777" w:rsidTr="00CA44B7">
        <w:tc>
          <w:tcPr>
            <w:tcW w:w="0" w:type="auto"/>
            <w:vAlign w:val="bottom"/>
          </w:tcPr>
          <w:p w14:paraId="42BAF4B7" w14:textId="32990D4F" w:rsidR="008A6844" w:rsidRPr="000E57E3" w:rsidRDefault="008A6844" w:rsidP="000E57E3">
            <w:pPr>
              <w:pStyle w:val="Tabletext"/>
            </w:pPr>
            <w:r w:rsidRPr="000E57E3">
              <w:t>SRP72</w:t>
            </w:r>
          </w:p>
        </w:tc>
        <w:tc>
          <w:tcPr>
            <w:tcW w:w="0" w:type="auto"/>
            <w:vAlign w:val="bottom"/>
          </w:tcPr>
          <w:p w14:paraId="194ADA5D" w14:textId="34A054DC" w:rsidR="008A6844" w:rsidRPr="000E57E3" w:rsidRDefault="008A6844" w:rsidP="000E57E3">
            <w:pPr>
              <w:pStyle w:val="Tabletext"/>
            </w:pPr>
            <w:r w:rsidRPr="000E57E3">
              <w:t> </w:t>
            </w:r>
          </w:p>
        </w:tc>
        <w:tc>
          <w:tcPr>
            <w:tcW w:w="0" w:type="auto"/>
            <w:vAlign w:val="bottom"/>
          </w:tcPr>
          <w:p w14:paraId="67A7D901" w14:textId="05E44881" w:rsidR="008A6844" w:rsidRPr="000E57E3" w:rsidRDefault="008A6844" w:rsidP="000E57E3">
            <w:pPr>
              <w:pStyle w:val="Tabletext"/>
            </w:pPr>
            <w:r w:rsidRPr="000E57E3">
              <w:t> </w:t>
            </w:r>
          </w:p>
        </w:tc>
        <w:tc>
          <w:tcPr>
            <w:tcW w:w="0" w:type="auto"/>
            <w:vAlign w:val="bottom"/>
          </w:tcPr>
          <w:p w14:paraId="2D3CF68C" w14:textId="21BE2268" w:rsidR="008A6844" w:rsidRPr="000E57E3" w:rsidRDefault="008A6844" w:rsidP="000E57E3">
            <w:pPr>
              <w:pStyle w:val="Tabletext"/>
            </w:pPr>
            <w:r w:rsidRPr="000E57E3">
              <w:t> </w:t>
            </w:r>
          </w:p>
        </w:tc>
        <w:tc>
          <w:tcPr>
            <w:tcW w:w="0" w:type="auto"/>
            <w:vAlign w:val="bottom"/>
          </w:tcPr>
          <w:p w14:paraId="16CB2404" w14:textId="163AA356" w:rsidR="008A6844" w:rsidRPr="000E57E3" w:rsidRDefault="008A6844" w:rsidP="000E57E3">
            <w:pPr>
              <w:pStyle w:val="Tabletext"/>
            </w:pPr>
            <w:r w:rsidRPr="000E57E3">
              <w:t> </w:t>
            </w:r>
          </w:p>
        </w:tc>
        <w:tc>
          <w:tcPr>
            <w:tcW w:w="0" w:type="auto"/>
            <w:vAlign w:val="bottom"/>
          </w:tcPr>
          <w:p w14:paraId="0A31680D" w14:textId="6298CC84" w:rsidR="008A6844" w:rsidRPr="000E57E3" w:rsidRDefault="008A6844" w:rsidP="000E57E3">
            <w:pPr>
              <w:pStyle w:val="Tabletext"/>
            </w:pPr>
            <w:r w:rsidRPr="000E57E3">
              <w:t> </w:t>
            </w:r>
          </w:p>
        </w:tc>
        <w:tc>
          <w:tcPr>
            <w:tcW w:w="0" w:type="auto"/>
            <w:vAlign w:val="bottom"/>
          </w:tcPr>
          <w:p w14:paraId="24716FD9" w14:textId="1AEADF96" w:rsidR="008A6844" w:rsidRPr="000E57E3" w:rsidRDefault="008A6844" w:rsidP="000E57E3">
            <w:pPr>
              <w:pStyle w:val="Tabletext"/>
            </w:pPr>
            <w:r w:rsidRPr="000E57E3">
              <w:t>Y</w:t>
            </w:r>
          </w:p>
        </w:tc>
        <w:tc>
          <w:tcPr>
            <w:tcW w:w="0" w:type="auto"/>
            <w:vAlign w:val="bottom"/>
          </w:tcPr>
          <w:p w14:paraId="2EDCA95B" w14:textId="3F904C18" w:rsidR="008A6844" w:rsidRPr="000E57E3" w:rsidRDefault="008A6844" w:rsidP="000E57E3">
            <w:pPr>
              <w:pStyle w:val="Tabletext"/>
            </w:pPr>
            <w:r w:rsidRPr="000E57E3">
              <w:t> </w:t>
            </w:r>
          </w:p>
        </w:tc>
        <w:tc>
          <w:tcPr>
            <w:tcW w:w="0" w:type="auto"/>
            <w:vAlign w:val="bottom"/>
          </w:tcPr>
          <w:p w14:paraId="6259D382" w14:textId="1DC3FCF4" w:rsidR="008A6844" w:rsidRPr="000E57E3" w:rsidRDefault="008A6844" w:rsidP="000E57E3">
            <w:pPr>
              <w:pStyle w:val="Tabletext"/>
            </w:pPr>
            <w:r w:rsidRPr="000E57E3">
              <w:t> </w:t>
            </w:r>
          </w:p>
        </w:tc>
        <w:tc>
          <w:tcPr>
            <w:tcW w:w="0" w:type="auto"/>
            <w:vAlign w:val="bottom"/>
          </w:tcPr>
          <w:p w14:paraId="2B141F0F" w14:textId="02CBD404" w:rsidR="008A6844" w:rsidRPr="000E57E3" w:rsidRDefault="008A6844" w:rsidP="000E57E3">
            <w:pPr>
              <w:pStyle w:val="Tabletext"/>
            </w:pPr>
            <w:r w:rsidRPr="000E57E3">
              <w:t> </w:t>
            </w:r>
          </w:p>
        </w:tc>
        <w:tc>
          <w:tcPr>
            <w:tcW w:w="0" w:type="auto"/>
            <w:vAlign w:val="bottom"/>
          </w:tcPr>
          <w:p w14:paraId="3DF84D74" w14:textId="609159D8" w:rsidR="008A6844" w:rsidRPr="000E57E3" w:rsidRDefault="008A6844" w:rsidP="000E57E3">
            <w:pPr>
              <w:pStyle w:val="Tabletext"/>
            </w:pPr>
            <w:r w:rsidRPr="000E57E3">
              <w:t> </w:t>
            </w:r>
          </w:p>
        </w:tc>
        <w:tc>
          <w:tcPr>
            <w:tcW w:w="0" w:type="auto"/>
            <w:vAlign w:val="bottom"/>
          </w:tcPr>
          <w:p w14:paraId="79C02E28" w14:textId="43309CBF" w:rsidR="008A6844" w:rsidRPr="000E57E3" w:rsidRDefault="008A6844" w:rsidP="000E57E3">
            <w:pPr>
              <w:pStyle w:val="Tabletext"/>
            </w:pPr>
            <w:r w:rsidRPr="000E57E3">
              <w:t> </w:t>
            </w:r>
          </w:p>
        </w:tc>
        <w:tc>
          <w:tcPr>
            <w:tcW w:w="0" w:type="auto"/>
            <w:vAlign w:val="bottom"/>
          </w:tcPr>
          <w:p w14:paraId="5CB7BE9F" w14:textId="3AFA1DBC" w:rsidR="008A6844" w:rsidRPr="000E57E3" w:rsidRDefault="008A6844" w:rsidP="000E57E3">
            <w:pPr>
              <w:pStyle w:val="Tabletext"/>
            </w:pPr>
            <w:r w:rsidRPr="000E57E3">
              <w:t>Facilitated</w:t>
            </w:r>
          </w:p>
        </w:tc>
      </w:tr>
      <w:tr w:rsidR="00776CCE" w:rsidRPr="008A6844" w14:paraId="1F1DB512" w14:textId="77777777" w:rsidTr="00CA44B7">
        <w:tc>
          <w:tcPr>
            <w:tcW w:w="0" w:type="auto"/>
            <w:vAlign w:val="bottom"/>
          </w:tcPr>
          <w:p w14:paraId="6E34363D" w14:textId="51B82A50" w:rsidR="008A6844" w:rsidRPr="000E57E3" w:rsidRDefault="008A6844" w:rsidP="000E57E3">
            <w:pPr>
              <w:pStyle w:val="Tabletext"/>
            </w:pPr>
            <w:r w:rsidRPr="000E57E3">
              <w:t>STAG2</w:t>
            </w:r>
          </w:p>
        </w:tc>
        <w:tc>
          <w:tcPr>
            <w:tcW w:w="0" w:type="auto"/>
            <w:vAlign w:val="bottom"/>
          </w:tcPr>
          <w:p w14:paraId="6411BB3E" w14:textId="213C1070" w:rsidR="008A6844" w:rsidRPr="000E57E3" w:rsidRDefault="008A6844" w:rsidP="000E57E3">
            <w:pPr>
              <w:pStyle w:val="Tabletext"/>
            </w:pPr>
            <w:r w:rsidRPr="000E57E3">
              <w:t> </w:t>
            </w:r>
          </w:p>
        </w:tc>
        <w:tc>
          <w:tcPr>
            <w:tcW w:w="0" w:type="auto"/>
            <w:vAlign w:val="bottom"/>
          </w:tcPr>
          <w:p w14:paraId="174927BF" w14:textId="184F5635" w:rsidR="008A6844" w:rsidRPr="000E57E3" w:rsidRDefault="008A6844" w:rsidP="000E57E3">
            <w:pPr>
              <w:pStyle w:val="Tabletext"/>
            </w:pPr>
            <w:r w:rsidRPr="000E57E3">
              <w:t> </w:t>
            </w:r>
          </w:p>
        </w:tc>
        <w:tc>
          <w:tcPr>
            <w:tcW w:w="0" w:type="auto"/>
            <w:vAlign w:val="bottom"/>
          </w:tcPr>
          <w:p w14:paraId="6C868547" w14:textId="36AAE79A" w:rsidR="008A6844" w:rsidRPr="000E57E3" w:rsidRDefault="008A6844" w:rsidP="000E57E3">
            <w:pPr>
              <w:pStyle w:val="Tabletext"/>
            </w:pPr>
            <w:r w:rsidRPr="000E57E3">
              <w:t>Y</w:t>
            </w:r>
          </w:p>
        </w:tc>
        <w:tc>
          <w:tcPr>
            <w:tcW w:w="0" w:type="auto"/>
            <w:vAlign w:val="bottom"/>
          </w:tcPr>
          <w:p w14:paraId="7FB3EC26" w14:textId="5583C933" w:rsidR="008A6844" w:rsidRPr="000E57E3" w:rsidRDefault="008A6844" w:rsidP="000E57E3">
            <w:pPr>
              <w:pStyle w:val="Tabletext"/>
            </w:pPr>
            <w:r w:rsidRPr="000E57E3">
              <w:t> </w:t>
            </w:r>
          </w:p>
        </w:tc>
        <w:tc>
          <w:tcPr>
            <w:tcW w:w="0" w:type="auto"/>
            <w:vAlign w:val="bottom"/>
          </w:tcPr>
          <w:p w14:paraId="34777BA5" w14:textId="3BCA8397" w:rsidR="008A6844" w:rsidRPr="000E57E3" w:rsidRDefault="008A6844" w:rsidP="000E57E3">
            <w:pPr>
              <w:pStyle w:val="Tabletext"/>
            </w:pPr>
            <w:r w:rsidRPr="000E57E3">
              <w:t>Y</w:t>
            </w:r>
          </w:p>
        </w:tc>
        <w:tc>
          <w:tcPr>
            <w:tcW w:w="0" w:type="auto"/>
            <w:vAlign w:val="bottom"/>
          </w:tcPr>
          <w:p w14:paraId="66CF3CEF" w14:textId="63271E6E" w:rsidR="008A6844" w:rsidRPr="000E57E3" w:rsidRDefault="008A6844" w:rsidP="000E57E3">
            <w:pPr>
              <w:pStyle w:val="Tabletext"/>
            </w:pPr>
            <w:r w:rsidRPr="000E57E3">
              <w:t> </w:t>
            </w:r>
          </w:p>
        </w:tc>
        <w:tc>
          <w:tcPr>
            <w:tcW w:w="0" w:type="auto"/>
            <w:vAlign w:val="bottom"/>
          </w:tcPr>
          <w:p w14:paraId="37618E6B" w14:textId="6EC75559" w:rsidR="008A6844" w:rsidRPr="000E57E3" w:rsidRDefault="008A6844" w:rsidP="000E57E3">
            <w:pPr>
              <w:pStyle w:val="Tabletext"/>
            </w:pPr>
            <w:r w:rsidRPr="000E57E3">
              <w:t> </w:t>
            </w:r>
          </w:p>
        </w:tc>
        <w:tc>
          <w:tcPr>
            <w:tcW w:w="0" w:type="auto"/>
            <w:vAlign w:val="bottom"/>
          </w:tcPr>
          <w:p w14:paraId="34A1606F" w14:textId="70222D0B" w:rsidR="008A6844" w:rsidRPr="000E57E3" w:rsidRDefault="008A6844" w:rsidP="000E57E3">
            <w:pPr>
              <w:pStyle w:val="Tabletext"/>
            </w:pPr>
            <w:r w:rsidRPr="000E57E3">
              <w:t> </w:t>
            </w:r>
          </w:p>
        </w:tc>
        <w:tc>
          <w:tcPr>
            <w:tcW w:w="0" w:type="auto"/>
            <w:vAlign w:val="bottom"/>
          </w:tcPr>
          <w:p w14:paraId="2DFD59B1" w14:textId="6A26E69F" w:rsidR="008A6844" w:rsidRPr="000E57E3" w:rsidRDefault="008A6844" w:rsidP="000E57E3">
            <w:pPr>
              <w:pStyle w:val="Tabletext"/>
            </w:pPr>
            <w:r w:rsidRPr="000E57E3">
              <w:t> </w:t>
            </w:r>
          </w:p>
        </w:tc>
        <w:tc>
          <w:tcPr>
            <w:tcW w:w="0" w:type="auto"/>
            <w:vAlign w:val="bottom"/>
          </w:tcPr>
          <w:p w14:paraId="6B66AD32" w14:textId="716A43B1" w:rsidR="008A6844" w:rsidRPr="000E57E3" w:rsidRDefault="008A6844" w:rsidP="000E57E3">
            <w:pPr>
              <w:pStyle w:val="Tabletext"/>
            </w:pPr>
            <w:r w:rsidRPr="000E57E3">
              <w:t> </w:t>
            </w:r>
          </w:p>
        </w:tc>
        <w:tc>
          <w:tcPr>
            <w:tcW w:w="0" w:type="auto"/>
            <w:vAlign w:val="bottom"/>
          </w:tcPr>
          <w:p w14:paraId="5D0F4575" w14:textId="14B3C6A7" w:rsidR="008A6844" w:rsidRPr="000E57E3" w:rsidRDefault="008A6844" w:rsidP="000E57E3">
            <w:pPr>
              <w:pStyle w:val="Tabletext"/>
            </w:pPr>
            <w:r w:rsidRPr="000E57E3">
              <w:t>Y</w:t>
            </w:r>
          </w:p>
        </w:tc>
        <w:tc>
          <w:tcPr>
            <w:tcW w:w="0" w:type="auto"/>
            <w:vAlign w:val="bottom"/>
          </w:tcPr>
          <w:p w14:paraId="2DE881BB" w14:textId="4FD8B721" w:rsidR="008A6844" w:rsidRPr="000E57E3" w:rsidRDefault="008A6844" w:rsidP="000E57E3">
            <w:pPr>
              <w:pStyle w:val="Tabletext"/>
            </w:pPr>
            <w:r w:rsidRPr="000E57E3">
              <w:t>Facilitated</w:t>
            </w:r>
          </w:p>
        </w:tc>
      </w:tr>
      <w:tr w:rsidR="00776CCE" w:rsidRPr="008A6844" w14:paraId="48B04A1B" w14:textId="77777777" w:rsidTr="00CA44B7">
        <w:tc>
          <w:tcPr>
            <w:tcW w:w="0" w:type="auto"/>
            <w:vAlign w:val="bottom"/>
          </w:tcPr>
          <w:p w14:paraId="3A54DF0F" w14:textId="2E17BE35" w:rsidR="008A6844" w:rsidRPr="000E57E3" w:rsidRDefault="008A6844" w:rsidP="000E57E3">
            <w:pPr>
              <w:pStyle w:val="Tabletext"/>
            </w:pPr>
            <w:r w:rsidRPr="000E57E3">
              <w:t>TCF3</w:t>
            </w:r>
          </w:p>
        </w:tc>
        <w:tc>
          <w:tcPr>
            <w:tcW w:w="0" w:type="auto"/>
            <w:vAlign w:val="bottom"/>
          </w:tcPr>
          <w:p w14:paraId="64FE1697" w14:textId="5FE8CD45" w:rsidR="008A6844" w:rsidRPr="000E57E3" w:rsidRDefault="008A6844" w:rsidP="000E57E3">
            <w:pPr>
              <w:pStyle w:val="Tabletext"/>
            </w:pPr>
            <w:r w:rsidRPr="000E57E3">
              <w:t> </w:t>
            </w:r>
          </w:p>
        </w:tc>
        <w:tc>
          <w:tcPr>
            <w:tcW w:w="0" w:type="auto"/>
            <w:vAlign w:val="bottom"/>
          </w:tcPr>
          <w:p w14:paraId="02B59E63" w14:textId="0117BDFE" w:rsidR="008A6844" w:rsidRPr="000E57E3" w:rsidRDefault="008A6844" w:rsidP="000E57E3">
            <w:pPr>
              <w:pStyle w:val="Tabletext"/>
            </w:pPr>
            <w:r w:rsidRPr="000E57E3">
              <w:t> </w:t>
            </w:r>
          </w:p>
        </w:tc>
        <w:tc>
          <w:tcPr>
            <w:tcW w:w="0" w:type="auto"/>
            <w:vAlign w:val="bottom"/>
          </w:tcPr>
          <w:p w14:paraId="0C89F54A" w14:textId="06E0584C" w:rsidR="008A6844" w:rsidRPr="000E57E3" w:rsidRDefault="008A6844" w:rsidP="000E57E3">
            <w:pPr>
              <w:pStyle w:val="Tabletext"/>
            </w:pPr>
            <w:r w:rsidRPr="000E57E3">
              <w:t> </w:t>
            </w:r>
          </w:p>
        </w:tc>
        <w:tc>
          <w:tcPr>
            <w:tcW w:w="0" w:type="auto"/>
            <w:vAlign w:val="bottom"/>
          </w:tcPr>
          <w:p w14:paraId="2393C9A4" w14:textId="67A816BA" w:rsidR="008A6844" w:rsidRPr="000E57E3" w:rsidRDefault="008A6844" w:rsidP="000E57E3">
            <w:pPr>
              <w:pStyle w:val="Tabletext"/>
            </w:pPr>
            <w:r w:rsidRPr="000E57E3">
              <w:t> </w:t>
            </w:r>
          </w:p>
        </w:tc>
        <w:tc>
          <w:tcPr>
            <w:tcW w:w="0" w:type="auto"/>
            <w:vAlign w:val="bottom"/>
          </w:tcPr>
          <w:p w14:paraId="77AB540F" w14:textId="367CCEFA" w:rsidR="008A6844" w:rsidRPr="000E57E3" w:rsidRDefault="008A6844" w:rsidP="000E57E3">
            <w:pPr>
              <w:pStyle w:val="Tabletext"/>
            </w:pPr>
            <w:r w:rsidRPr="000E57E3">
              <w:t>Y</w:t>
            </w:r>
          </w:p>
        </w:tc>
        <w:tc>
          <w:tcPr>
            <w:tcW w:w="0" w:type="auto"/>
            <w:vAlign w:val="bottom"/>
          </w:tcPr>
          <w:p w14:paraId="02C4BCF3" w14:textId="6D1D101A" w:rsidR="008A6844" w:rsidRPr="000E57E3" w:rsidRDefault="008A6844" w:rsidP="000E57E3">
            <w:pPr>
              <w:pStyle w:val="Tabletext"/>
            </w:pPr>
            <w:r w:rsidRPr="000E57E3">
              <w:t> </w:t>
            </w:r>
          </w:p>
        </w:tc>
        <w:tc>
          <w:tcPr>
            <w:tcW w:w="0" w:type="auto"/>
            <w:vAlign w:val="bottom"/>
          </w:tcPr>
          <w:p w14:paraId="50916AF4" w14:textId="0EFFB9FF" w:rsidR="008A6844" w:rsidRPr="000E57E3" w:rsidRDefault="008A6844" w:rsidP="000E57E3">
            <w:pPr>
              <w:pStyle w:val="Tabletext"/>
            </w:pPr>
            <w:r w:rsidRPr="000E57E3">
              <w:t>Y</w:t>
            </w:r>
          </w:p>
        </w:tc>
        <w:tc>
          <w:tcPr>
            <w:tcW w:w="0" w:type="auto"/>
            <w:vAlign w:val="bottom"/>
          </w:tcPr>
          <w:p w14:paraId="75C0E0B7" w14:textId="038F2B8E" w:rsidR="008A6844" w:rsidRPr="000E57E3" w:rsidRDefault="008A6844" w:rsidP="000E57E3">
            <w:pPr>
              <w:pStyle w:val="Tabletext"/>
            </w:pPr>
            <w:r w:rsidRPr="000E57E3">
              <w:t>Y</w:t>
            </w:r>
          </w:p>
        </w:tc>
        <w:tc>
          <w:tcPr>
            <w:tcW w:w="0" w:type="auto"/>
            <w:vAlign w:val="bottom"/>
          </w:tcPr>
          <w:p w14:paraId="0379C7AB" w14:textId="268697BE" w:rsidR="008A6844" w:rsidRPr="000E57E3" w:rsidRDefault="008A6844" w:rsidP="000E57E3">
            <w:pPr>
              <w:pStyle w:val="Tabletext"/>
            </w:pPr>
            <w:r w:rsidRPr="000E57E3">
              <w:t> </w:t>
            </w:r>
          </w:p>
        </w:tc>
        <w:tc>
          <w:tcPr>
            <w:tcW w:w="0" w:type="auto"/>
            <w:vAlign w:val="bottom"/>
          </w:tcPr>
          <w:p w14:paraId="71ED8FE8" w14:textId="14780D7F" w:rsidR="008A6844" w:rsidRPr="000E57E3" w:rsidRDefault="008A6844" w:rsidP="000E57E3">
            <w:pPr>
              <w:pStyle w:val="Tabletext"/>
            </w:pPr>
            <w:r w:rsidRPr="000E57E3">
              <w:t>Y</w:t>
            </w:r>
          </w:p>
        </w:tc>
        <w:tc>
          <w:tcPr>
            <w:tcW w:w="0" w:type="auto"/>
            <w:vAlign w:val="bottom"/>
          </w:tcPr>
          <w:p w14:paraId="41B6BE9A" w14:textId="5CAA80D3" w:rsidR="008A6844" w:rsidRPr="000E57E3" w:rsidRDefault="008A6844" w:rsidP="000E57E3">
            <w:pPr>
              <w:pStyle w:val="Tabletext"/>
            </w:pPr>
            <w:r w:rsidRPr="000E57E3">
              <w:t> </w:t>
            </w:r>
          </w:p>
        </w:tc>
        <w:tc>
          <w:tcPr>
            <w:tcW w:w="0" w:type="auto"/>
            <w:vAlign w:val="bottom"/>
          </w:tcPr>
          <w:p w14:paraId="1ABAF596" w14:textId="141D07A1" w:rsidR="008A6844" w:rsidRPr="000E57E3" w:rsidRDefault="008A6844" w:rsidP="000E57E3">
            <w:pPr>
              <w:pStyle w:val="Tabletext"/>
            </w:pPr>
            <w:r w:rsidRPr="000E57E3">
              <w:t>Facilitated</w:t>
            </w:r>
          </w:p>
        </w:tc>
      </w:tr>
      <w:tr w:rsidR="00776CCE" w:rsidRPr="008A6844" w14:paraId="5376AB81" w14:textId="77777777" w:rsidTr="00CA44B7">
        <w:tc>
          <w:tcPr>
            <w:tcW w:w="0" w:type="auto"/>
            <w:vAlign w:val="bottom"/>
          </w:tcPr>
          <w:p w14:paraId="23BA4350" w14:textId="0A9E4C5B" w:rsidR="008A6844" w:rsidRPr="000E57E3" w:rsidRDefault="008A6844" w:rsidP="000E57E3">
            <w:pPr>
              <w:pStyle w:val="Tabletext"/>
            </w:pPr>
            <w:r w:rsidRPr="000E57E3">
              <w:t>TFE3</w:t>
            </w:r>
          </w:p>
        </w:tc>
        <w:tc>
          <w:tcPr>
            <w:tcW w:w="0" w:type="auto"/>
            <w:vAlign w:val="bottom"/>
          </w:tcPr>
          <w:p w14:paraId="3BB5194C" w14:textId="75E40663" w:rsidR="008A6844" w:rsidRPr="000E57E3" w:rsidRDefault="008A6844" w:rsidP="000E57E3">
            <w:pPr>
              <w:pStyle w:val="Tabletext"/>
            </w:pPr>
            <w:r w:rsidRPr="000E57E3">
              <w:t> </w:t>
            </w:r>
          </w:p>
        </w:tc>
        <w:tc>
          <w:tcPr>
            <w:tcW w:w="0" w:type="auto"/>
            <w:vAlign w:val="bottom"/>
          </w:tcPr>
          <w:p w14:paraId="2D984C28" w14:textId="47D6012B" w:rsidR="008A6844" w:rsidRPr="000E57E3" w:rsidRDefault="008A6844" w:rsidP="000E57E3">
            <w:pPr>
              <w:pStyle w:val="Tabletext"/>
            </w:pPr>
            <w:r w:rsidRPr="000E57E3">
              <w:t> </w:t>
            </w:r>
          </w:p>
        </w:tc>
        <w:tc>
          <w:tcPr>
            <w:tcW w:w="0" w:type="auto"/>
            <w:vAlign w:val="bottom"/>
          </w:tcPr>
          <w:p w14:paraId="46AE6250" w14:textId="77F7BC8A" w:rsidR="008A6844" w:rsidRPr="000E57E3" w:rsidRDefault="008A6844" w:rsidP="000E57E3">
            <w:pPr>
              <w:pStyle w:val="Tabletext"/>
            </w:pPr>
            <w:r w:rsidRPr="000E57E3">
              <w:t> </w:t>
            </w:r>
          </w:p>
        </w:tc>
        <w:tc>
          <w:tcPr>
            <w:tcW w:w="0" w:type="auto"/>
            <w:vAlign w:val="bottom"/>
          </w:tcPr>
          <w:p w14:paraId="2AFE715A" w14:textId="7608E5E0" w:rsidR="008A6844" w:rsidRPr="000E57E3" w:rsidRDefault="008A6844" w:rsidP="000E57E3">
            <w:pPr>
              <w:pStyle w:val="Tabletext"/>
            </w:pPr>
            <w:r w:rsidRPr="000E57E3">
              <w:t> </w:t>
            </w:r>
          </w:p>
        </w:tc>
        <w:tc>
          <w:tcPr>
            <w:tcW w:w="0" w:type="auto"/>
            <w:vAlign w:val="bottom"/>
          </w:tcPr>
          <w:p w14:paraId="7E4F5ECF" w14:textId="4E67CA5F" w:rsidR="008A6844" w:rsidRPr="000E57E3" w:rsidRDefault="008A6844" w:rsidP="000E57E3">
            <w:pPr>
              <w:pStyle w:val="Tabletext"/>
            </w:pPr>
            <w:r w:rsidRPr="000E57E3">
              <w:t>Y</w:t>
            </w:r>
          </w:p>
        </w:tc>
        <w:tc>
          <w:tcPr>
            <w:tcW w:w="0" w:type="auto"/>
            <w:vAlign w:val="bottom"/>
          </w:tcPr>
          <w:p w14:paraId="45F53897" w14:textId="7ECB6C0F" w:rsidR="008A6844" w:rsidRPr="000E57E3" w:rsidRDefault="008A6844" w:rsidP="000E57E3">
            <w:pPr>
              <w:pStyle w:val="Tabletext"/>
            </w:pPr>
            <w:r w:rsidRPr="000E57E3">
              <w:t> </w:t>
            </w:r>
          </w:p>
        </w:tc>
        <w:tc>
          <w:tcPr>
            <w:tcW w:w="0" w:type="auto"/>
            <w:vAlign w:val="bottom"/>
          </w:tcPr>
          <w:p w14:paraId="6B88C967" w14:textId="5CFD7B93" w:rsidR="008A6844" w:rsidRPr="000E57E3" w:rsidRDefault="008A6844" w:rsidP="000E57E3">
            <w:pPr>
              <w:pStyle w:val="Tabletext"/>
            </w:pPr>
            <w:r w:rsidRPr="000E57E3">
              <w:t> </w:t>
            </w:r>
          </w:p>
        </w:tc>
        <w:tc>
          <w:tcPr>
            <w:tcW w:w="0" w:type="auto"/>
            <w:vAlign w:val="bottom"/>
          </w:tcPr>
          <w:p w14:paraId="79A3585E" w14:textId="037AA79F" w:rsidR="008A6844" w:rsidRPr="000E57E3" w:rsidRDefault="008A6844" w:rsidP="000E57E3">
            <w:pPr>
              <w:pStyle w:val="Tabletext"/>
            </w:pPr>
            <w:r w:rsidRPr="000E57E3">
              <w:t> </w:t>
            </w:r>
          </w:p>
        </w:tc>
        <w:tc>
          <w:tcPr>
            <w:tcW w:w="0" w:type="auto"/>
            <w:vAlign w:val="bottom"/>
          </w:tcPr>
          <w:p w14:paraId="0A821A58" w14:textId="137D43D9" w:rsidR="008A6844" w:rsidRPr="000E57E3" w:rsidRDefault="008A6844" w:rsidP="000E57E3">
            <w:pPr>
              <w:pStyle w:val="Tabletext"/>
            </w:pPr>
            <w:r w:rsidRPr="000E57E3">
              <w:t> </w:t>
            </w:r>
          </w:p>
        </w:tc>
        <w:tc>
          <w:tcPr>
            <w:tcW w:w="0" w:type="auto"/>
            <w:vAlign w:val="bottom"/>
          </w:tcPr>
          <w:p w14:paraId="3C394FC0" w14:textId="47A0A171" w:rsidR="008A6844" w:rsidRPr="000E57E3" w:rsidRDefault="008A6844" w:rsidP="000E57E3">
            <w:pPr>
              <w:pStyle w:val="Tabletext"/>
            </w:pPr>
            <w:r w:rsidRPr="000E57E3">
              <w:t> </w:t>
            </w:r>
          </w:p>
        </w:tc>
        <w:tc>
          <w:tcPr>
            <w:tcW w:w="0" w:type="auto"/>
            <w:vAlign w:val="bottom"/>
          </w:tcPr>
          <w:p w14:paraId="7DB551E9" w14:textId="785E3C12" w:rsidR="008A6844" w:rsidRPr="000E57E3" w:rsidRDefault="008A6844" w:rsidP="000E57E3">
            <w:pPr>
              <w:pStyle w:val="Tabletext"/>
            </w:pPr>
            <w:r w:rsidRPr="000E57E3">
              <w:t> </w:t>
            </w:r>
          </w:p>
        </w:tc>
        <w:tc>
          <w:tcPr>
            <w:tcW w:w="0" w:type="auto"/>
            <w:vAlign w:val="bottom"/>
          </w:tcPr>
          <w:p w14:paraId="30145DB1" w14:textId="52337E71" w:rsidR="008A6844" w:rsidRPr="000E57E3" w:rsidRDefault="008A6844" w:rsidP="000E57E3">
            <w:pPr>
              <w:pStyle w:val="Tabletext"/>
            </w:pPr>
            <w:r w:rsidRPr="000E57E3">
              <w:t>Facilitated</w:t>
            </w:r>
          </w:p>
        </w:tc>
      </w:tr>
      <w:tr w:rsidR="00776CCE" w:rsidRPr="008A6844" w14:paraId="1771A815" w14:textId="77777777" w:rsidTr="00CA44B7">
        <w:tc>
          <w:tcPr>
            <w:tcW w:w="0" w:type="auto"/>
            <w:vAlign w:val="bottom"/>
          </w:tcPr>
          <w:p w14:paraId="363A05B5" w14:textId="7E49ED17" w:rsidR="008A6844" w:rsidRPr="000E57E3" w:rsidRDefault="008A6844" w:rsidP="000E57E3">
            <w:pPr>
              <w:pStyle w:val="Tabletext"/>
            </w:pPr>
            <w:r w:rsidRPr="000E57E3">
              <w:t>TNFAIP3</w:t>
            </w:r>
          </w:p>
        </w:tc>
        <w:tc>
          <w:tcPr>
            <w:tcW w:w="0" w:type="auto"/>
            <w:vAlign w:val="bottom"/>
          </w:tcPr>
          <w:p w14:paraId="6AF9B6BC" w14:textId="751985C9" w:rsidR="008A6844" w:rsidRPr="000E57E3" w:rsidRDefault="008A6844" w:rsidP="000E57E3">
            <w:pPr>
              <w:pStyle w:val="Tabletext"/>
            </w:pPr>
            <w:r w:rsidRPr="000E57E3">
              <w:t> </w:t>
            </w:r>
          </w:p>
        </w:tc>
        <w:tc>
          <w:tcPr>
            <w:tcW w:w="0" w:type="auto"/>
            <w:vAlign w:val="bottom"/>
          </w:tcPr>
          <w:p w14:paraId="08E43D2A" w14:textId="6F2E68BA" w:rsidR="008A6844" w:rsidRPr="000E57E3" w:rsidRDefault="008A6844" w:rsidP="000E57E3">
            <w:pPr>
              <w:pStyle w:val="Tabletext"/>
            </w:pPr>
            <w:r w:rsidRPr="000E57E3">
              <w:t> </w:t>
            </w:r>
          </w:p>
        </w:tc>
        <w:tc>
          <w:tcPr>
            <w:tcW w:w="0" w:type="auto"/>
            <w:vAlign w:val="bottom"/>
          </w:tcPr>
          <w:p w14:paraId="370B3945" w14:textId="62749962" w:rsidR="008A6844" w:rsidRPr="000E57E3" w:rsidRDefault="008A6844" w:rsidP="000E57E3">
            <w:pPr>
              <w:pStyle w:val="Tabletext"/>
            </w:pPr>
            <w:r w:rsidRPr="000E57E3">
              <w:t> </w:t>
            </w:r>
          </w:p>
        </w:tc>
        <w:tc>
          <w:tcPr>
            <w:tcW w:w="0" w:type="auto"/>
            <w:vAlign w:val="bottom"/>
          </w:tcPr>
          <w:p w14:paraId="44A0CAB5" w14:textId="2E2D4182" w:rsidR="008A6844" w:rsidRPr="000E57E3" w:rsidRDefault="008A6844" w:rsidP="000E57E3">
            <w:pPr>
              <w:pStyle w:val="Tabletext"/>
            </w:pPr>
            <w:r w:rsidRPr="000E57E3">
              <w:t>Y</w:t>
            </w:r>
          </w:p>
        </w:tc>
        <w:tc>
          <w:tcPr>
            <w:tcW w:w="0" w:type="auto"/>
            <w:vAlign w:val="bottom"/>
          </w:tcPr>
          <w:p w14:paraId="678D55E5" w14:textId="1936EA33" w:rsidR="008A6844" w:rsidRPr="000E57E3" w:rsidRDefault="008A6844" w:rsidP="000E57E3">
            <w:pPr>
              <w:pStyle w:val="Tabletext"/>
            </w:pPr>
            <w:r w:rsidRPr="000E57E3">
              <w:t> </w:t>
            </w:r>
          </w:p>
        </w:tc>
        <w:tc>
          <w:tcPr>
            <w:tcW w:w="0" w:type="auto"/>
            <w:vAlign w:val="bottom"/>
          </w:tcPr>
          <w:p w14:paraId="342531B8" w14:textId="6AC3756D" w:rsidR="008A6844" w:rsidRPr="000E57E3" w:rsidRDefault="008A6844" w:rsidP="000E57E3">
            <w:pPr>
              <w:pStyle w:val="Tabletext"/>
            </w:pPr>
            <w:r w:rsidRPr="000E57E3">
              <w:t> </w:t>
            </w:r>
          </w:p>
        </w:tc>
        <w:tc>
          <w:tcPr>
            <w:tcW w:w="0" w:type="auto"/>
            <w:vAlign w:val="bottom"/>
          </w:tcPr>
          <w:p w14:paraId="11F13F88" w14:textId="677CBAB3" w:rsidR="008A6844" w:rsidRPr="000E57E3" w:rsidRDefault="008A6844" w:rsidP="000E57E3">
            <w:pPr>
              <w:pStyle w:val="Tabletext"/>
            </w:pPr>
            <w:r w:rsidRPr="000E57E3">
              <w:t>Y</w:t>
            </w:r>
          </w:p>
        </w:tc>
        <w:tc>
          <w:tcPr>
            <w:tcW w:w="0" w:type="auto"/>
            <w:vAlign w:val="bottom"/>
          </w:tcPr>
          <w:p w14:paraId="6F1EF628" w14:textId="371358A4" w:rsidR="008A6844" w:rsidRPr="000E57E3" w:rsidRDefault="008A6844" w:rsidP="000E57E3">
            <w:pPr>
              <w:pStyle w:val="Tabletext"/>
            </w:pPr>
            <w:r w:rsidRPr="000E57E3">
              <w:t>Y</w:t>
            </w:r>
          </w:p>
        </w:tc>
        <w:tc>
          <w:tcPr>
            <w:tcW w:w="0" w:type="auto"/>
            <w:vAlign w:val="bottom"/>
          </w:tcPr>
          <w:p w14:paraId="11D64DC0" w14:textId="7C3C6FD4" w:rsidR="008A6844" w:rsidRPr="000E57E3" w:rsidRDefault="008A6844" w:rsidP="000E57E3">
            <w:pPr>
              <w:pStyle w:val="Tabletext"/>
            </w:pPr>
            <w:r w:rsidRPr="000E57E3">
              <w:t> </w:t>
            </w:r>
          </w:p>
        </w:tc>
        <w:tc>
          <w:tcPr>
            <w:tcW w:w="0" w:type="auto"/>
            <w:vAlign w:val="bottom"/>
          </w:tcPr>
          <w:p w14:paraId="657183E8" w14:textId="359B1991" w:rsidR="008A6844" w:rsidRPr="000E57E3" w:rsidRDefault="008A6844" w:rsidP="000E57E3">
            <w:pPr>
              <w:pStyle w:val="Tabletext"/>
            </w:pPr>
            <w:r w:rsidRPr="000E57E3">
              <w:t>Y</w:t>
            </w:r>
          </w:p>
        </w:tc>
        <w:tc>
          <w:tcPr>
            <w:tcW w:w="0" w:type="auto"/>
            <w:vAlign w:val="bottom"/>
          </w:tcPr>
          <w:p w14:paraId="4EDE4E38" w14:textId="1A30ABC4" w:rsidR="008A6844" w:rsidRPr="000E57E3" w:rsidRDefault="008A6844" w:rsidP="000E57E3">
            <w:pPr>
              <w:pStyle w:val="Tabletext"/>
            </w:pPr>
            <w:r w:rsidRPr="000E57E3">
              <w:t> </w:t>
            </w:r>
          </w:p>
        </w:tc>
        <w:tc>
          <w:tcPr>
            <w:tcW w:w="0" w:type="auto"/>
            <w:vAlign w:val="bottom"/>
          </w:tcPr>
          <w:p w14:paraId="416BAC9C" w14:textId="583A3ABE" w:rsidR="008A6844" w:rsidRPr="000E57E3" w:rsidRDefault="008A6844" w:rsidP="000E57E3">
            <w:pPr>
              <w:pStyle w:val="Tabletext"/>
            </w:pPr>
            <w:r w:rsidRPr="000E57E3">
              <w:t>Facilitated</w:t>
            </w:r>
          </w:p>
        </w:tc>
      </w:tr>
      <w:tr w:rsidR="00776CCE" w:rsidRPr="008A6844" w14:paraId="0D038B3B" w14:textId="77777777" w:rsidTr="00CA44B7">
        <w:tc>
          <w:tcPr>
            <w:tcW w:w="0" w:type="auto"/>
            <w:vAlign w:val="bottom"/>
          </w:tcPr>
          <w:p w14:paraId="598CBD88" w14:textId="5C00FE98" w:rsidR="008A6844" w:rsidRPr="000E57E3" w:rsidRDefault="008A6844" w:rsidP="000E57E3">
            <w:pPr>
              <w:pStyle w:val="Tabletext"/>
            </w:pPr>
            <w:r w:rsidRPr="000E57E3">
              <w:t>TNFRSF14</w:t>
            </w:r>
          </w:p>
        </w:tc>
        <w:tc>
          <w:tcPr>
            <w:tcW w:w="0" w:type="auto"/>
            <w:vAlign w:val="bottom"/>
          </w:tcPr>
          <w:p w14:paraId="074FE6DF" w14:textId="2D33F4D9" w:rsidR="008A6844" w:rsidRPr="000E57E3" w:rsidRDefault="008A6844" w:rsidP="000E57E3">
            <w:pPr>
              <w:pStyle w:val="Tabletext"/>
            </w:pPr>
            <w:r w:rsidRPr="000E57E3">
              <w:t> </w:t>
            </w:r>
          </w:p>
        </w:tc>
        <w:tc>
          <w:tcPr>
            <w:tcW w:w="0" w:type="auto"/>
            <w:vAlign w:val="bottom"/>
          </w:tcPr>
          <w:p w14:paraId="1F58BD80" w14:textId="3D44E453" w:rsidR="008A6844" w:rsidRPr="000E57E3" w:rsidRDefault="008A6844" w:rsidP="000E57E3">
            <w:pPr>
              <w:pStyle w:val="Tabletext"/>
            </w:pPr>
            <w:r w:rsidRPr="000E57E3">
              <w:t> </w:t>
            </w:r>
          </w:p>
        </w:tc>
        <w:tc>
          <w:tcPr>
            <w:tcW w:w="0" w:type="auto"/>
            <w:vAlign w:val="bottom"/>
          </w:tcPr>
          <w:p w14:paraId="2A6A8BBA" w14:textId="16F82689" w:rsidR="008A6844" w:rsidRPr="000E57E3" w:rsidRDefault="008A6844" w:rsidP="000E57E3">
            <w:pPr>
              <w:pStyle w:val="Tabletext"/>
            </w:pPr>
            <w:r w:rsidRPr="000E57E3">
              <w:t> </w:t>
            </w:r>
          </w:p>
        </w:tc>
        <w:tc>
          <w:tcPr>
            <w:tcW w:w="0" w:type="auto"/>
            <w:vAlign w:val="bottom"/>
          </w:tcPr>
          <w:p w14:paraId="547F2933" w14:textId="48EB1C34" w:rsidR="008A6844" w:rsidRPr="000E57E3" w:rsidRDefault="008A6844" w:rsidP="000E57E3">
            <w:pPr>
              <w:pStyle w:val="Tabletext"/>
            </w:pPr>
            <w:r w:rsidRPr="000E57E3">
              <w:t>Y</w:t>
            </w:r>
          </w:p>
        </w:tc>
        <w:tc>
          <w:tcPr>
            <w:tcW w:w="0" w:type="auto"/>
            <w:vAlign w:val="bottom"/>
          </w:tcPr>
          <w:p w14:paraId="2D5C6012" w14:textId="7EA5C6D6" w:rsidR="008A6844" w:rsidRPr="000E57E3" w:rsidRDefault="008A6844" w:rsidP="000E57E3">
            <w:pPr>
              <w:pStyle w:val="Tabletext"/>
            </w:pPr>
            <w:r w:rsidRPr="000E57E3">
              <w:t> </w:t>
            </w:r>
          </w:p>
        </w:tc>
        <w:tc>
          <w:tcPr>
            <w:tcW w:w="0" w:type="auto"/>
            <w:vAlign w:val="bottom"/>
          </w:tcPr>
          <w:p w14:paraId="4BDE6483" w14:textId="38C9F8AD" w:rsidR="008A6844" w:rsidRPr="000E57E3" w:rsidRDefault="008A6844" w:rsidP="000E57E3">
            <w:pPr>
              <w:pStyle w:val="Tabletext"/>
            </w:pPr>
            <w:r w:rsidRPr="000E57E3">
              <w:t> </w:t>
            </w:r>
          </w:p>
        </w:tc>
        <w:tc>
          <w:tcPr>
            <w:tcW w:w="0" w:type="auto"/>
            <w:vAlign w:val="bottom"/>
          </w:tcPr>
          <w:p w14:paraId="2DC2C47E" w14:textId="3755E548" w:rsidR="008A6844" w:rsidRPr="000E57E3" w:rsidRDefault="008A6844" w:rsidP="000E57E3">
            <w:pPr>
              <w:pStyle w:val="Tabletext"/>
            </w:pPr>
            <w:r w:rsidRPr="000E57E3">
              <w:t> </w:t>
            </w:r>
          </w:p>
        </w:tc>
        <w:tc>
          <w:tcPr>
            <w:tcW w:w="0" w:type="auto"/>
            <w:vAlign w:val="bottom"/>
          </w:tcPr>
          <w:p w14:paraId="23F8D384" w14:textId="7549CC3A" w:rsidR="008A6844" w:rsidRPr="000E57E3" w:rsidRDefault="008A6844" w:rsidP="000E57E3">
            <w:pPr>
              <w:pStyle w:val="Tabletext"/>
            </w:pPr>
            <w:r w:rsidRPr="000E57E3">
              <w:t>Y</w:t>
            </w:r>
          </w:p>
        </w:tc>
        <w:tc>
          <w:tcPr>
            <w:tcW w:w="0" w:type="auto"/>
            <w:vAlign w:val="bottom"/>
          </w:tcPr>
          <w:p w14:paraId="1BD73C35" w14:textId="2B2CBB71" w:rsidR="008A6844" w:rsidRPr="000E57E3" w:rsidRDefault="008A6844" w:rsidP="000E57E3">
            <w:pPr>
              <w:pStyle w:val="Tabletext"/>
            </w:pPr>
            <w:r w:rsidRPr="000E57E3">
              <w:t> </w:t>
            </w:r>
          </w:p>
        </w:tc>
        <w:tc>
          <w:tcPr>
            <w:tcW w:w="0" w:type="auto"/>
            <w:vAlign w:val="bottom"/>
          </w:tcPr>
          <w:p w14:paraId="2B2D7B25" w14:textId="6E1FA6F4" w:rsidR="008A6844" w:rsidRPr="000E57E3" w:rsidRDefault="008A6844" w:rsidP="000E57E3">
            <w:pPr>
              <w:pStyle w:val="Tabletext"/>
            </w:pPr>
            <w:r w:rsidRPr="000E57E3">
              <w:t>Y</w:t>
            </w:r>
          </w:p>
        </w:tc>
        <w:tc>
          <w:tcPr>
            <w:tcW w:w="0" w:type="auto"/>
            <w:vAlign w:val="bottom"/>
          </w:tcPr>
          <w:p w14:paraId="0ADA15A2" w14:textId="4F54D4BA" w:rsidR="008A6844" w:rsidRPr="000E57E3" w:rsidRDefault="008A6844" w:rsidP="000E57E3">
            <w:pPr>
              <w:pStyle w:val="Tabletext"/>
            </w:pPr>
            <w:r w:rsidRPr="000E57E3">
              <w:t> </w:t>
            </w:r>
          </w:p>
        </w:tc>
        <w:tc>
          <w:tcPr>
            <w:tcW w:w="0" w:type="auto"/>
            <w:vAlign w:val="bottom"/>
          </w:tcPr>
          <w:p w14:paraId="6B7C9D7F" w14:textId="0471C79B" w:rsidR="008A6844" w:rsidRPr="000E57E3" w:rsidRDefault="008A6844" w:rsidP="000E57E3">
            <w:pPr>
              <w:pStyle w:val="Tabletext"/>
            </w:pPr>
            <w:r w:rsidRPr="000E57E3">
              <w:t>Facilitated</w:t>
            </w:r>
          </w:p>
        </w:tc>
      </w:tr>
      <w:tr w:rsidR="00776CCE" w:rsidRPr="008A6844" w14:paraId="7B59499F" w14:textId="77777777" w:rsidTr="00CA44B7">
        <w:tc>
          <w:tcPr>
            <w:tcW w:w="0" w:type="auto"/>
            <w:vAlign w:val="bottom"/>
          </w:tcPr>
          <w:p w14:paraId="7665BBE4" w14:textId="2B6A4EA0" w:rsidR="008A6844" w:rsidRPr="000E57E3" w:rsidRDefault="008A6844" w:rsidP="000E57E3">
            <w:pPr>
              <w:pStyle w:val="Tabletext"/>
            </w:pPr>
            <w:r w:rsidRPr="000E57E3">
              <w:t>TP53</w:t>
            </w:r>
          </w:p>
        </w:tc>
        <w:tc>
          <w:tcPr>
            <w:tcW w:w="0" w:type="auto"/>
            <w:vAlign w:val="bottom"/>
          </w:tcPr>
          <w:p w14:paraId="37E604E7" w14:textId="28571F53" w:rsidR="008A6844" w:rsidRPr="000E57E3" w:rsidRDefault="008A6844" w:rsidP="000E57E3">
            <w:pPr>
              <w:pStyle w:val="Tabletext"/>
            </w:pPr>
            <w:r w:rsidRPr="000E57E3">
              <w:t> </w:t>
            </w:r>
          </w:p>
        </w:tc>
        <w:tc>
          <w:tcPr>
            <w:tcW w:w="0" w:type="auto"/>
            <w:vAlign w:val="bottom"/>
          </w:tcPr>
          <w:p w14:paraId="0E56DB20" w14:textId="31598CC5" w:rsidR="008A6844" w:rsidRPr="000E57E3" w:rsidRDefault="008A6844" w:rsidP="000E57E3">
            <w:pPr>
              <w:pStyle w:val="Tabletext"/>
            </w:pPr>
            <w:r w:rsidRPr="000E57E3">
              <w:t> </w:t>
            </w:r>
          </w:p>
        </w:tc>
        <w:tc>
          <w:tcPr>
            <w:tcW w:w="0" w:type="auto"/>
            <w:vAlign w:val="bottom"/>
          </w:tcPr>
          <w:p w14:paraId="35211FDC" w14:textId="537A1E55" w:rsidR="008A6844" w:rsidRPr="000E57E3" w:rsidRDefault="008A6844" w:rsidP="000E57E3">
            <w:pPr>
              <w:pStyle w:val="Tabletext"/>
            </w:pPr>
            <w:r w:rsidRPr="000E57E3">
              <w:t>Y</w:t>
            </w:r>
          </w:p>
        </w:tc>
        <w:tc>
          <w:tcPr>
            <w:tcW w:w="0" w:type="auto"/>
            <w:vAlign w:val="bottom"/>
          </w:tcPr>
          <w:p w14:paraId="52D00E77" w14:textId="0EEA88A3" w:rsidR="008A6844" w:rsidRPr="000E57E3" w:rsidRDefault="008A6844" w:rsidP="000E57E3">
            <w:pPr>
              <w:pStyle w:val="Tabletext"/>
            </w:pPr>
            <w:r w:rsidRPr="000E57E3">
              <w:t>Y</w:t>
            </w:r>
          </w:p>
        </w:tc>
        <w:tc>
          <w:tcPr>
            <w:tcW w:w="0" w:type="auto"/>
            <w:vAlign w:val="bottom"/>
          </w:tcPr>
          <w:p w14:paraId="12C7D961" w14:textId="56887BF4" w:rsidR="008A6844" w:rsidRPr="000E57E3" w:rsidRDefault="008A6844" w:rsidP="000E57E3">
            <w:pPr>
              <w:pStyle w:val="Tabletext"/>
            </w:pPr>
            <w:r w:rsidRPr="000E57E3">
              <w:t>Y</w:t>
            </w:r>
          </w:p>
        </w:tc>
        <w:tc>
          <w:tcPr>
            <w:tcW w:w="0" w:type="auto"/>
            <w:vAlign w:val="bottom"/>
          </w:tcPr>
          <w:p w14:paraId="17EB122B" w14:textId="4D0815F5" w:rsidR="008A6844" w:rsidRPr="000E57E3" w:rsidRDefault="008A6844" w:rsidP="000E57E3">
            <w:pPr>
              <w:pStyle w:val="Tabletext"/>
            </w:pPr>
            <w:r w:rsidRPr="000E57E3">
              <w:t> </w:t>
            </w:r>
          </w:p>
        </w:tc>
        <w:tc>
          <w:tcPr>
            <w:tcW w:w="0" w:type="auto"/>
            <w:vAlign w:val="bottom"/>
          </w:tcPr>
          <w:p w14:paraId="3024AA61" w14:textId="4A3F3B6F" w:rsidR="008A6844" w:rsidRPr="000E57E3" w:rsidRDefault="008A6844" w:rsidP="000E57E3">
            <w:pPr>
              <w:pStyle w:val="Tabletext"/>
            </w:pPr>
            <w:r w:rsidRPr="000E57E3">
              <w:t>Y</w:t>
            </w:r>
          </w:p>
        </w:tc>
        <w:tc>
          <w:tcPr>
            <w:tcW w:w="0" w:type="auto"/>
            <w:vAlign w:val="bottom"/>
          </w:tcPr>
          <w:p w14:paraId="09A90BE8" w14:textId="76D7EC95" w:rsidR="008A6844" w:rsidRPr="000E57E3" w:rsidRDefault="008A6844" w:rsidP="000E57E3">
            <w:pPr>
              <w:pStyle w:val="Tabletext"/>
            </w:pPr>
            <w:r w:rsidRPr="000E57E3">
              <w:t>Y</w:t>
            </w:r>
          </w:p>
        </w:tc>
        <w:tc>
          <w:tcPr>
            <w:tcW w:w="0" w:type="auto"/>
            <w:vAlign w:val="bottom"/>
          </w:tcPr>
          <w:p w14:paraId="353A6D64" w14:textId="549C1979" w:rsidR="008A6844" w:rsidRPr="000E57E3" w:rsidRDefault="008A6844" w:rsidP="000E57E3">
            <w:pPr>
              <w:pStyle w:val="Tabletext"/>
            </w:pPr>
            <w:r w:rsidRPr="000E57E3">
              <w:t>Y</w:t>
            </w:r>
          </w:p>
        </w:tc>
        <w:tc>
          <w:tcPr>
            <w:tcW w:w="0" w:type="auto"/>
            <w:vAlign w:val="bottom"/>
          </w:tcPr>
          <w:p w14:paraId="1D837251" w14:textId="038A0EDA" w:rsidR="008A6844" w:rsidRPr="000E57E3" w:rsidRDefault="008A6844" w:rsidP="000E57E3">
            <w:pPr>
              <w:pStyle w:val="Tabletext"/>
            </w:pPr>
            <w:r w:rsidRPr="000E57E3">
              <w:t>Y</w:t>
            </w:r>
          </w:p>
        </w:tc>
        <w:tc>
          <w:tcPr>
            <w:tcW w:w="0" w:type="auto"/>
            <w:vAlign w:val="bottom"/>
          </w:tcPr>
          <w:p w14:paraId="56C550DC" w14:textId="62687724" w:rsidR="008A6844" w:rsidRPr="000E57E3" w:rsidRDefault="008A6844" w:rsidP="000E57E3">
            <w:pPr>
              <w:pStyle w:val="Tabletext"/>
            </w:pPr>
            <w:r w:rsidRPr="000E57E3">
              <w:t>Y</w:t>
            </w:r>
          </w:p>
        </w:tc>
        <w:tc>
          <w:tcPr>
            <w:tcW w:w="0" w:type="auto"/>
            <w:vAlign w:val="bottom"/>
          </w:tcPr>
          <w:p w14:paraId="6ABBF40B" w14:textId="5CAF97E3" w:rsidR="008A6844" w:rsidRPr="000E57E3" w:rsidRDefault="008A6844" w:rsidP="000E57E3">
            <w:pPr>
              <w:pStyle w:val="Tabletext"/>
            </w:pPr>
            <w:r w:rsidRPr="000E57E3">
              <w:t>Facilitated</w:t>
            </w:r>
          </w:p>
        </w:tc>
      </w:tr>
      <w:tr w:rsidR="00776CCE" w:rsidRPr="008A6844" w14:paraId="2408273C" w14:textId="77777777" w:rsidTr="00CA44B7">
        <w:tc>
          <w:tcPr>
            <w:tcW w:w="0" w:type="auto"/>
            <w:vAlign w:val="bottom"/>
          </w:tcPr>
          <w:p w14:paraId="61505BC3" w14:textId="67D5F872" w:rsidR="008A6844" w:rsidRPr="000E57E3" w:rsidRDefault="008A6844" w:rsidP="000E57E3">
            <w:pPr>
              <w:pStyle w:val="Tabletext"/>
            </w:pPr>
            <w:r w:rsidRPr="000E57E3">
              <w:t>TRAF2</w:t>
            </w:r>
          </w:p>
        </w:tc>
        <w:tc>
          <w:tcPr>
            <w:tcW w:w="0" w:type="auto"/>
            <w:vAlign w:val="bottom"/>
          </w:tcPr>
          <w:p w14:paraId="62DD207B" w14:textId="16A90A7A" w:rsidR="008A6844" w:rsidRPr="000E57E3" w:rsidRDefault="008A6844" w:rsidP="000E57E3">
            <w:pPr>
              <w:pStyle w:val="Tabletext"/>
            </w:pPr>
            <w:r w:rsidRPr="000E57E3">
              <w:t> </w:t>
            </w:r>
          </w:p>
        </w:tc>
        <w:tc>
          <w:tcPr>
            <w:tcW w:w="0" w:type="auto"/>
            <w:vAlign w:val="bottom"/>
          </w:tcPr>
          <w:p w14:paraId="5833EF6A" w14:textId="6E03B4B9" w:rsidR="008A6844" w:rsidRPr="000E57E3" w:rsidRDefault="008A6844" w:rsidP="000E57E3">
            <w:pPr>
              <w:pStyle w:val="Tabletext"/>
            </w:pPr>
            <w:r w:rsidRPr="000E57E3">
              <w:t> </w:t>
            </w:r>
          </w:p>
        </w:tc>
        <w:tc>
          <w:tcPr>
            <w:tcW w:w="0" w:type="auto"/>
            <w:vAlign w:val="bottom"/>
          </w:tcPr>
          <w:p w14:paraId="5B74A274" w14:textId="1F390536" w:rsidR="008A6844" w:rsidRPr="000E57E3" w:rsidRDefault="008A6844" w:rsidP="000E57E3">
            <w:pPr>
              <w:pStyle w:val="Tabletext"/>
            </w:pPr>
            <w:r w:rsidRPr="000E57E3">
              <w:t> </w:t>
            </w:r>
          </w:p>
        </w:tc>
        <w:tc>
          <w:tcPr>
            <w:tcW w:w="0" w:type="auto"/>
            <w:vAlign w:val="bottom"/>
          </w:tcPr>
          <w:p w14:paraId="24891A07" w14:textId="6989A096" w:rsidR="008A6844" w:rsidRPr="000E57E3" w:rsidRDefault="008A6844" w:rsidP="000E57E3">
            <w:pPr>
              <w:pStyle w:val="Tabletext"/>
            </w:pPr>
            <w:r w:rsidRPr="000E57E3">
              <w:t> </w:t>
            </w:r>
          </w:p>
        </w:tc>
        <w:tc>
          <w:tcPr>
            <w:tcW w:w="0" w:type="auto"/>
            <w:vAlign w:val="bottom"/>
          </w:tcPr>
          <w:p w14:paraId="3AB848DF" w14:textId="5FE28EA1" w:rsidR="008A6844" w:rsidRPr="000E57E3" w:rsidRDefault="008A6844" w:rsidP="000E57E3">
            <w:pPr>
              <w:pStyle w:val="Tabletext"/>
            </w:pPr>
            <w:r w:rsidRPr="000E57E3">
              <w:t> </w:t>
            </w:r>
          </w:p>
        </w:tc>
        <w:tc>
          <w:tcPr>
            <w:tcW w:w="0" w:type="auto"/>
            <w:vAlign w:val="bottom"/>
          </w:tcPr>
          <w:p w14:paraId="4AD0740B" w14:textId="1186A529" w:rsidR="008A6844" w:rsidRPr="000E57E3" w:rsidRDefault="008A6844" w:rsidP="000E57E3">
            <w:pPr>
              <w:pStyle w:val="Tabletext"/>
            </w:pPr>
            <w:r w:rsidRPr="000E57E3">
              <w:t> </w:t>
            </w:r>
          </w:p>
        </w:tc>
        <w:tc>
          <w:tcPr>
            <w:tcW w:w="0" w:type="auto"/>
            <w:vAlign w:val="bottom"/>
          </w:tcPr>
          <w:p w14:paraId="3A00AC74" w14:textId="757AD43B" w:rsidR="008A6844" w:rsidRPr="000E57E3" w:rsidRDefault="008A6844" w:rsidP="000E57E3">
            <w:pPr>
              <w:pStyle w:val="Tabletext"/>
            </w:pPr>
            <w:r w:rsidRPr="000E57E3">
              <w:t>Y</w:t>
            </w:r>
          </w:p>
        </w:tc>
        <w:tc>
          <w:tcPr>
            <w:tcW w:w="0" w:type="auto"/>
            <w:vAlign w:val="bottom"/>
          </w:tcPr>
          <w:p w14:paraId="46E4AB8B" w14:textId="042CE06F" w:rsidR="008A6844" w:rsidRPr="000E57E3" w:rsidRDefault="008A6844" w:rsidP="000E57E3">
            <w:pPr>
              <w:pStyle w:val="Tabletext"/>
            </w:pPr>
            <w:r w:rsidRPr="000E57E3">
              <w:t> </w:t>
            </w:r>
          </w:p>
        </w:tc>
        <w:tc>
          <w:tcPr>
            <w:tcW w:w="0" w:type="auto"/>
            <w:vAlign w:val="bottom"/>
          </w:tcPr>
          <w:p w14:paraId="4D95BF53" w14:textId="48AAC5AF" w:rsidR="008A6844" w:rsidRPr="000E57E3" w:rsidRDefault="008A6844" w:rsidP="000E57E3">
            <w:pPr>
              <w:pStyle w:val="Tabletext"/>
            </w:pPr>
            <w:r w:rsidRPr="000E57E3">
              <w:t> </w:t>
            </w:r>
          </w:p>
        </w:tc>
        <w:tc>
          <w:tcPr>
            <w:tcW w:w="0" w:type="auto"/>
            <w:vAlign w:val="bottom"/>
          </w:tcPr>
          <w:p w14:paraId="04D9A61A" w14:textId="5A6EAFBA" w:rsidR="008A6844" w:rsidRPr="000E57E3" w:rsidRDefault="008A6844" w:rsidP="000E57E3">
            <w:pPr>
              <w:pStyle w:val="Tabletext"/>
            </w:pPr>
            <w:r w:rsidRPr="000E57E3">
              <w:t> </w:t>
            </w:r>
          </w:p>
        </w:tc>
        <w:tc>
          <w:tcPr>
            <w:tcW w:w="0" w:type="auto"/>
            <w:vAlign w:val="bottom"/>
          </w:tcPr>
          <w:p w14:paraId="2CC5E9D8" w14:textId="635854A6" w:rsidR="008A6844" w:rsidRPr="000E57E3" w:rsidRDefault="008A6844" w:rsidP="000E57E3">
            <w:pPr>
              <w:pStyle w:val="Tabletext"/>
            </w:pPr>
            <w:r w:rsidRPr="000E57E3">
              <w:t> </w:t>
            </w:r>
          </w:p>
        </w:tc>
        <w:tc>
          <w:tcPr>
            <w:tcW w:w="0" w:type="auto"/>
            <w:vAlign w:val="bottom"/>
          </w:tcPr>
          <w:p w14:paraId="3FA8D85D" w14:textId="4EB45B97" w:rsidR="008A6844" w:rsidRPr="000E57E3" w:rsidRDefault="008A6844" w:rsidP="000E57E3">
            <w:pPr>
              <w:pStyle w:val="Tabletext"/>
            </w:pPr>
            <w:r w:rsidRPr="000E57E3">
              <w:t>Facilitated</w:t>
            </w:r>
          </w:p>
        </w:tc>
      </w:tr>
      <w:tr w:rsidR="00776CCE" w:rsidRPr="008A6844" w14:paraId="66D9D004" w14:textId="77777777" w:rsidTr="00CA44B7">
        <w:tc>
          <w:tcPr>
            <w:tcW w:w="0" w:type="auto"/>
            <w:vAlign w:val="bottom"/>
          </w:tcPr>
          <w:p w14:paraId="2BAC38F5" w14:textId="4D0E16C6" w:rsidR="008A6844" w:rsidRPr="000E57E3" w:rsidRDefault="008A6844" w:rsidP="000E57E3">
            <w:pPr>
              <w:pStyle w:val="Tabletext"/>
            </w:pPr>
            <w:r w:rsidRPr="000E57E3">
              <w:t>TRAF3</w:t>
            </w:r>
          </w:p>
        </w:tc>
        <w:tc>
          <w:tcPr>
            <w:tcW w:w="0" w:type="auto"/>
            <w:vAlign w:val="bottom"/>
          </w:tcPr>
          <w:p w14:paraId="0911DBA9" w14:textId="308C844B" w:rsidR="008A6844" w:rsidRPr="000E57E3" w:rsidRDefault="008A6844" w:rsidP="000E57E3">
            <w:pPr>
              <w:pStyle w:val="Tabletext"/>
            </w:pPr>
            <w:r w:rsidRPr="000E57E3">
              <w:t> </w:t>
            </w:r>
          </w:p>
        </w:tc>
        <w:tc>
          <w:tcPr>
            <w:tcW w:w="0" w:type="auto"/>
            <w:vAlign w:val="bottom"/>
          </w:tcPr>
          <w:p w14:paraId="0D248EE8" w14:textId="19BC0D56" w:rsidR="008A6844" w:rsidRPr="000E57E3" w:rsidRDefault="008A6844" w:rsidP="000E57E3">
            <w:pPr>
              <w:pStyle w:val="Tabletext"/>
            </w:pPr>
            <w:r w:rsidRPr="000E57E3">
              <w:t> </w:t>
            </w:r>
          </w:p>
        </w:tc>
        <w:tc>
          <w:tcPr>
            <w:tcW w:w="0" w:type="auto"/>
            <w:vAlign w:val="bottom"/>
          </w:tcPr>
          <w:p w14:paraId="4E8B09B6" w14:textId="5E5858C8" w:rsidR="008A6844" w:rsidRPr="000E57E3" w:rsidRDefault="008A6844" w:rsidP="000E57E3">
            <w:pPr>
              <w:pStyle w:val="Tabletext"/>
            </w:pPr>
            <w:r w:rsidRPr="000E57E3">
              <w:t> </w:t>
            </w:r>
          </w:p>
        </w:tc>
        <w:tc>
          <w:tcPr>
            <w:tcW w:w="0" w:type="auto"/>
            <w:vAlign w:val="bottom"/>
          </w:tcPr>
          <w:p w14:paraId="47006422" w14:textId="7E52E7DD" w:rsidR="008A6844" w:rsidRPr="000E57E3" w:rsidRDefault="008A6844" w:rsidP="000E57E3">
            <w:pPr>
              <w:pStyle w:val="Tabletext"/>
            </w:pPr>
            <w:r w:rsidRPr="000E57E3">
              <w:t> </w:t>
            </w:r>
          </w:p>
        </w:tc>
        <w:tc>
          <w:tcPr>
            <w:tcW w:w="0" w:type="auto"/>
            <w:vAlign w:val="bottom"/>
          </w:tcPr>
          <w:p w14:paraId="750E3E18" w14:textId="4D96091D" w:rsidR="008A6844" w:rsidRPr="000E57E3" w:rsidRDefault="008A6844" w:rsidP="000E57E3">
            <w:pPr>
              <w:pStyle w:val="Tabletext"/>
            </w:pPr>
            <w:r w:rsidRPr="000E57E3">
              <w:t> </w:t>
            </w:r>
          </w:p>
        </w:tc>
        <w:tc>
          <w:tcPr>
            <w:tcW w:w="0" w:type="auto"/>
            <w:vAlign w:val="bottom"/>
          </w:tcPr>
          <w:p w14:paraId="3E712571" w14:textId="0FE872E2" w:rsidR="008A6844" w:rsidRPr="000E57E3" w:rsidRDefault="008A6844" w:rsidP="000E57E3">
            <w:pPr>
              <w:pStyle w:val="Tabletext"/>
            </w:pPr>
            <w:r w:rsidRPr="000E57E3">
              <w:t> </w:t>
            </w:r>
          </w:p>
        </w:tc>
        <w:tc>
          <w:tcPr>
            <w:tcW w:w="0" w:type="auto"/>
            <w:vAlign w:val="bottom"/>
          </w:tcPr>
          <w:p w14:paraId="15B62A4F" w14:textId="638BF74E" w:rsidR="008A6844" w:rsidRPr="000E57E3" w:rsidRDefault="008A6844" w:rsidP="000E57E3">
            <w:pPr>
              <w:pStyle w:val="Tabletext"/>
            </w:pPr>
            <w:r w:rsidRPr="000E57E3">
              <w:t> </w:t>
            </w:r>
          </w:p>
        </w:tc>
        <w:tc>
          <w:tcPr>
            <w:tcW w:w="0" w:type="auto"/>
            <w:vAlign w:val="bottom"/>
          </w:tcPr>
          <w:p w14:paraId="0881CC67" w14:textId="0B9B55D0" w:rsidR="008A6844" w:rsidRPr="000E57E3" w:rsidRDefault="008A6844" w:rsidP="000E57E3">
            <w:pPr>
              <w:pStyle w:val="Tabletext"/>
            </w:pPr>
            <w:r w:rsidRPr="000E57E3">
              <w:t> </w:t>
            </w:r>
          </w:p>
        </w:tc>
        <w:tc>
          <w:tcPr>
            <w:tcW w:w="0" w:type="auto"/>
            <w:vAlign w:val="bottom"/>
          </w:tcPr>
          <w:p w14:paraId="768B4BA1" w14:textId="6137C44F" w:rsidR="008A6844" w:rsidRPr="000E57E3" w:rsidRDefault="008A6844" w:rsidP="000E57E3">
            <w:pPr>
              <w:pStyle w:val="Tabletext"/>
            </w:pPr>
            <w:r w:rsidRPr="000E57E3">
              <w:t> </w:t>
            </w:r>
          </w:p>
        </w:tc>
        <w:tc>
          <w:tcPr>
            <w:tcW w:w="0" w:type="auto"/>
            <w:vAlign w:val="bottom"/>
          </w:tcPr>
          <w:p w14:paraId="58E152E0" w14:textId="3372E9EF" w:rsidR="008A6844" w:rsidRPr="000E57E3" w:rsidRDefault="008A6844" w:rsidP="000E57E3">
            <w:pPr>
              <w:pStyle w:val="Tabletext"/>
            </w:pPr>
            <w:r w:rsidRPr="000E57E3">
              <w:t>Y</w:t>
            </w:r>
          </w:p>
        </w:tc>
        <w:tc>
          <w:tcPr>
            <w:tcW w:w="0" w:type="auto"/>
            <w:vAlign w:val="bottom"/>
          </w:tcPr>
          <w:p w14:paraId="57355116" w14:textId="5A854A7E" w:rsidR="008A6844" w:rsidRPr="000E57E3" w:rsidRDefault="008A6844" w:rsidP="000E57E3">
            <w:pPr>
              <w:pStyle w:val="Tabletext"/>
            </w:pPr>
            <w:r w:rsidRPr="000E57E3">
              <w:t> </w:t>
            </w:r>
          </w:p>
        </w:tc>
        <w:tc>
          <w:tcPr>
            <w:tcW w:w="0" w:type="auto"/>
            <w:vAlign w:val="bottom"/>
          </w:tcPr>
          <w:p w14:paraId="3374A08B" w14:textId="4687A75A" w:rsidR="008A6844" w:rsidRPr="000E57E3" w:rsidRDefault="008A6844" w:rsidP="000E57E3">
            <w:pPr>
              <w:pStyle w:val="Tabletext"/>
            </w:pPr>
            <w:r w:rsidRPr="000E57E3">
              <w:t>Facilitated</w:t>
            </w:r>
          </w:p>
        </w:tc>
      </w:tr>
      <w:tr w:rsidR="00776CCE" w:rsidRPr="008A6844" w14:paraId="3AF7E492" w14:textId="77777777" w:rsidTr="00CA44B7">
        <w:tc>
          <w:tcPr>
            <w:tcW w:w="0" w:type="auto"/>
            <w:vAlign w:val="bottom"/>
          </w:tcPr>
          <w:p w14:paraId="75C060A4" w14:textId="53088390" w:rsidR="008A6844" w:rsidRPr="000E57E3" w:rsidRDefault="008A6844" w:rsidP="000E57E3">
            <w:pPr>
              <w:pStyle w:val="Tabletext"/>
            </w:pPr>
            <w:r w:rsidRPr="000E57E3">
              <w:t>U2AF1</w:t>
            </w:r>
          </w:p>
        </w:tc>
        <w:tc>
          <w:tcPr>
            <w:tcW w:w="0" w:type="auto"/>
            <w:vAlign w:val="bottom"/>
          </w:tcPr>
          <w:p w14:paraId="70487A99" w14:textId="08AC12F1" w:rsidR="008A6844" w:rsidRPr="000E57E3" w:rsidRDefault="008A6844" w:rsidP="000E57E3">
            <w:pPr>
              <w:pStyle w:val="Tabletext"/>
            </w:pPr>
            <w:r w:rsidRPr="000E57E3">
              <w:t> </w:t>
            </w:r>
          </w:p>
        </w:tc>
        <w:tc>
          <w:tcPr>
            <w:tcW w:w="0" w:type="auto"/>
            <w:vAlign w:val="bottom"/>
          </w:tcPr>
          <w:p w14:paraId="279425B6" w14:textId="4C5F630B" w:rsidR="008A6844" w:rsidRPr="000E57E3" w:rsidRDefault="008A6844" w:rsidP="000E57E3">
            <w:pPr>
              <w:pStyle w:val="Tabletext"/>
            </w:pPr>
            <w:r w:rsidRPr="000E57E3">
              <w:t> </w:t>
            </w:r>
          </w:p>
        </w:tc>
        <w:tc>
          <w:tcPr>
            <w:tcW w:w="0" w:type="auto"/>
            <w:vAlign w:val="bottom"/>
          </w:tcPr>
          <w:p w14:paraId="797780C5" w14:textId="02677F62" w:rsidR="008A6844" w:rsidRPr="000E57E3" w:rsidRDefault="008A6844" w:rsidP="000E57E3">
            <w:pPr>
              <w:pStyle w:val="Tabletext"/>
            </w:pPr>
            <w:r w:rsidRPr="000E57E3">
              <w:t>Y</w:t>
            </w:r>
          </w:p>
        </w:tc>
        <w:tc>
          <w:tcPr>
            <w:tcW w:w="0" w:type="auto"/>
            <w:vAlign w:val="bottom"/>
          </w:tcPr>
          <w:p w14:paraId="7893F49B" w14:textId="578E72AB" w:rsidR="008A6844" w:rsidRPr="000E57E3" w:rsidRDefault="008A6844" w:rsidP="000E57E3">
            <w:pPr>
              <w:pStyle w:val="Tabletext"/>
            </w:pPr>
            <w:r w:rsidRPr="000E57E3">
              <w:t> </w:t>
            </w:r>
          </w:p>
        </w:tc>
        <w:tc>
          <w:tcPr>
            <w:tcW w:w="0" w:type="auto"/>
            <w:vAlign w:val="bottom"/>
          </w:tcPr>
          <w:p w14:paraId="5F1BE601" w14:textId="0ED20070" w:rsidR="008A6844" w:rsidRPr="000E57E3" w:rsidRDefault="008A6844" w:rsidP="000E57E3">
            <w:pPr>
              <w:pStyle w:val="Tabletext"/>
            </w:pPr>
            <w:r w:rsidRPr="000E57E3">
              <w:t>Y</w:t>
            </w:r>
          </w:p>
        </w:tc>
        <w:tc>
          <w:tcPr>
            <w:tcW w:w="0" w:type="auto"/>
            <w:vAlign w:val="bottom"/>
          </w:tcPr>
          <w:p w14:paraId="4C538C67" w14:textId="29678BE6" w:rsidR="008A6844" w:rsidRPr="000E57E3" w:rsidRDefault="008A6844" w:rsidP="000E57E3">
            <w:pPr>
              <w:pStyle w:val="Tabletext"/>
            </w:pPr>
            <w:r w:rsidRPr="000E57E3">
              <w:t> </w:t>
            </w:r>
          </w:p>
        </w:tc>
        <w:tc>
          <w:tcPr>
            <w:tcW w:w="0" w:type="auto"/>
            <w:vAlign w:val="bottom"/>
          </w:tcPr>
          <w:p w14:paraId="3C3E35AB" w14:textId="046ECDC6" w:rsidR="008A6844" w:rsidRPr="000E57E3" w:rsidRDefault="008A6844" w:rsidP="000E57E3">
            <w:pPr>
              <w:pStyle w:val="Tabletext"/>
            </w:pPr>
            <w:r w:rsidRPr="000E57E3">
              <w:t>Y</w:t>
            </w:r>
          </w:p>
        </w:tc>
        <w:tc>
          <w:tcPr>
            <w:tcW w:w="0" w:type="auto"/>
            <w:vAlign w:val="bottom"/>
          </w:tcPr>
          <w:p w14:paraId="399DAA54" w14:textId="29D8E8E4" w:rsidR="008A6844" w:rsidRPr="000E57E3" w:rsidRDefault="008A6844" w:rsidP="000E57E3">
            <w:pPr>
              <w:pStyle w:val="Tabletext"/>
            </w:pPr>
            <w:r w:rsidRPr="000E57E3">
              <w:t> </w:t>
            </w:r>
          </w:p>
        </w:tc>
        <w:tc>
          <w:tcPr>
            <w:tcW w:w="0" w:type="auto"/>
            <w:vAlign w:val="bottom"/>
          </w:tcPr>
          <w:p w14:paraId="709C1DBF" w14:textId="016B4301" w:rsidR="008A6844" w:rsidRPr="000E57E3" w:rsidRDefault="008A6844" w:rsidP="000E57E3">
            <w:pPr>
              <w:pStyle w:val="Tabletext"/>
            </w:pPr>
            <w:r w:rsidRPr="000E57E3">
              <w:t>Y</w:t>
            </w:r>
          </w:p>
        </w:tc>
        <w:tc>
          <w:tcPr>
            <w:tcW w:w="0" w:type="auto"/>
            <w:vAlign w:val="bottom"/>
          </w:tcPr>
          <w:p w14:paraId="302E224C" w14:textId="0AF63E7B" w:rsidR="008A6844" w:rsidRPr="000E57E3" w:rsidRDefault="008A6844" w:rsidP="000E57E3">
            <w:pPr>
              <w:pStyle w:val="Tabletext"/>
            </w:pPr>
            <w:r w:rsidRPr="000E57E3">
              <w:t> </w:t>
            </w:r>
          </w:p>
        </w:tc>
        <w:tc>
          <w:tcPr>
            <w:tcW w:w="0" w:type="auto"/>
            <w:vAlign w:val="bottom"/>
          </w:tcPr>
          <w:p w14:paraId="74E68576" w14:textId="23C7A23E" w:rsidR="008A6844" w:rsidRPr="000E57E3" w:rsidRDefault="008A6844" w:rsidP="000E57E3">
            <w:pPr>
              <w:pStyle w:val="Tabletext"/>
            </w:pPr>
            <w:r w:rsidRPr="000E57E3">
              <w:t>Y</w:t>
            </w:r>
          </w:p>
        </w:tc>
        <w:tc>
          <w:tcPr>
            <w:tcW w:w="0" w:type="auto"/>
            <w:vAlign w:val="bottom"/>
          </w:tcPr>
          <w:p w14:paraId="4A9B077D" w14:textId="3CA7F449" w:rsidR="008A6844" w:rsidRPr="000E57E3" w:rsidRDefault="008A6844" w:rsidP="000E57E3">
            <w:pPr>
              <w:pStyle w:val="Tabletext"/>
            </w:pPr>
            <w:r w:rsidRPr="000E57E3">
              <w:t>Facilitated</w:t>
            </w:r>
          </w:p>
        </w:tc>
      </w:tr>
      <w:tr w:rsidR="00776CCE" w:rsidRPr="008A6844" w14:paraId="6CC56A14" w14:textId="77777777" w:rsidTr="00CA44B7">
        <w:tc>
          <w:tcPr>
            <w:tcW w:w="0" w:type="auto"/>
            <w:vAlign w:val="bottom"/>
          </w:tcPr>
          <w:p w14:paraId="6BB21EB4" w14:textId="6C8363DE" w:rsidR="008A6844" w:rsidRPr="000E57E3" w:rsidRDefault="008A6844" w:rsidP="000E57E3">
            <w:pPr>
              <w:pStyle w:val="Tabletext"/>
            </w:pPr>
            <w:r w:rsidRPr="000E57E3">
              <w:t>U2AF2</w:t>
            </w:r>
          </w:p>
        </w:tc>
        <w:tc>
          <w:tcPr>
            <w:tcW w:w="0" w:type="auto"/>
            <w:vAlign w:val="bottom"/>
          </w:tcPr>
          <w:p w14:paraId="2B50DA93" w14:textId="079B3D5A" w:rsidR="008A6844" w:rsidRPr="000E57E3" w:rsidRDefault="008A6844" w:rsidP="000E57E3">
            <w:pPr>
              <w:pStyle w:val="Tabletext"/>
            </w:pPr>
            <w:r w:rsidRPr="000E57E3">
              <w:t> </w:t>
            </w:r>
          </w:p>
        </w:tc>
        <w:tc>
          <w:tcPr>
            <w:tcW w:w="0" w:type="auto"/>
            <w:vAlign w:val="bottom"/>
          </w:tcPr>
          <w:p w14:paraId="57DE048E" w14:textId="698D695A" w:rsidR="008A6844" w:rsidRPr="000E57E3" w:rsidRDefault="008A6844" w:rsidP="000E57E3">
            <w:pPr>
              <w:pStyle w:val="Tabletext"/>
            </w:pPr>
            <w:r w:rsidRPr="000E57E3">
              <w:t> </w:t>
            </w:r>
          </w:p>
        </w:tc>
        <w:tc>
          <w:tcPr>
            <w:tcW w:w="0" w:type="auto"/>
            <w:vAlign w:val="bottom"/>
          </w:tcPr>
          <w:p w14:paraId="7B619C8A" w14:textId="710FA2B8" w:rsidR="008A6844" w:rsidRPr="000E57E3" w:rsidRDefault="008A6844" w:rsidP="000E57E3">
            <w:pPr>
              <w:pStyle w:val="Tabletext"/>
            </w:pPr>
            <w:r w:rsidRPr="000E57E3">
              <w:t>Y</w:t>
            </w:r>
          </w:p>
        </w:tc>
        <w:tc>
          <w:tcPr>
            <w:tcW w:w="0" w:type="auto"/>
            <w:vAlign w:val="bottom"/>
          </w:tcPr>
          <w:p w14:paraId="6ABF5BFB" w14:textId="7FE264CD" w:rsidR="008A6844" w:rsidRPr="000E57E3" w:rsidRDefault="008A6844" w:rsidP="000E57E3">
            <w:pPr>
              <w:pStyle w:val="Tabletext"/>
            </w:pPr>
            <w:r w:rsidRPr="000E57E3">
              <w:t> </w:t>
            </w:r>
          </w:p>
        </w:tc>
        <w:tc>
          <w:tcPr>
            <w:tcW w:w="0" w:type="auto"/>
            <w:vAlign w:val="bottom"/>
          </w:tcPr>
          <w:p w14:paraId="4A38A425" w14:textId="2B420555" w:rsidR="008A6844" w:rsidRPr="000E57E3" w:rsidRDefault="008A6844" w:rsidP="000E57E3">
            <w:pPr>
              <w:pStyle w:val="Tabletext"/>
            </w:pPr>
            <w:r w:rsidRPr="000E57E3">
              <w:t> </w:t>
            </w:r>
          </w:p>
        </w:tc>
        <w:tc>
          <w:tcPr>
            <w:tcW w:w="0" w:type="auto"/>
            <w:vAlign w:val="bottom"/>
          </w:tcPr>
          <w:p w14:paraId="79FDF1DC" w14:textId="1ED36745" w:rsidR="008A6844" w:rsidRPr="000E57E3" w:rsidRDefault="008A6844" w:rsidP="000E57E3">
            <w:pPr>
              <w:pStyle w:val="Tabletext"/>
            </w:pPr>
            <w:r w:rsidRPr="000E57E3">
              <w:t> </w:t>
            </w:r>
          </w:p>
        </w:tc>
        <w:tc>
          <w:tcPr>
            <w:tcW w:w="0" w:type="auto"/>
            <w:vAlign w:val="bottom"/>
          </w:tcPr>
          <w:p w14:paraId="1E347DA2" w14:textId="2F2D904B" w:rsidR="008A6844" w:rsidRPr="000E57E3" w:rsidRDefault="008A6844" w:rsidP="000E57E3">
            <w:pPr>
              <w:pStyle w:val="Tabletext"/>
            </w:pPr>
            <w:r w:rsidRPr="000E57E3">
              <w:t> </w:t>
            </w:r>
          </w:p>
        </w:tc>
        <w:tc>
          <w:tcPr>
            <w:tcW w:w="0" w:type="auto"/>
            <w:vAlign w:val="bottom"/>
          </w:tcPr>
          <w:p w14:paraId="5EC47B4E" w14:textId="02055901" w:rsidR="008A6844" w:rsidRPr="000E57E3" w:rsidRDefault="008A6844" w:rsidP="000E57E3">
            <w:pPr>
              <w:pStyle w:val="Tabletext"/>
            </w:pPr>
            <w:r w:rsidRPr="000E57E3">
              <w:t> </w:t>
            </w:r>
          </w:p>
        </w:tc>
        <w:tc>
          <w:tcPr>
            <w:tcW w:w="0" w:type="auto"/>
            <w:vAlign w:val="bottom"/>
          </w:tcPr>
          <w:p w14:paraId="32BB35CE" w14:textId="223420FB" w:rsidR="008A6844" w:rsidRPr="000E57E3" w:rsidRDefault="008A6844" w:rsidP="000E57E3">
            <w:pPr>
              <w:pStyle w:val="Tabletext"/>
            </w:pPr>
            <w:r w:rsidRPr="000E57E3">
              <w:t> </w:t>
            </w:r>
          </w:p>
        </w:tc>
        <w:tc>
          <w:tcPr>
            <w:tcW w:w="0" w:type="auto"/>
            <w:vAlign w:val="bottom"/>
          </w:tcPr>
          <w:p w14:paraId="530BEAD7" w14:textId="44E1F7B4" w:rsidR="008A6844" w:rsidRPr="000E57E3" w:rsidRDefault="008A6844" w:rsidP="000E57E3">
            <w:pPr>
              <w:pStyle w:val="Tabletext"/>
            </w:pPr>
            <w:r w:rsidRPr="000E57E3">
              <w:t> </w:t>
            </w:r>
          </w:p>
        </w:tc>
        <w:tc>
          <w:tcPr>
            <w:tcW w:w="0" w:type="auto"/>
            <w:vAlign w:val="bottom"/>
          </w:tcPr>
          <w:p w14:paraId="0B3D0D21" w14:textId="2BE89FEA" w:rsidR="008A6844" w:rsidRPr="000E57E3" w:rsidRDefault="008A6844" w:rsidP="000E57E3">
            <w:pPr>
              <w:pStyle w:val="Tabletext"/>
            </w:pPr>
            <w:r w:rsidRPr="000E57E3">
              <w:t> </w:t>
            </w:r>
          </w:p>
        </w:tc>
        <w:tc>
          <w:tcPr>
            <w:tcW w:w="0" w:type="auto"/>
            <w:vAlign w:val="bottom"/>
          </w:tcPr>
          <w:p w14:paraId="402D685B" w14:textId="164BA096" w:rsidR="008A6844" w:rsidRPr="000E57E3" w:rsidRDefault="008A6844" w:rsidP="000E57E3">
            <w:pPr>
              <w:pStyle w:val="Tabletext"/>
            </w:pPr>
            <w:r w:rsidRPr="000E57E3">
              <w:t>Facilitated</w:t>
            </w:r>
          </w:p>
        </w:tc>
      </w:tr>
      <w:tr w:rsidR="00776CCE" w:rsidRPr="008A6844" w14:paraId="624FE900" w14:textId="77777777" w:rsidTr="00CA44B7">
        <w:tc>
          <w:tcPr>
            <w:tcW w:w="0" w:type="auto"/>
            <w:vAlign w:val="bottom"/>
          </w:tcPr>
          <w:p w14:paraId="5DF76689" w14:textId="2EAA91A6" w:rsidR="008A6844" w:rsidRPr="000E57E3" w:rsidRDefault="008A6844" w:rsidP="000E57E3">
            <w:pPr>
              <w:pStyle w:val="Tabletext"/>
            </w:pPr>
            <w:r w:rsidRPr="000E57E3">
              <w:t>VPS45</w:t>
            </w:r>
          </w:p>
        </w:tc>
        <w:tc>
          <w:tcPr>
            <w:tcW w:w="0" w:type="auto"/>
            <w:vAlign w:val="bottom"/>
          </w:tcPr>
          <w:p w14:paraId="77258B67" w14:textId="60A24F51" w:rsidR="008A6844" w:rsidRPr="000E57E3" w:rsidRDefault="008A6844" w:rsidP="000E57E3">
            <w:pPr>
              <w:pStyle w:val="Tabletext"/>
            </w:pPr>
            <w:r w:rsidRPr="000E57E3">
              <w:t> </w:t>
            </w:r>
          </w:p>
        </w:tc>
        <w:tc>
          <w:tcPr>
            <w:tcW w:w="0" w:type="auto"/>
            <w:vAlign w:val="bottom"/>
          </w:tcPr>
          <w:p w14:paraId="7661F55C" w14:textId="4DC9B13D" w:rsidR="008A6844" w:rsidRPr="000E57E3" w:rsidRDefault="008A6844" w:rsidP="000E57E3">
            <w:pPr>
              <w:pStyle w:val="Tabletext"/>
            </w:pPr>
            <w:r w:rsidRPr="000E57E3">
              <w:t> </w:t>
            </w:r>
          </w:p>
        </w:tc>
        <w:tc>
          <w:tcPr>
            <w:tcW w:w="0" w:type="auto"/>
            <w:vAlign w:val="bottom"/>
          </w:tcPr>
          <w:p w14:paraId="270ECFDF" w14:textId="4DA150B1" w:rsidR="008A6844" w:rsidRPr="000E57E3" w:rsidRDefault="008A6844" w:rsidP="000E57E3">
            <w:pPr>
              <w:pStyle w:val="Tabletext"/>
            </w:pPr>
            <w:r w:rsidRPr="000E57E3">
              <w:t> </w:t>
            </w:r>
          </w:p>
        </w:tc>
        <w:tc>
          <w:tcPr>
            <w:tcW w:w="0" w:type="auto"/>
            <w:vAlign w:val="bottom"/>
          </w:tcPr>
          <w:p w14:paraId="7E4964D1" w14:textId="40A186D8" w:rsidR="008A6844" w:rsidRPr="000E57E3" w:rsidRDefault="008A6844" w:rsidP="000E57E3">
            <w:pPr>
              <w:pStyle w:val="Tabletext"/>
            </w:pPr>
            <w:r w:rsidRPr="000E57E3">
              <w:t> </w:t>
            </w:r>
          </w:p>
        </w:tc>
        <w:tc>
          <w:tcPr>
            <w:tcW w:w="0" w:type="auto"/>
            <w:vAlign w:val="bottom"/>
          </w:tcPr>
          <w:p w14:paraId="60AD98B7" w14:textId="0FBEDF91" w:rsidR="008A6844" w:rsidRPr="000E57E3" w:rsidRDefault="008A6844" w:rsidP="000E57E3">
            <w:pPr>
              <w:pStyle w:val="Tabletext"/>
            </w:pPr>
            <w:r w:rsidRPr="000E57E3">
              <w:t> </w:t>
            </w:r>
          </w:p>
        </w:tc>
        <w:tc>
          <w:tcPr>
            <w:tcW w:w="0" w:type="auto"/>
            <w:vAlign w:val="bottom"/>
          </w:tcPr>
          <w:p w14:paraId="7EC888CE" w14:textId="28938203" w:rsidR="008A6844" w:rsidRPr="000E57E3" w:rsidRDefault="008A6844" w:rsidP="000E57E3">
            <w:pPr>
              <w:pStyle w:val="Tabletext"/>
            </w:pPr>
            <w:r w:rsidRPr="000E57E3">
              <w:t>Y</w:t>
            </w:r>
          </w:p>
        </w:tc>
        <w:tc>
          <w:tcPr>
            <w:tcW w:w="0" w:type="auto"/>
            <w:vAlign w:val="bottom"/>
          </w:tcPr>
          <w:p w14:paraId="6E354F5A" w14:textId="3DEF79BE" w:rsidR="008A6844" w:rsidRPr="000E57E3" w:rsidRDefault="008A6844" w:rsidP="000E57E3">
            <w:pPr>
              <w:pStyle w:val="Tabletext"/>
            </w:pPr>
            <w:r w:rsidRPr="000E57E3">
              <w:t> </w:t>
            </w:r>
          </w:p>
        </w:tc>
        <w:tc>
          <w:tcPr>
            <w:tcW w:w="0" w:type="auto"/>
            <w:vAlign w:val="bottom"/>
          </w:tcPr>
          <w:p w14:paraId="0E322E1A" w14:textId="271E40E5" w:rsidR="008A6844" w:rsidRPr="000E57E3" w:rsidRDefault="008A6844" w:rsidP="000E57E3">
            <w:pPr>
              <w:pStyle w:val="Tabletext"/>
            </w:pPr>
            <w:r w:rsidRPr="000E57E3">
              <w:t> </w:t>
            </w:r>
          </w:p>
        </w:tc>
        <w:tc>
          <w:tcPr>
            <w:tcW w:w="0" w:type="auto"/>
            <w:vAlign w:val="bottom"/>
          </w:tcPr>
          <w:p w14:paraId="361F5F68" w14:textId="4EAC66FC" w:rsidR="008A6844" w:rsidRPr="000E57E3" w:rsidRDefault="008A6844" w:rsidP="000E57E3">
            <w:pPr>
              <w:pStyle w:val="Tabletext"/>
            </w:pPr>
            <w:r w:rsidRPr="000E57E3">
              <w:t> </w:t>
            </w:r>
          </w:p>
        </w:tc>
        <w:tc>
          <w:tcPr>
            <w:tcW w:w="0" w:type="auto"/>
            <w:vAlign w:val="bottom"/>
          </w:tcPr>
          <w:p w14:paraId="6C9BE8F4" w14:textId="46F7AA90" w:rsidR="008A6844" w:rsidRPr="000E57E3" w:rsidRDefault="008A6844" w:rsidP="000E57E3">
            <w:pPr>
              <w:pStyle w:val="Tabletext"/>
            </w:pPr>
            <w:r w:rsidRPr="000E57E3">
              <w:t> </w:t>
            </w:r>
          </w:p>
        </w:tc>
        <w:tc>
          <w:tcPr>
            <w:tcW w:w="0" w:type="auto"/>
            <w:vAlign w:val="bottom"/>
          </w:tcPr>
          <w:p w14:paraId="3444C01E" w14:textId="26572810" w:rsidR="008A6844" w:rsidRPr="000E57E3" w:rsidRDefault="008A6844" w:rsidP="000E57E3">
            <w:pPr>
              <w:pStyle w:val="Tabletext"/>
            </w:pPr>
            <w:r w:rsidRPr="000E57E3">
              <w:t> </w:t>
            </w:r>
          </w:p>
        </w:tc>
        <w:tc>
          <w:tcPr>
            <w:tcW w:w="0" w:type="auto"/>
            <w:vAlign w:val="bottom"/>
          </w:tcPr>
          <w:p w14:paraId="4C8B12E5" w14:textId="78A8A7CE" w:rsidR="008A6844" w:rsidRPr="000E57E3" w:rsidRDefault="008A6844" w:rsidP="000E57E3">
            <w:pPr>
              <w:pStyle w:val="Tabletext"/>
            </w:pPr>
            <w:r w:rsidRPr="000E57E3">
              <w:t>Facilitated</w:t>
            </w:r>
          </w:p>
        </w:tc>
      </w:tr>
      <w:tr w:rsidR="00776CCE" w:rsidRPr="008A6844" w14:paraId="17E57DD2" w14:textId="77777777" w:rsidTr="00CA44B7">
        <w:tc>
          <w:tcPr>
            <w:tcW w:w="0" w:type="auto"/>
            <w:vAlign w:val="bottom"/>
          </w:tcPr>
          <w:p w14:paraId="60D6C991" w14:textId="5A189AFC" w:rsidR="008A6844" w:rsidRPr="000E57E3" w:rsidRDefault="008A6844" w:rsidP="000E57E3">
            <w:pPr>
              <w:pStyle w:val="Tabletext"/>
            </w:pPr>
            <w:r w:rsidRPr="000E57E3">
              <w:t>WT1</w:t>
            </w:r>
          </w:p>
        </w:tc>
        <w:tc>
          <w:tcPr>
            <w:tcW w:w="0" w:type="auto"/>
            <w:vAlign w:val="bottom"/>
          </w:tcPr>
          <w:p w14:paraId="2AFFB970" w14:textId="7CFE8A23" w:rsidR="008A6844" w:rsidRPr="000E57E3" w:rsidRDefault="008A6844" w:rsidP="000E57E3">
            <w:pPr>
              <w:pStyle w:val="Tabletext"/>
            </w:pPr>
            <w:r w:rsidRPr="000E57E3">
              <w:t> </w:t>
            </w:r>
          </w:p>
        </w:tc>
        <w:tc>
          <w:tcPr>
            <w:tcW w:w="0" w:type="auto"/>
            <w:vAlign w:val="bottom"/>
          </w:tcPr>
          <w:p w14:paraId="2F79B789" w14:textId="4C0663B0" w:rsidR="008A6844" w:rsidRPr="000E57E3" w:rsidRDefault="008A6844" w:rsidP="000E57E3">
            <w:pPr>
              <w:pStyle w:val="Tabletext"/>
            </w:pPr>
            <w:r w:rsidRPr="000E57E3">
              <w:t> </w:t>
            </w:r>
          </w:p>
        </w:tc>
        <w:tc>
          <w:tcPr>
            <w:tcW w:w="0" w:type="auto"/>
            <w:vAlign w:val="bottom"/>
          </w:tcPr>
          <w:p w14:paraId="6B82BEEF" w14:textId="2C2B4442" w:rsidR="008A6844" w:rsidRPr="000E57E3" w:rsidRDefault="008A6844" w:rsidP="000E57E3">
            <w:pPr>
              <w:pStyle w:val="Tabletext"/>
            </w:pPr>
            <w:r w:rsidRPr="000E57E3">
              <w:t>Y</w:t>
            </w:r>
          </w:p>
        </w:tc>
        <w:tc>
          <w:tcPr>
            <w:tcW w:w="0" w:type="auto"/>
            <w:vAlign w:val="bottom"/>
          </w:tcPr>
          <w:p w14:paraId="11E3D18F" w14:textId="12E67258" w:rsidR="008A6844" w:rsidRPr="000E57E3" w:rsidRDefault="008A6844" w:rsidP="000E57E3">
            <w:pPr>
              <w:pStyle w:val="Tabletext"/>
            </w:pPr>
            <w:r w:rsidRPr="000E57E3">
              <w:t> </w:t>
            </w:r>
          </w:p>
        </w:tc>
        <w:tc>
          <w:tcPr>
            <w:tcW w:w="0" w:type="auto"/>
            <w:vAlign w:val="bottom"/>
          </w:tcPr>
          <w:p w14:paraId="6BEB22CE" w14:textId="2DBD4FB2" w:rsidR="008A6844" w:rsidRPr="000E57E3" w:rsidRDefault="008A6844" w:rsidP="000E57E3">
            <w:pPr>
              <w:pStyle w:val="Tabletext"/>
            </w:pPr>
            <w:r w:rsidRPr="000E57E3">
              <w:t>Y</w:t>
            </w:r>
          </w:p>
        </w:tc>
        <w:tc>
          <w:tcPr>
            <w:tcW w:w="0" w:type="auto"/>
            <w:vAlign w:val="bottom"/>
          </w:tcPr>
          <w:p w14:paraId="36A31A18" w14:textId="52A71C35" w:rsidR="008A6844" w:rsidRPr="000E57E3" w:rsidRDefault="008A6844" w:rsidP="000E57E3">
            <w:pPr>
              <w:pStyle w:val="Tabletext"/>
            </w:pPr>
            <w:r w:rsidRPr="000E57E3">
              <w:t> </w:t>
            </w:r>
          </w:p>
        </w:tc>
        <w:tc>
          <w:tcPr>
            <w:tcW w:w="0" w:type="auto"/>
            <w:vAlign w:val="bottom"/>
          </w:tcPr>
          <w:p w14:paraId="2A2CDBDE" w14:textId="6FF1EE19" w:rsidR="008A6844" w:rsidRPr="000E57E3" w:rsidRDefault="008A6844" w:rsidP="000E57E3">
            <w:pPr>
              <w:pStyle w:val="Tabletext"/>
            </w:pPr>
            <w:r w:rsidRPr="000E57E3">
              <w:t>Y</w:t>
            </w:r>
          </w:p>
        </w:tc>
        <w:tc>
          <w:tcPr>
            <w:tcW w:w="0" w:type="auto"/>
            <w:vAlign w:val="bottom"/>
          </w:tcPr>
          <w:p w14:paraId="15FBA2A0" w14:textId="2F4834E9" w:rsidR="008A6844" w:rsidRPr="000E57E3" w:rsidRDefault="008A6844" w:rsidP="000E57E3">
            <w:pPr>
              <w:pStyle w:val="Tabletext"/>
            </w:pPr>
            <w:r w:rsidRPr="000E57E3">
              <w:t> </w:t>
            </w:r>
          </w:p>
        </w:tc>
        <w:tc>
          <w:tcPr>
            <w:tcW w:w="0" w:type="auto"/>
            <w:vAlign w:val="bottom"/>
          </w:tcPr>
          <w:p w14:paraId="719A98D5" w14:textId="0022A3FE" w:rsidR="008A6844" w:rsidRPr="000E57E3" w:rsidRDefault="008A6844" w:rsidP="000E57E3">
            <w:pPr>
              <w:pStyle w:val="Tabletext"/>
            </w:pPr>
            <w:r w:rsidRPr="000E57E3">
              <w:t>Y</w:t>
            </w:r>
          </w:p>
        </w:tc>
        <w:tc>
          <w:tcPr>
            <w:tcW w:w="0" w:type="auto"/>
            <w:vAlign w:val="bottom"/>
          </w:tcPr>
          <w:p w14:paraId="52E612DF" w14:textId="4BF9F67A" w:rsidR="008A6844" w:rsidRPr="000E57E3" w:rsidRDefault="008A6844" w:rsidP="000E57E3">
            <w:pPr>
              <w:pStyle w:val="Tabletext"/>
            </w:pPr>
            <w:r w:rsidRPr="000E57E3">
              <w:t> </w:t>
            </w:r>
          </w:p>
        </w:tc>
        <w:tc>
          <w:tcPr>
            <w:tcW w:w="0" w:type="auto"/>
            <w:vAlign w:val="bottom"/>
          </w:tcPr>
          <w:p w14:paraId="5F6ED9A4" w14:textId="4F7190CB" w:rsidR="008A6844" w:rsidRPr="000E57E3" w:rsidRDefault="008A6844" w:rsidP="000E57E3">
            <w:pPr>
              <w:pStyle w:val="Tabletext"/>
            </w:pPr>
            <w:r w:rsidRPr="000E57E3">
              <w:t>Y</w:t>
            </w:r>
          </w:p>
        </w:tc>
        <w:tc>
          <w:tcPr>
            <w:tcW w:w="0" w:type="auto"/>
            <w:vAlign w:val="bottom"/>
          </w:tcPr>
          <w:p w14:paraId="3AA0403F" w14:textId="52CCA83E" w:rsidR="008A6844" w:rsidRPr="000E57E3" w:rsidRDefault="008A6844" w:rsidP="000E57E3">
            <w:pPr>
              <w:pStyle w:val="Tabletext"/>
            </w:pPr>
            <w:r w:rsidRPr="000E57E3">
              <w:t>Facilitated</w:t>
            </w:r>
          </w:p>
        </w:tc>
      </w:tr>
      <w:tr w:rsidR="00776CCE" w:rsidRPr="008A6844" w14:paraId="06F28B7D" w14:textId="77777777" w:rsidTr="00CA44B7">
        <w:tc>
          <w:tcPr>
            <w:tcW w:w="0" w:type="auto"/>
            <w:vAlign w:val="bottom"/>
          </w:tcPr>
          <w:p w14:paraId="74C4352F" w14:textId="21DDFD8C" w:rsidR="008A6844" w:rsidRPr="000E57E3" w:rsidRDefault="008A6844" w:rsidP="000E57E3">
            <w:pPr>
              <w:pStyle w:val="Tabletext"/>
            </w:pPr>
            <w:r w:rsidRPr="000E57E3">
              <w:t>XPO1</w:t>
            </w:r>
          </w:p>
        </w:tc>
        <w:tc>
          <w:tcPr>
            <w:tcW w:w="0" w:type="auto"/>
            <w:vAlign w:val="bottom"/>
          </w:tcPr>
          <w:p w14:paraId="2639314E" w14:textId="5C54B41B" w:rsidR="008A6844" w:rsidRPr="000E57E3" w:rsidRDefault="008A6844" w:rsidP="000E57E3">
            <w:pPr>
              <w:pStyle w:val="Tabletext"/>
            </w:pPr>
            <w:r w:rsidRPr="000E57E3">
              <w:t> </w:t>
            </w:r>
          </w:p>
        </w:tc>
        <w:tc>
          <w:tcPr>
            <w:tcW w:w="0" w:type="auto"/>
            <w:vAlign w:val="bottom"/>
          </w:tcPr>
          <w:p w14:paraId="7B254018" w14:textId="388E5E41" w:rsidR="008A6844" w:rsidRPr="000E57E3" w:rsidRDefault="008A6844" w:rsidP="000E57E3">
            <w:pPr>
              <w:pStyle w:val="Tabletext"/>
            </w:pPr>
            <w:r w:rsidRPr="000E57E3">
              <w:t> </w:t>
            </w:r>
          </w:p>
        </w:tc>
        <w:tc>
          <w:tcPr>
            <w:tcW w:w="0" w:type="auto"/>
            <w:vAlign w:val="bottom"/>
          </w:tcPr>
          <w:p w14:paraId="5F18D2DA" w14:textId="48C2B369" w:rsidR="008A6844" w:rsidRPr="000E57E3" w:rsidRDefault="008A6844" w:rsidP="000E57E3">
            <w:pPr>
              <w:pStyle w:val="Tabletext"/>
            </w:pPr>
            <w:r w:rsidRPr="000E57E3">
              <w:t>Y</w:t>
            </w:r>
          </w:p>
        </w:tc>
        <w:tc>
          <w:tcPr>
            <w:tcW w:w="0" w:type="auto"/>
            <w:vAlign w:val="bottom"/>
          </w:tcPr>
          <w:p w14:paraId="565DD208" w14:textId="7069AE24" w:rsidR="008A6844" w:rsidRPr="000E57E3" w:rsidRDefault="008A6844" w:rsidP="000E57E3">
            <w:pPr>
              <w:pStyle w:val="Tabletext"/>
            </w:pPr>
            <w:r w:rsidRPr="000E57E3">
              <w:t>Y</w:t>
            </w:r>
          </w:p>
        </w:tc>
        <w:tc>
          <w:tcPr>
            <w:tcW w:w="0" w:type="auto"/>
            <w:vAlign w:val="bottom"/>
          </w:tcPr>
          <w:p w14:paraId="684F58C4" w14:textId="214A839B" w:rsidR="008A6844" w:rsidRPr="000E57E3" w:rsidRDefault="008A6844" w:rsidP="000E57E3">
            <w:pPr>
              <w:pStyle w:val="Tabletext"/>
            </w:pPr>
            <w:r w:rsidRPr="000E57E3">
              <w:t> </w:t>
            </w:r>
          </w:p>
        </w:tc>
        <w:tc>
          <w:tcPr>
            <w:tcW w:w="0" w:type="auto"/>
            <w:vAlign w:val="bottom"/>
          </w:tcPr>
          <w:p w14:paraId="470D4B91" w14:textId="42A793C5" w:rsidR="008A6844" w:rsidRPr="000E57E3" w:rsidRDefault="008A6844" w:rsidP="000E57E3">
            <w:pPr>
              <w:pStyle w:val="Tabletext"/>
            </w:pPr>
            <w:r w:rsidRPr="000E57E3">
              <w:t> </w:t>
            </w:r>
          </w:p>
        </w:tc>
        <w:tc>
          <w:tcPr>
            <w:tcW w:w="0" w:type="auto"/>
            <w:vAlign w:val="bottom"/>
          </w:tcPr>
          <w:p w14:paraId="6418D6E2" w14:textId="31DCCAD4" w:rsidR="008A6844" w:rsidRPr="000E57E3" w:rsidRDefault="008A6844" w:rsidP="000E57E3">
            <w:pPr>
              <w:pStyle w:val="Tabletext"/>
            </w:pPr>
            <w:r w:rsidRPr="000E57E3">
              <w:t>Y</w:t>
            </w:r>
          </w:p>
        </w:tc>
        <w:tc>
          <w:tcPr>
            <w:tcW w:w="0" w:type="auto"/>
            <w:vAlign w:val="bottom"/>
          </w:tcPr>
          <w:p w14:paraId="27F89ACF" w14:textId="7E5DEDD2" w:rsidR="008A6844" w:rsidRPr="000E57E3" w:rsidRDefault="008A6844" w:rsidP="000E57E3">
            <w:pPr>
              <w:pStyle w:val="Tabletext"/>
            </w:pPr>
            <w:r w:rsidRPr="000E57E3">
              <w:t>Y</w:t>
            </w:r>
          </w:p>
        </w:tc>
        <w:tc>
          <w:tcPr>
            <w:tcW w:w="0" w:type="auto"/>
            <w:vAlign w:val="bottom"/>
          </w:tcPr>
          <w:p w14:paraId="0757B099" w14:textId="74798414" w:rsidR="008A6844" w:rsidRPr="000E57E3" w:rsidRDefault="008A6844" w:rsidP="000E57E3">
            <w:pPr>
              <w:pStyle w:val="Tabletext"/>
            </w:pPr>
            <w:r w:rsidRPr="000E57E3">
              <w:t> </w:t>
            </w:r>
          </w:p>
        </w:tc>
        <w:tc>
          <w:tcPr>
            <w:tcW w:w="0" w:type="auto"/>
            <w:vAlign w:val="bottom"/>
          </w:tcPr>
          <w:p w14:paraId="4A1E964D" w14:textId="74CCD797" w:rsidR="008A6844" w:rsidRPr="000E57E3" w:rsidRDefault="008A6844" w:rsidP="000E57E3">
            <w:pPr>
              <w:pStyle w:val="Tabletext"/>
            </w:pPr>
            <w:r w:rsidRPr="000E57E3">
              <w:t>Y</w:t>
            </w:r>
          </w:p>
        </w:tc>
        <w:tc>
          <w:tcPr>
            <w:tcW w:w="0" w:type="auto"/>
            <w:vAlign w:val="bottom"/>
          </w:tcPr>
          <w:p w14:paraId="1278F512" w14:textId="7177C472" w:rsidR="008A6844" w:rsidRPr="000E57E3" w:rsidRDefault="008A6844" w:rsidP="000E57E3">
            <w:pPr>
              <w:pStyle w:val="Tabletext"/>
            </w:pPr>
            <w:r w:rsidRPr="000E57E3">
              <w:t> </w:t>
            </w:r>
          </w:p>
        </w:tc>
        <w:tc>
          <w:tcPr>
            <w:tcW w:w="0" w:type="auto"/>
            <w:vAlign w:val="bottom"/>
          </w:tcPr>
          <w:p w14:paraId="455E78FF" w14:textId="1AB84EB7" w:rsidR="008A6844" w:rsidRPr="000E57E3" w:rsidRDefault="008A6844" w:rsidP="000E57E3">
            <w:pPr>
              <w:pStyle w:val="Tabletext"/>
            </w:pPr>
            <w:r w:rsidRPr="000E57E3">
              <w:t>Facilitated</w:t>
            </w:r>
          </w:p>
        </w:tc>
      </w:tr>
      <w:tr w:rsidR="00776CCE" w:rsidRPr="008A6844" w14:paraId="6DE0F277" w14:textId="77777777" w:rsidTr="00CA44B7">
        <w:tc>
          <w:tcPr>
            <w:tcW w:w="0" w:type="auto"/>
            <w:vAlign w:val="bottom"/>
          </w:tcPr>
          <w:p w14:paraId="2D82DBCF" w14:textId="69C2B730" w:rsidR="008A6844" w:rsidRPr="000E57E3" w:rsidRDefault="008A6844" w:rsidP="000E57E3">
            <w:pPr>
              <w:pStyle w:val="Tabletext"/>
            </w:pPr>
            <w:r w:rsidRPr="000E57E3">
              <w:t>ZRSR2</w:t>
            </w:r>
          </w:p>
        </w:tc>
        <w:tc>
          <w:tcPr>
            <w:tcW w:w="0" w:type="auto"/>
            <w:vAlign w:val="bottom"/>
          </w:tcPr>
          <w:p w14:paraId="10374F3F" w14:textId="6DFAA54B" w:rsidR="008A6844" w:rsidRPr="000E57E3" w:rsidRDefault="008A6844" w:rsidP="000E57E3">
            <w:pPr>
              <w:pStyle w:val="Tabletext"/>
            </w:pPr>
            <w:r w:rsidRPr="000E57E3">
              <w:t> </w:t>
            </w:r>
          </w:p>
        </w:tc>
        <w:tc>
          <w:tcPr>
            <w:tcW w:w="0" w:type="auto"/>
            <w:vAlign w:val="bottom"/>
          </w:tcPr>
          <w:p w14:paraId="34E7DC75" w14:textId="43A42DED" w:rsidR="008A6844" w:rsidRPr="000E57E3" w:rsidRDefault="008A6844" w:rsidP="000E57E3">
            <w:pPr>
              <w:pStyle w:val="Tabletext"/>
            </w:pPr>
            <w:r w:rsidRPr="000E57E3">
              <w:t> </w:t>
            </w:r>
          </w:p>
        </w:tc>
        <w:tc>
          <w:tcPr>
            <w:tcW w:w="0" w:type="auto"/>
            <w:vAlign w:val="bottom"/>
          </w:tcPr>
          <w:p w14:paraId="3E0153AA" w14:textId="0C82A45C" w:rsidR="008A6844" w:rsidRPr="000E57E3" w:rsidRDefault="008A6844" w:rsidP="000E57E3">
            <w:pPr>
              <w:pStyle w:val="Tabletext"/>
            </w:pPr>
            <w:r w:rsidRPr="000E57E3">
              <w:t> </w:t>
            </w:r>
          </w:p>
        </w:tc>
        <w:tc>
          <w:tcPr>
            <w:tcW w:w="0" w:type="auto"/>
            <w:vAlign w:val="bottom"/>
          </w:tcPr>
          <w:p w14:paraId="53F36E75" w14:textId="0AE806F0" w:rsidR="008A6844" w:rsidRPr="000E57E3" w:rsidRDefault="008A6844" w:rsidP="000E57E3">
            <w:pPr>
              <w:pStyle w:val="Tabletext"/>
            </w:pPr>
            <w:r w:rsidRPr="000E57E3">
              <w:t> </w:t>
            </w:r>
          </w:p>
        </w:tc>
        <w:tc>
          <w:tcPr>
            <w:tcW w:w="0" w:type="auto"/>
            <w:vAlign w:val="bottom"/>
          </w:tcPr>
          <w:p w14:paraId="3CE16635" w14:textId="025ECA6E" w:rsidR="008A6844" w:rsidRPr="000E57E3" w:rsidRDefault="008A6844" w:rsidP="000E57E3">
            <w:pPr>
              <w:pStyle w:val="Tabletext"/>
            </w:pPr>
            <w:r w:rsidRPr="000E57E3">
              <w:t>Y</w:t>
            </w:r>
          </w:p>
        </w:tc>
        <w:tc>
          <w:tcPr>
            <w:tcW w:w="0" w:type="auto"/>
            <w:vAlign w:val="bottom"/>
          </w:tcPr>
          <w:p w14:paraId="2E1AC1B7" w14:textId="09889C01" w:rsidR="008A6844" w:rsidRPr="000E57E3" w:rsidRDefault="008A6844" w:rsidP="000E57E3">
            <w:pPr>
              <w:pStyle w:val="Tabletext"/>
            </w:pPr>
            <w:r w:rsidRPr="000E57E3">
              <w:t> </w:t>
            </w:r>
          </w:p>
        </w:tc>
        <w:tc>
          <w:tcPr>
            <w:tcW w:w="0" w:type="auto"/>
            <w:vAlign w:val="bottom"/>
          </w:tcPr>
          <w:p w14:paraId="538667BD" w14:textId="58D59520" w:rsidR="008A6844" w:rsidRPr="000E57E3" w:rsidRDefault="008A6844" w:rsidP="000E57E3">
            <w:pPr>
              <w:pStyle w:val="Tabletext"/>
            </w:pPr>
            <w:r w:rsidRPr="000E57E3">
              <w:t>Y</w:t>
            </w:r>
          </w:p>
        </w:tc>
        <w:tc>
          <w:tcPr>
            <w:tcW w:w="0" w:type="auto"/>
            <w:vAlign w:val="bottom"/>
          </w:tcPr>
          <w:p w14:paraId="6646AAD4" w14:textId="14C6D764" w:rsidR="008A6844" w:rsidRPr="000E57E3" w:rsidRDefault="008A6844" w:rsidP="000E57E3">
            <w:pPr>
              <w:pStyle w:val="Tabletext"/>
            </w:pPr>
            <w:r w:rsidRPr="000E57E3">
              <w:t> </w:t>
            </w:r>
          </w:p>
        </w:tc>
        <w:tc>
          <w:tcPr>
            <w:tcW w:w="0" w:type="auto"/>
            <w:vAlign w:val="bottom"/>
          </w:tcPr>
          <w:p w14:paraId="401479CE" w14:textId="2B41DBAA" w:rsidR="008A6844" w:rsidRPr="000E57E3" w:rsidRDefault="008A6844" w:rsidP="000E57E3">
            <w:pPr>
              <w:pStyle w:val="Tabletext"/>
            </w:pPr>
            <w:r w:rsidRPr="000E57E3">
              <w:t>Y</w:t>
            </w:r>
          </w:p>
        </w:tc>
        <w:tc>
          <w:tcPr>
            <w:tcW w:w="0" w:type="auto"/>
            <w:vAlign w:val="bottom"/>
          </w:tcPr>
          <w:p w14:paraId="6C91B82A" w14:textId="1894D56A" w:rsidR="008A6844" w:rsidRPr="000E57E3" w:rsidRDefault="008A6844" w:rsidP="000E57E3">
            <w:pPr>
              <w:pStyle w:val="Tabletext"/>
            </w:pPr>
            <w:r w:rsidRPr="000E57E3">
              <w:t> </w:t>
            </w:r>
          </w:p>
        </w:tc>
        <w:tc>
          <w:tcPr>
            <w:tcW w:w="0" w:type="auto"/>
            <w:vAlign w:val="bottom"/>
          </w:tcPr>
          <w:p w14:paraId="2D53056A" w14:textId="20CBF004" w:rsidR="008A6844" w:rsidRPr="000E57E3" w:rsidRDefault="008A6844" w:rsidP="000E57E3">
            <w:pPr>
              <w:pStyle w:val="Tabletext"/>
            </w:pPr>
            <w:r w:rsidRPr="000E57E3">
              <w:t>Y</w:t>
            </w:r>
          </w:p>
        </w:tc>
        <w:tc>
          <w:tcPr>
            <w:tcW w:w="0" w:type="auto"/>
            <w:vAlign w:val="bottom"/>
          </w:tcPr>
          <w:p w14:paraId="65038B8C" w14:textId="4AC39F3F" w:rsidR="008A6844" w:rsidRPr="000E57E3" w:rsidRDefault="008A6844" w:rsidP="000E57E3">
            <w:pPr>
              <w:pStyle w:val="Tabletext"/>
            </w:pPr>
            <w:r w:rsidRPr="000E57E3">
              <w:t>Facilitated</w:t>
            </w:r>
          </w:p>
        </w:tc>
      </w:tr>
      <w:tr w:rsidR="00776CCE" w:rsidRPr="008A6844" w14:paraId="12B904B9" w14:textId="77777777" w:rsidTr="00CA44B7">
        <w:tc>
          <w:tcPr>
            <w:tcW w:w="0" w:type="auto"/>
            <w:vAlign w:val="bottom"/>
          </w:tcPr>
          <w:p w14:paraId="7ACCAFBA" w14:textId="5EF6D79D" w:rsidR="008A6844" w:rsidRPr="000E57E3" w:rsidRDefault="008A6844" w:rsidP="000E57E3">
            <w:pPr>
              <w:pStyle w:val="Tabletext"/>
            </w:pPr>
            <w:r w:rsidRPr="000E57E3">
              <w:rPr>
                <w:rStyle w:val="Strong"/>
                <w:rFonts w:ascii="Arial Narrow" w:hAnsi="Arial Narrow"/>
              </w:rPr>
              <w:t>Total</w:t>
            </w:r>
          </w:p>
        </w:tc>
        <w:tc>
          <w:tcPr>
            <w:tcW w:w="0" w:type="auto"/>
            <w:vAlign w:val="bottom"/>
          </w:tcPr>
          <w:p w14:paraId="197E7433" w14:textId="3EBA9AE5" w:rsidR="008A6844" w:rsidRPr="000E57E3" w:rsidRDefault="008A6844" w:rsidP="000E57E3">
            <w:pPr>
              <w:pStyle w:val="Tabletext"/>
            </w:pPr>
            <w:r w:rsidRPr="000E57E3">
              <w:rPr>
                <w:rStyle w:val="Strong"/>
                <w:rFonts w:ascii="Arial Narrow" w:hAnsi="Arial Narrow"/>
              </w:rPr>
              <w:t>81</w:t>
            </w:r>
          </w:p>
        </w:tc>
        <w:tc>
          <w:tcPr>
            <w:tcW w:w="0" w:type="auto"/>
            <w:vAlign w:val="bottom"/>
          </w:tcPr>
          <w:p w14:paraId="233C854C" w14:textId="17D51C82" w:rsidR="008A6844" w:rsidRPr="000E57E3" w:rsidRDefault="008A6844" w:rsidP="000E57E3">
            <w:pPr>
              <w:pStyle w:val="Tabletext"/>
            </w:pPr>
            <w:r w:rsidRPr="000E57E3">
              <w:rPr>
                <w:rStyle w:val="Strong"/>
                <w:rFonts w:ascii="Arial Narrow" w:hAnsi="Arial Narrow"/>
              </w:rPr>
              <w:t>24</w:t>
            </w:r>
          </w:p>
        </w:tc>
        <w:tc>
          <w:tcPr>
            <w:tcW w:w="0" w:type="auto"/>
            <w:vAlign w:val="bottom"/>
          </w:tcPr>
          <w:p w14:paraId="63D273FF" w14:textId="65B36E7B" w:rsidR="008A6844" w:rsidRPr="000E57E3" w:rsidRDefault="008A6844" w:rsidP="000E57E3">
            <w:pPr>
              <w:pStyle w:val="Tabletext"/>
            </w:pPr>
            <w:r w:rsidRPr="000E57E3">
              <w:rPr>
                <w:rStyle w:val="Strong"/>
                <w:rFonts w:ascii="Arial Narrow" w:hAnsi="Arial Narrow"/>
              </w:rPr>
              <w:t>74</w:t>
            </w:r>
          </w:p>
        </w:tc>
        <w:tc>
          <w:tcPr>
            <w:tcW w:w="0" w:type="auto"/>
            <w:vAlign w:val="bottom"/>
          </w:tcPr>
          <w:p w14:paraId="1BB8F11B" w14:textId="2FA25AEC" w:rsidR="008A6844" w:rsidRPr="000E57E3" w:rsidRDefault="008A6844" w:rsidP="000E57E3">
            <w:pPr>
              <w:pStyle w:val="Tabletext"/>
            </w:pPr>
            <w:r w:rsidRPr="000E57E3">
              <w:rPr>
                <w:rStyle w:val="Strong"/>
                <w:rFonts w:ascii="Arial Narrow" w:hAnsi="Arial Narrow"/>
              </w:rPr>
              <w:t>25</w:t>
            </w:r>
          </w:p>
        </w:tc>
        <w:tc>
          <w:tcPr>
            <w:tcW w:w="0" w:type="auto"/>
            <w:vAlign w:val="bottom"/>
          </w:tcPr>
          <w:p w14:paraId="210648C4" w14:textId="0286DB57" w:rsidR="008A6844" w:rsidRPr="000E57E3" w:rsidRDefault="008A6844" w:rsidP="000E57E3">
            <w:pPr>
              <w:pStyle w:val="Tabletext"/>
            </w:pPr>
            <w:r w:rsidRPr="000E57E3">
              <w:rPr>
                <w:rStyle w:val="Strong"/>
                <w:rFonts w:ascii="Arial Narrow" w:hAnsi="Arial Narrow"/>
              </w:rPr>
              <w:t>64</w:t>
            </w:r>
          </w:p>
        </w:tc>
        <w:tc>
          <w:tcPr>
            <w:tcW w:w="0" w:type="auto"/>
            <w:vAlign w:val="bottom"/>
          </w:tcPr>
          <w:p w14:paraId="09224446" w14:textId="0A9956A6" w:rsidR="008A6844" w:rsidRPr="000E57E3" w:rsidRDefault="008A6844" w:rsidP="000E57E3">
            <w:pPr>
              <w:pStyle w:val="Tabletext"/>
            </w:pPr>
            <w:r w:rsidRPr="000E57E3">
              <w:rPr>
                <w:rStyle w:val="Strong"/>
                <w:rFonts w:ascii="Arial Narrow" w:hAnsi="Arial Narrow"/>
              </w:rPr>
              <w:t>49</w:t>
            </w:r>
          </w:p>
        </w:tc>
        <w:tc>
          <w:tcPr>
            <w:tcW w:w="0" w:type="auto"/>
            <w:vAlign w:val="bottom"/>
          </w:tcPr>
          <w:p w14:paraId="02A1E655" w14:textId="379DE112" w:rsidR="008A6844" w:rsidRPr="000E57E3" w:rsidRDefault="008A6844" w:rsidP="000E57E3">
            <w:pPr>
              <w:pStyle w:val="Tabletext"/>
            </w:pPr>
            <w:r w:rsidRPr="000E57E3">
              <w:rPr>
                <w:rStyle w:val="Strong"/>
                <w:rFonts w:ascii="Arial Narrow" w:hAnsi="Arial Narrow"/>
              </w:rPr>
              <w:t>81</w:t>
            </w:r>
          </w:p>
        </w:tc>
        <w:tc>
          <w:tcPr>
            <w:tcW w:w="0" w:type="auto"/>
            <w:vAlign w:val="bottom"/>
          </w:tcPr>
          <w:p w14:paraId="180E0780" w14:textId="3ED033F1" w:rsidR="008A6844" w:rsidRPr="000E57E3" w:rsidRDefault="008A6844" w:rsidP="000E57E3">
            <w:pPr>
              <w:pStyle w:val="Tabletext"/>
            </w:pPr>
            <w:r w:rsidRPr="000E57E3">
              <w:rPr>
                <w:rStyle w:val="Strong"/>
                <w:rFonts w:ascii="Arial Narrow" w:hAnsi="Arial Narrow"/>
              </w:rPr>
              <w:t>54</w:t>
            </w:r>
          </w:p>
        </w:tc>
        <w:tc>
          <w:tcPr>
            <w:tcW w:w="0" w:type="auto"/>
            <w:vAlign w:val="bottom"/>
          </w:tcPr>
          <w:p w14:paraId="6D426AF4" w14:textId="546568E2" w:rsidR="008A6844" w:rsidRPr="000E57E3" w:rsidRDefault="008A6844" w:rsidP="000E57E3">
            <w:pPr>
              <w:pStyle w:val="Tabletext"/>
            </w:pPr>
            <w:r w:rsidRPr="000E57E3">
              <w:rPr>
                <w:rStyle w:val="Strong"/>
                <w:rFonts w:ascii="Arial Narrow" w:hAnsi="Arial Narrow"/>
              </w:rPr>
              <w:t>30</w:t>
            </w:r>
          </w:p>
        </w:tc>
        <w:tc>
          <w:tcPr>
            <w:tcW w:w="0" w:type="auto"/>
            <w:vAlign w:val="bottom"/>
          </w:tcPr>
          <w:p w14:paraId="280DFEFD" w14:textId="5175991E" w:rsidR="008A6844" w:rsidRPr="000E57E3" w:rsidRDefault="008A6844" w:rsidP="000E57E3">
            <w:pPr>
              <w:pStyle w:val="Tabletext"/>
            </w:pPr>
            <w:r w:rsidRPr="000E57E3">
              <w:rPr>
                <w:rStyle w:val="Strong"/>
                <w:rFonts w:ascii="Arial Narrow" w:hAnsi="Arial Narrow"/>
              </w:rPr>
              <w:t>40</w:t>
            </w:r>
          </w:p>
        </w:tc>
        <w:tc>
          <w:tcPr>
            <w:tcW w:w="0" w:type="auto"/>
            <w:vAlign w:val="bottom"/>
          </w:tcPr>
          <w:p w14:paraId="3BFBFC90" w14:textId="277FE6C5" w:rsidR="008A6844" w:rsidRPr="000E57E3" w:rsidRDefault="008A6844" w:rsidP="000E57E3">
            <w:pPr>
              <w:pStyle w:val="Tabletext"/>
            </w:pPr>
            <w:r w:rsidRPr="000E57E3">
              <w:rPr>
                <w:rStyle w:val="Strong"/>
                <w:rFonts w:ascii="Arial Narrow" w:hAnsi="Arial Narrow"/>
              </w:rPr>
              <w:t>54</w:t>
            </w:r>
          </w:p>
        </w:tc>
        <w:tc>
          <w:tcPr>
            <w:tcW w:w="0" w:type="auto"/>
            <w:vAlign w:val="bottom"/>
          </w:tcPr>
          <w:p w14:paraId="4D14F32F" w14:textId="70C4E95B" w:rsidR="008A6844" w:rsidRPr="000E57E3" w:rsidRDefault="008A6844" w:rsidP="000E57E3">
            <w:pPr>
              <w:pStyle w:val="Tabletext"/>
            </w:pPr>
            <w:r w:rsidRPr="000E57E3">
              <w:t> </w:t>
            </w:r>
          </w:p>
        </w:tc>
      </w:tr>
    </w:tbl>
    <w:p w14:paraId="06DA6BF3" w14:textId="737C83D9" w:rsidR="008264DB" w:rsidRDefault="008A6844" w:rsidP="00DD0475">
      <w:pPr>
        <w:spacing w:after="360"/>
        <w:ind w:right="792"/>
        <w:rPr>
          <w:rFonts w:ascii="Arial Narrow" w:hAnsi="Arial Narrow" w:cs="Calibri"/>
          <w:color w:val="000000"/>
          <w:sz w:val="20"/>
          <w:szCs w:val="20"/>
          <w:lang w:eastAsia="en-AU"/>
        </w:rPr>
      </w:pPr>
      <w:r w:rsidRPr="000E57E3">
        <w:rPr>
          <w:rFonts w:ascii="Arial Narrow" w:hAnsi="Arial Narrow"/>
          <w:sz w:val="20"/>
          <w:szCs w:val="20"/>
        </w:rPr>
        <w:t xml:space="preserve">* WHO </w:t>
      </w:r>
      <w:r w:rsidRPr="000E57E3">
        <w:rPr>
          <w:rFonts w:ascii="Arial Narrow" w:hAnsi="Arial Narrow" w:cs="Calibri"/>
          <w:color w:val="000000"/>
          <w:sz w:val="20"/>
          <w:szCs w:val="20"/>
          <w:lang w:eastAsia="en-AU"/>
        </w:rPr>
        <w:t xml:space="preserve">mutated genes, ** WHO fusion genes, † ARCHER </w:t>
      </w:r>
      <w:proofErr w:type="spellStart"/>
      <w:r w:rsidRPr="000E57E3">
        <w:rPr>
          <w:rFonts w:ascii="Arial Narrow" w:hAnsi="Arial Narrow" w:cs="Calibri"/>
          <w:color w:val="000000"/>
          <w:sz w:val="20"/>
          <w:szCs w:val="20"/>
          <w:lang w:eastAsia="en-AU"/>
        </w:rPr>
        <w:t>VariantPlex</w:t>
      </w:r>
      <w:proofErr w:type="spellEnd"/>
      <w:r w:rsidRPr="000E57E3">
        <w:rPr>
          <w:rFonts w:ascii="Arial Narrow" w:hAnsi="Arial Narrow" w:cs="Calibri"/>
          <w:color w:val="000000"/>
          <w:sz w:val="20"/>
          <w:szCs w:val="20"/>
          <w:lang w:eastAsia="en-AU"/>
        </w:rPr>
        <w:t xml:space="preserve"> Myeloid, ‡ </w:t>
      </w:r>
      <w:proofErr w:type="spellStart"/>
      <w:r w:rsidRPr="000E57E3">
        <w:rPr>
          <w:rFonts w:ascii="Arial Narrow" w:hAnsi="Arial Narrow" w:cs="Calibri"/>
          <w:color w:val="000000"/>
          <w:sz w:val="20"/>
          <w:szCs w:val="20"/>
          <w:lang w:eastAsia="en-AU"/>
        </w:rPr>
        <w:t>Oncomine</w:t>
      </w:r>
      <w:proofErr w:type="spellEnd"/>
      <w:r w:rsidRPr="000E57E3">
        <w:rPr>
          <w:rFonts w:ascii="Arial Narrow" w:hAnsi="Arial Narrow" w:cs="Calibri"/>
          <w:color w:val="000000"/>
          <w:sz w:val="20"/>
          <w:szCs w:val="20"/>
          <w:lang w:eastAsia="en-AU"/>
        </w:rPr>
        <w:t xml:space="preserve"> Lymphoma Panel, # </w:t>
      </w:r>
      <w:proofErr w:type="spellStart"/>
      <w:r w:rsidRPr="000E57E3">
        <w:rPr>
          <w:rFonts w:ascii="Arial Narrow" w:hAnsi="Arial Narrow" w:cs="Calibri"/>
          <w:color w:val="000000"/>
          <w:sz w:val="20"/>
          <w:szCs w:val="20"/>
          <w:lang w:eastAsia="en-AU"/>
        </w:rPr>
        <w:t>Oncomine</w:t>
      </w:r>
      <w:proofErr w:type="spellEnd"/>
      <w:r w:rsidRPr="000E57E3">
        <w:rPr>
          <w:rFonts w:ascii="Arial Narrow" w:hAnsi="Arial Narrow" w:cs="Calibri"/>
          <w:color w:val="000000"/>
          <w:sz w:val="20"/>
          <w:szCs w:val="20"/>
          <w:lang w:eastAsia="en-AU"/>
        </w:rPr>
        <w:t xml:space="preserve"> Myeloid Assay GX, $ </w:t>
      </w:r>
      <w:proofErr w:type="spellStart"/>
      <w:r w:rsidRPr="000E57E3">
        <w:rPr>
          <w:rFonts w:ascii="Arial Narrow" w:hAnsi="Arial Narrow" w:cs="Calibri"/>
          <w:color w:val="000000"/>
          <w:sz w:val="20"/>
          <w:szCs w:val="20"/>
          <w:lang w:eastAsia="en-AU"/>
        </w:rPr>
        <w:t>PeterMac</w:t>
      </w:r>
      <w:proofErr w:type="spellEnd"/>
      <w:r w:rsidRPr="000E57E3">
        <w:rPr>
          <w:rFonts w:ascii="Arial Narrow" w:hAnsi="Arial Narrow" w:cs="Calibri"/>
          <w:color w:val="000000"/>
          <w:sz w:val="20"/>
          <w:szCs w:val="20"/>
          <w:lang w:eastAsia="en-AU"/>
        </w:rPr>
        <w:t xml:space="preserve"> inherited bone marrow disorders panel, § </w:t>
      </w:r>
      <w:proofErr w:type="spellStart"/>
      <w:r w:rsidRPr="000E57E3">
        <w:rPr>
          <w:rFonts w:ascii="Arial Narrow" w:hAnsi="Arial Narrow" w:cs="Calibri"/>
          <w:color w:val="000000"/>
          <w:sz w:val="20"/>
          <w:szCs w:val="20"/>
          <w:lang w:eastAsia="en-AU"/>
        </w:rPr>
        <w:t>PeterMac</w:t>
      </w:r>
      <w:proofErr w:type="spellEnd"/>
      <w:r w:rsidRPr="000E57E3">
        <w:rPr>
          <w:rFonts w:ascii="Arial Narrow" w:hAnsi="Arial Narrow" w:cs="Calibri"/>
          <w:color w:val="000000"/>
          <w:sz w:val="20"/>
          <w:szCs w:val="20"/>
          <w:lang w:eastAsia="en-AU"/>
        </w:rPr>
        <w:t xml:space="preserve"> tumour (somatic analysis) panels, ¶ </w:t>
      </w:r>
      <w:proofErr w:type="spellStart"/>
      <w:r w:rsidRPr="000E57E3">
        <w:rPr>
          <w:rFonts w:ascii="Arial Narrow" w:hAnsi="Arial Narrow" w:cs="Calibri"/>
          <w:color w:val="000000"/>
          <w:sz w:val="20"/>
          <w:szCs w:val="20"/>
          <w:lang w:eastAsia="en-AU"/>
        </w:rPr>
        <w:t>SOPHiA</w:t>
      </w:r>
      <w:proofErr w:type="spellEnd"/>
      <w:r w:rsidRPr="000E57E3">
        <w:rPr>
          <w:rFonts w:ascii="Arial Narrow" w:hAnsi="Arial Narrow" w:cs="Calibri"/>
          <w:color w:val="000000"/>
          <w:sz w:val="20"/>
          <w:szCs w:val="20"/>
          <w:lang w:eastAsia="en-AU"/>
        </w:rPr>
        <w:t xml:space="preserve"> Genetics Lymphoma Solution, ¥ </w:t>
      </w:r>
      <w:proofErr w:type="spellStart"/>
      <w:r w:rsidRPr="000E57E3">
        <w:rPr>
          <w:rFonts w:ascii="Arial Narrow" w:hAnsi="Arial Narrow" w:cs="Calibri"/>
          <w:color w:val="000000"/>
          <w:sz w:val="20"/>
          <w:szCs w:val="20"/>
          <w:lang w:eastAsia="en-AU"/>
        </w:rPr>
        <w:t>SOPHiA</w:t>
      </w:r>
      <w:proofErr w:type="spellEnd"/>
      <w:r w:rsidRPr="000E57E3">
        <w:rPr>
          <w:rFonts w:ascii="Arial Narrow" w:hAnsi="Arial Narrow" w:cs="Calibri"/>
          <w:color w:val="000000"/>
          <w:sz w:val="20"/>
          <w:szCs w:val="20"/>
          <w:lang w:eastAsia="en-AU"/>
        </w:rPr>
        <w:t xml:space="preserve"> Genetics Myeloid Solution</w:t>
      </w:r>
      <w:r w:rsidR="0047045E">
        <w:rPr>
          <w:rFonts w:ascii="Arial Narrow" w:hAnsi="Arial Narrow" w:cs="Calibri"/>
          <w:color w:val="000000"/>
          <w:sz w:val="20"/>
          <w:szCs w:val="20"/>
          <w:lang w:eastAsia="en-AU"/>
        </w:rPr>
        <w:t xml:space="preserve">; </w:t>
      </w:r>
      <w:r w:rsidRPr="000E57E3">
        <w:rPr>
          <w:rFonts w:ascii="Arial Narrow" w:hAnsi="Arial Narrow" w:cs="Calibri"/>
          <w:color w:val="000000"/>
          <w:sz w:val="20"/>
          <w:szCs w:val="20"/>
          <w:lang w:eastAsia="en-AU"/>
        </w:rPr>
        <w:t xml:space="preserve">†† </w:t>
      </w:r>
      <w:proofErr w:type="spellStart"/>
      <w:r w:rsidRPr="000E57E3">
        <w:rPr>
          <w:rFonts w:ascii="Arial Narrow" w:hAnsi="Arial Narrow" w:cs="Calibri"/>
          <w:color w:val="000000"/>
          <w:sz w:val="20"/>
          <w:szCs w:val="20"/>
          <w:lang w:eastAsia="en-AU"/>
        </w:rPr>
        <w:t>TruSight</w:t>
      </w:r>
      <w:proofErr w:type="spellEnd"/>
      <w:r w:rsidRPr="000E57E3">
        <w:rPr>
          <w:rFonts w:ascii="Arial Narrow" w:hAnsi="Arial Narrow" w:cs="Calibri"/>
          <w:color w:val="000000"/>
          <w:sz w:val="20"/>
          <w:szCs w:val="20"/>
          <w:lang w:eastAsia="en-AU"/>
        </w:rPr>
        <w:t xml:space="preserve"> Lymphoma 40 Gene List</w:t>
      </w:r>
      <w:r w:rsidR="0047045E">
        <w:rPr>
          <w:rFonts w:ascii="Arial Narrow" w:hAnsi="Arial Narrow" w:cs="Calibri"/>
          <w:color w:val="000000"/>
          <w:sz w:val="20"/>
          <w:szCs w:val="20"/>
          <w:lang w:eastAsia="en-AU"/>
        </w:rPr>
        <w:t>;</w:t>
      </w:r>
      <w:r w:rsidRPr="000E57E3">
        <w:rPr>
          <w:rFonts w:ascii="Arial Narrow" w:hAnsi="Arial Narrow" w:cs="Calibri"/>
          <w:color w:val="000000"/>
          <w:sz w:val="20"/>
          <w:szCs w:val="20"/>
          <w:lang w:eastAsia="en-AU"/>
        </w:rPr>
        <w:t xml:space="preserve"> §§ </w:t>
      </w:r>
      <w:proofErr w:type="spellStart"/>
      <w:r w:rsidRPr="000E57E3">
        <w:rPr>
          <w:rFonts w:ascii="Arial Narrow" w:hAnsi="Arial Narrow" w:cs="Calibri"/>
          <w:color w:val="000000"/>
          <w:sz w:val="20"/>
          <w:szCs w:val="20"/>
          <w:lang w:eastAsia="en-AU"/>
        </w:rPr>
        <w:t>TruSight</w:t>
      </w:r>
      <w:proofErr w:type="spellEnd"/>
      <w:r w:rsidRPr="000E57E3">
        <w:rPr>
          <w:rFonts w:ascii="Arial Narrow" w:hAnsi="Arial Narrow" w:cs="Calibri"/>
          <w:color w:val="000000"/>
          <w:sz w:val="20"/>
          <w:szCs w:val="20"/>
          <w:lang w:eastAsia="en-AU"/>
        </w:rPr>
        <w:t xml:space="preserve"> Myeloid Sequencing Panel</w:t>
      </w:r>
    </w:p>
    <w:sectPr w:rsidR="008264DB" w:rsidSect="00AE6FE0">
      <w:footerReference w:type="even" r:id="rId30"/>
      <w:footerReference w:type="default" r:id="rId31"/>
      <w:pgSz w:w="11906" w:h="16838"/>
      <w:pgMar w:top="682" w:right="1134" w:bottom="102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E44E8" w14:textId="77777777" w:rsidR="008F2628" w:rsidRDefault="008F2628" w:rsidP="0016315C">
      <w:pPr>
        <w:spacing w:after="0" w:line="240" w:lineRule="auto"/>
      </w:pPr>
      <w:r>
        <w:separator/>
      </w:r>
    </w:p>
  </w:endnote>
  <w:endnote w:type="continuationSeparator" w:id="0">
    <w:p w14:paraId="0DF61C80" w14:textId="77777777" w:rsidR="008F2628" w:rsidRDefault="008F2628" w:rsidP="00163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2114567"/>
      <w:docPartObj>
        <w:docPartGallery w:val="Page Numbers (Bottom of Page)"/>
        <w:docPartUnique/>
      </w:docPartObj>
    </w:sdtPr>
    <w:sdtEndPr/>
    <w:sdtContent>
      <w:p w14:paraId="2F61D3D2" w14:textId="66E4C48E" w:rsidR="008F2628" w:rsidRDefault="008F2628" w:rsidP="002F6257">
        <w:pPr>
          <w:framePr w:wrap="none" w:vAnchor="text" w:hAnchor="margin" w:xAlign="right" w:y="1"/>
        </w:pPr>
        <w:r>
          <w:fldChar w:fldCharType="begin"/>
        </w:r>
        <w:r>
          <w:instrText xml:space="preserve"> PAGE </w:instrText>
        </w:r>
        <w:r>
          <w:fldChar w:fldCharType="end"/>
        </w:r>
      </w:p>
    </w:sdtContent>
  </w:sdt>
  <w:p w14:paraId="74E72C2D" w14:textId="77777777" w:rsidR="008F2628" w:rsidRDefault="008F2628" w:rsidP="00685355">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3382827"/>
      <w:docPartObj>
        <w:docPartGallery w:val="Page Numbers (Bottom of Page)"/>
        <w:docPartUnique/>
      </w:docPartObj>
    </w:sdtPr>
    <w:sdtEndPr/>
    <w:sdtContent>
      <w:p w14:paraId="4DE593B1" w14:textId="106AEFE2" w:rsidR="008F2628" w:rsidRDefault="008F2628" w:rsidP="002F6257">
        <w:pPr>
          <w:framePr w:wrap="none" w:vAnchor="text" w:hAnchor="margin" w:xAlign="right" w:y="1"/>
        </w:pPr>
        <w:r>
          <w:fldChar w:fldCharType="begin"/>
        </w:r>
        <w:r>
          <w:instrText xml:space="preserve"> PAGE </w:instrText>
        </w:r>
        <w:r>
          <w:fldChar w:fldCharType="separate"/>
        </w:r>
        <w:r>
          <w:rPr>
            <w:noProof/>
          </w:rPr>
          <w:t>29</w:t>
        </w:r>
        <w:r>
          <w:fldChar w:fldCharType="end"/>
        </w:r>
      </w:p>
    </w:sdtContent>
  </w:sdt>
  <w:p w14:paraId="33649654" w14:textId="7E1A21AA" w:rsidR="008F2628" w:rsidRPr="00685355" w:rsidRDefault="008F2628" w:rsidP="00E24DA3">
    <w:pPr>
      <w:spacing w:before="120" w:after="120" w:line="240" w:lineRule="auto"/>
      <w:jc w:val="center"/>
    </w:pPr>
    <w:r>
      <w:t>Ratified PICO Confirmation - December 2021 PASC meeting</w:t>
    </w:r>
    <w:r>
      <w:br/>
      <w:t>MSAC Application 1684 – Genetic testing for variants associated with haematological malignancies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501B6" w14:textId="77777777" w:rsidR="008F2628" w:rsidRDefault="008F2628" w:rsidP="0016315C">
      <w:pPr>
        <w:spacing w:after="0" w:line="240" w:lineRule="auto"/>
      </w:pPr>
      <w:r>
        <w:separator/>
      </w:r>
    </w:p>
  </w:footnote>
  <w:footnote w:type="continuationSeparator" w:id="0">
    <w:p w14:paraId="1F62C760" w14:textId="77777777" w:rsidR="008F2628" w:rsidRDefault="008F2628" w:rsidP="001631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FE1D3F"/>
    <w:multiLevelType w:val="hybridMultilevel"/>
    <w:tmpl w:val="8F06577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0C5018DE"/>
    <w:multiLevelType w:val="hybridMultilevel"/>
    <w:tmpl w:val="55CCC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D77D0C"/>
    <w:multiLevelType w:val="hybridMultilevel"/>
    <w:tmpl w:val="279CD16A"/>
    <w:lvl w:ilvl="0" w:tplc="EAA8B696">
      <w:start w:val="2"/>
      <w:numFmt w:val="lowerLetter"/>
      <w:lvlText w:val="(%1)"/>
      <w:lvlJc w:val="left"/>
      <w:pPr>
        <w:ind w:left="720" w:hanging="360"/>
      </w:pPr>
      <w:rPr>
        <w:rFonts w:hint="default"/>
      </w:rPr>
    </w:lvl>
    <w:lvl w:ilvl="1" w:tplc="60FABC16">
      <w:numFmt w:val="bullet"/>
      <w:lvlText w:val="•"/>
      <w:lvlJc w:val="left"/>
      <w:pPr>
        <w:ind w:left="1800" w:hanging="720"/>
      </w:pPr>
      <w:rPr>
        <w:rFonts w:ascii="Calibri" w:eastAsiaTheme="minorHAnsi"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53183B"/>
    <w:multiLevelType w:val="hybridMultilevel"/>
    <w:tmpl w:val="A5925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431AA0"/>
    <w:multiLevelType w:val="hybridMultilevel"/>
    <w:tmpl w:val="524EE20E"/>
    <w:lvl w:ilvl="0" w:tplc="317E21E2">
      <w:start w:val="1"/>
      <w:numFmt w:val="decimal"/>
      <w:lvlText w:val="%1."/>
      <w:lvlJc w:val="left"/>
      <w:pPr>
        <w:ind w:left="114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347319D"/>
    <w:multiLevelType w:val="multilevel"/>
    <w:tmpl w:val="CACA4B32"/>
    <w:lvl w:ilvl="0">
      <w:start w:val="2"/>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0"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14FA7F69"/>
    <w:multiLevelType w:val="hybridMultilevel"/>
    <w:tmpl w:val="83BE6E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5E535C8"/>
    <w:multiLevelType w:val="hybridMultilevel"/>
    <w:tmpl w:val="E45C35E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4"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7" w15:restartNumberingAfterBreak="0">
    <w:nsid w:val="236357AC"/>
    <w:multiLevelType w:val="hybridMultilevel"/>
    <w:tmpl w:val="52B412B4"/>
    <w:lvl w:ilvl="0" w:tplc="EF4CCBE0">
      <w:start w:val="1"/>
      <w:numFmt w:val="bullet"/>
      <w:lvlText w:val="•"/>
      <w:lvlJc w:val="left"/>
      <w:pPr>
        <w:tabs>
          <w:tab w:val="num" w:pos="720"/>
        </w:tabs>
        <w:ind w:left="720" w:hanging="360"/>
      </w:pPr>
      <w:rPr>
        <w:rFonts w:ascii="Arial" w:hAnsi="Arial" w:hint="default"/>
      </w:rPr>
    </w:lvl>
    <w:lvl w:ilvl="1" w:tplc="E99CA7D8" w:tentative="1">
      <w:start w:val="1"/>
      <w:numFmt w:val="bullet"/>
      <w:lvlText w:val="•"/>
      <w:lvlJc w:val="left"/>
      <w:pPr>
        <w:tabs>
          <w:tab w:val="num" w:pos="1440"/>
        </w:tabs>
        <w:ind w:left="1440" w:hanging="360"/>
      </w:pPr>
      <w:rPr>
        <w:rFonts w:ascii="Arial" w:hAnsi="Arial" w:hint="default"/>
      </w:rPr>
    </w:lvl>
    <w:lvl w:ilvl="2" w:tplc="B4B8991A" w:tentative="1">
      <w:start w:val="1"/>
      <w:numFmt w:val="bullet"/>
      <w:lvlText w:val="•"/>
      <w:lvlJc w:val="left"/>
      <w:pPr>
        <w:tabs>
          <w:tab w:val="num" w:pos="2160"/>
        </w:tabs>
        <w:ind w:left="2160" w:hanging="360"/>
      </w:pPr>
      <w:rPr>
        <w:rFonts w:ascii="Arial" w:hAnsi="Arial" w:hint="default"/>
      </w:rPr>
    </w:lvl>
    <w:lvl w:ilvl="3" w:tplc="F40E42F8" w:tentative="1">
      <w:start w:val="1"/>
      <w:numFmt w:val="bullet"/>
      <w:lvlText w:val="•"/>
      <w:lvlJc w:val="left"/>
      <w:pPr>
        <w:tabs>
          <w:tab w:val="num" w:pos="2880"/>
        </w:tabs>
        <w:ind w:left="2880" w:hanging="360"/>
      </w:pPr>
      <w:rPr>
        <w:rFonts w:ascii="Arial" w:hAnsi="Arial" w:hint="default"/>
      </w:rPr>
    </w:lvl>
    <w:lvl w:ilvl="4" w:tplc="B9847E30" w:tentative="1">
      <w:start w:val="1"/>
      <w:numFmt w:val="bullet"/>
      <w:lvlText w:val="•"/>
      <w:lvlJc w:val="left"/>
      <w:pPr>
        <w:tabs>
          <w:tab w:val="num" w:pos="3600"/>
        </w:tabs>
        <w:ind w:left="3600" w:hanging="360"/>
      </w:pPr>
      <w:rPr>
        <w:rFonts w:ascii="Arial" w:hAnsi="Arial" w:hint="default"/>
      </w:rPr>
    </w:lvl>
    <w:lvl w:ilvl="5" w:tplc="58065830" w:tentative="1">
      <w:start w:val="1"/>
      <w:numFmt w:val="bullet"/>
      <w:lvlText w:val="•"/>
      <w:lvlJc w:val="left"/>
      <w:pPr>
        <w:tabs>
          <w:tab w:val="num" w:pos="4320"/>
        </w:tabs>
        <w:ind w:left="4320" w:hanging="360"/>
      </w:pPr>
      <w:rPr>
        <w:rFonts w:ascii="Arial" w:hAnsi="Arial" w:hint="default"/>
      </w:rPr>
    </w:lvl>
    <w:lvl w:ilvl="6" w:tplc="7C22804C" w:tentative="1">
      <w:start w:val="1"/>
      <w:numFmt w:val="bullet"/>
      <w:lvlText w:val="•"/>
      <w:lvlJc w:val="left"/>
      <w:pPr>
        <w:tabs>
          <w:tab w:val="num" w:pos="5040"/>
        </w:tabs>
        <w:ind w:left="5040" w:hanging="360"/>
      </w:pPr>
      <w:rPr>
        <w:rFonts w:ascii="Arial" w:hAnsi="Arial" w:hint="default"/>
      </w:rPr>
    </w:lvl>
    <w:lvl w:ilvl="7" w:tplc="492C7584" w:tentative="1">
      <w:start w:val="1"/>
      <w:numFmt w:val="bullet"/>
      <w:lvlText w:val="•"/>
      <w:lvlJc w:val="left"/>
      <w:pPr>
        <w:tabs>
          <w:tab w:val="num" w:pos="5760"/>
        </w:tabs>
        <w:ind w:left="5760" w:hanging="360"/>
      </w:pPr>
      <w:rPr>
        <w:rFonts w:ascii="Arial" w:hAnsi="Arial" w:hint="default"/>
      </w:rPr>
    </w:lvl>
    <w:lvl w:ilvl="8" w:tplc="D88E69C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49365BD"/>
    <w:multiLevelType w:val="hybridMultilevel"/>
    <w:tmpl w:val="BE08E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5A84F68"/>
    <w:multiLevelType w:val="hybridMultilevel"/>
    <w:tmpl w:val="0CF45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751C7F"/>
    <w:multiLevelType w:val="hybridMultilevel"/>
    <w:tmpl w:val="F1062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731F91"/>
    <w:multiLevelType w:val="hybridMultilevel"/>
    <w:tmpl w:val="63182E3E"/>
    <w:lvl w:ilvl="0" w:tplc="0C090001">
      <w:start w:val="1"/>
      <w:numFmt w:val="bullet"/>
      <w:lvlText w:val=""/>
      <w:lvlJc w:val="left"/>
      <w:pPr>
        <w:ind w:left="1793" w:hanging="360"/>
      </w:pPr>
      <w:rPr>
        <w:rFonts w:ascii="Symbol" w:hAnsi="Symbol" w:hint="default"/>
      </w:rPr>
    </w:lvl>
    <w:lvl w:ilvl="1" w:tplc="0C090003" w:tentative="1">
      <w:start w:val="1"/>
      <w:numFmt w:val="bullet"/>
      <w:lvlText w:val="o"/>
      <w:lvlJc w:val="left"/>
      <w:pPr>
        <w:ind w:left="2513" w:hanging="360"/>
      </w:pPr>
      <w:rPr>
        <w:rFonts w:ascii="Courier New" w:hAnsi="Courier New" w:cs="Courier New" w:hint="default"/>
      </w:rPr>
    </w:lvl>
    <w:lvl w:ilvl="2" w:tplc="0C090005" w:tentative="1">
      <w:start w:val="1"/>
      <w:numFmt w:val="bullet"/>
      <w:lvlText w:val=""/>
      <w:lvlJc w:val="left"/>
      <w:pPr>
        <w:ind w:left="3233" w:hanging="360"/>
      </w:pPr>
      <w:rPr>
        <w:rFonts w:ascii="Wingdings" w:hAnsi="Wingdings" w:hint="default"/>
      </w:rPr>
    </w:lvl>
    <w:lvl w:ilvl="3" w:tplc="0C090001" w:tentative="1">
      <w:start w:val="1"/>
      <w:numFmt w:val="bullet"/>
      <w:lvlText w:val=""/>
      <w:lvlJc w:val="left"/>
      <w:pPr>
        <w:ind w:left="3953" w:hanging="360"/>
      </w:pPr>
      <w:rPr>
        <w:rFonts w:ascii="Symbol" w:hAnsi="Symbol" w:hint="default"/>
      </w:rPr>
    </w:lvl>
    <w:lvl w:ilvl="4" w:tplc="0C090003" w:tentative="1">
      <w:start w:val="1"/>
      <w:numFmt w:val="bullet"/>
      <w:lvlText w:val="o"/>
      <w:lvlJc w:val="left"/>
      <w:pPr>
        <w:ind w:left="4673" w:hanging="360"/>
      </w:pPr>
      <w:rPr>
        <w:rFonts w:ascii="Courier New" w:hAnsi="Courier New" w:cs="Courier New" w:hint="default"/>
      </w:rPr>
    </w:lvl>
    <w:lvl w:ilvl="5" w:tplc="0C090005" w:tentative="1">
      <w:start w:val="1"/>
      <w:numFmt w:val="bullet"/>
      <w:lvlText w:val=""/>
      <w:lvlJc w:val="left"/>
      <w:pPr>
        <w:ind w:left="5393" w:hanging="360"/>
      </w:pPr>
      <w:rPr>
        <w:rFonts w:ascii="Wingdings" w:hAnsi="Wingdings" w:hint="default"/>
      </w:rPr>
    </w:lvl>
    <w:lvl w:ilvl="6" w:tplc="0C090001" w:tentative="1">
      <w:start w:val="1"/>
      <w:numFmt w:val="bullet"/>
      <w:lvlText w:val=""/>
      <w:lvlJc w:val="left"/>
      <w:pPr>
        <w:ind w:left="6113" w:hanging="360"/>
      </w:pPr>
      <w:rPr>
        <w:rFonts w:ascii="Symbol" w:hAnsi="Symbol" w:hint="default"/>
      </w:rPr>
    </w:lvl>
    <w:lvl w:ilvl="7" w:tplc="0C090003" w:tentative="1">
      <w:start w:val="1"/>
      <w:numFmt w:val="bullet"/>
      <w:lvlText w:val="o"/>
      <w:lvlJc w:val="left"/>
      <w:pPr>
        <w:ind w:left="6833" w:hanging="360"/>
      </w:pPr>
      <w:rPr>
        <w:rFonts w:ascii="Courier New" w:hAnsi="Courier New" w:cs="Courier New" w:hint="default"/>
      </w:rPr>
    </w:lvl>
    <w:lvl w:ilvl="8" w:tplc="0C090005" w:tentative="1">
      <w:start w:val="1"/>
      <w:numFmt w:val="bullet"/>
      <w:lvlText w:val=""/>
      <w:lvlJc w:val="left"/>
      <w:pPr>
        <w:ind w:left="7553" w:hanging="360"/>
      </w:pPr>
      <w:rPr>
        <w:rFonts w:ascii="Wingdings" w:hAnsi="Wingdings" w:hint="default"/>
      </w:rPr>
    </w:lvl>
  </w:abstractNum>
  <w:abstractNum w:abstractNumId="22" w15:restartNumberingAfterBreak="0">
    <w:nsid w:val="2C363E53"/>
    <w:multiLevelType w:val="hybridMultilevel"/>
    <w:tmpl w:val="D21E688C"/>
    <w:lvl w:ilvl="0" w:tplc="3A66D08A">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DD17712"/>
    <w:multiLevelType w:val="hybridMultilevel"/>
    <w:tmpl w:val="A3FC7D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2FE77A8A"/>
    <w:multiLevelType w:val="hybridMultilevel"/>
    <w:tmpl w:val="BC58FE4A"/>
    <w:lvl w:ilvl="0" w:tplc="C89ED02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2076AD2"/>
    <w:multiLevelType w:val="hybridMultilevel"/>
    <w:tmpl w:val="75EEC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3C71277"/>
    <w:multiLevelType w:val="hybridMultilevel"/>
    <w:tmpl w:val="20166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8" w15:restartNumberingAfterBreak="0">
    <w:nsid w:val="37B442AA"/>
    <w:multiLevelType w:val="hybridMultilevel"/>
    <w:tmpl w:val="51DA9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C414F60"/>
    <w:multiLevelType w:val="hybridMultilevel"/>
    <w:tmpl w:val="64F69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1BA4FD3"/>
    <w:multiLevelType w:val="hybridMultilevel"/>
    <w:tmpl w:val="51908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1C31DE8"/>
    <w:multiLevelType w:val="hybridMultilevel"/>
    <w:tmpl w:val="0B144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4" w15:restartNumberingAfterBreak="0">
    <w:nsid w:val="49521AEF"/>
    <w:multiLevelType w:val="hybridMultilevel"/>
    <w:tmpl w:val="74B842AC"/>
    <w:lvl w:ilvl="0" w:tplc="09C2B69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C884481"/>
    <w:multiLevelType w:val="hybridMultilevel"/>
    <w:tmpl w:val="B986C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0801551"/>
    <w:multiLevelType w:val="hybridMultilevel"/>
    <w:tmpl w:val="0B3EB2E4"/>
    <w:lvl w:ilvl="0" w:tplc="6A14F038">
      <w:start w:val="1"/>
      <w:numFmt w:val="bullet"/>
      <w:lvlText w:val="•"/>
      <w:lvlJc w:val="left"/>
      <w:pPr>
        <w:tabs>
          <w:tab w:val="num" w:pos="720"/>
        </w:tabs>
        <w:ind w:left="720" w:hanging="360"/>
      </w:pPr>
      <w:rPr>
        <w:rFonts w:ascii="Arial" w:hAnsi="Arial" w:hint="default"/>
      </w:rPr>
    </w:lvl>
    <w:lvl w:ilvl="1" w:tplc="2F18F75A" w:tentative="1">
      <w:start w:val="1"/>
      <w:numFmt w:val="bullet"/>
      <w:lvlText w:val="•"/>
      <w:lvlJc w:val="left"/>
      <w:pPr>
        <w:tabs>
          <w:tab w:val="num" w:pos="1440"/>
        </w:tabs>
        <w:ind w:left="1440" w:hanging="360"/>
      </w:pPr>
      <w:rPr>
        <w:rFonts w:ascii="Arial" w:hAnsi="Arial" w:hint="default"/>
      </w:rPr>
    </w:lvl>
    <w:lvl w:ilvl="2" w:tplc="F4889A8A" w:tentative="1">
      <w:start w:val="1"/>
      <w:numFmt w:val="bullet"/>
      <w:lvlText w:val="•"/>
      <w:lvlJc w:val="left"/>
      <w:pPr>
        <w:tabs>
          <w:tab w:val="num" w:pos="2160"/>
        </w:tabs>
        <w:ind w:left="2160" w:hanging="360"/>
      </w:pPr>
      <w:rPr>
        <w:rFonts w:ascii="Arial" w:hAnsi="Arial" w:hint="default"/>
      </w:rPr>
    </w:lvl>
    <w:lvl w:ilvl="3" w:tplc="298081D4" w:tentative="1">
      <w:start w:val="1"/>
      <w:numFmt w:val="bullet"/>
      <w:lvlText w:val="•"/>
      <w:lvlJc w:val="left"/>
      <w:pPr>
        <w:tabs>
          <w:tab w:val="num" w:pos="2880"/>
        </w:tabs>
        <w:ind w:left="2880" w:hanging="360"/>
      </w:pPr>
      <w:rPr>
        <w:rFonts w:ascii="Arial" w:hAnsi="Arial" w:hint="default"/>
      </w:rPr>
    </w:lvl>
    <w:lvl w:ilvl="4" w:tplc="33663B8E" w:tentative="1">
      <w:start w:val="1"/>
      <w:numFmt w:val="bullet"/>
      <w:lvlText w:val="•"/>
      <w:lvlJc w:val="left"/>
      <w:pPr>
        <w:tabs>
          <w:tab w:val="num" w:pos="3600"/>
        </w:tabs>
        <w:ind w:left="3600" w:hanging="360"/>
      </w:pPr>
      <w:rPr>
        <w:rFonts w:ascii="Arial" w:hAnsi="Arial" w:hint="default"/>
      </w:rPr>
    </w:lvl>
    <w:lvl w:ilvl="5" w:tplc="438EEFF8" w:tentative="1">
      <w:start w:val="1"/>
      <w:numFmt w:val="bullet"/>
      <w:lvlText w:val="•"/>
      <w:lvlJc w:val="left"/>
      <w:pPr>
        <w:tabs>
          <w:tab w:val="num" w:pos="4320"/>
        </w:tabs>
        <w:ind w:left="4320" w:hanging="360"/>
      </w:pPr>
      <w:rPr>
        <w:rFonts w:ascii="Arial" w:hAnsi="Arial" w:hint="default"/>
      </w:rPr>
    </w:lvl>
    <w:lvl w:ilvl="6" w:tplc="B2528622" w:tentative="1">
      <w:start w:val="1"/>
      <w:numFmt w:val="bullet"/>
      <w:lvlText w:val="•"/>
      <w:lvlJc w:val="left"/>
      <w:pPr>
        <w:tabs>
          <w:tab w:val="num" w:pos="5040"/>
        </w:tabs>
        <w:ind w:left="5040" w:hanging="360"/>
      </w:pPr>
      <w:rPr>
        <w:rFonts w:ascii="Arial" w:hAnsi="Arial" w:hint="default"/>
      </w:rPr>
    </w:lvl>
    <w:lvl w:ilvl="7" w:tplc="40E86074" w:tentative="1">
      <w:start w:val="1"/>
      <w:numFmt w:val="bullet"/>
      <w:lvlText w:val="•"/>
      <w:lvlJc w:val="left"/>
      <w:pPr>
        <w:tabs>
          <w:tab w:val="num" w:pos="5760"/>
        </w:tabs>
        <w:ind w:left="5760" w:hanging="360"/>
      </w:pPr>
      <w:rPr>
        <w:rFonts w:ascii="Arial" w:hAnsi="Arial" w:hint="default"/>
      </w:rPr>
    </w:lvl>
    <w:lvl w:ilvl="8" w:tplc="9B90696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10F6FAE"/>
    <w:multiLevelType w:val="multilevel"/>
    <w:tmpl w:val="D5FA7F4A"/>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4FF0110"/>
    <w:multiLevelType w:val="hybridMultilevel"/>
    <w:tmpl w:val="789A187C"/>
    <w:lvl w:ilvl="0" w:tplc="03DA1D4E">
      <w:start w:val="1"/>
      <w:numFmt w:val="bullet"/>
      <w:pStyle w:val="Instructionaltex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cs="Wingdings" w:hint="default"/>
      </w:rPr>
    </w:lvl>
    <w:lvl w:ilvl="3" w:tplc="0C090001" w:tentative="1">
      <w:start w:val="1"/>
      <w:numFmt w:val="bullet"/>
      <w:lvlText w:val=""/>
      <w:lvlJc w:val="left"/>
      <w:pPr>
        <w:ind w:left="3237" w:hanging="360"/>
      </w:pPr>
      <w:rPr>
        <w:rFonts w:ascii="Symbol" w:hAnsi="Symbol" w:cs="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cs="Wingdings" w:hint="default"/>
      </w:rPr>
    </w:lvl>
    <w:lvl w:ilvl="6" w:tplc="0C090001" w:tentative="1">
      <w:start w:val="1"/>
      <w:numFmt w:val="bullet"/>
      <w:lvlText w:val=""/>
      <w:lvlJc w:val="left"/>
      <w:pPr>
        <w:ind w:left="5397" w:hanging="360"/>
      </w:pPr>
      <w:rPr>
        <w:rFonts w:ascii="Symbol" w:hAnsi="Symbol" w:cs="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cs="Wingdings" w:hint="default"/>
      </w:rPr>
    </w:lvl>
  </w:abstractNum>
  <w:abstractNum w:abstractNumId="40" w15:restartNumberingAfterBreak="0">
    <w:nsid w:val="557129C6"/>
    <w:multiLevelType w:val="hybridMultilevel"/>
    <w:tmpl w:val="AD04F2B8"/>
    <w:lvl w:ilvl="0" w:tplc="AABEC4D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6930A1B"/>
    <w:multiLevelType w:val="hybridMultilevel"/>
    <w:tmpl w:val="1A98866A"/>
    <w:lvl w:ilvl="0" w:tplc="0EF8BA7E">
      <w:start w:val="35"/>
      <w:numFmt w:val="bullet"/>
      <w:lvlText w:val="-"/>
      <w:lvlJc w:val="left"/>
      <w:pPr>
        <w:ind w:left="720" w:hanging="360"/>
      </w:pPr>
      <w:rPr>
        <w:rFonts w:ascii="Calibri" w:eastAsiaTheme="minorHAnsi" w:hAnsi="Calibri" w:cs="Calibri"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6FF3175"/>
    <w:multiLevelType w:val="hybridMultilevel"/>
    <w:tmpl w:val="0AB063F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4" w15:restartNumberingAfterBreak="0">
    <w:nsid w:val="57C733C3"/>
    <w:multiLevelType w:val="hybridMultilevel"/>
    <w:tmpl w:val="E5AA6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80D2CE2"/>
    <w:multiLevelType w:val="hybridMultilevel"/>
    <w:tmpl w:val="313E7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8B156C1"/>
    <w:multiLevelType w:val="hybridMultilevel"/>
    <w:tmpl w:val="3F0E7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F365B65"/>
    <w:multiLevelType w:val="hybridMultilevel"/>
    <w:tmpl w:val="1540AB06"/>
    <w:lvl w:ilvl="0" w:tplc="6A7A3018">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FE17341"/>
    <w:multiLevelType w:val="hybridMultilevel"/>
    <w:tmpl w:val="84A09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06D7DA6"/>
    <w:multiLevelType w:val="hybridMultilevel"/>
    <w:tmpl w:val="57A84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0C95369"/>
    <w:multiLevelType w:val="hybridMultilevel"/>
    <w:tmpl w:val="5540EFD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53"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4AA1366"/>
    <w:multiLevelType w:val="hybridMultilevel"/>
    <w:tmpl w:val="5D6EC02A"/>
    <w:lvl w:ilvl="0" w:tplc="6A7A3018">
      <w:start w:val="3"/>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7365044"/>
    <w:multiLevelType w:val="hybridMultilevel"/>
    <w:tmpl w:val="08588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D325603"/>
    <w:multiLevelType w:val="hybridMultilevel"/>
    <w:tmpl w:val="E34EA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3C22B35"/>
    <w:multiLevelType w:val="hybridMultilevel"/>
    <w:tmpl w:val="A47CA3D8"/>
    <w:lvl w:ilvl="0" w:tplc="0C09000F">
      <w:start w:val="1"/>
      <w:numFmt w:val="decimal"/>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60" w15:restartNumberingAfterBreak="0">
    <w:nsid w:val="782C13FD"/>
    <w:multiLevelType w:val="hybridMultilevel"/>
    <w:tmpl w:val="63FAC4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9730036"/>
    <w:multiLevelType w:val="hybridMultilevel"/>
    <w:tmpl w:val="7B002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EDF0610"/>
    <w:multiLevelType w:val="hybridMultilevel"/>
    <w:tmpl w:val="A80089FA"/>
    <w:lvl w:ilvl="0" w:tplc="DAE6537A">
      <w:start w:val="1"/>
      <w:numFmt w:val="bullet"/>
      <w:lvlText w:val="•"/>
      <w:lvlJc w:val="left"/>
      <w:pPr>
        <w:tabs>
          <w:tab w:val="num" w:pos="720"/>
        </w:tabs>
        <w:ind w:left="720" w:hanging="360"/>
      </w:pPr>
      <w:rPr>
        <w:rFonts w:ascii="Arial" w:hAnsi="Arial" w:hint="default"/>
      </w:rPr>
    </w:lvl>
    <w:lvl w:ilvl="1" w:tplc="F69A30AE" w:tentative="1">
      <w:start w:val="1"/>
      <w:numFmt w:val="bullet"/>
      <w:lvlText w:val="•"/>
      <w:lvlJc w:val="left"/>
      <w:pPr>
        <w:tabs>
          <w:tab w:val="num" w:pos="1440"/>
        </w:tabs>
        <w:ind w:left="1440" w:hanging="360"/>
      </w:pPr>
      <w:rPr>
        <w:rFonts w:ascii="Arial" w:hAnsi="Arial" w:hint="default"/>
      </w:rPr>
    </w:lvl>
    <w:lvl w:ilvl="2" w:tplc="F0B01768" w:tentative="1">
      <w:start w:val="1"/>
      <w:numFmt w:val="bullet"/>
      <w:lvlText w:val="•"/>
      <w:lvlJc w:val="left"/>
      <w:pPr>
        <w:tabs>
          <w:tab w:val="num" w:pos="2160"/>
        </w:tabs>
        <w:ind w:left="2160" w:hanging="360"/>
      </w:pPr>
      <w:rPr>
        <w:rFonts w:ascii="Arial" w:hAnsi="Arial" w:hint="default"/>
      </w:rPr>
    </w:lvl>
    <w:lvl w:ilvl="3" w:tplc="47B09B48" w:tentative="1">
      <w:start w:val="1"/>
      <w:numFmt w:val="bullet"/>
      <w:lvlText w:val="•"/>
      <w:lvlJc w:val="left"/>
      <w:pPr>
        <w:tabs>
          <w:tab w:val="num" w:pos="2880"/>
        </w:tabs>
        <w:ind w:left="2880" w:hanging="360"/>
      </w:pPr>
      <w:rPr>
        <w:rFonts w:ascii="Arial" w:hAnsi="Arial" w:hint="default"/>
      </w:rPr>
    </w:lvl>
    <w:lvl w:ilvl="4" w:tplc="90548E12" w:tentative="1">
      <w:start w:val="1"/>
      <w:numFmt w:val="bullet"/>
      <w:lvlText w:val="•"/>
      <w:lvlJc w:val="left"/>
      <w:pPr>
        <w:tabs>
          <w:tab w:val="num" w:pos="3600"/>
        </w:tabs>
        <w:ind w:left="3600" w:hanging="360"/>
      </w:pPr>
      <w:rPr>
        <w:rFonts w:ascii="Arial" w:hAnsi="Arial" w:hint="default"/>
      </w:rPr>
    </w:lvl>
    <w:lvl w:ilvl="5" w:tplc="CB04F752" w:tentative="1">
      <w:start w:val="1"/>
      <w:numFmt w:val="bullet"/>
      <w:lvlText w:val="•"/>
      <w:lvlJc w:val="left"/>
      <w:pPr>
        <w:tabs>
          <w:tab w:val="num" w:pos="4320"/>
        </w:tabs>
        <w:ind w:left="4320" w:hanging="360"/>
      </w:pPr>
      <w:rPr>
        <w:rFonts w:ascii="Arial" w:hAnsi="Arial" w:hint="default"/>
      </w:rPr>
    </w:lvl>
    <w:lvl w:ilvl="6" w:tplc="A846EFB2" w:tentative="1">
      <w:start w:val="1"/>
      <w:numFmt w:val="bullet"/>
      <w:lvlText w:val="•"/>
      <w:lvlJc w:val="left"/>
      <w:pPr>
        <w:tabs>
          <w:tab w:val="num" w:pos="5040"/>
        </w:tabs>
        <w:ind w:left="5040" w:hanging="360"/>
      </w:pPr>
      <w:rPr>
        <w:rFonts w:ascii="Arial" w:hAnsi="Arial" w:hint="default"/>
      </w:rPr>
    </w:lvl>
    <w:lvl w:ilvl="7" w:tplc="04BA928E" w:tentative="1">
      <w:start w:val="1"/>
      <w:numFmt w:val="bullet"/>
      <w:lvlText w:val="•"/>
      <w:lvlJc w:val="left"/>
      <w:pPr>
        <w:tabs>
          <w:tab w:val="num" w:pos="5760"/>
        </w:tabs>
        <w:ind w:left="5760" w:hanging="360"/>
      </w:pPr>
      <w:rPr>
        <w:rFonts w:ascii="Arial" w:hAnsi="Arial" w:hint="default"/>
      </w:rPr>
    </w:lvl>
    <w:lvl w:ilvl="8" w:tplc="E0281470"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45"/>
  </w:num>
  <w:num w:numId="3">
    <w:abstractNumId w:val="39"/>
  </w:num>
  <w:num w:numId="4">
    <w:abstractNumId w:val="15"/>
  </w:num>
  <w:num w:numId="5">
    <w:abstractNumId w:val="5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0"/>
  </w:num>
  <w:num w:numId="9">
    <w:abstractNumId w:val="51"/>
  </w:num>
  <w:num w:numId="10">
    <w:abstractNumId w:val="7"/>
  </w:num>
  <w:num w:numId="11">
    <w:abstractNumId w:val="43"/>
  </w:num>
  <w:num w:numId="12">
    <w:abstractNumId w:val="58"/>
  </w:num>
  <w:num w:numId="13">
    <w:abstractNumId w:val="50"/>
  </w:num>
  <w:num w:numId="14">
    <w:abstractNumId w:val="54"/>
  </w:num>
  <w:num w:numId="15">
    <w:abstractNumId w:val="24"/>
  </w:num>
  <w:num w:numId="16">
    <w:abstractNumId w:val="21"/>
  </w:num>
  <w:num w:numId="17">
    <w:abstractNumId w:val="44"/>
  </w:num>
  <w:num w:numId="18">
    <w:abstractNumId w:val="39"/>
  </w:num>
  <w:num w:numId="19">
    <w:abstractNumId w:val="39"/>
  </w:num>
  <w:num w:numId="20">
    <w:abstractNumId w:val="39"/>
  </w:num>
  <w:num w:numId="21">
    <w:abstractNumId w:val="39"/>
  </w:num>
  <w:num w:numId="22">
    <w:abstractNumId w:val="11"/>
  </w:num>
  <w:num w:numId="23">
    <w:abstractNumId w:val="6"/>
  </w:num>
  <w:num w:numId="24">
    <w:abstractNumId w:val="31"/>
  </w:num>
  <w:num w:numId="25">
    <w:abstractNumId w:val="49"/>
  </w:num>
  <w:num w:numId="26">
    <w:abstractNumId w:val="28"/>
  </w:num>
  <w:num w:numId="27">
    <w:abstractNumId w:val="23"/>
  </w:num>
  <w:num w:numId="28">
    <w:abstractNumId w:val="62"/>
  </w:num>
  <w:num w:numId="29">
    <w:abstractNumId w:val="36"/>
  </w:num>
  <w:num w:numId="30">
    <w:abstractNumId w:val="17"/>
  </w:num>
  <w:num w:numId="31">
    <w:abstractNumId w:val="19"/>
  </w:num>
  <w:num w:numId="32">
    <w:abstractNumId w:val="22"/>
  </w:num>
  <w:num w:numId="33">
    <w:abstractNumId w:val="41"/>
  </w:num>
  <w:num w:numId="34">
    <w:abstractNumId w:val="60"/>
  </w:num>
  <w:num w:numId="35">
    <w:abstractNumId w:val="37"/>
  </w:num>
  <w:num w:numId="36">
    <w:abstractNumId w:val="10"/>
    <w:lvlOverride w:ilvl="0"/>
    <w:lvlOverride w:ilvl="1">
      <w:startOverride w:val="1"/>
    </w:lvlOverride>
    <w:lvlOverride w:ilvl="2"/>
    <w:lvlOverride w:ilvl="3"/>
    <w:lvlOverride w:ilvl="4"/>
    <w:lvlOverride w:ilvl="5"/>
    <w:lvlOverride w:ilvl="6"/>
    <w:lvlOverride w:ilvl="7"/>
    <w:lvlOverride w:ilvl="8"/>
  </w:num>
  <w:num w:numId="37">
    <w:abstractNumId w:val="27"/>
  </w:num>
  <w:num w:numId="38">
    <w:abstractNumId w:val="10"/>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38"/>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7"/>
  </w:num>
  <w:num w:numId="58">
    <w:abstractNumId w:val="1"/>
  </w:num>
  <w:num w:numId="59">
    <w:abstractNumId w:val="53"/>
  </w:num>
  <w:num w:numId="60">
    <w:abstractNumId w:val="8"/>
  </w:num>
  <w:num w:numId="61">
    <w:abstractNumId w:val="42"/>
  </w:num>
  <w:num w:numId="62">
    <w:abstractNumId w:val="30"/>
  </w:num>
  <w:num w:numId="63">
    <w:abstractNumId w:val="56"/>
  </w:num>
  <w:num w:numId="64">
    <w:abstractNumId w:val="5"/>
  </w:num>
  <w:num w:numId="65">
    <w:abstractNumId w:val="48"/>
  </w:num>
  <w:num w:numId="66">
    <w:abstractNumId w:val="14"/>
  </w:num>
  <w:num w:numId="67">
    <w:abstractNumId w:val="47"/>
  </w:num>
  <w:num w:numId="68">
    <w:abstractNumId w:val="13"/>
  </w:num>
  <w:num w:numId="69">
    <w:abstractNumId w:val="33"/>
  </w:num>
  <w:num w:numId="70">
    <w:abstractNumId w:val="9"/>
  </w:num>
  <w:num w:numId="71">
    <w:abstractNumId w:val="59"/>
  </w:num>
  <w:num w:numId="72">
    <w:abstractNumId w:val="35"/>
  </w:num>
  <w:num w:numId="73">
    <w:abstractNumId w:val="34"/>
  </w:num>
  <w:num w:numId="74">
    <w:abstractNumId w:val="32"/>
  </w:num>
  <w:num w:numId="75">
    <w:abstractNumId w:val="29"/>
  </w:num>
  <w:num w:numId="76">
    <w:abstractNumId w:val="4"/>
  </w:num>
  <w:num w:numId="77">
    <w:abstractNumId w:val="25"/>
  </w:num>
  <w:num w:numId="78">
    <w:abstractNumId w:val="18"/>
  </w:num>
  <w:num w:numId="79">
    <w:abstractNumId w:val="26"/>
  </w:num>
  <w:num w:numId="80">
    <w:abstractNumId w:val="61"/>
  </w:num>
  <w:num w:numId="81">
    <w:abstractNumId w:val="40"/>
  </w:num>
  <w:num w:numId="82">
    <w:abstractNumId w:val="46"/>
  </w:num>
  <w:num w:numId="83">
    <w:abstractNumId w:val="20"/>
  </w:num>
  <w:num w:numId="84">
    <w:abstractNumId w:val="5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xNTQwMDQxMzSwsLRU0lEKTi0uzszPAykwrgUAqliu+SwAAAA="/>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pxx2texi59tzqewr09xxp96wtzx9a9wr0rv&quot;&gt;1684_EndNoteLibrary_haem_malig _DA&lt;record-ids&gt;&lt;item&gt;1&lt;/item&gt;&lt;item&gt;13&lt;/item&gt;&lt;item&gt;30&lt;/item&gt;&lt;item&gt;31&lt;/item&gt;&lt;item&gt;32&lt;/item&gt;&lt;item&gt;33&lt;/item&gt;&lt;item&gt;34&lt;/item&gt;&lt;item&gt;35&lt;/item&gt;&lt;item&gt;36&lt;/item&gt;&lt;item&gt;39&lt;/item&gt;&lt;item&gt;41&lt;/item&gt;&lt;item&gt;51&lt;/item&gt;&lt;item&gt;52&lt;/item&gt;&lt;item&gt;53&lt;/item&gt;&lt;item&gt;54&lt;/item&gt;&lt;item&gt;55&lt;/item&gt;&lt;item&gt;56&lt;/item&gt;&lt;item&gt;58&lt;/item&gt;&lt;item&gt;59&lt;/item&gt;&lt;item&gt;60&lt;/item&gt;&lt;item&gt;61&lt;/item&gt;&lt;item&gt;62&lt;/item&gt;&lt;item&gt;63&lt;/item&gt;&lt;item&gt;64&lt;/item&gt;&lt;/record-ids&gt;&lt;/item&gt;&lt;/Libraries&gt;"/>
  </w:docVars>
  <w:rsids>
    <w:rsidRoot w:val="001E5F9C"/>
    <w:rsid w:val="000007B5"/>
    <w:rsid w:val="00000840"/>
    <w:rsid w:val="00000F39"/>
    <w:rsid w:val="00001532"/>
    <w:rsid w:val="00001DEC"/>
    <w:rsid w:val="00002506"/>
    <w:rsid w:val="00004EA7"/>
    <w:rsid w:val="000053FC"/>
    <w:rsid w:val="00006804"/>
    <w:rsid w:val="000073AA"/>
    <w:rsid w:val="00011104"/>
    <w:rsid w:val="000117AC"/>
    <w:rsid w:val="00013112"/>
    <w:rsid w:val="00014DA2"/>
    <w:rsid w:val="00015F76"/>
    <w:rsid w:val="00017682"/>
    <w:rsid w:val="00021F6E"/>
    <w:rsid w:val="00022178"/>
    <w:rsid w:val="0002378B"/>
    <w:rsid w:val="000249FB"/>
    <w:rsid w:val="00025A0F"/>
    <w:rsid w:val="00030AD9"/>
    <w:rsid w:val="0003255E"/>
    <w:rsid w:val="00033829"/>
    <w:rsid w:val="00033F72"/>
    <w:rsid w:val="000347B6"/>
    <w:rsid w:val="000407B7"/>
    <w:rsid w:val="00041B99"/>
    <w:rsid w:val="00042249"/>
    <w:rsid w:val="0004269B"/>
    <w:rsid w:val="000429A0"/>
    <w:rsid w:val="00043428"/>
    <w:rsid w:val="00044B3E"/>
    <w:rsid w:val="0004550E"/>
    <w:rsid w:val="00054A13"/>
    <w:rsid w:val="00055272"/>
    <w:rsid w:val="00056FA8"/>
    <w:rsid w:val="000574C9"/>
    <w:rsid w:val="00060721"/>
    <w:rsid w:val="0006384D"/>
    <w:rsid w:val="00063C71"/>
    <w:rsid w:val="00064988"/>
    <w:rsid w:val="00064B7B"/>
    <w:rsid w:val="000676AD"/>
    <w:rsid w:val="00067DBA"/>
    <w:rsid w:val="000708DB"/>
    <w:rsid w:val="000713A3"/>
    <w:rsid w:val="000729A9"/>
    <w:rsid w:val="000751DE"/>
    <w:rsid w:val="00075E34"/>
    <w:rsid w:val="0007620F"/>
    <w:rsid w:val="00076E7D"/>
    <w:rsid w:val="00077499"/>
    <w:rsid w:val="00080066"/>
    <w:rsid w:val="000800DB"/>
    <w:rsid w:val="00081CD8"/>
    <w:rsid w:val="00082C6A"/>
    <w:rsid w:val="00083F40"/>
    <w:rsid w:val="00084B5F"/>
    <w:rsid w:val="000859BA"/>
    <w:rsid w:val="0008649D"/>
    <w:rsid w:val="0008756F"/>
    <w:rsid w:val="000939E0"/>
    <w:rsid w:val="00094533"/>
    <w:rsid w:val="00094D8E"/>
    <w:rsid w:val="0009708F"/>
    <w:rsid w:val="00097198"/>
    <w:rsid w:val="000A0E06"/>
    <w:rsid w:val="000A23CD"/>
    <w:rsid w:val="000A3242"/>
    <w:rsid w:val="000A36F5"/>
    <w:rsid w:val="000A4396"/>
    <w:rsid w:val="000B1E8B"/>
    <w:rsid w:val="000B25A3"/>
    <w:rsid w:val="000B3D31"/>
    <w:rsid w:val="000B4232"/>
    <w:rsid w:val="000B4720"/>
    <w:rsid w:val="000B643B"/>
    <w:rsid w:val="000B6E19"/>
    <w:rsid w:val="000C0777"/>
    <w:rsid w:val="000C0C4C"/>
    <w:rsid w:val="000C5316"/>
    <w:rsid w:val="000C6959"/>
    <w:rsid w:val="000C7317"/>
    <w:rsid w:val="000C7C53"/>
    <w:rsid w:val="000D1DC9"/>
    <w:rsid w:val="000D1FCF"/>
    <w:rsid w:val="000D2B7B"/>
    <w:rsid w:val="000D4FB0"/>
    <w:rsid w:val="000E10E6"/>
    <w:rsid w:val="000E11A4"/>
    <w:rsid w:val="000E2854"/>
    <w:rsid w:val="000E45EF"/>
    <w:rsid w:val="000E515D"/>
    <w:rsid w:val="000E5449"/>
    <w:rsid w:val="000E57E3"/>
    <w:rsid w:val="000E623D"/>
    <w:rsid w:val="000E64AC"/>
    <w:rsid w:val="000F3BC3"/>
    <w:rsid w:val="000F6B7F"/>
    <w:rsid w:val="000F7C35"/>
    <w:rsid w:val="000F7FA7"/>
    <w:rsid w:val="001005A9"/>
    <w:rsid w:val="0010155A"/>
    <w:rsid w:val="001029FD"/>
    <w:rsid w:val="00104106"/>
    <w:rsid w:val="001052BE"/>
    <w:rsid w:val="0010591E"/>
    <w:rsid w:val="00111D70"/>
    <w:rsid w:val="00113383"/>
    <w:rsid w:val="00114397"/>
    <w:rsid w:val="00114961"/>
    <w:rsid w:val="00114E2F"/>
    <w:rsid w:val="001206CC"/>
    <w:rsid w:val="00120F8A"/>
    <w:rsid w:val="00122B47"/>
    <w:rsid w:val="00124EE6"/>
    <w:rsid w:val="001255C1"/>
    <w:rsid w:val="00125D71"/>
    <w:rsid w:val="001267CB"/>
    <w:rsid w:val="0012694B"/>
    <w:rsid w:val="00126E3A"/>
    <w:rsid w:val="001273DC"/>
    <w:rsid w:val="001317DC"/>
    <w:rsid w:val="001406F9"/>
    <w:rsid w:val="001409F6"/>
    <w:rsid w:val="00141E8E"/>
    <w:rsid w:val="001432B4"/>
    <w:rsid w:val="00143391"/>
    <w:rsid w:val="001434A6"/>
    <w:rsid w:val="00143AB8"/>
    <w:rsid w:val="00144226"/>
    <w:rsid w:val="00146B5B"/>
    <w:rsid w:val="0014799B"/>
    <w:rsid w:val="0015147F"/>
    <w:rsid w:val="00151D79"/>
    <w:rsid w:val="0015203B"/>
    <w:rsid w:val="0015270B"/>
    <w:rsid w:val="00155890"/>
    <w:rsid w:val="00155FB9"/>
    <w:rsid w:val="001560CE"/>
    <w:rsid w:val="001576BB"/>
    <w:rsid w:val="0015777A"/>
    <w:rsid w:val="00157D9C"/>
    <w:rsid w:val="001610E6"/>
    <w:rsid w:val="00161727"/>
    <w:rsid w:val="0016315C"/>
    <w:rsid w:val="0016342E"/>
    <w:rsid w:val="00164A6A"/>
    <w:rsid w:val="0016543F"/>
    <w:rsid w:val="00166193"/>
    <w:rsid w:val="0016756D"/>
    <w:rsid w:val="00167A71"/>
    <w:rsid w:val="00170C2F"/>
    <w:rsid w:val="001718F8"/>
    <w:rsid w:val="00173763"/>
    <w:rsid w:val="00173850"/>
    <w:rsid w:val="00176949"/>
    <w:rsid w:val="00177418"/>
    <w:rsid w:val="0018199B"/>
    <w:rsid w:val="00181B99"/>
    <w:rsid w:val="00183779"/>
    <w:rsid w:val="00185266"/>
    <w:rsid w:val="00186055"/>
    <w:rsid w:val="0019160B"/>
    <w:rsid w:val="00195888"/>
    <w:rsid w:val="001966FC"/>
    <w:rsid w:val="00196E4C"/>
    <w:rsid w:val="001A1A84"/>
    <w:rsid w:val="001A2B55"/>
    <w:rsid w:val="001A51F1"/>
    <w:rsid w:val="001A5244"/>
    <w:rsid w:val="001A5D2F"/>
    <w:rsid w:val="001A6803"/>
    <w:rsid w:val="001B1444"/>
    <w:rsid w:val="001B2B34"/>
    <w:rsid w:val="001B31B5"/>
    <w:rsid w:val="001B490C"/>
    <w:rsid w:val="001B4DA0"/>
    <w:rsid w:val="001B4E9B"/>
    <w:rsid w:val="001B5005"/>
    <w:rsid w:val="001B6116"/>
    <w:rsid w:val="001B748E"/>
    <w:rsid w:val="001B77A5"/>
    <w:rsid w:val="001C1DD4"/>
    <w:rsid w:val="001C2F96"/>
    <w:rsid w:val="001C68E8"/>
    <w:rsid w:val="001C7D25"/>
    <w:rsid w:val="001D2053"/>
    <w:rsid w:val="001D247E"/>
    <w:rsid w:val="001D2D79"/>
    <w:rsid w:val="001D353C"/>
    <w:rsid w:val="001D672E"/>
    <w:rsid w:val="001D74A3"/>
    <w:rsid w:val="001E4C26"/>
    <w:rsid w:val="001E51B4"/>
    <w:rsid w:val="001E5F9C"/>
    <w:rsid w:val="001E62C4"/>
    <w:rsid w:val="001E6C6F"/>
    <w:rsid w:val="001E7422"/>
    <w:rsid w:val="001F023F"/>
    <w:rsid w:val="001F0737"/>
    <w:rsid w:val="001F0B08"/>
    <w:rsid w:val="001F3E73"/>
    <w:rsid w:val="001F4037"/>
    <w:rsid w:val="001F7599"/>
    <w:rsid w:val="001F75FD"/>
    <w:rsid w:val="001F7F30"/>
    <w:rsid w:val="00201CEC"/>
    <w:rsid w:val="0020328C"/>
    <w:rsid w:val="00203421"/>
    <w:rsid w:val="00206790"/>
    <w:rsid w:val="00206B3B"/>
    <w:rsid w:val="0020704C"/>
    <w:rsid w:val="00210D3D"/>
    <w:rsid w:val="0021241A"/>
    <w:rsid w:val="00213F90"/>
    <w:rsid w:val="002151A4"/>
    <w:rsid w:val="00217009"/>
    <w:rsid w:val="00217729"/>
    <w:rsid w:val="0022028B"/>
    <w:rsid w:val="00222136"/>
    <w:rsid w:val="00226E77"/>
    <w:rsid w:val="0022788B"/>
    <w:rsid w:val="00230FFA"/>
    <w:rsid w:val="002338EE"/>
    <w:rsid w:val="00234038"/>
    <w:rsid w:val="002356F3"/>
    <w:rsid w:val="00235ADA"/>
    <w:rsid w:val="00235B21"/>
    <w:rsid w:val="00236988"/>
    <w:rsid w:val="00237B7E"/>
    <w:rsid w:val="00241BB9"/>
    <w:rsid w:val="00241DE5"/>
    <w:rsid w:val="00247B10"/>
    <w:rsid w:val="002536AA"/>
    <w:rsid w:val="00254E6B"/>
    <w:rsid w:val="00254FED"/>
    <w:rsid w:val="002552B7"/>
    <w:rsid w:val="0026260F"/>
    <w:rsid w:val="0026272D"/>
    <w:rsid w:val="00262F4F"/>
    <w:rsid w:val="00265BDB"/>
    <w:rsid w:val="00265EBE"/>
    <w:rsid w:val="00265EEA"/>
    <w:rsid w:val="00266741"/>
    <w:rsid w:val="002705CB"/>
    <w:rsid w:val="0027170F"/>
    <w:rsid w:val="00272EBE"/>
    <w:rsid w:val="00274F72"/>
    <w:rsid w:val="00275841"/>
    <w:rsid w:val="00275F8B"/>
    <w:rsid w:val="002773A7"/>
    <w:rsid w:val="0027779E"/>
    <w:rsid w:val="00277AA8"/>
    <w:rsid w:val="00282CB3"/>
    <w:rsid w:val="002839C3"/>
    <w:rsid w:val="00284B76"/>
    <w:rsid w:val="002900AD"/>
    <w:rsid w:val="00290458"/>
    <w:rsid w:val="002909BC"/>
    <w:rsid w:val="0029328D"/>
    <w:rsid w:val="002936E2"/>
    <w:rsid w:val="002938F0"/>
    <w:rsid w:val="002941FA"/>
    <w:rsid w:val="00295256"/>
    <w:rsid w:val="002965CE"/>
    <w:rsid w:val="002A0E3A"/>
    <w:rsid w:val="002A1044"/>
    <w:rsid w:val="002A2A23"/>
    <w:rsid w:val="002A2A55"/>
    <w:rsid w:val="002A4526"/>
    <w:rsid w:val="002A53E8"/>
    <w:rsid w:val="002A5428"/>
    <w:rsid w:val="002A5831"/>
    <w:rsid w:val="002A58BD"/>
    <w:rsid w:val="002A5DEB"/>
    <w:rsid w:val="002B103E"/>
    <w:rsid w:val="002B16C8"/>
    <w:rsid w:val="002B1F10"/>
    <w:rsid w:val="002B36D8"/>
    <w:rsid w:val="002B4A65"/>
    <w:rsid w:val="002B795C"/>
    <w:rsid w:val="002C0ED3"/>
    <w:rsid w:val="002C10BE"/>
    <w:rsid w:val="002C5FA2"/>
    <w:rsid w:val="002C63E3"/>
    <w:rsid w:val="002C65C6"/>
    <w:rsid w:val="002C726A"/>
    <w:rsid w:val="002C73ED"/>
    <w:rsid w:val="002C74C3"/>
    <w:rsid w:val="002D093A"/>
    <w:rsid w:val="002D0B26"/>
    <w:rsid w:val="002D30F4"/>
    <w:rsid w:val="002D33C6"/>
    <w:rsid w:val="002D5D59"/>
    <w:rsid w:val="002E1798"/>
    <w:rsid w:val="002E257F"/>
    <w:rsid w:val="002E4F79"/>
    <w:rsid w:val="002E5B52"/>
    <w:rsid w:val="002F2D00"/>
    <w:rsid w:val="002F3379"/>
    <w:rsid w:val="002F34E8"/>
    <w:rsid w:val="002F3E40"/>
    <w:rsid w:val="002F57BE"/>
    <w:rsid w:val="002F6257"/>
    <w:rsid w:val="002F663E"/>
    <w:rsid w:val="002F7130"/>
    <w:rsid w:val="002F7B48"/>
    <w:rsid w:val="00300C11"/>
    <w:rsid w:val="003022BC"/>
    <w:rsid w:val="003029AC"/>
    <w:rsid w:val="00303A5A"/>
    <w:rsid w:val="00304704"/>
    <w:rsid w:val="0030710F"/>
    <w:rsid w:val="0031113F"/>
    <w:rsid w:val="003175D9"/>
    <w:rsid w:val="0032129D"/>
    <w:rsid w:val="003212A9"/>
    <w:rsid w:val="0032154E"/>
    <w:rsid w:val="00322552"/>
    <w:rsid w:val="00323B23"/>
    <w:rsid w:val="00324347"/>
    <w:rsid w:val="00324AD7"/>
    <w:rsid w:val="00324EF8"/>
    <w:rsid w:val="00325989"/>
    <w:rsid w:val="0032615E"/>
    <w:rsid w:val="00327920"/>
    <w:rsid w:val="00327FD1"/>
    <w:rsid w:val="003319DB"/>
    <w:rsid w:val="00331C3A"/>
    <w:rsid w:val="0033420E"/>
    <w:rsid w:val="00340275"/>
    <w:rsid w:val="0034498D"/>
    <w:rsid w:val="00346293"/>
    <w:rsid w:val="0034704A"/>
    <w:rsid w:val="003477E9"/>
    <w:rsid w:val="00351C44"/>
    <w:rsid w:val="00352C35"/>
    <w:rsid w:val="00353998"/>
    <w:rsid w:val="00353FB4"/>
    <w:rsid w:val="00354144"/>
    <w:rsid w:val="00354B45"/>
    <w:rsid w:val="003560E4"/>
    <w:rsid w:val="003576A2"/>
    <w:rsid w:val="0036034C"/>
    <w:rsid w:val="003629DE"/>
    <w:rsid w:val="003644F5"/>
    <w:rsid w:val="003657B5"/>
    <w:rsid w:val="003657B9"/>
    <w:rsid w:val="0036658C"/>
    <w:rsid w:val="0036681B"/>
    <w:rsid w:val="00366922"/>
    <w:rsid w:val="00366D37"/>
    <w:rsid w:val="00371C8A"/>
    <w:rsid w:val="00375563"/>
    <w:rsid w:val="0037699B"/>
    <w:rsid w:val="00380622"/>
    <w:rsid w:val="00380DAD"/>
    <w:rsid w:val="0038156B"/>
    <w:rsid w:val="0038260B"/>
    <w:rsid w:val="00385F57"/>
    <w:rsid w:val="0038671F"/>
    <w:rsid w:val="003867F6"/>
    <w:rsid w:val="003874E6"/>
    <w:rsid w:val="00387B89"/>
    <w:rsid w:val="00390694"/>
    <w:rsid w:val="003962ED"/>
    <w:rsid w:val="00397EDD"/>
    <w:rsid w:val="003A0FC4"/>
    <w:rsid w:val="003A3A27"/>
    <w:rsid w:val="003A4B99"/>
    <w:rsid w:val="003B3687"/>
    <w:rsid w:val="003B6D9C"/>
    <w:rsid w:val="003B72BD"/>
    <w:rsid w:val="003B7EA6"/>
    <w:rsid w:val="003C018F"/>
    <w:rsid w:val="003C15AB"/>
    <w:rsid w:val="003C179A"/>
    <w:rsid w:val="003C3B2F"/>
    <w:rsid w:val="003C5665"/>
    <w:rsid w:val="003C65BF"/>
    <w:rsid w:val="003C6C79"/>
    <w:rsid w:val="003C7269"/>
    <w:rsid w:val="003D094E"/>
    <w:rsid w:val="003D3B41"/>
    <w:rsid w:val="003D4486"/>
    <w:rsid w:val="003D464B"/>
    <w:rsid w:val="003D4DE3"/>
    <w:rsid w:val="003D621A"/>
    <w:rsid w:val="003D63F9"/>
    <w:rsid w:val="003D716E"/>
    <w:rsid w:val="003E18D2"/>
    <w:rsid w:val="003E307D"/>
    <w:rsid w:val="003E3B8C"/>
    <w:rsid w:val="003E501C"/>
    <w:rsid w:val="003E7C2B"/>
    <w:rsid w:val="003E7CBC"/>
    <w:rsid w:val="003F0A39"/>
    <w:rsid w:val="003F173F"/>
    <w:rsid w:val="003F2E13"/>
    <w:rsid w:val="003F4A5D"/>
    <w:rsid w:val="003F6DC1"/>
    <w:rsid w:val="003F70B9"/>
    <w:rsid w:val="003F7AFB"/>
    <w:rsid w:val="00402850"/>
    <w:rsid w:val="00404738"/>
    <w:rsid w:val="00406830"/>
    <w:rsid w:val="004070C9"/>
    <w:rsid w:val="004114A7"/>
    <w:rsid w:val="00411A3A"/>
    <w:rsid w:val="00412A1B"/>
    <w:rsid w:val="00412A8F"/>
    <w:rsid w:val="004149EE"/>
    <w:rsid w:val="00415AE7"/>
    <w:rsid w:val="004162CF"/>
    <w:rsid w:val="00420510"/>
    <w:rsid w:val="004221DC"/>
    <w:rsid w:val="00422F06"/>
    <w:rsid w:val="00423167"/>
    <w:rsid w:val="00424F1B"/>
    <w:rsid w:val="00425445"/>
    <w:rsid w:val="00430669"/>
    <w:rsid w:val="00430A6D"/>
    <w:rsid w:val="00430DB4"/>
    <w:rsid w:val="004322D6"/>
    <w:rsid w:val="00433A42"/>
    <w:rsid w:val="00434DD2"/>
    <w:rsid w:val="004370ED"/>
    <w:rsid w:val="00437759"/>
    <w:rsid w:val="004423FB"/>
    <w:rsid w:val="00445D70"/>
    <w:rsid w:val="004477D5"/>
    <w:rsid w:val="00452E06"/>
    <w:rsid w:val="0045382E"/>
    <w:rsid w:val="00455F9D"/>
    <w:rsid w:val="00456075"/>
    <w:rsid w:val="004565E0"/>
    <w:rsid w:val="004577DB"/>
    <w:rsid w:val="004607B9"/>
    <w:rsid w:val="00460F0A"/>
    <w:rsid w:val="00463657"/>
    <w:rsid w:val="00463D08"/>
    <w:rsid w:val="004651E9"/>
    <w:rsid w:val="00465A43"/>
    <w:rsid w:val="0047045E"/>
    <w:rsid w:val="00475B87"/>
    <w:rsid w:val="004761E6"/>
    <w:rsid w:val="004764C7"/>
    <w:rsid w:val="00477535"/>
    <w:rsid w:val="00480AD9"/>
    <w:rsid w:val="00480B1C"/>
    <w:rsid w:val="00481598"/>
    <w:rsid w:val="00481F97"/>
    <w:rsid w:val="004835EF"/>
    <w:rsid w:val="00483F0A"/>
    <w:rsid w:val="004840D9"/>
    <w:rsid w:val="00484486"/>
    <w:rsid w:val="00484B4F"/>
    <w:rsid w:val="00485810"/>
    <w:rsid w:val="00485D73"/>
    <w:rsid w:val="0048641B"/>
    <w:rsid w:val="00487350"/>
    <w:rsid w:val="00490703"/>
    <w:rsid w:val="00490FBB"/>
    <w:rsid w:val="00491668"/>
    <w:rsid w:val="00492AB1"/>
    <w:rsid w:val="00495D47"/>
    <w:rsid w:val="004960A8"/>
    <w:rsid w:val="00497605"/>
    <w:rsid w:val="004A5208"/>
    <w:rsid w:val="004A5609"/>
    <w:rsid w:val="004A7BDE"/>
    <w:rsid w:val="004B0F1B"/>
    <w:rsid w:val="004B17E5"/>
    <w:rsid w:val="004B2022"/>
    <w:rsid w:val="004B214C"/>
    <w:rsid w:val="004B3DD6"/>
    <w:rsid w:val="004C2270"/>
    <w:rsid w:val="004C2C5E"/>
    <w:rsid w:val="004C3716"/>
    <w:rsid w:val="004C3C0E"/>
    <w:rsid w:val="004C4C1C"/>
    <w:rsid w:val="004C527C"/>
    <w:rsid w:val="004C7458"/>
    <w:rsid w:val="004D0BEE"/>
    <w:rsid w:val="004D1892"/>
    <w:rsid w:val="004D25CA"/>
    <w:rsid w:val="004D3637"/>
    <w:rsid w:val="004D3F85"/>
    <w:rsid w:val="004E04AE"/>
    <w:rsid w:val="004E16F4"/>
    <w:rsid w:val="004E3ABF"/>
    <w:rsid w:val="004E44FE"/>
    <w:rsid w:val="004E45EC"/>
    <w:rsid w:val="004E6F38"/>
    <w:rsid w:val="004E7E58"/>
    <w:rsid w:val="004F1B42"/>
    <w:rsid w:val="004F1B43"/>
    <w:rsid w:val="004F361E"/>
    <w:rsid w:val="004F524F"/>
    <w:rsid w:val="00500BB2"/>
    <w:rsid w:val="00502E8B"/>
    <w:rsid w:val="00503B0D"/>
    <w:rsid w:val="00503FA5"/>
    <w:rsid w:val="00504740"/>
    <w:rsid w:val="00507AA8"/>
    <w:rsid w:val="00512158"/>
    <w:rsid w:val="005138CB"/>
    <w:rsid w:val="00513A0F"/>
    <w:rsid w:val="0051739C"/>
    <w:rsid w:val="00517ED9"/>
    <w:rsid w:val="0052320A"/>
    <w:rsid w:val="00523EC3"/>
    <w:rsid w:val="0052431A"/>
    <w:rsid w:val="005248AB"/>
    <w:rsid w:val="00526C6C"/>
    <w:rsid w:val="00532DB9"/>
    <w:rsid w:val="005348DE"/>
    <w:rsid w:val="005360B6"/>
    <w:rsid w:val="00537D20"/>
    <w:rsid w:val="0054017F"/>
    <w:rsid w:val="005414BC"/>
    <w:rsid w:val="005504FD"/>
    <w:rsid w:val="005509D0"/>
    <w:rsid w:val="00552A42"/>
    <w:rsid w:val="00552F8B"/>
    <w:rsid w:val="005535A1"/>
    <w:rsid w:val="00556256"/>
    <w:rsid w:val="00561ACE"/>
    <w:rsid w:val="0056360A"/>
    <w:rsid w:val="00566206"/>
    <w:rsid w:val="00571074"/>
    <w:rsid w:val="005714BC"/>
    <w:rsid w:val="00573BF9"/>
    <w:rsid w:val="00573F3E"/>
    <w:rsid w:val="005754F3"/>
    <w:rsid w:val="00575ABC"/>
    <w:rsid w:val="005771DC"/>
    <w:rsid w:val="00580916"/>
    <w:rsid w:val="005814A9"/>
    <w:rsid w:val="0058252B"/>
    <w:rsid w:val="005833AA"/>
    <w:rsid w:val="00583CE5"/>
    <w:rsid w:val="005855D0"/>
    <w:rsid w:val="00585C12"/>
    <w:rsid w:val="00590D3D"/>
    <w:rsid w:val="00592719"/>
    <w:rsid w:val="00593702"/>
    <w:rsid w:val="00593EDC"/>
    <w:rsid w:val="00594B45"/>
    <w:rsid w:val="00594CB2"/>
    <w:rsid w:val="00594FF4"/>
    <w:rsid w:val="00595ADB"/>
    <w:rsid w:val="005A0989"/>
    <w:rsid w:val="005A7F07"/>
    <w:rsid w:val="005B1164"/>
    <w:rsid w:val="005B174D"/>
    <w:rsid w:val="005B1F28"/>
    <w:rsid w:val="005B304D"/>
    <w:rsid w:val="005B5B00"/>
    <w:rsid w:val="005B61E1"/>
    <w:rsid w:val="005B7E73"/>
    <w:rsid w:val="005C00E6"/>
    <w:rsid w:val="005C1361"/>
    <w:rsid w:val="005C14A4"/>
    <w:rsid w:val="005C1653"/>
    <w:rsid w:val="005C1682"/>
    <w:rsid w:val="005C1A5C"/>
    <w:rsid w:val="005C1E1F"/>
    <w:rsid w:val="005C5392"/>
    <w:rsid w:val="005C62B4"/>
    <w:rsid w:val="005C644C"/>
    <w:rsid w:val="005D1189"/>
    <w:rsid w:val="005D1BA7"/>
    <w:rsid w:val="005D1BC2"/>
    <w:rsid w:val="005D2D85"/>
    <w:rsid w:val="005D3FC9"/>
    <w:rsid w:val="005D410E"/>
    <w:rsid w:val="005D50D3"/>
    <w:rsid w:val="005E0AE1"/>
    <w:rsid w:val="005E11DE"/>
    <w:rsid w:val="005E1AC4"/>
    <w:rsid w:val="005E6892"/>
    <w:rsid w:val="005E7036"/>
    <w:rsid w:val="005F1A1A"/>
    <w:rsid w:val="005F2A77"/>
    <w:rsid w:val="005F2D77"/>
    <w:rsid w:val="005F4204"/>
    <w:rsid w:val="005F6222"/>
    <w:rsid w:val="005F7DE5"/>
    <w:rsid w:val="00600983"/>
    <w:rsid w:val="00601ABC"/>
    <w:rsid w:val="0060293C"/>
    <w:rsid w:val="00602CB6"/>
    <w:rsid w:val="00602D81"/>
    <w:rsid w:val="00605831"/>
    <w:rsid w:val="00606081"/>
    <w:rsid w:val="006073DF"/>
    <w:rsid w:val="00607585"/>
    <w:rsid w:val="0060790F"/>
    <w:rsid w:val="00607C95"/>
    <w:rsid w:val="0061026E"/>
    <w:rsid w:val="00612B0C"/>
    <w:rsid w:val="00612B91"/>
    <w:rsid w:val="00613648"/>
    <w:rsid w:val="006164C1"/>
    <w:rsid w:val="006174D3"/>
    <w:rsid w:val="00617FBA"/>
    <w:rsid w:val="006239A8"/>
    <w:rsid w:val="0062417F"/>
    <w:rsid w:val="00624470"/>
    <w:rsid w:val="00625076"/>
    <w:rsid w:val="006253B8"/>
    <w:rsid w:val="00626DBD"/>
    <w:rsid w:val="0062734F"/>
    <w:rsid w:val="00627D23"/>
    <w:rsid w:val="00632322"/>
    <w:rsid w:val="00632B45"/>
    <w:rsid w:val="00633B76"/>
    <w:rsid w:val="00633C30"/>
    <w:rsid w:val="00634502"/>
    <w:rsid w:val="006414F5"/>
    <w:rsid w:val="006428B8"/>
    <w:rsid w:val="00644487"/>
    <w:rsid w:val="0064607E"/>
    <w:rsid w:val="00647507"/>
    <w:rsid w:val="006478E7"/>
    <w:rsid w:val="00647E41"/>
    <w:rsid w:val="00651AF7"/>
    <w:rsid w:val="0065205D"/>
    <w:rsid w:val="00652279"/>
    <w:rsid w:val="00653231"/>
    <w:rsid w:val="00653366"/>
    <w:rsid w:val="00657E1F"/>
    <w:rsid w:val="006613DF"/>
    <w:rsid w:val="00662930"/>
    <w:rsid w:val="0066644D"/>
    <w:rsid w:val="00666AEF"/>
    <w:rsid w:val="00675B34"/>
    <w:rsid w:val="0067650B"/>
    <w:rsid w:val="00677AE3"/>
    <w:rsid w:val="00684FE9"/>
    <w:rsid w:val="00685355"/>
    <w:rsid w:val="00686EED"/>
    <w:rsid w:val="00687012"/>
    <w:rsid w:val="0068715A"/>
    <w:rsid w:val="006874E0"/>
    <w:rsid w:val="00687922"/>
    <w:rsid w:val="00687B31"/>
    <w:rsid w:val="0069137D"/>
    <w:rsid w:val="006923CA"/>
    <w:rsid w:val="00693C22"/>
    <w:rsid w:val="0069575A"/>
    <w:rsid w:val="00695B36"/>
    <w:rsid w:val="0069628D"/>
    <w:rsid w:val="0069705C"/>
    <w:rsid w:val="006A064F"/>
    <w:rsid w:val="006A467F"/>
    <w:rsid w:val="006A5992"/>
    <w:rsid w:val="006A5F96"/>
    <w:rsid w:val="006A6B4D"/>
    <w:rsid w:val="006A749D"/>
    <w:rsid w:val="006A7DA4"/>
    <w:rsid w:val="006B09EF"/>
    <w:rsid w:val="006B0CFA"/>
    <w:rsid w:val="006B0D2A"/>
    <w:rsid w:val="006B3044"/>
    <w:rsid w:val="006B4709"/>
    <w:rsid w:val="006B6C58"/>
    <w:rsid w:val="006B7ED5"/>
    <w:rsid w:val="006C0AC2"/>
    <w:rsid w:val="006C2375"/>
    <w:rsid w:val="006C247A"/>
    <w:rsid w:val="006C26CD"/>
    <w:rsid w:val="006C607B"/>
    <w:rsid w:val="006C76CD"/>
    <w:rsid w:val="006D11AC"/>
    <w:rsid w:val="006D27D3"/>
    <w:rsid w:val="006D641C"/>
    <w:rsid w:val="006E0097"/>
    <w:rsid w:val="006E026C"/>
    <w:rsid w:val="006E287C"/>
    <w:rsid w:val="006E2D0D"/>
    <w:rsid w:val="006E32ED"/>
    <w:rsid w:val="006E34DF"/>
    <w:rsid w:val="006E40C6"/>
    <w:rsid w:val="006E62EB"/>
    <w:rsid w:val="006F01C4"/>
    <w:rsid w:val="006F0F17"/>
    <w:rsid w:val="006F48C4"/>
    <w:rsid w:val="006F668F"/>
    <w:rsid w:val="006F6DD5"/>
    <w:rsid w:val="006F7CE2"/>
    <w:rsid w:val="00700757"/>
    <w:rsid w:val="00701ACF"/>
    <w:rsid w:val="007028BC"/>
    <w:rsid w:val="0070469A"/>
    <w:rsid w:val="00706EEF"/>
    <w:rsid w:val="00710710"/>
    <w:rsid w:val="00713728"/>
    <w:rsid w:val="00717443"/>
    <w:rsid w:val="00720596"/>
    <w:rsid w:val="00720814"/>
    <w:rsid w:val="00721A3F"/>
    <w:rsid w:val="00723BF5"/>
    <w:rsid w:val="00724483"/>
    <w:rsid w:val="00726FBA"/>
    <w:rsid w:val="00727BDB"/>
    <w:rsid w:val="00730A0F"/>
    <w:rsid w:val="00730C94"/>
    <w:rsid w:val="00731A53"/>
    <w:rsid w:val="00732B57"/>
    <w:rsid w:val="007339D3"/>
    <w:rsid w:val="00736C3F"/>
    <w:rsid w:val="00736F5B"/>
    <w:rsid w:val="007378D1"/>
    <w:rsid w:val="00737DB5"/>
    <w:rsid w:val="00740094"/>
    <w:rsid w:val="00740FA7"/>
    <w:rsid w:val="0074145F"/>
    <w:rsid w:val="00741DD9"/>
    <w:rsid w:val="00742891"/>
    <w:rsid w:val="00744D21"/>
    <w:rsid w:val="00745ACF"/>
    <w:rsid w:val="00745FBD"/>
    <w:rsid w:val="00750582"/>
    <w:rsid w:val="00750BDB"/>
    <w:rsid w:val="00752329"/>
    <w:rsid w:val="007537CA"/>
    <w:rsid w:val="0076071B"/>
    <w:rsid w:val="00760A76"/>
    <w:rsid w:val="007610DF"/>
    <w:rsid w:val="00764006"/>
    <w:rsid w:val="007655E1"/>
    <w:rsid w:val="0076740E"/>
    <w:rsid w:val="007711DE"/>
    <w:rsid w:val="007719DF"/>
    <w:rsid w:val="00773C4D"/>
    <w:rsid w:val="00776CCE"/>
    <w:rsid w:val="00776FC0"/>
    <w:rsid w:val="007772F1"/>
    <w:rsid w:val="0078195B"/>
    <w:rsid w:val="007840A2"/>
    <w:rsid w:val="00785766"/>
    <w:rsid w:val="00787D19"/>
    <w:rsid w:val="00791FCF"/>
    <w:rsid w:val="007951C6"/>
    <w:rsid w:val="007956E6"/>
    <w:rsid w:val="007979B8"/>
    <w:rsid w:val="007A12AB"/>
    <w:rsid w:val="007A634A"/>
    <w:rsid w:val="007A6392"/>
    <w:rsid w:val="007A66C8"/>
    <w:rsid w:val="007A76B0"/>
    <w:rsid w:val="007A7D56"/>
    <w:rsid w:val="007B0D22"/>
    <w:rsid w:val="007B207A"/>
    <w:rsid w:val="007B2D20"/>
    <w:rsid w:val="007B4A59"/>
    <w:rsid w:val="007B5F03"/>
    <w:rsid w:val="007B6260"/>
    <w:rsid w:val="007C18B7"/>
    <w:rsid w:val="007C5064"/>
    <w:rsid w:val="007C6D73"/>
    <w:rsid w:val="007C74F6"/>
    <w:rsid w:val="007C7806"/>
    <w:rsid w:val="007C7D43"/>
    <w:rsid w:val="007D0F61"/>
    <w:rsid w:val="007D202E"/>
    <w:rsid w:val="007D2082"/>
    <w:rsid w:val="007D3A46"/>
    <w:rsid w:val="007D5A34"/>
    <w:rsid w:val="007D5C55"/>
    <w:rsid w:val="007D60E5"/>
    <w:rsid w:val="007D6668"/>
    <w:rsid w:val="007D6B83"/>
    <w:rsid w:val="007D6E00"/>
    <w:rsid w:val="007D6F9F"/>
    <w:rsid w:val="007E0647"/>
    <w:rsid w:val="007E16D1"/>
    <w:rsid w:val="007E17A5"/>
    <w:rsid w:val="007E33CE"/>
    <w:rsid w:val="007E518E"/>
    <w:rsid w:val="007E6E60"/>
    <w:rsid w:val="007E737B"/>
    <w:rsid w:val="007E7629"/>
    <w:rsid w:val="007E7FB8"/>
    <w:rsid w:val="007F0F39"/>
    <w:rsid w:val="007F13F5"/>
    <w:rsid w:val="007F267F"/>
    <w:rsid w:val="007F4771"/>
    <w:rsid w:val="007F6DF1"/>
    <w:rsid w:val="007F7C5C"/>
    <w:rsid w:val="00800034"/>
    <w:rsid w:val="00803CC2"/>
    <w:rsid w:val="00805196"/>
    <w:rsid w:val="00805236"/>
    <w:rsid w:val="008058E7"/>
    <w:rsid w:val="008062C3"/>
    <w:rsid w:val="0081171D"/>
    <w:rsid w:val="00811F7B"/>
    <w:rsid w:val="00812C46"/>
    <w:rsid w:val="00813C4F"/>
    <w:rsid w:val="008164C7"/>
    <w:rsid w:val="00816527"/>
    <w:rsid w:val="008173BC"/>
    <w:rsid w:val="00817B9E"/>
    <w:rsid w:val="008223DD"/>
    <w:rsid w:val="0082337A"/>
    <w:rsid w:val="0082344E"/>
    <w:rsid w:val="00825468"/>
    <w:rsid w:val="00825C21"/>
    <w:rsid w:val="008264DB"/>
    <w:rsid w:val="00830F43"/>
    <w:rsid w:val="00831D5B"/>
    <w:rsid w:val="008340F4"/>
    <w:rsid w:val="00835A8B"/>
    <w:rsid w:val="00836939"/>
    <w:rsid w:val="00836C96"/>
    <w:rsid w:val="0084106B"/>
    <w:rsid w:val="0084277E"/>
    <w:rsid w:val="008427FC"/>
    <w:rsid w:val="00842AE4"/>
    <w:rsid w:val="00844C37"/>
    <w:rsid w:val="00845138"/>
    <w:rsid w:val="00850D15"/>
    <w:rsid w:val="0085133F"/>
    <w:rsid w:val="00853850"/>
    <w:rsid w:val="00854151"/>
    <w:rsid w:val="00860FEE"/>
    <w:rsid w:val="00866090"/>
    <w:rsid w:val="00866419"/>
    <w:rsid w:val="00867B20"/>
    <w:rsid w:val="00870F39"/>
    <w:rsid w:val="008718F4"/>
    <w:rsid w:val="008728EF"/>
    <w:rsid w:val="00872C37"/>
    <w:rsid w:val="008730A1"/>
    <w:rsid w:val="008741A0"/>
    <w:rsid w:val="00874201"/>
    <w:rsid w:val="0087634A"/>
    <w:rsid w:val="0088042E"/>
    <w:rsid w:val="00880A69"/>
    <w:rsid w:val="00881DE1"/>
    <w:rsid w:val="008826FB"/>
    <w:rsid w:val="00882C59"/>
    <w:rsid w:val="008835B7"/>
    <w:rsid w:val="00883802"/>
    <w:rsid w:val="00883B1E"/>
    <w:rsid w:val="008872CC"/>
    <w:rsid w:val="008879D2"/>
    <w:rsid w:val="00887DBB"/>
    <w:rsid w:val="0089016E"/>
    <w:rsid w:val="00891488"/>
    <w:rsid w:val="008966D4"/>
    <w:rsid w:val="008A014B"/>
    <w:rsid w:val="008A09FA"/>
    <w:rsid w:val="008A49DB"/>
    <w:rsid w:val="008A6844"/>
    <w:rsid w:val="008B150F"/>
    <w:rsid w:val="008B1E2F"/>
    <w:rsid w:val="008B45E6"/>
    <w:rsid w:val="008B4F3E"/>
    <w:rsid w:val="008B513B"/>
    <w:rsid w:val="008B6331"/>
    <w:rsid w:val="008C321F"/>
    <w:rsid w:val="008C457B"/>
    <w:rsid w:val="008C4862"/>
    <w:rsid w:val="008C4B3C"/>
    <w:rsid w:val="008D3B64"/>
    <w:rsid w:val="008D3DD4"/>
    <w:rsid w:val="008D4180"/>
    <w:rsid w:val="008D481D"/>
    <w:rsid w:val="008D5849"/>
    <w:rsid w:val="008D5F96"/>
    <w:rsid w:val="008D6B85"/>
    <w:rsid w:val="008E092A"/>
    <w:rsid w:val="008E0BF2"/>
    <w:rsid w:val="008E11AD"/>
    <w:rsid w:val="008E124E"/>
    <w:rsid w:val="008E4312"/>
    <w:rsid w:val="008E526C"/>
    <w:rsid w:val="008E562A"/>
    <w:rsid w:val="008E57FF"/>
    <w:rsid w:val="008F09CA"/>
    <w:rsid w:val="008F1532"/>
    <w:rsid w:val="008F2628"/>
    <w:rsid w:val="008F3D86"/>
    <w:rsid w:val="008F54C2"/>
    <w:rsid w:val="00900593"/>
    <w:rsid w:val="00901713"/>
    <w:rsid w:val="00902E7D"/>
    <w:rsid w:val="00903219"/>
    <w:rsid w:val="00903721"/>
    <w:rsid w:val="009049A5"/>
    <w:rsid w:val="00904A8A"/>
    <w:rsid w:val="00907E08"/>
    <w:rsid w:val="00911AEA"/>
    <w:rsid w:val="00912660"/>
    <w:rsid w:val="00913140"/>
    <w:rsid w:val="00913F29"/>
    <w:rsid w:val="009150FE"/>
    <w:rsid w:val="00915666"/>
    <w:rsid w:val="009161AA"/>
    <w:rsid w:val="00917FD3"/>
    <w:rsid w:val="009222EA"/>
    <w:rsid w:val="009234E2"/>
    <w:rsid w:val="00923575"/>
    <w:rsid w:val="00923936"/>
    <w:rsid w:val="00925409"/>
    <w:rsid w:val="009254F3"/>
    <w:rsid w:val="00926631"/>
    <w:rsid w:val="009270C3"/>
    <w:rsid w:val="00930CE7"/>
    <w:rsid w:val="009316A9"/>
    <w:rsid w:val="00933860"/>
    <w:rsid w:val="00934361"/>
    <w:rsid w:val="00935F6E"/>
    <w:rsid w:val="00937A50"/>
    <w:rsid w:val="00941206"/>
    <w:rsid w:val="009417E8"/>
    <w:rsid w:val="00944058"/>
    <w:rsid w:val="00946512"/>
    <w:rsid w:val="00947239"/>
    <w:rsid w:val="00947C03"/>
    <w:rsid w:val="00947D97"/>
    <w:rsid w:val="00952381"/>
    <w:rsid w:val="00952E90"/>
    <w:rsid w:val="0095351F"/>
    <w:rsid w:val="0095380F"/>
    <w:rsid w:val="00955F19"/>
    <w:rsid w:val="00960FEF"/>
    <w:rsid w:val="0096108E"/>
    <w:rsid w:val="00961557"/>
    <w:rsid w:val="009619E9"/>
    <w:rsid w:val="00962A2E"/>
    <w:rsid w:val="00962E41"/>
    <w:rsid w:val="00964E1E"/>
    <w:rsid w:val="009652E7"/>
    <w:rsid w:val="0096734F"/>
    <w:rsid w:val="00971807"/>
    <w:rsid w:val="00971E99"/>
    <w:rsid w:val="00972661"/>
    <w:rsid w:val="0097430F"/>
    <w:rsid w:val="00974859"/>
    <w:rsid w:val="00975BC7"/>
    <w:rsid w:val="00975FE2"/>
    <w:rsid w:val="00976967"/>
    <w:rsid w:val="00982602"/>
    <w:rsid w:val="009840F1"/>
    <w:rsid w:val="00984587"/>
    <w:rsid w:val="00984CF9"/>
    <w:rsid w:val="00986EC1"/>
    <w:rsid w:val="009872FB"/>
    <w:rsid w:val="00987C6C"/>
    <w:rsid w:val="00991CC0"/>
    <w:rsid w:val="00992BBC"/>
    <w:rsid w:val="009930AF"/>
    <w:rsid w:val="00993538"/>
    <w:rsid w:val="00995398"/>
    <w:rsid w:val="00995F5A"/>
    <w:rsid w:val="009A08C9"/>
    <w:rsid w:val="009A36BB"/>
    <w:rsid w:val="009A3F9A"/>
    <w:rsid w:val="009A4657"/>
    <w:rsid w:val="009A5517"/>
    <w:rsid w:val="009B04FD"/>
    <w:rsid w:val="009B1048"/>
    <w:rsid w:val="009B31CC"/>
    <w:rsid w:val="009B4DEF"/>
    <w:rsid w:val="009B6484"/>
    <w:rsid w:val="009C26D0"/>
    <w:rsid w:val="009C35BF"/>
    <w:rsid w:val="009C4AF2"/>
    <w:rsid w:val="009C623E"/>
    <w:rsid w:val="009C6578"/>
    <w:rsid w:val="009C7EFD"/>
    <w:rsid w:val="009D0D99"/>
    <w:rsid w:val="009D13F7"/>
    <w:rsid w:val="009D1DB3"/>
    <w:rsid w:val="009D576C"/>
    <w:rsid w:val="009D6C7C"/>
    <w:rsid w:val="009E63E6"/>
    <w:rsid w:val="009E741E"/>
    <w:rsid w:val="009E7844"/>
    <w:rsid w:val="009F0974"/>
    <w:rsid w:val="009F2004"/>
    <w:rsid w:val="009F2AC7"/>
    <w:rsid w:val="009F2EB3"/>
    <w:rsid w:val="009F441A"/>
    <w:rsid w:val="009F47EA"/>
    <w:rsid w:val="009F48D6"/>
    <w:rsid w:val="009F5FA3"/>
    <w:rsid w:val="009F7119"/>
    <w:rsid w:val="00A028CA"/>
    <w:rsid w:val="00A035E3"/>
    <w:rsid w:val="00A05417"/>
    <w:rsid w:val="00A06F41"/>
    <w:rsid w:val="00A10C81"/>
    <w:rsid w:val="00A112AC"/>
    <w:rsid w:val="00A12509"/>
    <w:rsid w:val="00A13598"/>
    <w:rsid w:val="00A13AD8"/>
    <w:rsid w:val="00A1402C"/>
    <w:rsid w:val="00A15685"/>
    <w:rsid w:val="00A1775C"/>
    <w:rsid w:val="00A20CF9"/>
    <w:rsid w:val="00A21454"/>
    <w:rsid w:val="00A21B1A"/>
    <w:rsid w:val="00A21BC0"/>
    <w:rsid w:val="00A21D2A"/>
    <w:rsid w:val="00A22E9E"/>
    <w:rsid w:val="00A25C71"/>
    <w:rsid w:val="00A26213"/>
    <w:rsid w:val="00A265B7"/>
    <w:rsid w:val="00A306FB"/>
    <w:rsid w:val="00A32265"/>
    <w:rsid w:val="00A33126"/>
    <w:rsid w:val="00A358DD"/>
    <w:rsid w:val="00A41ECA"/>
    <w:rsid w:val="00A440A0"/>
    <w:rsid w:val="00A44283"/>
    <w:rsid w:val="00A44EE1"/>
    <w:rsid w:val="00A503E6"/>
    <w:rsid w:val="00A60259"/>
    <w:rsid w:val="00A620A7"/>
    <w:rsid w:val="00A62163"/>
    <w:rsid w:val="00A62564"/>
    <w:rsid w:val="00A62A68"/>
    <w:rsid w:val="00A63081"/>
    <w:rsid w:val="00A63390"/>
    <w:rsid w:val="00A64C50"/>
    <w:rsid w:val="00A65B04"/>
    <w:rsid w:val="00A66B85"/>
    <w:rsid w:val="00A67212"/>
    <w:rsid w:val="00A672EA"/>
    <w:rsid w:val="00A71C1A"/>
    <w:rsid w:val="00A73170"/>
    <w:rsid w:val="00A740AA"/>
    <w:rsid w:val="00A75481"/>
    <w:rsid w:val="00A75C4D"/>
    <w:rsid w:val="00A77BC3"/>
    <w:rsid w:val="00A77DB7"/>
    <w:rsid w:val="00A8313A"/>
    <w:rsid w:val="00A8386D"/>
    <w:rsid w:val="00A85A12"/>
    <w:rsid w:val="00A87244"/>
    <w:rsid w:val="00A90798"/>
    <w:rsid w:val="00A96396"/>
    <w:rsid w:val="00A97136"/>
    <w:rsid w:val="00AA00B9"/>
    <w:rsid w:val="00AA2883"/>
    <w:rsid w:val="00AA316E"/>
    <w:rsid w:val="00AA58CA"/>
    <w:rsid w:val="00AA5B6B"/>
    <w:rsid w:val="00AA62C1"/>
    <w:rsid w:val="00AA743B"/>
    <w:rsid w:val="00AA7E08"/>
    <w:rsid w:val="00AB03F8"/>
    <w:rsid w:val="00AB102C"/>
    <w:rsid w:val="00AB11E1"/>
    <w:rsid w:val="00AB143C"/>
    <w:rsid w:val="00AB1A1C"/>
    <w:rsid w:val="00AB28C4"/>
    <w:rsid w:val="00AB4FA7"/>
    <w:rsid w:val="00AB7D5B"/>
    <w:rsid w:val="00AC08A1"/>
    <w:rsid w:val="00AC37DB"/>
    <w:rsid w:val="00AC5003"/>
    <w:rsid w:val="00AC5363"/>
    <w:rsid w:val="00AC70CF"/>
    <w:rsid w:val="00AD0A65"/>
    <w:rsid w:val="00AD3862"/>
    <w:rsid w:val="00AD3CBF"/>
    <w:rsid w:val="00AD3FA2"/>
    <w:rsid w:val="00AD45F0"/>
    <w:rsid w:val="00AE08F9"/>
    <w:rsid w:val="00AE0B8E"/>
    <w:rsid w:val="00AE0EDE"/>
    <w:rsid w:val="00AE1309"/>
    <w:rsid w:val="00AE2363"/>
    <w:rsid w:val="00AE29E6"/>
    <w:rsid w:val="00AE5C65"/>
    <w:rsid w:val="00AE6FE0"/>
    <w:rsid w:val="00AF0C42"/>
    <w:rsid w:val="00AF3992"/>
    <w:rsid w:val="00AF6211"/>
    <w:rsid w:val="00AF71E6"/>
    <w:rsid w:val="00B01000"/>
    <w:rsid w:val="00B0135B"/>
    <w:rsid w:val="00B02904"/>
    <w:rsid w:val="00B0459A"/>
    <w:rsid w:val="00B06207"/>
    <w:rsid w:val="00B06740"/>
    <w:rsid w:val="00B0762C"/>
    <w:rsid w:val="00B07DCE"/>
    <w:rsid w:val="00B10224"/>
    <w:rsid w:val="00B10F99"/>
    <w:rsid w:val="00B11D0A"/>
    <w:rsid w:val="00B12B72"/>
    <w:rsid w:val="00B17B75"/>
    <w:rsid w:val="00B2073D"/>
    <w:rsid w:val="00B21BBC"/>
    <w:rsid w:val="00B22B6D"/>
    <w:rsid w:val="00B22C8B"/>
    <w:rsid w:val="00B23ADB"/>
    <w:rsid w:val="00B23F3E"/>
    <w:rsid w:val="00B25547"/>
    <w:rsid w:val="00B25EF7"/>
    <w:rsid w:val="00B27945"/>
    <w:rsid w:val="00B27EE5"/>
    <w:rsid w:val="00B30933"/>
    <w:rsid w:val="00B30970"/>
    <w:rsid w:val="00B31493"/>
    <w:rsid w:val="00B329EC"/>
    <w:rsid w:val="00B32FF8"/>
    <w:rsid w:val="00B36B4B"/>
    <w:rsid w:val="00B373FD"/>
    <w:rsid w:val="00B37FBF"/>
    <w:rsid w:val="00B40817"/>
    <w:rsid w:val="00B40BA3"/>
    <w:rsid w:val="00B413CE"/>
    <w:rsid w:val="00B4435C"/>
    <w:rsid w:val="00B44612"/>
    <w:rsid w:val="00B44929"/>
    <w:rsid w:val="00B46C41"/>
    <w:rsid w:val="00B51088"/>
    <w:rsid w:val="00B52374"/>
    <w:rsid w:val="00B537D1"/>
    <w:rsid w:val="00B53C28"/>
    <w:rsid w:val="00B557B9"/>
    <w:rsid w:val="00B5742A"/>
    <w:rsid w:val="00B57916"/>
    <w:rsid w:val="00B60F1E"/>
    <w:rsid w:val="00B62035"/>
    <w:rsid w:val="00B63DFA"/>
    <w:rsid w:val="00B64D8D"/>
    <w:rsid w:val="00B65A98"/>
    <w:rsid w:val="00B66AA4"/>
    <w:rsid w:val="00B67AF2"/>
    <w:rsid w:val="00B7059A"/>
    <w:rsid w:val="00B7152D"/>
    <w:rsid w:val="00B75247"/>
    <w:rsid w:val="00B766D2"/>
    <w:rsid w:val="00B76B7F"/>
    <w:rsid w:val="00B76CCD"/>
    <w:rsid w:val="00B80857"/>
    <w:rsid w:val="00B809BB"/>
    <w:rsid w:val="00B82245"/>
    <w:rsid w:val="00B82774"/>
    <w:rsid w:val="00B82A03"/>
    <w:rsid w:val="00B85BDA"/>
    <w:rsid w:val="00B86D98"/>
    <w:rsid w:val="00B8758C"/>
    <w:rsid w:val="00B87ADD"/>
    <w:rsid w:val="00B90157"/>
    <w:rsid w:val="00B909D3"/>
    <w:rsid w:val="00B909E4"/>
    <w:rsid w:val="00B9187F"/>
    <w:rsid w:val="00B91E58"/>
    <w:rsid w:val="00B93DF4"/>
    <w:rsid w:val="00B961A3"/>
    <w:rsid w:val="00B96F69"/>
    <w:rsid w:val="00BA06EB"/>
    <w:rsid w:val="00BA0825"/>
    <w:rsid w:val="00BA540E"/>
    <w:rsid w:val="00BB0B3F"/>
    <w:rsid w:val="00BB0F74"/>
    <w:rsid w:val="00BB1698"/>
    <w:rsid w:val="00BB3207"/>
    <w:rsid w:val="00BB43A1"/>
    <w:rsid w:val="00BB45FA"/>
    <w:rsid w:val="00BC0031"/>
    <w:rsid w:val="00BC07FA"/>
    <w:rsid w:val="00BC2889"/>
    <w:rsid w:val="00BC2A83"/>
    <w:rsid w:val="00BC676A"/>
    <w:rsid w:val="00BD1A10"/>
    <w:rsid w:val="00BD3C05"/>
    <w:rsid w:val="00BD3CA9"/>
    <w:rsid w:val="00BD649E"/>
    <w:rsid w:val="00BD7472"/>
    <w:rsid w:val="00BE0DBC"/>
    <w:rsid w:val="00BE224A"/>
    <w:rsid w:val="00BE28EE"/>
    <w:rsid w:val="00BE2ED7"/>
    <w:rsid w:val="00BE34F1"/>
    <w:rsid w:val="00BE44E3"/>
    <w:rsid w:val="00BE48D0"/>
    <w:rsid w:val="00BE4E1D"/>
    <w:rsid w:val="00BE613E"/>
    <w:rsid w:val="00BE685D"/>
    <w:rsid w:val="00BF1E4F"/>
    <w:rsid w:val="00BF1EE4"/>
    <w:rsid w:val="00BF2DC9"/>
    <w:rsid w:val="00BF3438"/>
    <w:rsid w:val="00BF3C64"/>
    <w:rsid w:val="00BF4695"/>
    <w:rsid w:val="00C00DEB"/>
    <w:rsid w:val="00C029BB"/>
    <w:rsid w:val="00C045B3"/>
    <w:rsid w:val="00C13AC1"/>
    <w:rsid w:val="00C140AB"/>
    <w:rsid w:val="00C149A1"/>
    <w:rsid w:val="00C14F88"/>
    <w:rsid w:val="00C16A6F"/>
    <w:rsid w:val="00C20E02"/>
    <w:rsid w:val="00C21CA3"/>
    <w:rsid w:val="00C220BB"/>
    <w:rsid w:val="00C23463"/>
    <w:rsid w:val="00C23C90"/>
    <w:rsid w:val="00C23D13"/>
    <w:rsid w:val="00C24C78"/>
    <w:rsid w:val="00C277F7"/>
    <w:rsid w:val="00C27C57"/>
    <w:rsid w:val="00C366B2"/>
    <w:rsid w:val="00C36C5B"/>
    <w:rsid w:val="00C405D2"/>
    <w:rsid w:val="00C4081D"/>
    <w:rsid w:val="00C40CC4"/>
    <w:rsid w:val="00C441EB"/>
    <w:rsid w:val="00C44A5A"/>
    <w:rsid w:val="00C46F70"/>
    <w:rsid w:val="00C473D4"/>
    <w:rsid w:val="00C479C0"/>
    <w:rsid w:val="00C51221"/>
    <w:rsid w:val="00C52235"/>
    <w:rsid w:val="00C52299"/>
    <w:rsid w:val="00C54349"/>
    <w:rsid w:val="00C5563F"/>
    <w:rsid w:val="00C6000C"/>
    <w:rsid w:val="00C606D9"/>
    <w:rsid w:val="00C6091E"/>
    <w:rsid w:val="00C60B3E"/>
    <w:rsid w:val="00C61589"/>
    <w:rsid w:val="00C621C7"/>
    <w:rsid w:val="00C62C32"/>
    <w:rsid w:val="00C64764"/>
    <w:rsid w:val="00C66484"/>
    <w:rsid w:val="00C66A7B"/>
    <w:rsid w:val="00C746E8"/>
    <w:rsid w:val="00C748B7"/>
    <w:rsid w:val="00C76874"/>
    <w:rsid w:val="00C7732C"/>
    <w:rsid w:val="00C77604"/>
    <w:rsid w:val="00C779D8"/>
    <w:rsid w:val="00C80BE5"/>
    <w:rsid w:val="00C82783"/>
    <w:rsid w:val="00C8453E"/>
    <w:rsid w:val="00C847C4"/>
    <w:rsid w:val="00C84E1A"/>
    <w:rsid w:val="00C84F5B"/>
    <w:rsid w:val="00C85140"/>
    <w:rsid w:val="00C905A6"/>
    <w:rsid w:val="00C91577"/>
    <w:rsid w:val="00C9245C"/>
    <w:rsid w:val="00C94696"/>
    <w:rsid w:val="00C9483C"/>
    <w:rsid w:val="00C95220"/>
    <w:rsid w:val="00C9727F"/>
    <w:rsid w:val="00C972BB"/>
    <w:rsid w:val="00CA18A3"/>
    <w:rsid w:val="00CA2C38"/>
    <w:rsid w:val="00CA44B7"/>
    <w:rsid w:val="00CA5010"/>
    <w:rsid w:val="00CA59F5"/>
    <w:rsid w:val="00CA6137"/>
    <w:rsid w:val="00CA754E"/>
    <w:rsid w:val="00CA7A55"/>
    <w:rsid w:val="00CB2BCC"/>
    <w:rsid w:val="00CB5711"/>
    <w:rsid w:val="00CB70C1"/>
    <w:rsid w:val="00CC0AD8"/>
    <w:rsid w:val="00CC27BF"/>
    <w:rsid w:val="00CC3B25"/>
    <w:rsid w:val="00CC402C"/>
    <w:rsid w:val="00CC52DE"/>
    <w:rsid w:val="00CC6746"/>
    <w:rsid w:val="00CC7BF6"/>
    <w:rsid w:val="00CD2359"/>
    <w:rsid w:val="00CD38C4"/>
    <w:rsid w:val="00CD4E90"/>
    <w:rsid w:val="00CD5123"/>
    <w:rsid w:val="00CD5790"/>
    <w:rsid w:val="00CD5F88"/>
    <w:rsid w:val="00CD71B1"/>
    <w:rsid w:val="00CE0A52"/>
    <w:rsid w:val="00CE1B13"/>
    <w:rsid w:val="00CE2996"/>
    <w:rsid w:val="00CE492C"/>
    <w:rsid w:val="00CF0B63"/>
    <w:rsid w:val="00CF6130"/>
    <w:rsid w:val="00CF6C89"/>
    <w:rsid w:val="00CF7029"/>
    <w:rsid w:val="00CF7F75"/>
    <w:rsid w:val="00D011C8"/>
    <w:rsid w:val="00D04553"/>
    <w:rsid w:val="00D04A31"/>
    <w:rsid w:val="00D04D85"/>
    <w:rsid w:val="00D04FAA"/>
    <w:rsid w:val="00D054B2"/>
    <w:rsid w:val="00D054B8"/>
    <w:rsid w:val="00D05E85"/>
    <w:rsid w:val="00D05F42"/>
    <w:rsid w:val="00D10FD5"/>
    <w:rsid w:val="00D12B91"/>
    <w:rsid w:val="00D13975"/>
    <w:rsid w:val="00D13D20"/>
    <w:rsid w:val="00D2046A"/>
    <w:rsid w:val="00D21000"/>
    <w:rsid w:val="00D220AB"/>
    <w:rsid w:val="00D223C1"/>
    <w:rsid w:val="00D22CB7"/>
    <w:rsid w:val="00D23367"/>
    <w:rsid w:val="00D25101"/>
    <w:rsid w:val="00D2670B"/>
    <w:rsid w:val="00D3051A"/>
    <w:rsid w:val="00D36456"/>
    <w:rsid w:val="00D369E0"/>
    <w:rsid w:val="00D36B71"/>
    <w:rsid w:val="00D37308"/>
    <w:rsid w:val="00D37A3F"/>
    <w:rsid w:val="00D4071B"/>
    <w:rsid w:val="00D430F5"/>
    <w:rsid w:val="00D43928"/>
    <w:rsid w:val="00D441CC"/>
    <w:rsid w:val="00D443DA"/>
    <w:rsid w:val="00D44A04"/>
    <w:rsid w:val="00D51C77"/>
    <w:rsid w:val="00D51EA2"/>
    <w:rsid w:val="00D52424"/>
    <w:rsid w:val="00D52956"/>
    <w:rsid w:val="00D54A27"/>
    <w:rsid w:val="00D56962"/>
    <w:rsid w:val="00D56F29"/>
    <w:rsid w:val="00D605E5"/>
    <w:rsid w:val="00D62BC7"/>
    <w:rsid w:val="00D63377"/>
    <w:rsid w:val="00D6418C"/>
    <w:rsid w:val="00D647F9"/>
    <w:rsid w:val="00D66ACE"/>
    <w:rsid w:val="00D709C4"/>
    <w:rsid w:val="00D712AA"/>
    <w:rsid w:val="00D71F31"/>
    <w:rsid w:val="00D73332"/>
    <w:rsid w:val="00D73AF3"/>
    <w:rsid w:val="00D7742F"/>
    <w:rsid w:val="00D77A8C"/>
    <w:rsid w:val="00D83062"/>
    <w:rsid w:val="00D83E6F"/>
    <w:rsid w:val="00D84E12"/>
    <w:rsid w:val="00D85150"/>
    <w:rsid w:val="00D851B3"/>
    <w:rsid w:val="00D867D5"/>
    <w:rsid w:val="00D8682E"/>
    <w:rsid w:val="00D876E4"/>
    <w:rsid w:val="00D93179"/>
    <w:rsid w:val="00D946C7"/>
    <w:rsid w:val="00D970E2"/>
    <w:rsid w:val="00D97152"/>
    <w:rsid w:val="00DA10BB"/>
    <w:rsid w:val="00DA15DA"/>
    <w:rsid w:val="00DA42D5"/>
    <w:rsid w:val="00DA4816"/>
    <w:rsid w:val="00DA4AB4"/>
    <w:rsid w:val="00DA57ED"/>
    <w:rsid w:val="00DA5E63"/>
    <w:rsid w:val="00DA63D8"/>
    <w:rsid w:val="00DA7F9E"/>
    <w:rsid w:val="00DB09C1"/>
    <w:rsid w:val="00DB2034"/>
    <w:rsid w:val="00DB464A"/>
    <w:rsid w:val="00DB6A54"/>
    <w:rsid w:val="00DB702F"/>
    <w:rsid w:val="00DC01DF"/>
    <w:rsid w:val="00DC1BEC"/>
    <w:rsid w:val="00DC3B2E"/>
    <w:rsid w:val="00DC46A4"/>
    <w:rsid w:val="00DC616A"/>
    <w:rsid w:val="00DC63F5"/>
    <w:rsid w:val="00DC7444"/>
    <w:rsid w:val="00DC7EB8"/>
    <w:rsid w:val="00DD0475"/>
    <w:rsid w:val="00DD081F"/>
    <w:rsid w:val="00DD1561"/>
    <w:rsid w:val="00DD1DCF"/>
    <w:rsid w:val="00DD1F13"/>
    <w:rsid w:val="00DD3E36"/>
    <w:rsid w:val="00DD3F68"/>
    <w:rsid w:val="00DD4101"/>
    <w:rsid w:val="00DD41E2"/>
    <w:rsid w:val="00DD4298"/>
    <w:rsid w:val="00DD47BC"/>
    <w:rsid w:val="00DD5113"/>
    <w:rsid w:val="00DD6149"/>
    <w:rsid w:val="00DD6183"/>
    <w:rsid w:val="00DD6627"/>
    <w:rsid w:val="00DD70E5"/>
    <w:rsid w:val="00DD735D"/>
    <w:rsid w:val="00DE1EA2"/>
    <w:rsid w:val="00DE3A96"/>
    <w:rsid w:val="00DE55AA"/>
    <w:rsid w:val="00DE6AA6"/>
    <w:rsid w:val="00DE762F"/>
    <w:rsid w:val="00DF165F"/>
    <w:rsid w:val="00DF645B"/>
    <w:rsid w:val="00DF6C2B"/>
    <w:rsid w:val="00E00F5D"/>
    <w:rsid w:val="00E01349"/>
    <w:rsid w:val="00E0196F"/>
    <w:rsid w:val="00E01F65"/>
    <w:rsid w:val="00E02DC6"/>
    <w:rsid w:val="00E038F0"/>
    <w:rsid w:val="00E03982"/>
    <w:rsid w:val="00E04DB6"/>
    <w:rsid w:val="00E05C02"/>
    <w:rsid w:val="00E06CA6"/>
    <w:rsid w:val="00E073F2"/>
    <w:rsid w:val="00E12660"/>
    <w:rsid w:val="00E13D9B"/>
    <w:rsid w:val="00E16979"/>
    <w:rsid w:val="00E16AA1"/>
    <w:rsid w:val="00E16DEB"/>
    <w:rsid w:val="00E2296E"/>
    <w:rsid w:val="00E23ECE"/>
    <w:rsid w:val="00E24DA3"/>
    <w:rsid w:val="00E2570D"/>
    <w:rsid w:val="00E2604E"/>
    <w:rsid w:val="00E35B66"/>
    <w:rsid w:val="00E360B9"/>
    <w:rsid w:val="00E42634"/>
    <w:rsid w:val="00E43E87"/>
    <w:rsid w:val="00E443BF"/>
    <w:rsid w:val="00E470B0"/>
    <w:rsid w:val="00E476E5"/>
    <w:rsid w:val="00E47A0C"/>
    <w:rsid w:val="00E505F4"/>
    <w:rsid w:val="00E509B8"/>
    <w:rsid w:val="00E51301"/>
    <w:rsid w:val="00E52098"/>
    <w:rsid w:val="00E520F0"/>
    <w:rsid w:val="00E53B81"/>
    <w:rsid w:val="00E5544F"/>
    <w:rsid w:val="00E55E3A"/>
    <w:rsid w:val="00E57C5A"/>
    <w:rsid w:val="00E607F3"/>
    <w:rsid w:val="00E6371A"/>
    <w:rsid w:val="00E642C6"/>
    <w:rsid w:val="00E642D7"/>
    <w:rsid w:val="00E65236"/>
    <w:rsid w:val="00E6579C"/>
    <w:rsid w:val="00E664FE"/>
    <w:rsid w:val="00E708DF"/>
    <w:rsid w:val="00E71EE9"/>
    <w:rsid w:val="00E7263D"/>
    <w:rsid w:val="00E730E9"/>
    <w:rsid w:val="00E73770"/>
    <w:rsid w:val="00E747FF"/>
    <w:rsid w:val="00E7598E"/>
    <w:rsid w:val="00E75BFD"/>
    <w:rsid w:val="00E75CBC"/>
    <w:rsid w:val="00E800D8"/>
    <w:rsid w:val="00E82A12"/>
    <w:rsid w:val="00E82B92"/>
    <w:rsid w:val="00E852F5"/>
    <w:rsid w:val="00E8557E"/>
    <w:rsid w:val="00E937F3"/>
    <w:rsid w:val="00E93F3F"/>
    <w:rsid w:val="00E953D7"/>
    <w:rsid w:val="00E9714E"/>
    <w:rsid w:val="00EA0F28"/>
    <w:rsid w:val="00EA5735"/>
    <w:rsid w:val="00EA7546"/>
    <w:rsid w:val="00EA782C"/>
    <w:rsid w:val="00EB008C"/>
    <w:rsid w:val="00EB2D38"/>
    <w:rsid w:val="00EB3796"/>
    <w:rsid w:val="00EB4DCA"/>
    <w:rsid w:val="00EB5036"/>
    <w:rsid w:val="00EB50B1"/>
    <w:rsid w:val="00EB76EB"/>
    <w:rsid w:val="00EC23AC"/>
    <w:rsid w:val="00EC2FE6"/>
    <w:rsid w:val="00EC66E6"/>
    <w:rsid w:val="00ED0259"/>
    <w:rsid w:val="00ED3C0D"/>
    <w:rsid w:val="00ED3DF6"/>
    <w:rsid w:val="00ED5393"/>
    <w:rsid w:val="00ED783F"/>
    <w:rsid w:val="00EE03EF"/>
    <w:rsid w:val="00EE0D7A"/>
    <w:rsid w:val="00EE219C"/>
    <w:rsid w:val="00EE23D6"/>
    <w:rsid w:val="00EE6012"/>
    <w:rsid w:val="00EE6EAD"/>
    <w:rsid w:val="00EE6FF1"/>
    <w:rsid w:val="00EE7B4A"/>
    <w:rsid w:val="00EF057C"/>
    <w:rsid w:val="00EF070A"/>
    <w:rsid w:val="00EF089D"/>
    <w:rsid w:val="00EF1313"/>
    <w:rsid w:val="00EF21B3"/>
    <w:rsid w:val="00EF4EAF"/>
    <w:rsid w:val="00EF6F92"/>
    <w:rsid w:val="00EF7AE6"/>
    <w:rsid w:val="00F01884"/>
    <w:rsid w:val="00F01FCE"/>
    <w:rsid w:val="00F022D7"/>
    <w:rsid w:val="00F041DC"/>
    <w:rsid w:val="00F05454"/>
    <w:rsid w:val="00F05FBB"/>
    <w:rsid w:val="00F060CC"/>
    <w:rsid w:val="00F06E37"/>
    <w:rsid w:val="00F077FF"/>
    <w:rsid w:val="00F07867"/>
    <w:rsid w:val="00F078ED"/>
    <w:rsid w:val="00F07FCA"/>
    <w:rsid w:val="00F1159C"/>
    <w:rsid w:val="00F131CD"/>
    <w:rsid w:val="00F17E4D"/>
    <w:rsid w:val="00F2073A"/>
    <w:rsid w:val="00F21855"/>
    <w:rsid w:val="00F22F09"/>
    <w:rsid w:val="00F236E6"/>
    <w:rsid w:val="00F238F4"/>
    <w:rsid w:val="00F23D78"/>
    <w:rsid w:val="00F24F29"/>
    <w:rsid w:val="00F25BE1"/>
    <w:rsid w:val="00F316CB"/>
    <w:rsid w:val="00F32D6E"/>
    <w:rsid w:val="00F336A0"/>
    <w:rsid w:val="00F33AFB"/>
    <w:rsid w:val="00F40B2C"/>
    <w:rsid w:val="00F416D6"/>
    <w:rsid w:val="00F46968"/>
    <w:rsid w:val="00F47EDA"/>
    <w:rsid w:val="00F51393"/>
    <w:rsid w:val="00F51B05"/>
    <w:rsid w:val="00F53F0E"/>
    <w:rsid w:val="00F57371"/>
    <w:rsid w:val="00F60201"/>
    <w:rsid w:val="00F6381F"/>
    <w:rsid w:val="00F65C7D"/>
    <w:rsid w:val="00F660E8"/>
    <w:rsid w:val="00F66F5C"/>
    <w:rsid w:val="00F679B9"/>
    <w:rsid w:val="00F70808"/>
    <w:rsid w:val="00F708C4"/>
    <w:rsid w:val="00F7229F"/>
    <w:rsid w:val="00F7240D"/>
    <w:rsid w:val="00F743A4"/>
    <w:rsid w:val="00F74761"/>
    <w:rsid w:val="00F81866"/>
    <w:rsid w:val="00F81CAB"/>
    <w:rsid w:val="00F81FFA"/>
    <w:rsid w:val="00F831CD"/>
    <w:rsid w:val="00F87FC6"/>
    <w:rsid w:val="00F951FF"/>
    <w:rsid w:val="00F9721C"/>
    <w:rsid w:val="00FA0310"/>
    <w:rsid w:val="00FA1343"/>
    <w:rsid w:val="00FA4F60"/>
    <w:rsid w:val="00FA66BE"/>
    <w:rsid w:val="00FA66D0"/>
    <w:rsid w:val="00FA7581"/>
    <w:rsid w:val="00FB0470"/>
    <w:rsid w:val="00FB1D39"/>
    <w:rsid w:val="00FB2DEE"/>
    <w:rsid w:val="00FB44FD"/>
    <w:rsid w:val="00FB4921"/>
    <w:rsid w:val="00FB788E"/>
    <w:rsid w:val="00FC28D6"/>
    <w:rsid w:val="00FC4417"/>
    <w:rsid w:val="00FC4E03"/>
    <w:rsid w:val="00FC7352"/>
    <w:rsid w:val="00FD1B5D"/>
    <w:rsid w:val="00FD2FB7"/>
    <w:rsid w:val="00FD31FA"/>
    <w:rsid w:val="00FD3665"/>
    <w:rsid w:val="00FD44FF"/>
    <w:rsid w:val="00FD4A1C"/>
    <w:rsid w:val="00FD4C65"/>
    <w:rsid w:val="00FD4E33"/>
    <w:rsid w:val="00FD5DF6"/>
    <w:rsid w:val="00FE16FB"/>
    <w:rsid w:val="00FE2409"/>
    <w:rsid w:val="00FE44AC"/>
    <w:rsid w:val="00FE52FF"/>
    <w:rsid w:val="00FE5B16"/>
    <w:rsid w:val="00FE6BF9"/>
    <w:rsid w:val="00FF1D60"/>
    <w:rsid w:val="00FF20DC"/>
    <w:rsid w:val="00FF32EB"/>
    <w:rsid w:val="00FF520B"/>
    <w:rsid w:val="00FF7B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201"/>
    <w:pPr>
      <w:spacing w:after="200" w:line="276" w:lineRule="auto"/>
    </w:pPr>
    <w:rPr>
      <w:rFonts w:ascii="Calibri" w:eastAsia="Calibri" w:hAnsi="Calibri" w:cs="Times New Roman"/>
    </w:rPr>
  </w:style>
  <w:style w:type="paragraph" w:styleId="Heading1">
    <w:name w:val="heading 1"/>
    <w:basedOn w:val="Heading10"/>
    <w:next w:val="Normal"/>
    <w:link w:val="Heading1Char"/>
    <w:uiPriority w:val="9"/>
    <w:qFormat/>
    <w:rsid w:val="008C4B3C"/>
    <w:pPr>
      <w:spacing w:before="1000"/>
      <w:jc w:val="center"/>
      <w:outlineLvl w:val="0"/>
    </w:pPr>
    <w:rPr>
      <w:sz w:val="72"/>
      <w:szCs w:val="72"/>
    </w:rPr>
  </w:style>
  <w:style w:type="paragraph" w:styleId="Heading2">
    <w:name w:val="heading 2"/>
    <w:basedOn w:val="Normal"/>
    <w:next w:val="Normal"/>
    <w:link w:val="Heading2Char"/>
    <w:uiPriority w:val="9"/>
    <w:unhideWhenUsed/>
    <w:qFormat/>
    <w:rsid w:val="004C7458"/>
    <w:pPr>
      <w:keepNext/>
      <w:keepLines/>
      <w:tabs>
        <w:tab w:val="left" w:pos="1701"/>
      </w:tabs>
      <w:spacing w:before="360" w:after="12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Heading2"/>
    <w:next w:val="Normal"/>
    <w:link w:val="Heading3Char"/>
    <w:uiPriority w:val="9"/>
    <w:unhideWhenUsed/>
    <w:qFormat/>
    <w:rsid w:val="00713728"/>
    <w:pPr>
      <w:tabs>
        <w:tab w:val="clear" w:pos="1701"/>
      </w:tabs>
      <w:spacing w:line="276" w:lineRule="auto"/>
      <w:outlineLvl w:val="2"/>
    </w:pPr>
    <w:rPr>
      <w:rFonts w:ascii="Calibri" w:eastAsia="MS Gothic" w:hAnsi="Calibri" w:cs="Times New Roman"/>
      <w:b/>
      <w:bCs/>
      <w:i/>
      <w:color w:val="auto"/>
      <w:sz w:val="24"/>
      <w:szCs w:val="24"/>
    </w:rPr>
  </w:style>
  <w:style w:type="paragraph" w:styleId="Heading4">
    <w:name w:val="heading 4"/>
    <w:basedOn w:val="Normal"/>
    <w:next w:val="Normal"/>
    <w:link w:val="Heading4Char"/>
    <w:uiPriority w:val="9"/>
    <w:unhideWhenUsed/>
    <w:qFormat/>
    <w:rsid w:val="004162C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rsid w:val="006478E7"/>
    <w:pPr>
      <w:spacing w:after="200" w:line="240" w:lineRule="auto"/>
    </w:pPr>
    <w:rPr>
      <w:rFonts w:ascii="Calibri" w:eastAsia="Calibri" w:hAnsi="Calibri" w:cs="Calibri"/>
      <w:b/>
      <w:bCs/>
      <w:color w:val="000000"/>
      <w:sz w:val="36"/>
      <w:szCs w:val="36"/>
      <w:u w:color="000000"/>
      <w:lang w:val="en-US" w:eastAsia="en-AU"/>
    </w:rPr>
  </w:style>
  <w:style w:type="character" w:customStyle="1" w:styleId="Heading1Char">
    <w:name w:val="Heading 1 Char"/>
    <w:basedOn w:val="DefaultParagraphFont"/>
    <w:link w:val="Heading1"/>
    <w:uiPriority w:val="9"/>
    <w:rsid w:val="008C4B3C"/>
    <w:rPr>
      <w:rFonts w:ascii="Calibri" w:eastAsia="Calibri" w:hAnsi="Calibri" w:cs="Calibri"/>
      <w:b/>
      <w:bCs/>
      <w:color w:val="000000"/>
      <w:sz w:val="72"/>
      <w:szCs w:val="72"/>
      <w:u w:color="000000"/>
      <w:lang w:val="en-US" w:eastAsia="en-AU"/>
    </w:rPr>
  </w:style>
  <w:style w:type="character" w:customStyle="1" w:styleId="Heading2Char">
    <w:name w:val="Heading 2 Char"/>
    <w:basedOn w:val="DefaultParagraphFont"/>
    <w:link w:val="Heading2"/>
    <w:uiPriority w:val="9"/>
    <w:rsid w:val="004C7458"/>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713728"/>
    <w:rPr>
      <w:rFonts w:ascii="Calibri" w:eastAsia="MS Gothic" w:hAnsi="Calibri" w:cs="Times New Roman"/>
      <w:b/>
      <w:bCs/>
      <w:i/>
      <w:sz w:val="24"/>
      <w:szCs w:val="24"/>
    </w:rPr>
  </w:style>
  <w:style w:type="character" w:customStyle="1" w:styleId="Heading4Char">
    <w:name w:val="Heading 4 Char"/>
    <w:basedOn w:val="DefaultParagraphFont"/>
    <w:link w:val="Heading4"/>
    <w:uiPriority w:val="9"/>
    <w:rsid w:val="004162CF"/>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6478E7"/>
    <w:rPr>
      <w:rFonts w:ascii="Times New Roman" w:hAnsi="Times New Roman" w:cs="Times New Roman" w:hint="default"/>
      <w:color w:val="0000FF"/>
      <w:u w:val="single"/>
    </w:rPr>
  </w:style>
  <w:style w:type="table" w:customStyle="1" w:styleId="TableGrid1">
    <w:name w:val="Table Grid1"/>
    <w:basedOn w:val="TableNormal"/>
    <w:uiPriority w:val="59"/>
    <w:rsid w:val="006478E7"/>
    <w:pPr>
      <w:spacing w:after="240" w:line="240" w:lineRule="auto"/>
      <w:ind w:left="72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w:basedOn w:val="Normal"/>
    <w:link w:val="ListParagraphChar"/>
    <w:uiPriority w:val="34"/>
    <w:qFormat/>
    <w:rsid w:val="006478E7"/>
    <w:pPr>
      <w:ind w:left="720"/>
      <w:contextualSpacing/>
    </w:pPr>
  </w:style>
  <w:style w:type="character" w:customStyle="1" w:styleId="ListParagraphChar">
    <w:name w:val="List Paragraph Char"/>
    <w:aliases w:val="Numbered para Char"/>
    <w:basedOn w:val="DefaultParagraphFont"/>
    <w:link w:val="ListParagraph"/>
    <w:uiPriority w:val="34"/>
    <w:rsid w:val="00D867D5"/>
    <w:rPr>
      <w:rFonts w:ascii="Calibri" w:eastAsia="Calibri" w:hAnsi="Calibri" w:cs="Times New Roman"/>
    </w:rPr>
  </w:style>
  <w:style w:type="table" w:styleId="TableGrid">
    <w:name w:val="Table Grid"/>
    <w:aliases w:val="Summary box,Table Gridbeth,HealthConsult"/>
    <w:basedOn w:val="TableNormal"/>
    <w:uiPriority w:val="59"/>
    <w:rsid w:val="002F3E40"/>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qFormat/>
    <w:rsid w:val="00E01349"/>
    <w:pPr>
      <w:keepNext/>
      <w:spacing w:before="360" w:after="120" w:line="240" w:lineRule="auto"/>
      <w:ind w:left="709" w:hanging="709"/>
    </w:pPr>
    <w:rPr>
      <w:rFonts w:ascii="Arial Narrow" w:eastAsia="Times New Roman" w:hAnsi="Arial Narrow" w:cs="Tahoma"/>
      <w:b/>
      <w:sz w:val="20"/>
      <w:szCs w:val="20"/>
      <w:lang w:val="en-GB" w:eastAsia="ja-JP"/>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5414BC"/>
    <w:rPr>
      <w:rFonts w:ascii="Arial Narrow" w:eastAsia="Times New Roman" w:hAnsi="Arial Narrow" w:cs="Tahoma"/>
      <w:b/>
      <w:sz w:val="20"/>
      <w:szCs w:val="20"/>
      <w:lang w:val="en-GB" w:eastAsia="ja-JP"/>
    </w:rPr>
  </w:style>
  <w:style w:type="paragraph" w:customStyle="1" w:styleId="TableHeading">
    <w:name w:val="TableHeading"/>
    <w:basedOn w:val="Normal"/>
    <w:link w:val="TableHeadingChar"/>
    <w:qFormat/>
    <w:rsid w:val="000939E0"/>
    <w:pPr>
      <w:keepNext/>
      <w:spacing w:before="40" w:after="40" w:line="240" w:lineRule="auto"/>
    </w:pPr>
    <w:rPr>
      <w:rFonts w:ascii="Arial Narrow" w:eastAsia="Times New Roman" w:hAnsi="Arial Narrow" w:cs="Tahoma"/>
      <w:b/>
      <w:sz w:val="20"/>
      <w:szCs w:val="20"/>
      <w:lang w:eastAsia="en-AU"/>
    </w:rPr>
  </w:style>
  <w:style w:type="character" w:customStyle="1" w:styleId="TableHeadingChar">
    <w:name w:val="TableHeading Char"/>
    <w:link w:val="TableHeading"/>
    <w:rsid w:val="000939E0"/>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0939E0"/>
    <w:pPr>
      <w:spacing w:before="40" w:after="40" w:line="240" w:lineRule="auto"/>
    </w:pPr>
    <w:rPr>
      <w:rFonts w:ascii="Arial Narrow" w:eastAsia="Times New Roman" w:hAnsi="Arial Narrow" w:cs="Tahoma"/>
      <w:sz w:val="20"/>
      <w:szCs w:val="20"/>
      <w:lang w:eastAsia="en-AU"/>
    </w:rPr>
  </w:style>
  <w:style w:type="character" w:customStyle="1" w:styleId="TabletextChar">
    <w:name w:val="Table text Char"/>
    <w:link w:val="Tabletext"/>
    <w:rsid w:val="000939E0"/>
    <w:rPr>
      <w:rFonts w:ascii="Arial Narrow" w:eastAsia="Times New Roman" w:hAnsi="Arial Narrow" w:cs="Tahoma"/>
      <w:sz w:val="20"/>
      <w:szCs w:val="20"/>
      <w:lang w:eastAsia="en-AU"/>
    </w:rPr>
  </w:style>
  <w:style w:type="paragraph" w:customStyle="1" w:styleId="Tablenotes">
    <w:name w:val="Tablenotes"/>
    <w:basedOn w:val="Normal"/>
    <w:link w:val="TablenotesChar"/>
    <w:qFormat/>
    <w:rsid w:val="000939E0"/>
    <w:pPr>
      <w:widowControl w:val="0"/>
      <w:spacing w:after="120" w:line="240" w:lineRule="auto"/>
      <w:jc w:val="both"/>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0939E0"/>
    <w:rPr>
      <w:rFonts w:ascii="Arial Narrow" w:eastAsia="Times New Roman" w:hAnsi="Arial Narrow" w:cs="Arial"/>
      <w:snapToGrid w:val="0"/>
      <w:sz w:val="18"/>
      <w:szCs w:val="20"/>
    </w:rPr>
  </w:style>
  <w:style w:type="paragraph" w:customStyle="1" w:styleId="TableName">
    <w:name w:val="TableName"/>
    <w:basedOn w:val="Normal"/>
    <w:qFormat/>
    <w:rsid w:val="00891488"/>
    <w:pPr>
      <w:keepNext/>
      <w:spacing w:after="240" w:line="240" w:lineRule="auto"/>
      <w:ind w:left="1134" w:hanging="1134"/>
    </w:pPr>
    <w:rPr>
      <w:rFonts w:ascii="Franklin Gothic Medium" w:eastAsiaTheme="minorHAnsi" w:hAnsi="Franklin Gothic Medium" w:cstheme="minorBidi"/>
    </w:rPr>
  </w:style>
  <w:style w:type="paragraph" w:styleId="Header">
    <w:name w:val="header"/>
    <w:basedOn w:val="Normal"/>
    <w:link w:val="HeaderChar"/>
    <w:uiPriority w:val="99"/>
    <w:unhideWhenUsed/>
    <w:rsid w:val="00163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15C"/>
    <w:rPr>
      <w:rFonts w:ascii="Calibri" w:eastAsia="Calibri" w:hAnsi="Calibri" w:cs="Times New Roman"/>
    </w:rPr>
  </w:style>
  <w:style w:type="paragraph" w:styleId="Footer">
    <w:name w:val="footer"/>
    <w:basedOn w:val="Normal"/>
    <w:link w:val="FooterChar"/>
    <w:uiPriority w:val="99"/>
    <w:unhideWhenUsed/>
    <w:rsid w:val="00163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5C"/>
    <w:rPr>
      <w:rFonts w:ascii="Calibri" w:eastAsia="Calibri" w:hAnsi="Calibri" w:cs="Times New Roman"/>
    </w:rPr>
  </w:style>
  <w:style w:type="paragraph" w:styleId="Subtitle">
    <w:name w:val="Subtitle"/>
    <w:basedOn w:val="Normal"/>
    <w:next w:val="Normal"/>
    <w:link w:val="SubtitleChar"/>
    <w:uiPriority w:val="11"/>
    <w:qFormat/>
    <w:rsid w:val="006F01C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F01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33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126"/>
    <w:rPr>
      <w:rFonts w:ascii="Segoe UI" w:eastAsia="Calibri" w:hAnsi="Segoe UI" w:cs="Segoe UI"/>
      <w:sz w:val="18"/>
      <w:szCs w:val="18"/>
    </w:rPr>
  </w:style>
  <w:style w:type="character" w:styleId="CommentReference">
    <w:name w:val="annotation reference"/>
    <w:aliases w:val="Table Title"/>
    <w:basedOn w:val="DefaultParagraphFont"/>
    <w:uiPriority w:val="99"/>
    <w:unhideWhenUsed/>
    <w:qFormat/>
    <w:rsid w:val="00D84E12"/>
    <w:rPr>
      <w:sz w:val="16"/>
      <w:szCs w:val="16"/>
    </w:rPr>
  </w:style>
  <w:style w:type="paragraph" w:styleId="CommentText">
    <w:name w:val="annotation text"/>
    <w:basedOn w:val="Normal"/>
    <w:link w:val="CommentTextChar"/>
    <w:uiPriority w:val="99"/>
    <w:unhideWhenUsed/>
    <w:rsid w:val="00D84E12"/>
    <w:pPr>
      <w:spacing w:line="240" w:lineRule="auto"/>
    </w:pPr>
    <w:rPr>
      <w:sz w:val="20"/>
      <w:szCs w:val="20"/>
    </w:rPr>
  </w:style>
  <w:style w:type="character" w:customStyle="1" w:styleId="CommentTextChar">
    <w:name w:val="Comment Text Char"/>
    <w:basedOn w:val="DefaultParagraphFont"/>
    <w:link w:val="CommentText"/>
    <w:uiPriority w:val="99"/>
    <w:rsid w:val="00D84E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rsid w:val="00D84E12"/>
    <w:rPr>
      <w:b/>
      <w:bCs/>
    </w:rPr>
  </w:style>
  <w:style w:type="character" w:customStyle="1" w:styleId="CommentSubjectChar">
    <w:name w:val="Comment Subject Char"/>
    <w:basedOn w:val="CommentTextChar"/>
    <w:link w:val="CommentSubject"/>
    <w:uiPriority w:val="99"/>
    <w:rsid w:val="00D84E12"/>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8C4B3C"/>
    <w:rPr>
      <w:color w:val="954F72" w:themeColor="followedHyperlink"/>
      <w:u w:val="single"/>
    </w:rPr>
  </w:style>
  <w:style w:type="paragraph" w:customStyle="1" w:styleId="Instructionaltext">
    <w:name w:val="Instructional text"/>
    <w:basedOn w:val="Normal"/>
    <w:link w:val="InstructionaltextChar"/>
    <w:qFormat/>
    <w:rsid w:val="006A467F"/>
    <w:pPr>
      <w:spacing w:before="120" w:after="160" w:line="259" w:lineRule="auto"/>
    </w:pPr>
    <w:rPr>
      <w:rFonts w:eastAsiaTheme="minorHAnsi" w:cstheme="minorBidi"/>
      <w:color w:val="258221"/>
    </w:rPr>
  </w:style>
  <w:style w:type="character" w:customStyle="1" w:styleId="InstructionaltextChar">
    <w:name w:val="Instructional text Char"/>
    <w:basedOn w:val="DefaultParagraphFont"/>
    <w:link w:val="Instructionaltext"/>
    <w:rsid w:val="006A467F"/>
    <w:rPr>
      <w:rFonts w:ascii="Calibri" w:hAnsi="Calibri"/>
      <w:color w:val="258221"/>
    </w:rPr>
  </w:style>
  <w:style w:type="paragraph" w:customStyle="1" w:styleId="Instructionaltext-bullet">
    <w:name w:val="Instructional text - bullet"/>
    <w:basedOn w:val="Instructionaltext"/>
    <w:qFormat/>
    <w:rsid w:val="006A467F"/>
    <w:pPr>
      <w:numPr>
        <w:numId w:val="3"/>
      </w:numPr>
      <w:spacing w:before="0" w:after="0"/>
    </w:pPr>
  </w:style>
  <w:style w:type="paragraph" w:customStyle="1" w:styleId="Guidelinescross-ref">
    <w:name w:val="Guidelines cross-ref"/>
    <w:basedOn w:val="Normal"/>
    <w:qFormat/>
    <w:rsid w:val="00E01349"/>
    <w:pPr>
      <w:keepNext/>
      <w:spacing w:before="240" w:after="240" w:line="259" w:lineRule="auto"/>
    </w:pPr>
    <w:rPr>
      <w:rFonts w:eastAsiaTheme="minorHAnsi" w:cstheme="minorBidi"/>
      <w:b/>
      <w:color w:val="0070C0"/>
      <w:sz w:val="24"/>
    </w:rPr>
  </w:style>
  <w:style w:type="paragraph" w:customStyle="1" w:styleId="Instructionaltext-afterfiguretable">
    <w:name w:val="Instructional text - after figure/table"/>
    <w:basedOn w:val="Instructionaltext"/>
    <w:qFormat/>
    <w:rsid w:val="00E01349"/>
    <w:pPr>
      <w:spacing w:before="360"/>
    </w:pPr>
  </w:style>
  <w:style w:type="paragraph" w:styleId="Revision">
    <w:name w:val="Revision"/>
    <w:hidden/>
    <w:uiPriority w:val="99"/>
    <w:semiHidden/>
    <w:rsid w:val="004E3ABF"/>
    <w:pPr>
      <w:spacing w:after="0" w:line="240" w:lineRule="auto"/>
    </w:pPr>
    <w:rPr>
      <w:rFonts w:ascii="Calibri" w:eastAsia="Calibri" w:hAnsi="Calibri" w:cs="Times New Roman"/>
    </w:rPr>
  </w:style>
  <w:style w:type="paragraph" w:customStyle="1" w:styleId="TableText0">
    <w:name w:val="Table Text"/>
    <w:basedOn w:val="Normal"/>
    <w:link w:val="TableTextChar0"/>
    <w:qFormat/>
    <w:rsid w:val="000D1FCF"/>
    <w:pPr>
      <w:spacing w:before="40" w:after="40" w:line="240" w:lineRule="auto"/>
    </w:pPr>
    <w:rPr>
      <w:rFonts w:ascii="Arial Narrow" w:eastAsiaTheme="minorHAnsi" w:hAnsi="Arial Narrow" w:cstheme="minorBidi"/>
      <w:sz w:val="20"/>
    </w:rPr>
  </w:style>
  <w:style w:type="character" w:customStyle="1" w:styleId="TableTextChar0">
    <w:name w:val="Table Text Char"/>
    <w:basedOn w:val="DefaultParagraphFont"/>
    <w:link w:val="TableText0"/>
    <w:rsid w:val="000D1FCF"/>
    <w:rPr>
      <w:rFonts w:ascii="Arial Narrow" w:hAnsi="Arial Narrow"/>
      <w:sz w:val="20"/>
    </w:rPr>
  </w:style>
  <w:style w:type="character" w:styleId="PageNumber">
    <w:name w:val="page number"/>
    <w:basedOn w:val="DefaultParagraphFont"/>
    <w:uiPriority w:val="99"/>
    <w:semiHidden/>
    <w:unhideWhenUsed/>
    <w:rsid w:val="00685355"/>
  </w:style>
  <w:style w:type="character" w:styleId="Strong">
    <w:name w:val="Strong"/>
    <w:uiPriority w:val="22"/>
    <w:qFormat/>
    <w:rsid w:val="00A66B85"/>
    <w:rPr>
      <w:rFonts w:ascii="Calibri" w:eastAsia="Calibri" w:hAnsi="Calibri" w:cs="Times New Roman"/>
      <w:b/>
    </w:rPr>
  </w:style>
  <w:style w:type="character" w:styleId="Emphasis">
    <w:name w:val="Emphasis"/>
    <w:basedOn w:val="DefaultParagraphFont"/>
    <w:uiPriority w:val="20"/>
    <w:qFormat/>
    <w:rsid w:val="008E092A"/>
    <w:rPr>
      <w:i/>
      <w:iCs/>
    </w:rPr>
  </w:style>
  <w:style w:type="paragraph" w:styleId="EndnoteText">
    <w:name w:val="endnote text"/>
    <w:basedOn w:val="Normal"/>
    <w:link w:val="EndnoteTextChar"/>
    <w:uiPriority w:val="99"/>
    <w:semiHidden/>
    <w:unhideWhenUsed/>
    <w:rsid w:val="004D18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D1892"/>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4D1892"/>
    <w:rPr>
      <w:vertAlign w:val="superscript"/>
    </w:rPr>
  </w:style>
  <w:style w:type="paragraph" w:styleId="NormalWeb">
    <w:name w:val="Normal (Web)"/>
    <w:basedOn w:val="Normal"/>
    <w:uiPriority w:val="99"/>
    <w:unhideWhenUsed/>
    <w:rsid w:val="006C247A"/>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6C247A"/>
    <w:rPr>
      <w:rFonts w:ascii="Segoe UI" w:hAnsi="Segoe UI" w:cs="Segoe UI" w:hint="default"/>
      <w:sz w:val="18"/>
      <w:szCs w:val="18"/>
    </w:rPr>
  </w:style>
  <w:style w:type="paragraph" w:customStyle="1" w:styleId="Default">
    <w:name w:val="Default"/>
    <w:rsid w:val="00DB09C1"/>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5414BC"/>
    <w:pPr>
      <w:spacing w:after="0" w:line="240" w:lineRule="auto"/>
    </w:pPr>
    <w:rPr>
      <w:rFonts w:ascii="Calibri" w:eastAsia="Calibri" w:hAnsi="Calibri" w:cs="Times New Roman"/>
    </w:rPr>
  </w:style>
  <w:style w:type="paragraph" w:styleId="Title">
    <w:name w:val="Title"/>
    <w:basedOn w:val="Normal"/>
    <w:next w:val="Normal"/>
    <w:link w:val="TitleChar"/>
    <w:uiPriority w:val="10"/>
    <w:qFormat/>
    <w:rsid w:val="005414BC"/>
    <w:pPr>
      <w:spacing w:before="3360" w:after="360" w:line="240" w:lineRule="auto"/>
      <w:jc w:val="center"/>
    </w:pPr>
    <w:rPr>
      <w:rFonts w:ascii="Arial" w:eastAsiaTheme="minorHAnsi" w:hAnsi="Arial" w:cs="Arial"/>
      <w:b/>
      <w:sz w:val="52"/>
      <w:szCs w:val="52"/>
    </w:rPr>
  </w:style>
  <w:style w:type="character" w:customStyle="1" w:styleId="TitleChar">
    <w:name w:val="Title Char"/>
    <w:basedOn w:val="DefaultParagraphFont"/>
    <w:link w:val="Title"/>
    <w:uiPriority w:val="10"/>
    <w:rsid w:val="005414BC"/>
    <w:rPr>
      <w:rFonts w:ascii="Arial" w:hAnsi="Arial" w:cs="Arial"/>
      <w:b/>
      <w:sz w:val="52"/>
      <w:szCs w:val="52"/>
    </w:rPr>
  </w:style>
  <w:style w:type="paragraph" w:customStyle="1" w:styleId="TableHEADER">
    <w:name w:val="Table HEADER"/>
    <w:basedOn w:val="Normal"/>
    <w:qFormat/>
    <w:rsid w:val="005414BC"/>
    <w:pPr>
      <w:spacing w:before="120" w:after="120" w:line="240" w:lineRule="auto"/>
      <w:ind w:right="82"/>
    </w:pPr>
    <w:rPr>
      <w:rFonts w:eastAsiaTheme="minorHAnsi" w:cs="Tahoma"/>
      <w:b/>
      <w:sz w:val="20"/>
      <w:szCs w:val="20"/>
      <w:lang w:eastAsia="en-AU"/>
    </w:rPr>
  </w:style>
  <w:style w:type="character" w:styleId="IntenseReference">
    <w:name w:val="Intense Reference"/>
    <w:uiPriority w:val="32"/>
    <w:qFormat/>
    <w:rsid w:val="005414BC"/>
    <w:rPr>
      <w:rFonts w:asciiTheme="minorHAnsi" w:hAnsiTheme="minorHAnsi"/>
      <w:sz w:val="28"/>
    </w:rPr>
  </w:style>
  <w:style w:type="paragraph" w:customStyle="1" w:styleId="TitleBlue">
    <w:name w:val="Title Blue"/>
    <w:basedOn w:val="Title"/>
    <w:qFormat/>
    <w:rsid w:val="005414BC"/>
    <w:pPr>
      <w:spacing w:before="360"/>
    </w:pPr>
    <w:rPr>
      <w:color w:val="8496B0" w:themeColor="text2" w:themeTint="99"/>
    </w:rPr>
  </w:style>
  <w:style w:type="character" w:customStyle="1" w:styleId="FootnoteTextChar">
    <w:name w:val="Footnote Text Char"/>
    <w:basedOn w:val="DefaultParagraphFont"/>
    <w:link w:val="FootnoteText"/>
    <w:uiPriority w:val="99"/>
    <w:semiHidden/>
    <w:rsid w:val="005414BC"/>
    <w:rPr>
      <w:sz w:val="20"/>
      <w:szCs w:val="20"/>
    </w:rPr>
  </w:style>
  <w:style w:type="paragraph" w:styleId="FootnoteText">
    <w:name w:val="footnote text"/>
    <w:basedOn w:val="Normal"/>
    <w:link w:val="FootnoteTextChar"/>
    <w:uiPriority w:val="99"/>
    <w:semiHidden/>
    <w:unhideWhenUsed/>
    <w:rsid w:val="005414BC"/>
    <w:pPr>
      <w:spacing w:after="0" w:line="240" w:lineRule="auto"/>
    </w:pPr>
    <w:rPr>
      <w:rFonts w:asciiTheme="minorHAnsi" w:eastAsiaTheme="minorHAnsi" w:hAnsiTheme="minorHAnsi" w:cstheme="minorBidi"/>
      <w:sz w:val="20"/>
      <w:szCs w:val="20"/>
    </w:rPr>
  </w:style>
  <w:style w:type="paragraph" w:customStyle="1" w:styleId="EndNoteBibliographyTitle">
    <w:name w:val="EndNote Bibliography Title"/>
    <w:basedOn w:val="Normal"/>
    <w:link w:val="EndNoteBibliographyTitleChar"/>
    <w:rsid w:val="005414BC"/>
    <w:pPr>
      <w:spacing w:before="120" w:after="0" w:line="240" w:lineRule="auto"/>
      <w:jc w:val="center"/>
    </w:pPr>
    <w:rPr>
      <w:rFonts w:eastAsiaTheme="minorHAnsi" w:cs="Calibri"/>
      <w:noProof/>
      <w:lang w:val="en-US"/>
    </w:rPr>
  </w:style>
  <w:style w:type="character" w:customStyle="1" w:styleId="EndNoteBibliographyTitleChar">
    <w:name w:val="EndNote Bibliography Title Char"/>
    <w:basedOn w:val="DefaultParagraphFont"/>
    <w:link w:val="EndNoteBibliographyTitle"/>
    <w:rsid w:val="005414BC"/>
    <w:rPr>
      <w:rFonts w:ascii="Calibri" w:hAnsi="Calibri" w:cs="Calibri"/>
      <w:noProof/>
      <w:lang w:val="en-US"/>
    </w:rPr>
  </w:style>
  <w:style w:type="paragraph" w:customStyle="1" w:styleId="EndNoteBibliography">
    <w:name w:val="EndNote Bibliography"/>
    <w:basedOn w:val="Normal"/>
    <w:link w:val="EndNoteBibliographyChar"/>
    <w:rsid w:val="005414BC"/>
    <w:pPr>
      <w:spacing w:before="120" w:after="120" w:line="240" w:lineRule="auto"/>
    </w:pPr>
    <w:rPr>
      <w:rFonts w:eastAsiaTheme="minorHAnsi" w:cs="Calibri"/>
      <w:noProof/>
      <w:lang w:val="en-US"/>
    </w:rPr>
  </w:style>
  <w:style w:type="character" w:customStyle="1" w:styleId="EndNoteBibliographyChar">
    <w:name w:val="EndNote Bibliography Char"/>
    <w:basedOn w:val="DefaultParagraphFont"/>
    <w:link w:val="EndNoteBibliography"/>
    <w:rsid w:val="005414BC"/>
    <w:rPr>
      <w:rFonts w:ascii="Calibri" w:hAnsi="Calibri" w:cs="Calibri"/>
      <w:noProof/>
      <w:lang w:val="en-US"/>
    </w:rPr>
  </w:style>
  <w:style w:type="paragraph" w:customStyle="1" w:styleId="publish-date">
    <w:name w:val="publish-date"/>
    <w:basedOn w:val="Normal"/>
    <w:rsid w:val="005414BC"/>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xmsonormal">
    <w:name w:val="x_msonormal"/>
    <w:basedOn w:val="Normal"/>
    <w:rsid w:val="005414BC"/>
    <w:pPr>
      <w:spacing w:before="100" w:beforeAutospacing="1" w:after="100" w:afterAutospacing="1" w:line="240" w:lineRule="auto"/>
    </w:pPr>
    <w:rPr>
      <w:rFonts w:ascii="Times New Roman" w:eastAsiaTheme="minorHAnsi" w:hAnsi="Times New Roman"/>
      <w:sz w:val="24"/>
      <w:szCs w:val="24"/>
      <w:lang w:eastAsia="en-AU"/>
    </w:rPr>
  </w:style>
  <w:style w:type="character" w:customStyle="1" w:styleId="UnresolvedMention1">
    <w:name w:val="Unresolved Mention1"/>
    <w:basedOn w:val="DefaultParagraphFont"/>
    <w:uiPriority w:val="99"/>
    <w:semiHidden/>
    <w:unhideWhenUsed/>
    <w:rsid w:val="002338EE"/>
    <w:rPr>
      <w:color w:val="605E5C"/>
      <w:shd w:val="clear" w:color="auto" w:fill="E1DFDD"/>
    </w:rPr>
  </w:style>
  <w:style w:type="character" w:styleId="IntenseEmphasis">
    <w:name w:val="Intense Emphasis"/>
    <w:basedOn w:val="DefaultParagraphFont"/>
    <w:uiPriority w:val="21"/>
    <w:qFormat/>
    <w:rsid w:val="00324AD7"/>
    <w:rPr>
      <w:i/>
      <w:iCs/>
      <w:color w:val="5B9BD5" w:themeColor="accent1"/>
    </w:rPr>
  </w:style>
  <w:style w:type="character" w:styleId="FootnoteReference">
    <w:name w:val="footnote reference"/>
    <w:basedOn w:val="DefaultParagraphFont"/>
    <w:uiPriority w:val="99"/>
    <w:semiHidden/>
    <w:unhideWhenUsed/>
    <w:rsid w:val="0014799B"/>
    <w:rPr>
      <w:vertAlign w:val="superscript"/>
    </w:rPr>
  </w:style>
  <w:style w:type="paragraph" w:customStyle="1" w:styleId="pf0">
    <w:name w:val="pf0"/>
    <w:basedOn w:val="Normal"/>
    <w:rsid w:val="0049760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UnresolvedMention2">
    <w:name w:val="Unresolved Mention2"/>
    <w:basedOn w:val="DefaultParagraphFont"/>
    <w:uiPriority w:val="99"/>
    <w:semiHidden/>
    <w:unhideWhenUsed/>
    <w:rsid w:val="008D3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00520">
      <w:bodyDiv w:val="1"/>
      <w:marLeft w:val="0"/>
      <w:marRight w:val="0"/>
      <w:marTop w:val="0"/>
      <w:marBottom w:val="0"/>
      <w:divBdr>
        <w:top w:val="none" w:sz="0" w:space="0" w:color="auto"/>
        <w:left w:val="none" w:sz="0" w:space="0" w:color="auto"/>
        <w:bottom w:val="none" w:sz="0" w:space="0" w:color="auto"/>
        <w:right w:val="none" w:sz="0" w:space="0" w:color="auto"/>
      </w:divBdr>
    </w:div>
    <w:div w:id="62798120">
      <w:bodyDiv w:val="1"/>
      <w:marLeft w:val="0"/>
      <w:marRight w:val="0"/>
      <w:marTop w:val="0"/>
      <w:marBottom w:val="0"/>
      <w:divBdr>
        <w:top w:val="none" w:sz="0" w:space="0" w:color="auto"/>
        <w:left w:val="none" w:sz="0" w:space="0" w:color="auto"/>
        <w:bottom w:val="none" w:sz="0" w:space="0" w:color="auto"/>
        <w:right w:val="none" w:sz="0" w:space="0" w:color="auto"/>
      </w:divBdr>
    </w:div>
    <w:div w:id="116920213">
      <w:bodyDiv w:val="1"/>
      <w:marLeft w:val="0"/>
      <w:marRight w:val="0"/>
      <w:marTop w:val="0"/>
      <w:marBottom w:val="0"/>
      <w:divBdr>
        <w:top w:val="none" w:sz="0" w:space="0" w:color="auto"/>
        <w:left w:val="none" w:sz="0" w:space="0" w:color="auto"/>
        <w:bottom w:val="none" w:sz="0" w:space="0" w:color="auto"/>
        <w:right w:val="none" w:sz="0" w:space="0" w:color="auto"/>
      </w:divBdr>
    </w:div>
    <w:div w:id="336276531">
      <w:bodyDiv w:val="1"/>
      <w:marLeft w:val="0"/>
      <w:marRight w:val="0"/>
      <w:marTop w:val="0"/>
      <w:marBottom w:val="0"/>
      <w:divBdr>
        <w:top w:val="none" w:sz="0" w:space="0" w:color="auto"/>
        <w:left w:val="none" w:sz="0" w:space="0" w:color="auto"/>
        <w:bottom w:val="none" w:sz="0" w:space="0" w:color="auto"/>
        <w:right w:val="none" w:sz="0" w:space="0" w:color="auto"/>
      </w:divBdr>
    </w:div>
    <w:div w:id="367491137">
      <w:bodyDiv w:val="1"/>
      <w:marLeft w:val="0"/>
      <w:marRight w:val="0"/>
      <w:marTop w:val="0"/>
      <w:marBottom w:val="0"/>
      <w:divBdr>
        <w:top w:val="none" w:sz="0" w:space="0" w:color="auto"/>
        <w:left w:val="none" w:sz="0" w:space="0" w:color="auto"/>
        <w:bottom w:val="none" w:sz="0" w:space="0" w:color="auto"/>
        <w:right w:val="none" w:sz="0" w:space="0" w:color="auto"/>
      </w:divBdr>
    </w:div>
    <w:div w:id="378169523">
      <w:bodyDiv w:val="1"/>
      <w:marLeft w:val="0"/>
      <w:marRight w:val="0"/>
      <w:marTop w:val="0"/>
      <w:marBottom w:val="0"/>
      <w:divBdr>
        <w:top w:val="none" w:sz="0" w:space="0" w:color="auto"/>
        <w:left w:val="none" w:sz="0" w:space="0" w:color="auto"/>
        <w:bottom w:val="none" w:sz="0" w:space="0" w:color="auto"/>
        <w:right w:val="none" w:sz="0" w:space="0" w:color="auto"/>
      </w:divBdr>
    </w:div>
    <w:div w:id="402030214">
      <w:bodyDiv w:val="1"/>
      <w:marLeft w:val="0"/>
      <w:marRight w:val="0"/>
      <w:marTop w:val="0"/>
      <w:marBottom w:val="0"/>
      <w:divBdr>
        <w:top w:val="none" w:sz="0" w:space="0" w:color="auto"/>
        <w:left w:val="none" w:sz="0" w:space="0" w:color="auto"/>
        <w:bottom w:val="none" w:sz="0" w:space="0" w:color="auto"/>
        <w:right w:val="none" w:sz="0" w:space="0" w:color="auto"/>
      </w:divBdr>
    </w:div>
    <w:div w:id="443303530">
      <w:bodyDiv w:val="1"/>
      <w:marLeft w:val="0"/>
      <w:marRight w:val="0"/>
      <w:marTop w:val="0"/>
      <w:marBottom w:val="0"/>
      <w:divBdr>
        <w:top w:val="none" w:sz="0" w:space="0" w:color="auto"/>
        <w:left w:val="none" w:sz="0" w:space="0" w:color="auto"/>
        <w:bottom w:val="none" w:sz="0" w:space="0" w:color="auto"/>
        <w:right w:val="none" w:sz="0" w:space="0" w:color="auto"/>
      </w:divBdr>
    </w:div>
    <w:div w:id="510267069">
      <w:bodyDiv w:val="1"/>
      <w:marLeft w:val="0"/>
      <w:marRight w:val="0"/>
      <w:marTop w:val="0"/>
      <w:marBottom w:val="0"/>
      <w:divBdr>
        <w:top w:val="none" w:sz="0" w:space="0" w:color="auto"/>
        <w:left w:val="none" w:sz="0" w:space="0" w:color="auto"/>
        <w:bottom w:val="none" w:sz="0" w:space="0" w:color="auto"/>
        <w:right w:val="none" w:sz="0" w:space="0" w:color="auto"/>
      </w:divBdr>
    </w:div>
    <w:div w:id="515585076">
      <w:bodyDiv w:val="1"/>
      <w:marLeft w:val="0"/>
      <w:marRight w:val="0"/>
      <w:marTop w:val="0"/>
      <w:marBottom w:val="0"/>
      <w:divBdr>
        <w:top w:val="none" w:sz="0" w:space="0" w:color="auto"/>
        <w:left w:val="none" w:sz="0" w:space="0" w:color="auto"/>
        <w:bottom w:val="none" w:sz="0" w:space="0" w:color="auto"/>
        <w:right w:val="none" w:sz="0" w:space="0" w:color="auto"/>
      </w:divBdr>
    </w:div>
    <w:div w:id="516504932">
      <w:bodyDiv w:val="1"/>
      <w:marLeft w:val="0"/>
      <w:marRight w:val="0"/>
      <w:marTop w:val="0"/>
      <w:marBottom w:val="0"/>
      <w:divBdr>
        <w:top w:val="none" w:sz="0" w:space="0" w:color="auto"/>
        <w:left w:val="none" w:sz="0" w:space="0" w:color="auto"/>
        <w:bottom w:val="none" w:sz="0" w:space="0" w:color="auto"/>
        <w:right w:val="none" w:sz="0" w:space="0" w:color="auto"/>
      </w:divBdr>
    </w:div>
    <w:div w:id="547762268">
      <w:bodyDiv w:val="1"/>
      <w:marLeft w:val="0"/>
      <w:marRight w:val="0"/>
      <w:marTop w:val="0"/>
      <w:marBottom w:val="0"/>
      <w:divBdr>
        <w:top w:val="none" w:sz="0" w:space="0" w:color="auto"/>
        <w:left w:val="none" w:sz="0" w:space="0" w:color="auto"/>
        <w:bottom w:val="none" w:sz="0" w:space="0" w:color="auto"/>
        <w:right w:val="none" w:sz="0" w:space="0" w:color="auto"/>
      </w:divBdr>
    </w:div>
    <w:div w:id="557087695">
      <w:bodyDiv w:val="1"/>
      <w:marLeft w:val="0"/>
      <w:marRight w:val="0"/>
      <w:marTop w:val="0"/>
      <w:marBottom w:val="0"/>
      <w:divBdr>
        <w:top w:val="none" w:sz="0" w:space="0" w:color="auto"/>
        <w:left w:val="none" w:sz="0" w:space="0" w:color="auto"/>
        <w:bottom w:val="none" w:sz="0" w:space="0" w:color="auto"/>
        <w:right w:val="none" w:sz="0" w:space="0" w:color="auto"/>
      </w:divBdr>
    </w:div>
    <w:div w:id="658465167">
      <w:bodyDiv w:val="1"/>
      <w:marLeft w:val="0"/>
      <w:marRight w:val="0"/>
      <w:marTop w:val="0"/>
      <w:marBottom w:val="0"/>
      <w:divBdr>
        <w:top w:val="none" w:sz="0" w:space="0" w:color="auto"/>
        <w:left w:val="none" w:sz="0" w:space="0" w:color="auto"/>
        <w:bottom w:val="none" w:sz="0" w:space="0" w:color="auto"/>
        <w:right w:val="none" w:sz="0" w:space="0" w:color="auto"/>
      </w:divBdr>
    </w:div>
    <w:div w:id="688532201">
      <w:bodyDiv w:val="1"/>
      <w:marLeft w:val="0"/>
      <w:marRight w:val="0"/>
      <w:marTop w:val="0"/>
      <w:marBottom w:val="0"/>
      <w:divBdr>
        <w:top w:val="none" w:sz="0" w:space="0" w:color="auto"/>
        <w:left w:val="none" w:sz="0" w:space="0" w:color="auto"/>
        <w:bottom w:val="none" w:sz="0" w:space="0" w:color="auto"/>
        <w:right w:val="none" w:sz="0" w:space="0" w:color="auto"/>
      </w:divBdr>
    </w:div>
    <w:div w:id="693045627">
      <w:bodyDiv w:val="1"/>
      <w:marLeft w:val="0"/>
      <w:marRight w:val="0"/>
      <w:marTop w:val="0"/>
      <w:marBottom w:val="0"/>
      <w:divBdr>
        <w:top w:val="none" w:sz="0" w:space="0" w:color="auto"/>
        <w:left w:val="none" w:sz="0" w:space="0" w:color="auto"/>
        <w:bottom w:val="none" w:sz="0" w:space="0" w:color="auto"/>
        <w:right w:val="none" w:sz="0" w:space="0" w:color="auto"/>
      </w:divBdr>
    </w:div>
    <w:div w:id="900093857">
      <w:bodyDiv w:val="1"/>
      <w:marLeft w:val="0"/>
      <w:marRight w:val="0"/>
      <w:marTop w:val="0"/>
      <w:marBottom w:val="0"/>
      <w:divBdr>
        <w:top w:val="none" w:sz="0" w:space="0" w:color="auto"/>
        <w:left w:val="none" w:sz="0" w:space="0" w:color="auto"/>
        <w:bottom w:val="none" w:sz="0" w:space="0" w:color="auto"/>
        <w:right w:val="none" w:sz="0" w:space="0" w:color="auto"/>
      </w:divBdr>
    </w:div>
    <w:div w:id="1000350883">
      <w:bodyDiv w:val="1"/>
      <w:marLeft w:val="0"/>
      <w:marRight w:val="0"/>
      <w:marTop w:val="0"/>
      <w:marBottom w:val="0"/>
      <w:divBdr>
        <w:top w:val="none" w:sz="0" w:space="0" w:color="auto"/>
        <w:left w:val="none" w:sz="0" w:space="0" w:color="auto"/>
        <w:bottom w:val="none" w:sz="0" w:space="0" w:color="auto"/>
        <w:right w:val="none" w:sz="0" w:space="0" w:color="auto"/>
      </w:divBdr>
    </w:div>
    <w:div w:id="1023242140">
      <w:bodyDiv w:val="1"/>
      <w:marLeft w:val="0"/>
      <w:marRight w:val="0"/>
      <w:marTop w:val="0"/>
      <w:marBottom w:val="0"/>
      <w:divBdr>
        <w:top w:val="none" w:sz="0" w:space="0" w:color="auto"/>
        <w:left w:val="none" w:sz="0" w:space="0" w:color="auto"/>
        <w:bottom w:val="none" w:sz="0" w:space="0" w:color="auto"/>
        <w:right w:val="none" w:sz="0" w:space="0" w:color="auto"/>
      </w:divBdr>
    </w:div>
    <w:div w:id="1241331617">
      <w:bodyDiv w:val="1"/>
      <w:marLeft w:val="0"/>
      <w:marRight w:val="0"/>
      <w:marTop w:val="0"/>
      <w:marBottom w:val="0"/>
      <w:divBdr>
        <w:top w:val="none" w:sz="0" w:space="0" w:color="auto"/>
        <w:left w:val="none" w:sz="0" w:space="0" w:color="auto"/>
        <w:bottom w:val="none" w:sz="0" w:space="0" w:color="auto"/>
        <w:right w:val="none" w:sz="0" w:space="0" w:color="auto"/>
      </w:divBdr>
    </w:div>
    <w:div w:id="1256937155">
      <w:bodyDiv w:val="1"/>
      <w:marLeft w:val="0"/>
      <w:marRight w:val="0"/>
      <w:marTop w:val="0"/>
      <w:marBottom w:val="0"/>
      <w:divBdr>
        <w:top w:val="none" w:sz="0" w:space="0" w:color="auto"/>
        <w:left w:val="none" w:sz="0" w:space="0" w:color="auto"/>
        <w:bottom w:val="none" w:sz="0" w:space="0" w:color="auto"/>
        <w:right w:val="none" w:sz="0" w:space="0" w:color="auto"/>
      </w:divBdr>
    </w:div>
    <w:div w:id="1258444929">
      <w:bodyDiv w:val="1"/>
      <w:marLeft w:val="0"/>
      <w:marRight w:val="0"/>
      <w:marTop w:val="0"/>
      <w:marBottom w:val="0"/>
      <w:divBdr>
        <w:top w:val="none" w:sz="0" w:space="0" w:color="auto"/>
        <w:left w:val="none" w:sz="0" w:space="0" w:color="auto"/>
        <w:bottom w:val="none" w:sz="0" w:space="0" w:color="auto"/>
        <w:right w:val="none" w:sz="0" w:space="0" w:color="auto"/>
      </w:divBdr>
    </w:div>
    <w:div w:id="1511987132">
      <w:bodyDiv w:val="1"/>
      <w:marLeft w:val="0"/>
      <w:marRight w:val="0"/>
      <w:marTop w:val="0"/>
      <w:marBottom w:val="0"/>
      <w:divBdr>
        <w:top w:val="none" w:sz="0" w:space="0" w:color="auto"/>
        <w:left w:val="none" w:sz="0" w:space="0" w:color="auto"/>
        <w:bottom w:val="none" w:sz="0" w:space="0" w:color="auto"/>
        <w:right w:val="none" w:sz="0" w:space="0" w:color="auto"/>
      </w:divBdr>
    </w:div>
    <w:div w:id="1559246317">
      <w:bodyDiv w:val="1"/>
      <w:marLeft w:val="0"/>
      <w:marRight w:val="0"/>
      <w:marTop w:val="0"/>
      <w:marBottom w:val="0"/>
      <w:divBdr>
        <w:top w:val="none" w:sz="0" w:space="0" w:color="auto"/>
        <w:left w:val="none" w:sz="0" w:space="0" w:color="auto"/>
        <w:bottom w:val="none" w:sz="0" w:space="0" w:color="auto"/>
        <w:right w:val="none" w:sz="0" w:space="0" w:color="auto"/>
      </w:divBdr>
    </w:div>
    <w:div w:id="1578248557">
      <w:bodyDiv w:val="1"/>
      <w:marLeft w:val="0"/>
      <w:marRight w:val="0"/>
      <w:marTop w:val="0"/>
      <w:marBottom w:val="0"/>
      <w:divBdr>
        <w:top w:val="none" w:sz="0" w:space="0" w:color="auto"/>
        <w:left w:val="none" w:sz="0" w:space="0" w:color="auto"/>
        <w:bottom w:val="none" w:sz="0" w:space="0" w:color="auto"/>
        <w:right w:val="none" w:sz="0" w:space="0" w:color="auto"/>
      </w:divBdr>
    </w:div>
    <w:div w:id="1689982625">
      <w:bodyDiv w:val="1"/>
      <w:marLeft w:val="0"/>
      <w:marRight w:val="0"/>
      <w:marTop w:val="0"/>
      <w:marBottom w:val="0"/>
      <w:divBdr>
        <w:top w:val="none" w:sz="0" w:space="0" w:color="auto"/>
        <w:left w:val="none" w:sz="0" w:space="0" w:color="auto"/>
        <w:bottom w:val="none" w:sz="0" w:space="0" w:color="auto"/>
        <w:right w:val="none" w:sz="0" w:space="0" w:color="auto"/>
      </w:divBdr>
    </w:div>
    <w:div w:id="1776095209">
      <w:bodyDiv w:val="1"/>
      <w:marLeft w:val="0"/>
      <w:marRight w:val="0"/>
      <w:marTop w:val="0"/>
      <w:marBottom w:val="0"/>
      <w:divBdr>
        <w:top w:val="none" w:sz="0" w:space="0" w:color="auto"/>
        <w:left w:val="none" w:sz="0" w:space="0" w:color="auto"/>
        <w:bottom w:val="none" w:sz="0" w:space="0" w:color="auto"/>
        <w:right w:val="none" w:sz="0" w:space="0" w:color="auto"/>
      </w:divBdr>
    </w:div>
    <w:div w:id="1907377609">
      <w:bodyDiv w:val="1"/>
      <w:marLeft w:val="0"/>
      <w:marRight w:val="0"/>
      <w:marTop w:val="0"/>
      <w:marBottom w:val="0"/>
      <w:divBdr>
        <w:top w:val="none" w:sz="0" w:space="0" w:color="auto"/>
        <w:left w:val="none" w:sz="0" w:space="0" w:color="auto"/>
        <w:bottom w:val="none" w:sz="0" w:space="0" w:color="auto"/>
        <w:right w:val="none" w:sz="0" w:space="0" w:color="auto"/>
      </w:divBdr>
    </w:div>
    <w:div w:id="2032880099">
      <w:bodyDiv w:val="1"/>
      <w:marLeft w:val="0"/>
      <w:marRight w:val="0"/>
      <w:marTop w:val="0"/>
      <w:marBottom w:val="0"/>
      <w:divBdr>
        <w:top w:val="none" w:sz="0" w:space="0" w:color="auto"/>
        <w:left w:val="none" w:sz="0" w:space="0" w:color="auto"/>
        <w:bottom w:val="none" w:sz="0" w:space="0" w:color="auto"/>
        <w:right w:val="none" w:sz="0" w:space="0" w:color="auto"/>
      </w:divBdr>
    </w:div>
    <w:div w:id="2049913389">
      <w:bodyDiv w:val="1"/>
      <w:marLeft w:val="0"/>
      <w:marRight w:val="0"/>
      <w:marTop w:val="0"/>
      <w:marBottom w:val="0"/>
      <w:divBdr>
        <w:top w:val="none" w:sz="0" w:space="0" w:color="auto"/>
        <w:left w:val="none" w:sz="0" w:space="0" w:color="auto"/>
        <w:bottom w:val="none" w:sz="0" w:space="0" w:color="auto"/>
        <w:right w:val="none" w:sz="0" w:space="0" w:color="auto"/>
      </w:divBdr>
    </w:div>
    <w:div w:id="2111005801">
      <w:bodyDiv w:val="1"/>
      <w:marLeft w:val="0"/>
      <w:marRight w:val="0"/>
      <w:marTop w:val="0"/>
      <w:marBottom w:val="0"/>
      <w:divBdr>
        <w:top w:val="none" w:sz="0" w:space="0" w:color="auto"/>
        <w:left w:val="none" w:sz="0" w:space="0" w:color="auto"/>
        <w:bottom w:val="none" w:sz="0" w:space="0" w:color="auto"/>
        <w:right w:val="none" w:sz="0" w:space="0" w:color="auto"/>
      </w:divBdr>
    </w:div>
    <w:div w:id="2116094343">
      <w:bodyDiv w:val="1"/>
      <w:marLeft w:val="0"/>
      <w:marRight w:val="0"/>
      <w:marTop w:val="0"/>
      <w:marBottom w:val="0"/>
      <w:divBdr>
        <w:top w:val="none" w:sz="0" w:space="0" w:color="auto"/>
        <w:left w:val="none" w:sz="0" w:space="0" w:color="auto"/>
        <w:bottom w:val="none" w:sz="0" w:space="0" w:color="auto"/>
        <w:right w:val="none" w:sz="0" w:space="0" w:color="auto"/>
      </w:divBdr>
    </w:div>
    <w:div w:id="2132508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image" Target="media/image4.png"/><Relationship Id="rId26" Type="http://schemas.openxmlformats.org/officeDocument/2006/relationships/hyperlink" Target="http://www.msac.gov.au/internet/msac/publishing.nsf/Content/203361E9D7C61A2DCA2583B70004823F/$File/1532%20Final%20PSD_Nov2020.pdf" TargetMode="External"/><Relationship Id="rId3" Type="http://schemas.openxmlformats.org/officeDocument/2006/relationships/styles" Target="styles.xml"/><Relationship Id="rId21" Type="http://schemas.openxmlformats.org/officeDocument/2006/relationships/hyperlink" Target="https://www.uptodate.com/contents/classification-of-the-hematopoietic-neoplasms" TargetMode="External"/><Relationship Id="rId7" Type="http://schemas.openxmlformats.org/officeDocument/2006/relationships/endnotes" Target="endnotes.xml"/><Relationship Id="rId12" Type="http://schemas.openxmlformats.org/officeDocument/2006/relationships/hyperlink" Target="http://www.msac.gov.au/internet/msac/publishing.nsf/Content/203361E9D7C61A2DCA2583B70004823F/$File/1532%20Final%20PSD_Nov2020.docx" TargetMode="External"/><Relationship Id="rId17" Type="http://schemas.openxmlformats.org/officeDocument/2006/relationships/image" Target="media/image3.png"/><Relationship Id="rId25" Type="http://schemas.openxmlformats.org/officeDocument/2006/relationships/hyperlink" Target="http://www.msac.gov.au/internet/msac/publishing.nsf/Content/C676085C1BBC91D9CA258227001DA027/$File/1527%20-%20Final%20%20PSD.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aihw.gov.au/reports/cancer/cancer-data-in-australia/contents/cancer-summary-data-visualisation"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internet/msac/publishing.nsf/Content/9435966ED7D75835CA258227001F77F3/$File/1528%20-%20Final%20PSD.docx" TargetMode="External"/><Relationship Id="rId24" Type="http://schemas.openxmlformats.org/officeDocument/2006/relationships/hyperlink" Target="http://www.msac.gov.au/internet/msac/publishing.nsf/Content/9435966ED7D75835CA258227001F77F3/$File/1528%20-%20Final%20PSD.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yperlink" Target="http://www.msac.gov.au/internet/msac/publishing.nsf/Content/44A08BDC13521B3ACA2582260017FF4B/$File/1526%20-%20Final%20PSD.pdf" TargetMode="External"/><Relationship Id="rId28" Type="http://schemas.openxmlformats.org/officeDocument/2006/relationships/hyperlink" Target="https://www.uptodate.com/contents/genetic-abnormalities-in-hematologic-and-lymphoid-malignancies" TargetMode="External"/><Relationship Id="rId10" Type="http://schemas.openxmlformats.org/officeDocument/2006/relationships/hyperlink" Target="http://www.msac.gov.au/internet/msac/publishing.nsf/Content/C676085C1BBC91D9CA258227001DA027/$File/1527%20-%20Final%20%20PSD.docx" TargetMode="External"/><Relationship Id="rId19" Type="http://schemas.openxmlformats.org/officeDocument/2006/relationships/hyperlink" Target="https://www.aihw.gov.au/reports/cancer/cancer-in-australia-2019/contents/table-of-contents"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sac.gov.au/internet/msac/publishing.nsf/Content/44A08BDC13521B3ACA2582260017FF4B/$File/1526%20-%20Final%20PSD.docx" TargetMode="External"/><Relationship Id="rId14" Type="http://schemas.openxmlformats.org/officeDocument/2006/relationships/chart" Target="charts/chart2.xml"/><Relationship Id="rId22" Type="http://schemas.openxmlformats.org/officeDocument/2006/relationships/hyperlink" Target="https://www.leukaemia.org.au/national-action-plan/" TargetMode="External"/><Relationship Id="rId27" Type="http://schemas.openxmlformats.org/officeDocument/2006/relationships/hyperlink" Target="https://www.uptodate.com/contents/clinical-manifestations-pathologic-features-and-diagnosis-of-acute-myeloid-leukemia?search=Clinical%20manifestations,%20pathologic%20features,%20and%20diagnosis%20of%20acute%20myeloid%20leukemia&amp;source=search_result&amp;selectedTitle=1~150&amp;usage_type=default&amp;display_rank=1" TargetMode="Externa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addison\Downloads\AIHW-CAN-122-CDiA-2021-Book-2a-Cancer-mortality-age-standardised-rates-5-year-age-group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addison\Downloads\AIHW-CAN-122-CDiA-2021-Book-2a-Cancer-mortality-age-standardised-rates-5-year-age-group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addison\Downloads\AIHW-CAN-122-CDiA-2021-Book-2a-Cancer-mortality-age-standardised-rates-5-year-age-group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'All blood cancers'!$D$1</c:f>
              <c:strCache>
                <c:ptCount val="1"/>
                <c:pt idx="0">
                  <c:v>Mortality age-specific rate (per 100,000)</c:v>
                </c:pt>
              </c:strCache>
            </c:strRef>
          </c:tx>
          <c:spPr>
            <a:ln w="9525" cap="rnd">
              <a:solidFill>
                <a:schemeClr val="accent1"/>
              </a:solidFill>
              <a:round/>
            </a:ln>
            <a:effectLst/>
          </c:spPr>
          <c:marker>
            <c:symbol val="none"/>
          </c:marker>
          <c:cat>
            <c:strRef>
              <c:f>'All blood cancers'!$C$2:$C$20</c:f>
              <c:strCache>
                <c:ptCount val="19"/>
                <c:pt idx="0">
                  <c:v>00–04</c:v>
                </c:pt>
                <c:pt idx="1">
                  <c:v>05–09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c:v>
                </c:pt>
              </c:strCache>
            </c:strRef>
          </c:cat>
          <c:val>
            <c:numRef>
              <c:f>'All blood cancers'!$D$2:$D$20</c:f>
              <c:numCache>
                <c:formatCode>General</c:formatCode>
                <c:ptCount val="19"/>
                <c:pt idx="0">
                  <c:v>0.8</c:v>
                </c:pt>
                <c:pt idx="1">
                  <c:v>0.4</c:v>
                </c:pt>
                <c:pt idx="2">
                  <c:v>0.5</c:v>
                </c:pt>
                <c:pt idx="3">
                  <c:v>0.7</c:v>
                </c:pt>
                <c:pt idx="4">
                  <c:v>1</c:v>
                </c:pt>
                <c:pt idx="5">
                  <c:v>0.5</c:v>
                </c:pt>
                <c:pt idx="6">
                  <c:v>0.8</c:v>
                </c:pt>
                <c:pt idx="7">
                  <c:v>1.5</c:v>
                </c:pt>
                <c:pt idx="8">
                  <c:v>2.2000000000000002</c:v>
                </c:pt>
                <c:pt idx="9">
                  <c:v>4</c:v>
                </c:pt>
                <c:pt idx="10">
                  <c:v>6.4</c:v>
                </c:pt>
                <c:pt idx="11">
                  <c:v>11.1</c:v>
                </c:pt>
                <c:pt idx="12">
                  <c:v>21.1</c:v>
                </c:pt>
                <c:pt idx="13">
                  <c:v>37.799999999999997</c:v>
                </c:pt>
                <c:pt idx="14">
                  <c:v>70.5</c:v>
                </c:pt>
                <c:pt idx="15">
                  <c:v>121.1</c:v>
                </c:pt>
                <c:pt idx="16">
                  <c:v>193.6</c:v>
                </c:pt>
                <c:pt idx="17">
                  <c:v>294.7</c:v>
                </c:pt>
                <c:pt idx="18">
                  <c:v>362.5</c:v>
                </c:pt>
              </c:numCache>
            </c:numRef>
          </c:val>
          <c:smooth val="0"/>
          <c:extLst>
            <c:ext xmlns:c16="http://schemas.microsoft.com/office/drawing/2014/chart" uri="{C3380CC4-5D6E-409C-BE32-E72D297353CC}">
              <c16:uniqueId val="{00000000-3751-49B0-AD80-A61C73878197}"/>
            </c:ext>
          </c:extLst>
        </c:ser>
        <c:ser>
          <c:idx val="1"/>
          <c:order val="1"/>
          <c:tx>
            <c:strRef>
              <c:f>'All blood cancers'!$E$1</c:f>
              <c:strCache>
                <c:ptCount val="1"/>
                <c:pt idx="0">
                  <c:v>Incidence age-specific rate (per 100,000)</c:v>
                </c:pt>
              </c:strCache>
            </c:strRef>
          </c:tx>
          <c:spPr>
            <a:ln w="9525" cap="rnd">
              <a:solidFill>
                <a:schemeClr val="accent2"/>
              </a:solidFill>
              <a:round/>
            </a:ln>
            <a:effectLst/>
          </c:spPr>
          <c:marker>
            <c:symbol val="none"/>
          </c:marker>
          <c:cat>
            <c:strRef>
              <c:f>'All blood cancers'!$C$2:$C$20</c:f>
              <c:strCache>
                <c:ptCount val="19"/>
                <c:pt idx="0">
                  <c:v>00–04</c:v>
                </c:pt>
                <c:pt idx="1">
                  <c:v>05–09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c:v>
                </c:pt>
              </c:strCache>
            </c:strRef>
          </c:cat>
          <c:val>
            <c:numRef>
              <c:f>'All blood cancers'!$E$2:$E$20</c:f>
              <c:numCache>
                <c:formatCode>###,##0.0</c:formatCode>
                <c:ptCount val="19"/>
                <c:pt idx="0">
                  <c:v>10.6</c:v>
                </c:pt>
                <c:pt idx="1">
                  <c:v>7.3</c:v>
                </c:pt>
                <c:pt idx="2">
                  <c:v>6.1</c:v>
                </c:pt>
                <c:pt idx="3">
                  <c:v>9.8000000000000007</c:v>
                </c:pt>
                <c:pt idx="4">
                  <c:v>10.1</c:v>
                </c:pt>
                <c:pt idx="5">
                  <c:v>8.6999999999999993</c:v>
                </c:pt>
                <c:pt idx="6">
                  <c:v>12.6</c:v>
                </c:pt>
                <c:pt idx="7">
                  <c:v>19.100000000000001</c:v>
                </c:pt>
                <c:pt idx="8">
                  <c:v>25.2</c:v>
                </c:pt>
                <c:pt idx="9">
                  <c:v>35.5</c:v>
                </c:pt>
                <c:pt idx="10">
                  <c:v>56.7</c:v>
                </c:pt>
                <c:pt idx="11">
                  <c:v>79.5</c:v>
                </c:pt>
                <c:pt idx="12">
                  <c:v>119.3</c:v>
                </c:pt>
                <c:pt idx="13">
                  <c:v>178.4</c:v>
                </c:pt>
                <c:pt idx="14">
                  <c:v>254.3</c:v>
                </c:pt>
                <c:pt idx="15">
                  <c:v>320.89999999999998</c:v>
                </c:pt>
                <c:pt idx="16">
                  <c:v>402.8</c:v>
                </c:pt>
                <c:pt idx="17">
                  <c:v>444.3</c:v>
                </c:pt>
                <c:pt idx="18">
                  <c:v>378.2</c:v>
                </c:pt>
              </c:numCache>
            </c:numRef>
          </c:val>
          <c:smooth val="0"/>
          <c:extLst>
            <c:ext xmlns:c16="http://schemas.microsoft.com/office/drawing/2014/chart" uri="{C3380CC4-5D6E-409C-BE32-E72D297353CC}">
              <c16:uniqueId val="{00000001-3751-49B0-AD80-A61C73878197}"/>
            </c:ext>
          </c:extLst>
        </c:ser>
        <c:dLbls>
          <c:showLegendKey val="0"/>
          <c:showVal val="0"/>
          <c:showCatName val="0"/>
          <c:showSerName val="0"/>
          <c:showPercent val="0"/>
          <c:showBubbleSize val="0"/>
        </c:dLbls>
        <c:smooth val="0"/>
        <c:axId val="1190915936"/>
        <c:axId val="1190916352"/>
      </c:lineChart>
      <c:catAx>
        <c:axId val="1190915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0916352"/>
        <c:crosses val="autoZero"/>
        <c:auto val="1"/>
        <c:lblAlgn val="ctr"/>
        <c:lblOffset val="100"/>
        <c:noMultiLvlLbl val="0"/>
      </c:catAx>
      <c:valAx>
        <c:axId val="1190916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0915936"/>
        <c:crosses val="autoZero"/>
        <c:crossBetween val="between"/>
        <c:majorUnit val="1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HL!$D$1</c:f>
              <c:strCache>
                <c:ptCount val="1"/>
                <c:pt idx="0">
                  <c:v>Mortality age-specific rate (per 100,000)</c:v>
                </c:pt>
              </c:strCache>
            </c:strRef>
          </c:tx>
          <c:spPr>
            <a:ln w="9525" cap="rnd">
              <a:solidFill>
                <a:schemeClr val="accent1"/>
              </a:solidFill>
              <a:round/>
            </a:ln>
            <a:effectLst/>
          </c:spPr>
          <c:marker>
            <c:symbol val="none"/>
          </c:marker>
          <c:cat>
            <c:strRef>
              <c:f>HL!$C$2:$C$20</c:f>
              <c:strCache>
                <c:ptCount val="19"/>
                <c:pt idx="0">
                  <c:v>00–04</c:v>
                </c:pt>
                <c:pt idx="1">
                  <c:v>05–09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c:v>
                </c:pt>
              </c:strCache>
            </c:strRef>
          </c:cat>
          <c:val>
            <c:numRef>
              <c:f>HL!$D$2:$D$20</c:f>
              <c:numCache>
                <c:formatCode>###,##0.0</c:formatCode>
                <c:ptCount val="19"/>
                <c:pt idx="0">
                  <c:v>0</c:v>
                </c:pt>
                <c:pt idx="1">
                  <c:v>0</c:v>
                </c:pt>
                <c:pt idx="2">
                  <c:v>0</c:v>
                </c:pt>
                <c:pt idx="3">
                  <c:v>0</c:v>
                </c:pt>
                <c:pt idx="4">
                  <c:v>0</c:v>
                </c:pt>
                <c:pt idx="5">
                  <c:v>0.1</c:v>
                </c:pt>
                <c:pt idx="6">
                  <c:v>0.1</c:v>
                </c:pt>
                <c:pt idx="7">
                  <c:v>0.1</c:v>
                </c:pt>
                <c:pt idx="8">
                  <c:v>0.1</c:v>
                </c:pt>
                <c:pt idx="9">
                  <c:v>0.1</c:v>
                </c:pt>
                <c:pt idx="10">
                  <c:v>0.2</c:v>
                </c:pt>
                <c:pt idx="11">
                  <c:v>0.3</c:v>
                </c:pt>
                <c:pt idx="12">
                  <c:v>0.2</c:v>
                </c:pt>
                <c:pt idx="13">
                  <c:v>0.6</c:v>
                </c:pt>
                <c:pt idx="14">
                  <c:v>1.1000000000000001</c:v>
                </c:pt>
                <c:pt idx="15">
                  <c:v>0.9</c:v>
                </c:pt>
                <c:pt idx="16">
                  <c:v>2.4</c:v>
                </c:pt>
                <c:pt idx="17">
                  <c:v>4.4000000000000004</c:v>
                </c:pt>
                <c:pt idx="18">
                  <c:v>2.4</c:v>
                </c:pt>
              </c:numCache>
            </c:numRef>
          </c:val>
          <c:smooth val="0"/>
          <c:extLst>
            <c:ext xmlns:c16="http://schemas.microsoft.com/office/drawing/2014/chart" uri="{C3380CC4-5D6E-409C-BE32-E72D297353CC}">
              <c16:uniqueId val="{00000000-4FAF-4711-B732-D230F2D4FFDD}"/>
            </c:ext>
          </c:extLst>
        </c:ser>
        <c:ser>
          <c:idx val="1"/>
          <c:order val="1"/>
          <c:tx>
            <c:strRef>
              <c:f>HL!$E$1</c:f>
              <c:strCache>
                <c:ptCount val="1"/>
                <c:pt idx="0">
                  <c:v>Incidence age-specific rate (per 100,000)</c:v>
                </c:pt>
              </c:strCache>
            </c:strRef>
          </c:tx>
          <c:spPr>
            <a:ln w="9525" cap="rnd">
              <a:solidFill>
                <a:schemeClr val="accent2"/>
              </a:solidFill>
              <a:round/>
            </a:ln>
            <a:effectLst/>
          </c:spPr>
          <c:marker>
            <c:symbol val="none"/>
          </c:marker>
          <c:cat>
            <c:strRef>
              <c:f>HL!$C$2:$C$20</c:f>
              <c:strCache>
                <c:ptCount val="19"/>
                <c:pt idx="0">
                  <c:v>00–04</c:v>
                </c:pt>
                <c:pt idx="1">
                  <c:v>05–09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c:v>
                </c:pt>
              </c:strCache>
            </c:strRef>
          </c:cat>
          <c:val>
            <c:numRef>
              <c:f>HL!$E$2:$E$20</c:f>
              <c:numCache>
                <c:formatCode>###,##0.0</c:formatCode>
                <c:ptCount val="19"/>
                <c:pt idx="0">
                  <c:v>0.1</c:v>
                </c:pt>
                <c:pt idx="1">
                  <c:v>0.5</c:v>
                </c:pt>
                <c:pt idx="2">
                  <c:v>1.5</c:v>
                </c:pt>
                <c:pt idx="3">
                  <c:v>4.0999999999999996</c:v>
                </c:pt>
                <c:pt idx="4">
                  <c:v>5.0999999999999996</c:v>
                </c:pt>
                <c:pt idx="5">
                  <c:v>3.3</c:v>
                </c:pt>
                <c:pt idx="6">
                  <c:v>4.4000000000000004</c:v>
                </c:pt>
                <c:pt idx="7">
                  <c:v>4.2</c:v>
                </c:pt>
                <c:pt idx="8">
                  <c:v>1.9</c:v>
                </c:pt>
                <c:pt idx="9">
                  <c:v>2.2000000000000002</c:v>
                </c:pt>
                <c:pt idx="10">
                  <c:v>2.9</c:v>
                </c:pt>
                <c:pt idx="11">
                  <c:v>2</c:v>
                </c:pt>
                <c:pt idx="12">
                  <c:v>2.9</c:v>
                </c:pt>
                <c:pt idx="13">
                  <c:v>3.6</c:v>
                </c:pt>
                <c:pt idx="14">
                  <c:v>4.4000000000000004</c:v>
                </c:pt>
                <c:pt idx="15">
                  <c:v>4.2</c:v>
                </c:pt>
                <c:pt idx="16">
                  <c:v>7.9</c:v>
                </c:pt>
                <c:pt idx="17">
                  <c:v>6.9</c:v>
                </c:pt>
                <c:pt idx="18">
                  <c:v>1.4</c:v>
                </c:pt>
              </c:numCache>
            </c:numRef>
          </c:val>
          <c:smooth val="0"/>
          <c:extLst>
            <c:ext xmlns:c16="http://schemas.microsoft.com/office/drawing/2014/chart" uri="{C3380CC4-5D6E-409C-BE32-E72D297353CC}">
              <c16:uniqueId val="{00000001-4FAF-4711-B732-D230F2D4FFDD}"/>
            </c:ext>
          </c:extLst>
        </c:ser>
        <c:dLbls>
          <c:showLegendKey val="0"/>
          <c:showVal val="0"/>
          <c:showCatName val="0"/>
          <c:showSerName val="0"/>
          <c:showPercent val="0"/>
          <c:showBubbleSize val="0"/>
        </c:dLbls>
        <c:smooth val="0"/>
        <c:axId val="896068192"/>
        <c:axId val="896066112"/>
      </c:lineChart>
      <c:catAx>
        <c:axId val="896068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6066112"/>
        <c:crosses val="autoZero"/>
        <c:auto val="1"/>
        <c:lblAlgn val="ctr"/>
        <c:lblOffset val="100"/>
        <c:noMultiLvlLbl val="0"/>
      </c:catAx>
      <c:valAx>
        <c:axId val="896066112"/>
        <c:scaling>
          <c:orientation val="minMax"/>
          <c:max val="9"/>
          <c:min val="0"/>
        </c:scaling>
        <c:delete val="0"/>
        <c:axPos val="l"/>
        <c:majorGridlines>
          <c:spPr>
            <a:ln w="9525" cap="flat" cmpd="sng" algn="ctr">
              <a:solidFill>
                <a:schemeClr val="tx1">
                  <a:lumMod val="15000"/>
                  <a:lumOff val="85000"/>
                </a:schemeClr>
              </a:solidFill>
              <a:round/>
            </a:ln>
            <a:effectLst/>
          </c:spPr>
        </c:majorGridlines>
        <c:numFmt formatCode="#,##0_);\(#,##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6068192"/>
        <c:crosses val="autoZero"/>
        <c:crossBetween val="between"/>
        <c:majorUnit val="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ALL!$D$1</c:f>
              <c:strCache>
                <c:ptCount val="1"/>
                <c:pt idx="0">
                  <c:v>Mortality age-specific rate (per 100,000)</c:v>
                </c:pt>
              </c:strCache>
            </c:strRef>
          </c:tx>
          <c:spPr>
            <a:ln w="9525" cap="rnd">
              <a:solidFill>
                <a:schemeClr val="accent1"/>
              </a:solidFill>
              <a:round/>
            </a:ln>
            <a:effectLst/>
          </c:spPr>
          <c:marker>
            <c:symbol val="none"/>
          </c:marker>
          <c:cat>
            <c:strRef>
              <c:f>ALL!$C$2:$C$20</c:f>
              <c:strCache>
                <c:ptCount val="19"/>
                <c:pt idx="0">
                  <c:v>00–04</c:v>
                </c:pt>
                <c:pt idx="1">
                  <c:v>05–09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c:v>
                </c:pt>
              </c:strCache>
            </c:strRef>
          </c:cat>
          <c:val>
            <c:numRef>
              <c:f>ALL!$D$2:$D$20</c:f>
              <c:numCache>
                <c:formatCode>###,##0.0</c:formatCode>
                <c:ptCount val="19"/>
                <c:pt idx="0">
                  <c:v>0.2</c:v>
                </c:pt>
                <c:pt idx="1">
                  <c:v>0.1</c:v>
                </c:pt>
                <c:pt idx="2">
                  <c:v>0.1</c:v>
                </c:pt>
                <c:pt idx="3">
                  <c:v>0.2</c:v>
                </c:pt>
                <c:pt idx="4">
                  <c:v>0.3</c:v>
                </c:pt>
                <c:pt idx="5">
                  <c:v>0.2</c:v>
                </c:pt>
                <c:pt idx="6">
                  <c:v>0.1</c:v>
                </c:pt>
                <c:pt idx="7">
                  <c:v>0.3</c:v>
                </c:pt>
                <c:pt idx="8">
                  <c:v>0.4</c:v>
                </c:pt>
                <c:pt idx="9">
                  <c:v>0.3</c:v>
                </c:pt>
                <c:pt idx="10">
                  <c:v>0.4</c:v>
                </c:pt>
                <c:pt idx="11">
                  <c:v>0.7</c:v>
                </c:pt>
                <c:pt idx="12">
                  <c:v>0.5</c:v>
                </c:pt>
                <c:pt idx="13">
                  <c:v>0.8</c:v>
                </c:pt>
                <c:pt idx="14">
                  <c:v>1</c:v>
                </c:pt>
                <c:pt idx="15">
                  <c:v>1.2</c:v>
                </c:pt>
                <c:pt idx="16">
                  <c:v>1.3</c:v>
                </c:pt>
                <c:pt idx="17">
                  <c:v>2.2000000000000002</c:v>
                </c:pt>
                <c:pt idx="18">
                  <c:v>1</c:v>
                </c:pt>
              </c:numCache>
            </c:numRef>
          </c:val>
          <c:smooth val="0"/>
          <c:extLst>
            <c:ext xmlns:c16="http://schemas.microsoft.com/office/drawing/2014/chart" uri="{C3380CC4-5D6E-409C-BE32-E72D297353CC}">
              <c16:uniqueId val="{00000000-F64C-4A1E-A5AF-3E74A7657973}"/>
            </c:ext>
          </c:extLst>
        </c:ser>
        <c:ser>
          <c:idx val="1"/>
          <c:order val="1"/>
          <c:tx>
            <c:strRef>
              <c:f>ALL!$E$1</c:f>
              <c:strCache>
                <c:ptCount val="1"/>
                <c:pt idx="0">
                  <c:v>Incidence age-specific rate (per 100,000)</c:v>
                </c:pt>
              </c:strCache>
            </c:strRef>
          </c:tx>
          <c:spPr>
            <a:ln w="9525" cap="rnd">
              <a:solidFill>
                <a:schemeClr val="accent2"/>
              </a:solidFill>
              <a:round/>
            </a:ln>
            <a:effectLst/>
          </c:spPr>
          <c:marker>
            <c:symbol val="none"/>
          </c:marker>
          <c:cat>
            <c:strRef>
              <c:f>ALL!$C$2:$C$20</c:f>
              <c:strCache>
                <c:ptCount val="19"/>
                <c:pt idx="0">
                  <c:v>00–04</c:v>
                </c:pt>
                <c:pt idx="1">
                  <c:v>05–09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c:v>
                </c:pt>
              </c:strCache>
            </c:strRef>
          </c:cat>
          <c:val>
            <c:numRef>
              <c:f>ALL!$E$2:$E$20</c:f>
              <c:numCache>
                <c:formatCode>###,##0.0</c:formatCode>
                <c:ptCount val="19"/>
                <c:pt idx="0">
                  <c:v>6.3</c:v>
                </c:pt>
                <c:pt idx="1">
                  <c:v>4.5</c:v>
                </c:pt>
                <c:pt idx="2">
                  <c:v>2.1</c:v>
                </c:pt>
                <c:pt idx="3">
                  <c:v>1.9</c:v>
                </c:pt>
                <c:pt idx="4">
                  <c:v>0.9</c:v>
                </c:pt>
                <c:pt idx="5">
                  <c:v>0.6</c:v>
                </c:pt>
                <c:pt idx="6">
                  <c:v>0.6</c:v>
                </c:pt>
                <c:pt idx="7">
                  <c:v>0.8</c:v>
                </c:pt>
                <c:pt idx="8">
                  <c:v>0.5</c:v>
                </c:pt>
                <c:pt idx="9">
                  <c:v>0.9</c:v>
                </c:pt>
                <c:pt idx="10">
                  <c:v>1</c:v>
                </c:pt>
                <c:pt idx="11">
                  <c:v>1.2</c:v>
                </c:pt>
                <c:pt idx="12">
                  <c:v>0.8</c:v>
                </c:pt>
                <c:pt idx="13">
                  <c:v>1.5</c:v>
                </c:pt>
                <c:pt idx="14">
                  <c:v>1.6</c:v>
                </c:pt>
                <c:pt idx="15">
                  <c:v>2</c:v>
                </c:pt>
                <c:pt idx="16">
                  <c:v>3</c:v>
                </c:pt>
                <c:pt idx="17">
                  <c:v>2.2000000000000002</c:v>
                </c:pt>
                <c:pt idx="18">
                  <c:v>1.4</c:v>
                </c:pt>
              </c:numCache>
            </c:numRef>
          </c:val>
          <c:smooth val="0"/>
          <c:extLst>
            <c:ext xmlns:c16="http://schemas.microsoft.com/office/drawing/2014/chart" uri="{C3380CC4-5D6E-409C-BE32-E72D297353CC}">
              <c16:uniqueId val="{00000001-F64C-4A1E-A5AF-3E74A7657973}"/>
            </c:ext>
          </c:extLst>
        </c:ser>
        <c:dLbls>
          <c:showLegendKey val="0"/>
          <c:showVal val="0"/>
          <c:showCatName val="0"/>
          <c:showSerName val="0"/>
          <c:showPercent val="0"/>
          <c:showBubbleSize val="0"/>
        </c:dLbls>
        <c:smooth val="0"/>
        <c:axId val="1079465296"/>
        <c:axId val="779862656"/>
      </c:lineChart>
      <c:catAx>
        <c:axId val="1079465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9862656"/>
        <c:crosses val="autoZero"/>
        <c:auto val="1"/>
        <c:lblAlgn val="ctr"/>
        <c:lblOffset val="100"/>
        <c:noMultiLvlLbl val="0"/>
      </c:catAx>
      <c:valAx>
        <c:axId val="779862656"/>
        <c:scaling>
          <c:orientation val="minMax"/>
        </c:scaling>
        <c:delete val="0"/>
        <c:axPos val="l"/>
        <c:majorGridlines>
          <c:spPr>
            <a:ln w="9525" cap="flat" cmpd="sng" algn="ctr">
              <a:solidFill>
                <a:schemeClr val="tx1">
                  <a:lumMod val="15000"/>
                  <a:lumOff val="85000"/>
                </a:schemeClr>
              </a:solidFill>
              <a:round/>
            </a:ln>
            <a:effectLst/>
          </c:spPr>
        </c:majorGridlines>
        <c:numFmt formatCode="#,##0_);\(#,##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9465296"/>
        <c:crosses val="autoZero"/>
        <c:crossBetween val="between"/>
        <c:majorUnit val="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64429-4E9F-40E6-AE3E-0212A0F61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18446</Words>
  <Characters>105147</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2022-02-08T03:20:00Z</dcterms:created>
  <dcterms:modified xsi:type="dcterms:W3CDTF">2022-02-17T00:53:00Z</dcterms:modified>
</cp:coreProperties>
</file>