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2AB13"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43C5A420" wp14:editId="10363978">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E79DA6E" w14:textId="33747D62" w:rsidR="00BC1364" w:rsidRPr="00F715D1" w:rsidRDefault="00F715D1" w:rsidP="00F715D1">
      <w:pPr>
        <w:pStyle w:val="Title"/>
        <w:tabs>
          <w:tab w:val="left" w:pos="1926"/>
          <w:tab w:val="center" w:pos="4513"/>
        </w:tabs>
        <w:jc w:val="left"/>
      </w:pPr>
      <w:r>
        <w:tab/>
      </w:r>
      <w:r>
        <w:tab/>
      </w:r>
      <w:r w:rsidR="00BF479B" w:rsidRPr="00F715D1">
        <w:t>Public Summary Document</w:t>
      </w:r>
    </w:p>
    <w:p w14:paraId="03BDA8B3" w14:textId="77777777" w:rsidR="00BC1364" w:rsidRPr="00F715D1" w:rsidRDefault="00BC1364" w:rsidP="00F715D1">
      <w:pPr>
        <w:pStyle w:val="Subtitle"/>
      </w:pPr>
      <w:r w:rsidRPr="00F715D1">
        <w:t xml:space="preserve">Application No. </w:t>
      </w:r>
      <w:r w:rsidR="00233958" w:rsidRPr="00233958">
        <w:t>1579 – Emicizumab for routine prophylaxis to prevent or reduce frequency of bleeding episodes in patients with haemophilia A without factor VIII inhibitors</w:t>
      </w:r>
    </w:p>
    <w:p w14:paraId="1DFD7C5F"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233958" w:rsidRPr="00233958">
        <w:rPr>
          <w:rFonts w:ascii="Arial" w:hAnsi="Arial" w:cs="Arial"/>
          <w:b/>
          <w:szCs w:val="24"/>
        </w:rPr>
        <w:t>Roche Products Pty Ltd</w:t>
      </w:r>
    </w:p>
    <w:p w14:paraId="20991BD6"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233958">
        <w:rPr>
          <w:rFonts w:ascii="Arial" w:hAnsi="Arial" w:cs="Arial"/>
          <w:b/>
          <w:szCs w:val="24"/>
        </w:rPr>
        <w:t>76</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233958">
        <w:rPr>
          <w:rFonts w:ascii="Arial" w:hAnsi="Arial" w:cs="Arial"/>
          <w:b/>
          <w:szCs w:val="24"/>
        </w:rPr>
        <w:t>1-2 August 2019</w:t>
      </w:r>
    </w:p>
    <w:p w14:paraId="2CCD939F"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65A4FB0C" w14:textId="7054526F" w:rsidR="003D7F29" w:rsidRPr="00F715D1" w:rsidRDefault="003D7F29" w:rsidP="00F715D1">
      <w:pPr>
        <w:pStyle w:val="Heading1"/>
      </w:pPr>
      <w:r w:rsidRPr="00F715D1">
        <w:t>Purpose of application</w:t>
      </w:r>
    </w:p>
    <w:p w14:paraId="053FF5B9" w14:textId="4891355F" w:rsidR="00233958" w:rsidRDefault="00233958" w:rsidP="00233958">
      <w:r>
        <w:t xml:space="preserve">An application requesting </w:t>
      </w:r>
      <w:r w:rsidRPr="00F75CF2">
        <w:t xml:space="preserve">MSAC </w:t>
      </w:r>
      <w:r>
        <w:t xml:space="preserve">advice on </w:t>
      </w:r>
      <w:r w:rsidR="00E22EAE">
        <w:t xml:space="preserve">including </w:t>
      </w:r>
      <w:r>
        <w:t>emicizumab</w:t>
      </w:r>
      <w:r w:rsidRPr="00F75CF2">
        <w:t xml:space="preserve"> </w:t>
      </w:r>
      <w:r w:rsidR="00E22EAE">
        <w:t xml:space="preserve">on the </w:t>
      </w:r>
      <w:r w:rsidR="00E22EAE" w:rsidRPr="00F75CF2">
        <w:t>National Product List</w:t>
      </w:r>
      <w:r w:rsidR="00E22EAE">
        <w:t xml:space="preserve"> managed</w:t>
      </w:r>
      <w:r w:rsidR="00E22EAE" w:rsidRPr="00F75CF2">
        <w:t xml:space="preserve"> </w:t>
      </w:r>
      <w:r w:rsidR="00E22EAE">
        <w:t xml:space="preserve">by the National Blood Authority (NBA) </w:t>
      </w:r>
      <w:r w:rsidRPr="00F75CF2">
        <w:t xml:space="preserve">for routine prophylaxis in patients with moderate to severe </w:t>
      </w:r>
      <w:r>
        <w:t>haemophilia</w:t>
      </w:r>
      <w:r w:rsidRPr="00F75CF2">
        <w:t xml:space="preserve"> A</w:t>
      </w:r>
      <w:r>
        <w:t xml:space="preserve"> (HMA, also called </w:t>
      </w:r>
      <w:r w:rsidRPr="00F75CF2">
        <w:t xml:space="preserve">congenital </w:t>
      </w:r>
      <w:r>
        <w:t xml:space="preserve">factor VIII </w:t>
      </w:r>
      <w:r w:rsidRPr="00F75CF2">
        <w:t>deficiency</w:t>
      </w:r>
      <w:r>
        <w:t>)</w:t>
      </w:r>
      <w:r w:rsidRPr="00F75CF2">
        <w:t xml:space="preserve"> without </w:t>
      </w:r>
      <w:r>
        <w:t>factor VIII (FVIII) inhibitors, was received from</w:t>
      </w:r>
      <w:r w:rsidRPr="00F75CF2">
        <w:t xml:space="preserve"> Roche Products Pty L</w:t>
      </w:r>
      <w:r w:rsidR="00D238BC">
        <w:t>t</w:t>
      </w:r>
      <w:r w:rsidRPr="00F75CF2">
        <w:t>d</w:t>
      </w:r>
      <w:r>
        <w:t xml:space="preserve"> by the Department of Health.</w:t>
      </w:r>
    </w:p>
    <w:p w14:paraId="01C25F13" w14:textId="77777777" w:rsidR="00E977EE" w:rsidRPr="00F715D1" w:rsidRDefault="00E977EE" w:rsidP="00F715D1">
      <w:pPr>
        <w:pStyle w:val="Heading1"/>
      </w:pPr>
      <w:r w:rsidRPr="00F715D1">
        <w:t>MSAC’s advice to the Minister</w:t>
      </w:r>
    </w:p>
    <w:p w14:paraId="0CE6D66D" w14:textId="774BEEEB" w:rsidR="000D05F9" w:rsidRPr="00BC72A9" w:rsidRDefault="00B94C75" w:rsidP="00BC72A9">
      <w:pPr>
        <w:spacing w:after="240"/>
        <w:rPr>
          <w:color w:val="000000" w:themeColor="text1"/>
        </w:rPr>
      </w:pPr>
      <w:r w:rsidRPr="001342D1">
        <w:t xml:space="preserve">After considering the strength of the available evidence in relation to comparative safety, </w:t>
      </w:r>
      <w:r>
        <w:t>clinical effectiveness and cost-</w:t>
      </w:r>
      <w:r w:rsidRPr="001342D1">
        <w:t>effectiveness</w:t>
      </w:r>
      <w:r>
        <w:t>,</w:t>
      </w:r>
      <w:r w:rsidRPr="00F069EE">
        <w:rPr>
          <w:color w:val="000000" w:themeColor="text1"/>
        </w:rPr>
        <w:t xml:space="preserve"> </w:t>
      </w:r>
      <w:r w:rsidRPr="007F0E27">
        <w:rPr>
          <w:color w:val="000000" w:themeColor="text1"/>
        </w:rPr>
        <w:t xml:space="preserve">MSAC supported funding of emicizumab via the National Blood Authority on the basis of acceptable clinical effectiveness and safety compared with </w:t>
      </w:r>
      <w:r w:rsidR="00E13000">
        <w:rPr>
          <w:color w:val="000000" w:themeColor="text1"/>
        </w:rPr>
        <w:t>F</w:t>
      </w:r>
      <w:r w:rsidRPr="007F0E27">
        <w:rPr>
          <w:color w:val="000000" w:themeColor="text1"/>
        </w:rPr>
        <w:t xml:space="preserve">VIII in patients with moderate or severe haemophilia A </w:t>
      </w:r>
      <w:r>
        <w:rPr>
          <w:color w:val="000000" w:themeColor="text1"/>
        </w:rPr>
        <w:t>without</w:t>
      </w:r>
      <w:r w:rsidRPr="007F0E27">
        <w:rPr>
          <w:color w:val="000000" w:themeColor="text1"/>
        </w:rPr>
        <w:t xml:space="preserve"> </w:t>
      </w:r>
      <w:r w:rsidR="004C2AD8">
        <w:rPr>
          <w:color w:val="000000" w:themeColor="text1"/>
        </w:rPr>
        <w:t xml:space="preserve">FVIII </w:t>
      </w:r>
      <w:r w:rsidRPr="007F0E27">
        <w:rPr>
          <w:color w:val="000000" w:themeColor="text1"/>
        </w:rPr>
        <w:t>inhibitor</w:t>
      </w:r>
      <w:r>
        <w:rPr>
          <w:color w:val="000000" w:themeColor="text1"/>
        </w:rPr>
        <w:t>s</w:t>
      </w:r>
      <w:r w:rsidRPr="007F0E27">
        <w:rPr>
          <w:color w:val="000000" w:themeColor="text1"/>
        </w:rPr>
        <w:t xml:space="preserve">. MSAC advised on the appropriate prices for different subpopulations it considered should be applied in setting the overall subsidy price and in the calculation of the financial impact of funding. MSAC considered the sponsor’s proposed risk sharing arrangement </w:t>
      </w:r>
      <w:r>
        <w:rPr>
          <w:color w:val="000000" w:themeColor="text1"/>
        </w:rPr>
        <w:t xml:space="preserve">(RSA) </w:t>
      </w:r>
      <w:r w:rsidRPr="007F0E27">
        <w:rPr>
          <w:color w:val="000000" w:themeColor="text1"/>
        </w:rPr>
        <w:t>was not adequate for addressing risk of use outside the proposed patient population</w:t>
      </w:r>
      <w:r w:rsidRPr="00F069EE">
        <w:rPr>
          <w:color w:val="000000" w:themeColor="text1"/>
        </w:rPr>
        <w:t>.</w:t>
      </w:r>
    </w:p>
    <w:p w14:paraId="697D1B3F" w14:textId="430C5103" w:rsidR="000D05F9" w:rsidRPr="001C3987" w:rsidRDefault="004C2AD8" w:rsidP="00B94C75">
      <w:pPr>
        <w:rPr>
          <w:bCs/>
        </w:rPr>
      </w:pPr>
      <w:r w:rsidRPr="001C3987">
        <w:rPr>
          <w:bCs/>
        </w:rPr>
        <w:t xml:space="preserve">Specifically, </w:t>
      </w:r>
      <w:r w:rsidR="00B94C75" w:rsidRPr="001C3987">
        <w:rPr>
          <w:bCs/>
        </w:rPr>
        <w:t xml:space="preserve">MSAC </w:t>
      </w:r>
      <w:r w:rsidRPr="001C3987">
        <w:rPr>
          <w:bCs/>
        </w:rPr>
        <w:t xml:space="preserve">advised </w:t>
      </w:r>
      <w:r w:rsidR="00B94C75" w:rsidRPr="001C3987">
        <w:rPr>
          <w:bCs/>
        </w:rPr>
        <w:t>that this support was subject to pricing negotiations</w:t>
      </w:r>
      <w:r w:rsidR="000D05F9" w:rsidRPr="001C3987">
        <w:rPr>
          <w:bCs/>
        </w:rPr>
        <w:t xml:space="preserve"> based on the following </w:t>
      </w:r>
      <w:r w:rsidR="00BB749C" w:rsidRPr="001C3987">
        <w:rPr>
          <w:bCs/>
        </w:rPr>
        <w:t xml:space="preserve">shadow prices </w:t>
      </w:r>
      <w:r w:rsidR="00422F28" w:rsidRPr="001C3987">
        <w:rPr>
          <w:bCs/>
        </w:rPr>
        <w:t xml:space="preserve">in </w:t>
      </w:r>
      <w:r w:rsidR="00422F28" w:rsidRPr="001C3987">
        <w:t xml:space="preserve">the </w:t>
      </w:r>
      <w:r w:rsidRPr="001C3987">
        <w:t>re-</w:t>
      </w:r>
      <w:r w:rsidR="00422F28" w:rsidRPr="001C3987">
        <w:t xml:space="preserve">calculation of </w:t>
      </w:r>
      <w:r w:rsidR="00E13000" w:rsidRPr="001C3987">
        <w:t xml:space="preserve">weighted average price and </w:t>
      </w:r>
      <w:r w:rsidR="00422F28" w:rsidRPr="001C3987">
        <w:t xml:space="preserve">the proposed </w:t>
      </w:r>
      <w:r w:rsidR="00652E2F" w:rsidRPr="001C3987">
        <w:t>RSA</w:t>
      </w:r>
      <w:r w:rsidR="00B94C75" w:rsidRPr="001C3987">
        <w:rPr>
          <w:bCs/>
        </w:rPr>
        <w:t xml:space="preserve">, to be </w:t>
      </w:r>
      <w:r w:rsidR="00A55325" w:rsidRPr="001C3987">
        <w:rPr>
          <w:bCs/>
        </w:rPr>
        <w:t xml:space="preserve">implemented </w:t>
      </w:r>
      <w:r w:rsidR="00B94C75" w:rsidRPr="001C3987">
        <w:rPr>
          <w:bCs/>
        </w:rPr>
        <w:t xml:space="preserve">alongside </w:t>
      </w:r>
      <w:r w:rsidR="00A55325" w:rsidRPr="001C3987">
        <w:rPr>
          <w:bCs/>
        </w:rPr>
        <w:t xml:space="preserve">the </w:t>
      </w:r>
      <w:r w:rsidR="000D05F9" w:rsidRPr="001C3987">
        <w:rPr>
          <w:bCs/>
        </w:rPr>
        <w:t xml:space="preserve">related </w:t>
      </w:r>
      <w:r w:rsidR="00BB749C" w:rsidRPr="001C3987">
        <w:rPr>
          <w:bCs/>
        </w:rPr>
        <w:t xml:space="preserve">shadow prices </w:t>
      </w:r>
      <w:r w:rsidR="000D05F9" w:rsidRPr="001C3987">
        <w:rPr>
          <w:bCs/>
        </w:rPr>
        <w:t xml:space="preserve">in the </w:t>
      </w:r>
      <w:r w:rsidR="00A55325" w:rsidRPr="001C3987">
        <w:rPr>
          <w:bCs/>
        </w:rPr>
        <w:t xml:space="preserve">MSAC advice for </w:t>
      </w:r>
      <w:r w:rsidR="00B94C75" w:rsidRPr="001C3987">
        <w:rPr>
          <w:bCs/>
        </w:rPr>
        <w:t>Application No. 1510.1 (</w:t>
      </w:r>
      <w:r w:rsidR="00C12534" w:rsidRPr="001C3987">
        <w:rPr>
          <w:bCs/>
        </w:rPr>
        <w:t xml:space="preserve">HMA </w:t>
      </w:r>
      <w:r w:rsidR="00B94C75" w:rsidRPr="001C3987">
        <w:rPr>
          <w:bCs/>
        </w:rPr>
        <w:t>with FVIII inhibitors)</w:t>
      </w:r>
      <w:r w:rsidR="00422F28" w:rsidRPr="001C3987">
        <w:rPr>
          <w:bCs/>
        </w:rPr>
        <w:t>, and</w:t>
      </w:r>
      <w:r w:rsidR="00422F28" w:rsidRPr="001C3987">
        <w:t xml:space="preserve"> noting that some of the </w:t>
      </w:r>
      <w:r w:rsidR="00BB749C" w:rsidRPr="001C3987">
        <w:t xml:space="preserve">shadow </w:t>
      </w:r>
      <w:r w:rsidR="00422F28" w:rsidRPr="001C3987">
        <w:t>prices relate to possible use of emicizumab beyond that requested</w:t>
      </w:r>
      <w:r w:rsidR="000D05F9" w:rsidRPr="001C3987">
        <w:rPr>
          <w:bCs/>
        </w:rPr>
        <w:t>:</w:t>
      </w:r>
    </w:p>
    <w:p w14:paraId="0DB5FCC7" w14:textId="3AE084F4" w:rsidR="00422F28" w:rsidRPr="001C3987" w:rsidRDefault="00422F28" w:rsidP="00422F28">
      <w:pPr>
        <w:pStyle w:val="Bullet"/>
        <w:numPr>
          <w:ilvl w:val="0"/>
          <w:numId w:val="29"/>
        </w:numPr>
        <w:spacing w:line="240" w:lineRule="auto"/>
        <w:ind w:left="720"/>
        <w:jc w:val="left"/>
        <w:rPr>
          <w:rFonts w:ascii="Times New Roman" w:hAnsi="Times New Roman" w:cs="Times New Roman"/>
          <w:sz w:val="24"/>
          <w:szCs w:val="24"/>
        </w:rPr>
      </w:pPr>
      <w:r w:rsidRPr="001C3987">
        <w:rPr>
          <w:rFonts w:ascii="Times New Roman" w:hAnsi="Times New Roman" w:cs="Times New Roman"/>
          <w:sz w:val="24"/>
          <w:szCs w:val="24"/>
        </w:rPr>
        <w:t xml:space="preserve">patients with severe </w:t>
      </w:r>
      <w:r w:rsidR="002B3883" w:rsidRPr="001C3987">
        <w:rPr>
          <w:rFonts w:ascii="Times New Roman" w:hAnsi="Times New Roman" w:cs="Times New Roman"/>
          <w:sz w:val="24"/>
          <w:szCs w:val="24"/>
        </w:rPr>
        <w:t>HMA</w:t>
      </w:r>
      <w:r w:rsidRPr="001C3987">
        <w:rPr>
          <w:rFonts w:ascii="Times New Roman" w:hAnsi="Times New Roman" w:cs="Times New Roman"/>
          <w:sz w:val="24"/>
          <w:szCs w:val="24"/>
        </w:rPr>
        <w:t>, but without inhibitors</w:t>
      </w:r>
      <w:r w:rsidR="002B3883" w:rsidRPr="001C3987">
        <w:rPr>
          <w:rFonts w:ascii="Times New Roman" w:hAnsi="Times New Roman" w:cs="Times New Roman"/>
          <w:sz w:val="24"/>
          <w:szCs w:val="24"/>
        </w:rPr>
        <w:t>, who</w:t>
      </w:r>
      <w:r w:rsidRPr="001C3987">
        <w:rPr>
          <w:rFonts w:ascii="Times New Roman" w:hAnsi="Times New Roman" w:cs="Times New Roman"/>
          <w:sz w:val="24"/>
          <w:szCs w:val="24"/>
        </w:rPr>
        <w:t xml:space="preserve"> </w:t>
      </w:r>
      <w:r w:rsidR="00BB749C" w:rsidRPr="001C3987">
        <w:rPr>
          <w:rFonts w:ascii="Times New Roman" w:hAnsi="Times New Roman" w:cs="Times New Roman"/>
          <w:sz w:val="24"/>
          <w:szCs w:val="24"/>
        </w:rPr>
        <w:t>previously</w:t>
      </w:r>
      <w:r w:rsidRPr="001C3987">
        <w:rPr>
          <w:rFonts w:ascii="Times New Roman" w:hAnsi="Times New Roman" w:cs="Times New Roman"/>
          <w:sz w:val="24"/>
          <w:szCs w:val="24"/>
        </w:rPr>
        <w:t xml:space="preserve"> receiv</w:t>
      </w:r>
      <w:r w:rsidR="002B3883" w:rsidRPr="001C3987">
        <w:rPr>
          <w:rFonts w:ascii="Times New Roman" w:hAnsi="Times New Roman" w:cs="Times New Roman"/>
          <w:sz w:val="24"/>
          <w:szCs w:val="24"/>
        </w:rPr>
        <w:t>ed</w:t>
      </w:r>
      <w:r w:rsidRPr="001C3987">
        <w:rPr>
          <w:rFonts w:ascii="Times New Roman" w:hAnsi="Times New Roman" w:cs="Times New Roman"/>
          <w:sz w:val="24"/>
          <w:szCs w:val="24"/>
        </w:rPr>
        <w:t xml:space="preserve"> FVIII prophylaxis: $</w:t>
      </w:r>
      <w:r w:rsidR="00ED2C04" w:rsidRPr="001C3987">
        <w:rPr>
          <w:rFonts w:ascii="Times New Roman" w:hAnsi="Times New Roman" w:cs="Times New Roman"/>
          <w:b/>
          <w:sz w:val="24"/>
          <w:szCs w:val="24"/>
        </w:rPr>
        <w:t>redacted</w:t>
      </w:r>
      <w:r w:rsidRPr="001C3987">
        <w:rPr>
          <w:rFonts w:ascii="Times New Roman" w:hAnsi="Times New Roman" w:cs="Times New Roman"/>
          <w:sz w:val="24"/>
          <w:szCs w:val="24"/>
        </w:rPr>
        <w:t>/mg</w:t>
      </w:r>
      <w:r w:rsidR="004F1498" w:rsidRPr="001C3987">
        <w:rPr>
          <w:rFonts w:ascii="Times New Roman" w:hAnsi="Times New Roman" w:cs="Times New Roman"/>
          <w:sz w:val="24"/>
          <w:szCs w:val="24"/>
        </w:rPr>
        <w:t xml:space="preserve"> [</w:t>
      </w:r>
    </w:p>
    <w:p w14:paraId="19AF19F0" w14:textId="2AB4C8FB" w:rsidR="00422F28" w:rsidRPr="001C3987" w:rsidRDefault="00422F28" w:rsidP="00422F28">
      <w:pPr>
        <w:pStyle w:val="Bullet"/>
        <w:numPr>
          <w:ilvl w:val="0"/>
          <w:numId w:val="29"/>
        </w:numPr>
        <w:spacing w:line="240" w:lineRule="auto"/>
        <w:ind w:left="720"/>
        <w:jc w:val="left"/>
        <w:rPr>
          <w:rFonts w:ascii="Times New Roman" w:hAnsi="Times New Roman" w:cs="Times New Roman"/>
          <w:sz w:val="24"/>
          <w:szCs w:val="24"/>
        </w:rPr>
      </w:pPr>
      <w:r w:rsidRPr="001C3987">
        <w:rPr>
          <w:rFonts w:ascii="Times New Roman" w:hAnsi="Times New Roman" w:cs="Times New Roman"/>
          <w:sz w:val="24"/>
          <w:szCs w:val="24"/>
        </w:rPr>
        <w:t>patients with severe</w:t>
      </w:r>
      <w:r w:rsidR="002B3883" w:rsidRPr="001C3987">
        <w:rPr>
          <w:rFonts w:ascii="Times New Roman" w:hAnsi="Times New Roman" w:cs="Times New Roman"/>
          <w:sz w:val="24"/>
          <w:szCs w:val="24"/>
        </w:rPr>
        <w:t xml:space="preserve"> HMA, but without inhibitors, who previously received </w:t>
      </w:r>
      <w:r w:rsidR="00BB749C" w:rsidRPr="001C3987">
        <w:rPr>
          <w:rFonts w:ascii="Times New Roman" w:hAnsi="Times New Roman" w:cs="Times New Roman"/>
          <w:sz w:val="24"/>
          <w:szCs w:val="24"/>
        </w:rPr>
        <w:t>FVIII</w:t>
      </w:r>
      <w:r w:rsidR="0012193B" w:rsidRPr="001C3987">
        <w:rPr>
          <w:rFonts w:ascii="Times New Roman" w:hAnsi="Times New Roman" w:cs="Times New Roman"/>
          <w:sz w:val="24"/>
          <w:szCs w:val="24"/>
        </w:rPr>
        <w:t xml:space="preserve"> on demand</w:t>
      </w:r>
      <w:r w:rsidRPr="001C3987">
        <w:rPr>
          <w:rFonts w:ascii="Times New Roman" w:hAnsi="Times New Roman" w:cs="Times New Roman"/>
          <w:sz w:val="24"/>
          <w:szCs w:val="24"/>
        </w:rPr>
        <w:t>: $</w:t>
      </w:r>
      <w:r w:rsidR="00ED2C04" w:rsidRPr="001C3987">
        <w:rPr>
          <w:rFonts w:ascii="Times New Roman" w:hAnsi="Times New Roman" w:cs="Times New Roman"/>
          <w:b/>
          <w:sz w:val="24"/>
          <w:szCs w:val="24"/>
        </w:rPr>
        <w:t>redacted</w:t>
      </w:r>
      <w:r w:rsidRPr="001C3987">
        <w:rPr>
          <w:rFonts w:ascii="Times New Roman" w:hAnsi="Times New Roman" w:cs="Times New Roman"/>
          <w:sz w:val="24"/>
          <w:szCs w:val="24"/>
        </w:rPr>
        <w:t>/mg</w:t>
      </w:r>
      <w:r w:rsidR="004F1498" w:rsidRPr="001C3987">
        <w:rPr>
          <w:rFonts w:ascii="Times New Roman" w:hAnsi="Times New Roman" w:cs="Times New Roman"/>
          <w:sz w:val="24"/>
          <w:szCs w:val="24"/>
        </w:rPr>
        <w:t xml:space="preserve"> </w:t>
      </w:r>
    </w:p>
    <w:p w14:paraId="6D82D624" w14:textId="6114BD27" w:rsidR="00422F28" w:rsidRPr="001C3987" w:rsidRDefault="00422F28" w:rsidP="00422F28">
      <w:pPr>
        <w:pStyle w:val="Bullet"/>
        <w:numPr>
          <w:ilvl w:val="0"/>
          <w:numId w:val="29"/>
        </w:numPr>
        <w:spacing w:line="240" w:lineRule="auto"/>
        <w:ind w:left="720"/>
        <w:jc w:val="left"/>
        <w:rPr>
          <w:rFonts w:ascii="Times New Roman" w:hAnsi="Times New Roman" w:cs="Times New Roman"/>
          <w:sz w:val="24"/>
          <w:szCs w:val="24"/>
        </w:rPr>
      </w:pPr>
      <w:r w:rsidRPr="001C3987">
        <w:rPr>
          <w:rFonts w:ascii="Times New Roman" w:hAnsi="Times New Roman" w:cs="Times New Roman"/>
          <w:sz w:val="24"/>
          <w:szCs w:val="24"/>
        </w:rPr>
        <w:t xml:space="preserve">patients with severe </w:t>
      </w:r>
      <w:r w:rsidR="00761FD1" w:rsidRPr="001C3987">
        <w:rPr>
          <w:rFonts w:ascii="Times New Roman" w:hAnsi="Times New Roman" w:cs="Times New Roman"/>
          <w:sz w:val="24"/>
          <w:szCs w:val="24"/>
        </w:rPr>
        <w:t>HMA</w:t>
      </w:r>
      <w:r w:rsidRPr="001C3987">
        <w:rPr>
          <w:rFonts w:ascii="Times New Roman" w:hAnsi="Times New Roman" w:cs="Times New Roman"/>
          <w:sz w:val="24"/>
          <w:szCs w:val="24"/>
        </w:rPr>
        <w:t xml:space="preserve">, but without inhibitors, who did not receive </w:t>
      </w:r>
      <w:r w:rsidR="00BB749C" w:rsidRPr="001C3987">
        <w:rPr>
          <w:rFonts w:ascii="Times New Roman" w:hAnsi="Times New Roman" w:cs="Times New Roman"/>
          <w:sz w:val="24"/>
          <w:szCs w:val="24"/>
        </w:rPr>
        <w:t xml:space="preserve">any HMA blood product </w:t>
      </w:r>
      <w:r w:rsidRPr="001C3987">
        <w:rPr>
          <w:rFonts w:ascii="Times New Roman" w:hAnsi="Times New Roman" w:cs="Times New Roman"/>
          <w:sz w:val="24"/>
          <w:szCs w:val="24"/>
        </w:rPr>
        <w:t>treatment in the preceding year: $</w:t>
      </w:r>
      <w:r w:rsidR="003A0AC2" w:rsidRPr="001C3987">
        <w:rPr>
          <w:rFonts w:ascii="Times New Roman" w:hAnsi="Times New Roman" w:cs="Times New Roman"/>
          <w:b/>
          <w:sz w:val="24"/>
          <w:szCs w:val="24"/>
        </w:rPr>
        <w:t>redacted</w:t>
      </w:r>
      <w:r w:rsidRPr="001C3987">
        <w:rPr>
          <w:rFonts w:ascii="Times New Roman" w:hAnsi="Times New Roman" w:cs="Times New Roman"/>
          <w:sz w:val="24"/>
          <w:szCs w:val="24"/>
        </w:rPr>
        <w:t>/mg</w:t>
      </w:r>
    </w:p>
    <w:p w14:paraId="4F5E07A2" w14:textId="60BFA71C" w:rsidR="00422F28" w:rsidRPr="001C3987" w:rsidRDefault="00422F28" w:rsidP="00422F28">
      <w:pPr>
        <w:pStyle w:val="Bullet"/>
        <w:numPr>
          <w:ilvl w:val="0"/>
          <w:numId w:val="29"/>
        </w:numPr>
        <w:spacing w:line="240" w:lineRule="auto"/>
        <w:ind w:left="720"/>
        <w:jc w:val="left"/>
        <w:rPr>
          <w:rFonts w:ascii="Times New Roman" w:hAnsi="Times New Roman" w:cs="Times New Roman"/>
          <w:sz w:val="24"/>
          <w:szCs w:val="24"/>
        </w:rPr>
      </w:pPr>
      <w:r w:rsidRPr="001C3987">
        <w:rPr>
          <w:rFonts w:ascii="Times New Roman" w:hAnsi="Times New Roman" w:cs="Times New Roman"/>
          <w:sz w:val="24"/>
          <w:szCs w:val="24"/>
        </w:rPr>
        <w:lastRenderedPageBreak/>
        <w:t>patients with moderate</w:t>
      </w:r>
      <w:r w:rsidR="002B3883" w:rsidRPr="001C3987">
        <w:rPr>
          <w:rFonts w:ascii="Times New Roman" w:hAnsi="Times New Roman" w:cs="Times New Roman"/>
          <w:sz w:val="24"/>
          <w:szCs w:val="24"/>
        </w:rPr>
        <w:t xml:space="preserve"> HMA</w:t>
      </w:r>
      <w:r w:rsidRPr="001C3987">
        <w:rPr>
          <w:rFonts w:ascii="Times New Roman" w:hAnsi="Times New Roman" w:cs="Times New Roman"/>
          <w:sz w:val="24"/>
          <w:szCs w:val="24"/>
        </w:rPr>
        <w:t>, but without inhibitors</w:t>
      </w:r>
      <w:r w:rsidR="002B3883" w:rsidRPr="001C3987">
        <w:rPr>
          <w:rFonts w:ascii="Times New Roman" w:hAnsi="Times New Roman" w:cs="Times New Roman"/>
          <w:sz w:val="24"/>
          <w:szCs w:val="24"/>
        </w:rPr>
        <w:t>, who previously received</w:t>
      </w:r>
      <w:r w:rsidRPr="001C3987">
        <w:rPr>
          <w:rFonts w:ascii="Times New Roman" w:hAnsi="Times New Roman" w:cs="Times New Roman"/>
          <w:sz w:val="24"/>
          <w:szCs w:val="24"/>
        </w:rPr>
        <w:t xml:space="preserve"> FVIII prophylaxis: $</w:t>
      </w:r>
      <w:r w:rsidR="00ED2C04" w:rsidRPr="001C3987">
        <w:rPr>
          <w:rFonts w:ascii="Times New Roman" w:hAnsi="Times New Roman" w:cs="Times New Roman"/>
          <w:b/>
          <w:sz w:val="24"/>
          <w:szCs w:val="24"/>
        </w:rPr>
        <w:t>redacted</w:t>
      </w:r>
      <w:r w:rsidRPr="001C3987">
        <w:rPr>
          <w:rFonts w:ascii="Times New Roman" w:hAnsi="Times New Roman" w:cs="Times New Roman"/>
          <w:sz w:val="24"/>
          <w:szCs w:val="24"/>
        </w:rPr>
        <w:t>/mg</w:t>
      </w:r>
      <w:r w:rsidR="004F1498" w:rsidRPr="001C3987">
        <w:rPr>
          <w:rFonts w:ascii="Times New Roman" w:hAnsi="Times New Roman" w:cs="Times New Roman"/>
          <w:sz w:val="24"/>
          <w:szCs w:val="24"/>
        </w:rPr>
        <w:t xml:space="preserve"> </w:t>
      </w:r>
    </w:p>
    <w:p w14:paraId="6557A2B2" w14:textId="76F7EC93" w:rsidR="00422F28" w:rsidRPr="001C3987" w:rsidRDefault="00422F28" w:rsidP="00422F28">
      <w:pPr>
        <w:pStyle w:val="Bullet"/>
        <w:numPr>
          <w:ilvl w:val="0"/>
          <w:numId w:val="29"/>
        </w:numPr>
        <w:spacing w:line="240" w:lineRule="auto"/>
        <w:ind w:left="720"/>
        <w:jc w:val="left"/>
        <w:rPr>
          <w:rFonts w:ascii="Times New Roman" w:hAnsi="Times New Roman" w:cs="Times New Roman"/>
          <w:sz w:val="24"/>
          <w:szCs w:val="24"/>
        </w:rPr>
      </w:pPr>
      <w:r w:rsidRPr="001C3987">
        <w:rPr>
          <w:rFonts w:ascii="Times New Roman" w:hAnsi="Times New Roman" w:cs="Times New Roman"/>
          <w:sz w:val="24"/>
          <w:szCs w:val="24"/>
        </w:rPr>
        <w:t>patients with moderate</w:t>
      </w:r>
      <w:r w:rsidR="002B3883" w:rsidRPr="001C3987">
        <w:rPr>
          <w:rFonts w:ascii="Times New Roman" w:hAnsi="Times New Roman" w:cs="Times New Roman"/>
          <w:sz w:val="24"/>
          <w:szCs w:val="24"/>
        </w:rPr>
        <w:t xml:space="preserve"> HMA, but without inhibitors, who previously received </w:t>
      </w:r>
      <w:r w:rsidR="00BB749C" w:rsidRPr="001C3987">
        <w:rPr>
          <w:rFonts w:ascii="Times New Roman" w:hAnsi="Times New Roman" w:cs="Times New Roman"/>
          <w:sz w:val="24"/>
          <w:szCs w:val="24"/>
        </w:rPr>
        <w:t>FVIII</w:t>
      </w:r>
      <w:r w:rsidR="0012193B" w:rsidRPr="001C3987">
        <w:rPr>
          <w:rFonts w:ascii="Times New Roman" w:hAnsi="Times New Roman" w:cs="Times New Roman"/>
          <w:sz w:val="24"/>
          <w:szCs w:val="24"/>
        </w:rPr>
        <w:t xml:space="preserve"> on demand</w:t>
      </w:r>
      <w:r w:rsidRPr="001C3987">
        <w:rPr>
          <w:rFonts w:ascii="Times New Roman" w:hAnsi="Times New Roman" w:cs="Times New Roman"/>
          <w:sz w:val="24"/>
          <w:szCs w:val="24"/>
        </w:rPr>
        <w:t>: $</w:t>
      </w:r>
      <w:r w:rsidR="00ED2C04" w:rsidRPr="001C3987">
        <w:rPr>
          <w:rFonts w:ascii="Times New Roman" w:hAnsi="Times New Roman" w:cs="Times New Roman"/>
          <w:b/>
          <w:sz w:val="24"/>
          <w:szCs w:val="24"/>
        </w:rPr>
        <w:t>redacted</w:t>
      </w:r>
      <w:r w:rsidRPr="001C3987">
        <w:rPr>
          <w:rFonts w:ascii="Times New Roman" w:hAnsi="Times New Roman" w:cs="Times New Roman"/>
          <w:sz w:val="24"/>
          <w:szCs w:val="24"/>
        </w:rPr>
        <w:t>/mg</w:t>
      </w:r>
      <w:r w:rsidR="004F1498" w:rsidRPr="001C3987">
        <w:rPr>
          <w:rFonts w:ascii="Times New Roman" w:hAnsi="Times New Roman" w:cs="Times New Roman"/>
          <w:sz w:val="24"/>
          <w:szCs w:val="24"/>
        </w:rPr>
        <w:t xml:space="preserve"> </w:t>
      </w:r>
    </w:p>
    <w:p w14:paraId="6E09867D" w14:textId="01704AC5" w:rsidR="00422F28" w:rsidRPr="001C3987" w:rsidRDefault="00422F28" w:rsidP="00422F28">
      <w:pPr>
        <w:pStyle w:val="Bullet"/>
        <w:numPr>
          <w:ilvl w:val="0"/>
          <w:numId w:val="29"/>
        </w:numPr>
        <w:spacing w:line="240" w:lineRule="auto"/>
        <w:ind w:left="720"/>
        <w:jc w:val="left"/>
        <w:rPr>
          <w:rFonts w:ascii="Times New Roman" w:hAnsi="Times New Roman" w:cs="Times New Roman"/>
          <w:sz w:val="24"/>
          <w:szCs w:val="24"/>
        </w:rPr>
      </w:pPr>
      <w:r w:rsidRPr="001C3987">
        <w:rPr>
          <w:rFonts w:ascii="Times New Roman" w:hAnsi="Times New Roman" w:cs="Times New Roman"/>
          <w:sz w:val="24"/>
          <w:szCs w:val="24"/>
        </w:rPr>
        <w:t>patients with moderate</w:t>
      </w:r>
      <w:r w:rsidR="002B3883" w:rsidRPr="001C3987">
        <w:rPr>
          <w:rFonts w:ascii="Times New Roman" w:hAnsi="Times New Roman" w:cs="Times New Roman"/>
          <w:sz w:val="24"/>
          <w:szCs w:val="24"/>
        </w:rPr>
        <w:t xml:space="preserve"> HMA</w:t>
      </w:r>
      <w:r w:rsidRPr="001C3987">
        <w:rPr>
          <w:rFonts w:ascii="Times New Roman" w:hAnsi="Times New Roman" w:cs="Times New Roman"/>
          <w:sz w:val="24"/>
          <w:szCs w:val="24"/>
        </w:rPr>
        <w:t>, but without inhibitors, who did not receive</w:t>
      </w:r>
      <w:r w:rsidR="00BB749C" w:rsidRPr="001C3987">
        <w:rPr>
          <w:rFonts w:ascii="Times New Roman" w:hAnsi="Times New Roman" w:cs="Times New Roman"/>
          <w:sz w:val="24"/>
          <w:szCs w:val="24"/>
        </w:rPr>
        <w:t xml:space="preserve"> any HMA blood product </w:t>
      </w:r>
      <w:r w:rsidRPr="001C3987">
        <w:rPr>
          <w:rFonts w:ascii="Times New Roman" w:hAnsi="Times New Roman" w:cs="Times New Roman"/>
          <w:sz w:val="24"/>
          <w:szCs w:val="24"/>
        </w:rPr>
        <w:t>treatment in the preceding year: $</w:t>
      </w:r>
      <w:r w:rsidR="00F07FA4" w:rsidRPr="001C3987">
        <w:rPr>
          <w:rFonts w:ascii="Times New Roman" w:hAnsi="Times New Roman" w:cs="Times New Roman"/>
          <w:b/>
          <w:sz w:val="24"/>
          <w:szCs w:val="24"/>
        </w:rPr>
        <w:t>redacted</w:t>
      </w:r>
      <w:r w:rsidRPr="001C3987">
        <w:rPr>
          <w:rFonts w:ascii="Times New Roman" w:hAnsi="Times New Roman" w:cs="Times New Roman"/>
          <w:sz w:val="24"/>
          <w:szCs w:val="24"/>
        </w:rPr>
        <w:t>/mg</w:t>
      </w:r>
    </w:p>
    <w:p w14:paraId="7E7964F7" w14:textId="39859C39" w:rsidR="00422F28" w:rsidRPr="001C3987" w:rsidRDefault="00422F28" w:rsidP="00422F28">
      <w:pPr>
        <w:pStyle w:val="Bullet"/>
        <w:numPr>
          <w:ilvl w:val="0"/>
          <w:numId w:val="29"/>
        </w:numPr>
        <w:spacing w:line="240" w:lineRule="auto"/>
        <w:ind w:left="720"/>
        <w:jc w:val="left"/>
        <w:rPr>
          <w:rFonts w:ascii="Times New Roman" w:hAnsi="Times New Roman" w:cs="Times New Roman"/>
          <w:sz w:val="24"/>
          <w:szCs w:val="24"/>
        </w:rPr>
      </w:pPr>
      <w:r w:rsidRPr="001C3987">
        <w:rPr>
          <w:rFonts w:ascii="Times New Roman" w:hAnsi="Times New Roman" w:cs="Times New Roman"/>
          <w:sz w:val="24"/>
          <w:szCs w:val="24"/>
        </w:rPr>
        <w:t>patients with mild</w:t>
      </w:r>
      <w:r w:rsidR="002B3883" w:rsidRPr="001C3987">
        <w:rPr>
          <w:rFonts w:ascii="Times New Roman" w:hAnsi="Times New Roman" w:cs="Times New Roman"/>
          <w:sz w:val="24"/>
          <w:szCs w:val="24"/>
        </w:rPr>
        <w:t xml:space="preserve"> HMA</w:t>
      </w:r>
      <w:r w:rsidRPr="001C3987">
        <w:rPr>
          <w:rFonts w:ascii="Times New Roman" w:hAnsi="Times New Roman" w:cs="Times New Roman"/>
          <w:sz w:val="24"/>
          <w:szCs w:val="24"/>
        </w:rPr>
        <w:t xml:space="preserve">, but without inhibitors, </w:t>
      </w:r>
      <w:r w:rsidR="002B3883" w:rsidRPr="001C3987">
        <w:rPr>
          <w:rFonts w:ascii="Times New Roman" w:hAnsi="Times New Roman" w:cs="Times New Roman"/>
          <w:sz w:val="24"/>
          <w:szCs w:val="24"/>
        </w:rPr>
        <w:t xml:space="preserve">who previously received </w:t>
      </w:r>
      <w:r w:rsidRPr="001C3987">
        <w:rPr>
          <w:rFonts w:ascii="Times New Roman" w:hAnsi="Times New Roman" w:cs="Times New Roman"/>
          <w:sz w:val="24"/>
          <w:szCs w:val="24"/>
        </w:rPr>
        <w:t>FVIII prophylaxis: $</w:t>
      </w:r>
      <w:r w:rsidR="00ED2C04" w:rsidRPr="001C3987">
        <w:rPr>
          <w:rFonts w:ascii="Times New Roman" w:hAnsi="Times New Roman" w:cs="Times New Roman"/>
          <w:b/>
          <w:sz w:val="24"/>
          <w:szCs w:val="24"/>
        </w:rPr>
        <w:t>redacted</w:t>
      </w:r>
      <w:r w:rsidRPr="001C3987">
        <w:rPr>
          <w:rFonts w:ascii="Times New Roman" w:hAnsi="Times New Roman" w:cs="Times New Roman"/>
          <w:sz w:val="24"/>
          <w:szCs w:val="24"/>
        </w:rPr>
        <w:t>/mg</w:t>
      </w:r>
      <w:r w:rsidR="004F1498" w:rsidRPr="001C3987">
        <w:rPr>
          <w:rFonts w:ascii="Times New Roman" w:hAnsi="Times New Roman" w:cs="Times New Roman"/>
          <w:sz w:val="24"/>
          <w:szCs w:val="24"/>
        </w:rPr>
        <w:t xml:space="preserve"> </w:t>
      </w:r>
    </w:p>
    <w:p w14:paraId="122345CE" w14:textId="3C88A147" w:rsidR="00422F28" w:rsidRPr="001C3987" w:rsidRDefault="00422F28" w:rsidP="00422F28">
      <w:pPr>
        <w:pStyle w:val="Bullet"/>
        <w:numPr>
          <w:ilvl w:val="0"/>
          <w:numId w:val="29"/>
        </w:numPr>
        <w:spacing w:line="240" w:lineRule="auto"/>
        <w:ind w:left="720"/>
        <w:jc w:val="left"/>
        <w:rPr>
          <w:rFonts w:ascii="Times New Roman" w:hAnsi="Times New Roman" w:cs="Times New Roman"/>
          <w:sz w:val="24"/>
          <w:szCs w:val="24"/>
        </w:rPr>
      </w:pPr>
      <w:r w:rsidRPr="001C3987">
        <w:rPr>
          <w:rFonts w:ascii="Times New Roman" w:hAnsi="Times New Roman" w:cs="Times New Roman"/>
          <w:sz w:val="24"/>
          <w:szCs w:val="24"/>
        </w:rPr>
        <w:t>patients with mild</w:t>
      </w:r>
      <w:r w:rsidR="002B3883" w:rsidRPr="001C3987">
        <w:rPr>
          <w:rFonts w:ascii="Times New Roman" w:hAnsi="Times New Roman" w:cs="Times New Roman"/>
          <w:sz w:val="24"/>
          <w:szCs w:val="24"/>
        </w:rPr>
        <w:t xml:space="preserve"> HMA</w:t>
      </w:r>
      <w:r w:rsidRPr="001C3987">
        <w:rPr>
          <w:rFonts w:ascii="Times New Roman" w:hAnsi="Times New Roman" w:cs="Times New Roman"/>
          <w:sz w:val="24"/>
          <w:szCs w:val="24"/>
        </w:rPr>
        <w:t xml:space="preserve">, but without inhibitors, </w:t>
      </w:r>
      <w:r w:rsidR="002B3883" w:rsidRPr="001C3987">
        <w:rPr>
          <w:rFonts w:ascii="Times New Roman" w:hAnsi="Times New Roman" w:cs="Times New Roman"/>
          <w:sz w:val="24"/>
          <w:szCs w:val="24"/>
        </w:rPr>
        <w:t xml:space="preserve">who previously received </w:t>
      </w:r>
      <w:r w:rsidR="00BB749C" w:rsidRPr="001C3987">
        <w:rPr>
          <w:rFonts w:ascii="Times New Roman" w:hAnsi="Times New Roman" w:cs="Times New Roman"/>
          <w:sz w:val="24"/>
          <w:szCs w:val="24"/>
        </w:rPr>
        <w:t>FVIII</w:t>
      </w:r>
      <w:r w:rsidR="0012193B" w:rsidRPr="001C3987">
        <w:rPr>
          <w:rFonts w:ascii="Times New Roman" w:hAnsi="Times New Roman" w:cs="Times New Roman"/>
          <w:sz w:val="24"/>
          <w:szCs w:val="24"/>
        </w:rPr>
        <w:t xml:space="preserve"> on demand</w:t>
      </w:r>
      <w:r w:rsidRPr="001C3987">
        <w:rPr>
          <w:rFonts w:ascii="Times New Roman" w:hAnsi="Times New Roman" w:cs="Times New Roman"/>
          <w:sz w:val="24"/>
          <w:szCs w:val="24"/>
        </w:rPr>
        <w:t>: $</w:t>
      </w:r>
      <w:r w:rsidR="00ED2C04" w:rsidRPr="001C3987">
        <w:rPr>
          <w:rFonts w:ascii="Times New Roman" w:hAnsi="Times New Roman" w:cs="Times New Roman"/>
          <w:b/>
          <w:sz w:val="24"/>
          <w:szCs w:val="24"/>
        </w:rPr>
        <w:t>redacted</w:t>
      </w:r>
      <w:r w:rsidRPr="001C3987">
        <w:rPr>
          <w:rFonts w:ascii="Times New Roman" w:hAnsi="Times New Roman" w:cs="Times New Roman"/>
          <w:sz w:val="24"/>
          <w:szCs w:val="24"/>
        </w:rPr>
        <w:t>/mg</w:t>
      </w:r>
      <w:r w:rsidR="004F1498" w:rsidRPr="001C3987">
        <w:rPr>
          <w:rFonts w:ascii="Times New Roman" w:hAnsi="Times New Roman" w:cs="Times New Roman"/>
          <w:sz w:val="24"/>
          <w:szCs w:val="24"/>
        </w:rPr>
        <w:t xml:space="preserve"> </w:t>
      </w:r>
    </w:p>
    <w:p w14:paraId="4F430143" w14:textId="75813D75" w:rsidR="00B94C75" w:rsidRPr="001C3987" w:rsidRDefault="00422F28" w:rsidP="00C56AC9">
      <w:pPr>
        <w:pStyle w:val="Bullet"/>
        <w:numPr>
          <w:ilvl w:val="0"/>
          <w:numId w:val="29"/>
        </w:numPr>
        <w:spacing w:after="240" w:line="240" w:lineRule="auto"/>
        <w:ind w:left="714" w:hanging="357"/>
        <w:jc w:val="left"/>
        <w:rPr>
          <w:rFonts w:ascii="Times New Roman" w:hAnsi="Times New Roman" w:cs="Times New Roman"/>
          <w:sz w:val="24"/>
          <w:szCs w:val="24"/>
        </w:rPr>
      </w:pPr>
      <w:r w:rsidRPr="001C3987">
        <w:rPr>
          <w:rFonts w:ascii="Times New Roman" w:hAnsi="Times New Roman" w:cs="Times New Roman"/>
          <w:sz w:val="24"/>
          <w:szCs w:val="24"/>
        </w:rPr>
        <w:t>patients with mild</w:t>
      </w:r>
      <w:r w:rsidR="002B3883" w:rsidRPr="001C3987">
        <w:rPr>
          <w:rFonts w:ascii="Times New Roman" w:hAnsi="Times New Roman" w:cs="Times New Roman"/>
          <w:sz w:val="24"/>
          <w:szCs w:val="24"/>
        </w:rPr>
        <w:t xml:space="preserve"> HMA</w:t>
      </w:r>
      <w:r w:rsidRPr="001C3987">
        <w:rPr>
          <w:rFonts w:ascii="Times New Roman" w:hAnsi="Times New Roman" w:cs="Times New Roman"/>
          <w:sz w:val="24"/>
          <w:szCs w:val="24"/>
        </w:rPr>
        <w:t xml:space="preserve">, but without inhibitors, who did not receive </w:t>
      </w:r>
      <w:r w:rsidR="00BB749C" w:rsidRPr="001C3987">
        <w:rPr>
          <w:rFonts w:ascii="Times New Roman" w:hAnsi="Times New Roman" w:cs="Times New Roman"/>
          <w:sz w:val="24"/>
          <w:szCs w:val="24"/>
        </w:rPr>
        <w:t xml:space="preserve">any HMA blood product treatment </w:t>
      </w:r>
      <w:r w:rsidRPr="001C3987">
        <w:rPr>
          <w:rFonts w:ascii="Times New Roman" w:hAnsi="Times New Roman" w:cs="Times New Roman"/>
          <w:sz w:val="24"/>
          <w:szCs w:val="24"/>
        </w:rPr>
        <w:t>in the preceding year: $</w:t>
      </w:r>
      <w:r w:rsidR="00F07FA4" w:rsidRPr="001C3987">
        <w:rPr>
          <w:rFonts w:ascii="Times New Roman" w:hAnsi="Times New Roman" w:cs="Times New Roman"/>
          <w:b/>
          <w:sz w:val="24"/>
          <w:szCs w:val="24"/>
        </w:rPr>
        <w:t>redacted</w:t>
      </w:r>
      <w:r w:rsidRPr="001C3987">
        <w:rPr>
          <w:rFonts w:ascii="Times New Roman" w:hAnsi="Times New Roman" w:cs="Times New Roman"/>
          <w:sz w:val="24"/>
          <w:szCs w:val="24"/>
        </w:rPr>
        <w:t>/mg</w:t>
      </w:r>
      <w:r w:rsidR="00B94C75" w:rsidRPr="001C3987">
        <w:rPr>
          <w:rFonts w:ascii="Times New Roman" w:hAnsi="Times New Roman" w:cs="Times New Roman"/>
          <w:sz w:val="24"/>
          <w:szCs w:val="24"/>
        </w:rPr>
        <w:t>.</w:t>
      </w:r>
    </w:p>
    <w:tbl>
      <w:tblPr>
        <w:tblStyle w:val="TableGrid"/>
        <w:tblW w:w="0" w:type="auto"/>
        <w:tblLook w:val="04A0" w:firstRow="1" w:lastRow="0" w:firstColumn="1" w:lastColumn="0" w:noHBand="0" w:noVBand="1"/>
        <w:tblDescription w:val="Consumer summary of MSAC consideration"/>
      </w:tblPr>
      <w:tblGrid>
        <w:gridCol w:w="9016"/>
      </w:tblGrid>
      <w:tr w:rsidR="00C56AC9" w14:paraId="3082673B" w14:textId="77777777" w:rsidTr="006F64E6">
        <w:trPr>
          <w:tblHeader/>
        </w:trPr>
        <w:tc>
          <w:tcPr>
            <w:tcW w:w="9242" w:type="dxa"/>
          </w:tcPr>
          <w:p w14:paraId="7D9FCF24" w14:textId="77777777" w:rsidR="00C56AC9" w:rsidRPr="003A48A9" w:rsidRDefault="00C56AC9" w:rsidP="00C56AC9">
            <w:pPr>
              <w:pStyle w:val="Heading2"/>
              <w:keepNext w:val="0"/>
              <w:keepLines w:val="0"/>
              <w:spacing w:before="120" w:after="120"/>
              <w:outlineLvl w:val="1"/>
              <w:rPr>
                <w:rFonts w:ascii="Times New Roman" w:hAnsi="Times New Roman" w:cs="Times New Roman"/>
                <w:b/>
                <w:i w:val="0"/>
              </w:rPr>
            </w:pPr>
            <w:r w:rsidRPr="003A48A9">
              <w:rPr>
                <w:rFonts w:ascii="Times New Roman" w:hAnsi="Times New Roman" w:cs="Times New Roman"/>
                <w:b/>
                <w:i w:val="0"/>
              </w:rPr>
              <w:t>Consumer summary</w:t>
            </w:r>
          </w:p>
          <w:p w14:paraId="569F7AF0" w14:textId="194F0B42" w:rsidR="00C56AC9" w:rsidRPr="00BC72A9" w:rsidRDefault="00C56AC9" w:rsidP="00BC72A9">
            <w:pPr>
              <w:spacing w:after="240"/>
              <w:rPr>
                <w:rFonts w:ascii="Times New Roman" w:hAnsi="Times New Roman" w:cs="Times New Roman"/>
                <w:sz w:val="22"/>
              </w:rPr>
            </w:pPr>
            <w:r w:rsidRPr="00C56AC9">
              <w:rPr>
                <w:rFonts w:ascii="Times New Roman" w:hAnsi="Times New Roman" w:cs="Times New Roman"/>
              </w:rPr>
              <w:t>Roche Products Pty Ltd applied for public funding for routine administration of emicizumab to prevent or reduce the frequency of bleeding episodes in patients with haemophilia A without factor VIII inhibitors.</w:t>
            </w:r>
          </w:p>
          <w:p w14:paraId="03999861" w14:textId="62634B7E" w:rsidR="00C56AC9" w:rsidRPr="00C56AC9" w:rsidRDefault="00C56AC9" w:rsidP="00BC72A9">
            <w:pPr>
              <w:spacing w:after="240"/>
              <w:rPr>
                <w:rFonts w:ascii="Times New Roman" w:hAnsi="Times New Roman" w:cs="Times New Roman"/>
              </w:rPr>
            </w:pPr>
            <w:r w:rsidRPr="00C56AC9">
              <w:rPr>
                <w:rFonts w:ascii="Times New Roman" w:hAnsi="Times New Roman" w:cs="Times New Roman"/>
              </w:rPr>
              <w:t>People with haemophilia A (HMA) cannot clot blood properly, which results in spontaneous bleeds or excessive bleeding from injury. People with severe or moderate HMA are often treated with the clotting factor VIII (FVIII) on a regular basis to reduce rates of bleeding (prophylaxis), or only receive FVIII when they have bleeding (treatment on demand). People with mild HMA may only require treatment with FVIII when they have a bleeding episode (treatment on demand).</w:t>
            </w:r>
          </w:p>
          <w:p w14:paraId="1FF63FF5" w14:textId="74D4FEF6" w:rsidR="00C56AC9" w:rsidRDefault="00C56AC9" w:rsidP="00BC72A9">
            <w:pPr>
              <w:spacing w:after="240"/>
              <w:rPr>
                <w:rFonts w:ascii="Times New Roman" w:hAnsi="Times New Roman" w:cs="Times New Roman"/>
              </w:rPr>
            </w:pPr>
            <w:r w:rsidRPr="00C56AC9">
              <w:rPr>
                <w:rFonts w:ascii="Times New Roman" w:hAnsi="Times New Roman" w:cs="Times New Roman"/>
              </w:rPr>
              <w:t>This application is for emicizumab, a medicine that reduces rates of bleeding, and also reduces the need for FVIII to manage those bleeds which do occur.</w:t>
            </w:r>
          </w:p>
          <w:p w14:paraId="75746EA2" w14:textId="006602ED" w:rsidR="00C56AC9" w:rsidRPr="00C56AC9" w:rsidRDefault="00C56AC9" w:rsidP="00C56AC9">
            <w:pPr>
              <w:spacing w:after="120"/>
              <w:rPr>
                <w:rFonts w:ascii="Times New Roman" w:hAnsi="Times New Roman" w:cs="Times New Roman"/>
                <w:b/>
              </w:rPr>
            </w:pPr>
            <w:r>
              <w:rPr>
                <w:rFonts w:ascii="Times New Roman" w:hAnsi="Times New Roman" w:cs="Times New Roman"/>
                <w:b/>
              </w:rPr>
              <w:t>MSAC’s recommendation</w:t>
            </w:r>
            <w:r w:rsidRPr="000A0160">
              <w:rPr>
                <w:rFonts w:ascii="Times New Roman" w:hAnsi="Times New Roman" w:cs="Times New Roman"/>
                <w:b/>
              </w:rPr>
              <w:t xml:space="preserve"> to the Commonwealth Health Minister</w:t>
            </w:r>
          </w:p>
          <w:p w14:paraId="3DC45875" w14:textId="0496FE89" w:rsidR="00C56AC9" w:rsidRPr="00C56AC9" w:rsidRDefault="00C56AC9" w:rsidP="00C56AC9">
            <w:pPr>
              <w:spacing w:after="120"/>
              <w:rPr>
                <w:rFonts w:ascii="Times New Roman" w:hAnsi="Times New Roman" w:cs="Times New Roman"/>
              </w:rPr>
            </w:pPr>
            <w:r w:rsidRPr="00C56AC9">
              <w:rPr>
                <w:rFonts w:ascii="Times New Roman" w:hAnsi="Times New Roman" w:cs="Times New Roman"/>
              </w:rPr>
              <w:t>MSAC considered that emicizumab is easier to administer than FVIII, and is acceptably safe. MSAC supported public funding on the National Product List for people with severe or moderate HMA without FVIII inhibitors. However, MSAC advised that the application did not justify the expense of emicizumab for all patients, and this supportive advice was subject to pricing negotiations with the applicant.</w:t>
            </w:r>
          </w:p>
        </w:tc>
      </w:tr>
    </w:tbl>
    <w:p w14:paraId="748EBE76" w14:textId="06BCB510" w:rsidR="00550354" w:rsidRPr="00F715D1" w:rsidRDefault="00550354" w:rsidP="00F715D1">
      <w:pPr>
        <w:pStyle w:val="Heading1"/>
      </w:pPr>
      <w:r w:rsidRPr="00F715D1">
        <w:t xml:space="preserve">Summary of consideration </w:t>
      </w:r>
      <w:r w:rsidR="00A55325">
        <w:t>and rationale for MSAC’s advice</w:t>
      </w:r>
    </w:p>
    <w:p w14:paraId="59C3D805" w14:textId="236FA443" w:rsidR="00B94C75" w:rsidRDefault="00B94C75" w:rsidP="00BC72A9">
      <w:pPr>
        <w:spacing w:after="240"/>
      </w:pPr>
      <w:r>
        <w:t xml:space="preserve">MSAC </w:t>
      </w:r>
      <w:r w:rsidR="00A55325">
        <w:t xml:space="preserve">recalled its </w:t>
      </w:r>
      <w:r>
        <w:t>consider</w:t>
      </w:r>
      <w:r w:rsidR="00A55325">
        <w:t>ation of</w:t>
      </w:r>
      <w:r>
        <w:t xml:space="preserve"> Application 1510 </w:t>
      </w:r>
      <w:r>
        <w:rPr>
          <w:bCs/>
        </w:rPr>
        <w:t>(</w:t>
      </w:r>
      <w:r w:rsidR="00A55325">
        <w:rPr>
          <w:bCs/>
        </w:rPr>
        <w:t xml:space="preserve">HMA </w:t>
      </w:r>
      <w:r>
        <w:rPr>
          <w:bCs/>
        </w:rPr>
        <w:t xml:space="preserve">with FVIII inhibitors) </w:t>
      </w:r>
      <w:r>
        <w:t xml:space="preserve">at its November 2018 meeting, where it accepted that emicizumab decreases bleed frequency. However, MSAC </w:t>
      </w:r>
      <w:r w:rsidR="00A55325">
        <w:t xml:space="preserve">had </w:t>
      </w:r>
      <w:r>
        <w:t>queried the cost-effectiveness</w:t>
      </w:r>
      <w:r w:rsidR="0074174D">
        <w:t xml:space="preserve"> of emicizumab</w:t>
      </w:r>
      <w:r w:rsidR="008A5B1E">
        <w:t xml:space="preserve"> for that population</w:t>
      </w:r>
      <w:r>
        <w:t>, as it was compared with bypass agents (BPAs)</w:t>
      </w:r>
      <w:r w:rsidR="00A55325">
        <w:t xml:space="preserve"> which had </w:t>
      </w:r>
      <w:r w:rsidR="00F31240">
        <w:t xml:space="preserve">a high cost per patient and had </w:t>
      </w:r>
      <w:r w:rsidR="00A55325">
        <w:t>not been assessed for cost-effectiveness</w:t>
      </w:r>
      <w:r>
        <w:t xml:space="preserve">. MSAC noted the </w:t>
      </w:r>
      <w:r w:rsidR="00A55325">
        <w:t xml:space="preserve">resulting </w:t>
      </w:r>
      <w:r>
        <w:t>high cost of emicizumab</w:t>
      </w:r>
      <w:r w:rsidR="00A55325">
        <w:t xml:space="preserve"> per patient</w:t>
      </w:r>
      <w:r>
        <w:t>, and considered that th</w:t>
      </w:r>
      <w:r w:rsidR="00A55325">
        <w:t>is</w:t>
      </w:r>
      <w:r>
        <w:t xml:space="preserve"> cost would need to decrease before it could consider </w:t>
      </w:r>
      <w:r w:rsidR="00A55325">
        <w:t xml:space="preserve">emicizumab to be </w:t>
      </w:r>
      <w:r w:rsidR="00F31240">
        <w:t xml:space="preserve">acceptably </w:t>
      </w:r>
      <w:r w:rsidR="00A55325">
        <w:t>cost-effective for the population</w:t>
      </w:r>
      <w:r w:rsidR="006D6602">
        <w:t xml:space="preserve"> with FVIII inhibitors</w:t>
      </w:r>
      <w:r w:rsidR="00A55325">
        <w:t>.</w:t>
      </w:r>
    </w:p>
    <w:p w14:paraId="7A351E02" w14:textId="4F22B1B9" w:rsidR="009816D3" w:rsidRDefault="00A55325" w:rsidP="00BC72A9">
      <w:pPr>
        <w:spacing w:after="240"/>
      </w:pPr>
      <w:r>
        <w:t xml:space="preserve">For the </w:t>
      </w:r>
      <w:r w:rsidR="006D6602">
        <w:t xml:space="preserve">requested moderate to severe </w:t>
      </w:r>
      <w:r>
        <w:t xml:space="preserve">HMA population without </w:t>
      </w:r>
      <w:r w:rsidR="006D6602">
        <w:t xml:space="preserve">FVIII </w:t>
      </w:r>
      <w:r>
        <w:t>inhibitors</w:t>
      </w:r>
      <w:r w:rsidR="006D6602">
        <w:t xml:space="preserve"> requested in this Application 1579</w:t>
      </w:r>
      <w:r>
        <w:t xml:space="preserve">, </w:t>
      </w:r>
      <w:r w:rsidR="00B94C75">
        <w:t xml:space="preserve">MSAC noted the clinical need for </w:t>
      </w:r>
      <w:r w:rsidR="00B94C75" w:rsidRPr="000D2193">
        <w:t xml:space="preserve">emicizumab, </w:t>
      </w:r>
      <w:r>
        <w:t xml:space="preserve">and its </w:t>
      </w:r>
      <w:r w:rsidR="00B94C75" w:rsidRPr="000D2193">
        <w:t>acceptable safety profile</w:t>
      </w:r>
      <w:r w:rsidR="00B94C75">
        <w:t xml:space="preserve"> and ease of administration</w:t>
      </w:r>
      <w:r w:rsidR="000205BF">
        <w:t xml:space="preserve">, which is both less invasive </w:t>
      </w:r>
      <w:r w:rsidR="0000264D">
        <w:t xml:space="preserve">than FVIII </w:t>
      </w:r>
      <w:r w:rsidR="000205BF">
        <w:t xml:space="preserve">and </w:t>
      </w:r>
      <w:r w:rsidR="0000264D">
        <w:t xml:space="preserve">less </w:t>
      </w:r>
      <w:r w:rsidR="000205BF">
        <w:t>frequent</w:t>
      </w:r>
      <w:r w:rsidR="0000264D">
        <w:t>ly injected when given as prophylaxis</w:t>
      </w:r>
      <w:r w:rsidR="00B94C75">
        <w:t xml:space="preserve">. It </w:t>
      </w:r>
      <w:r w:rsidR="00010C5A">
        <w:t xml:space="preserve">reduces the risk of bleeds in HMA, </w:t>
      </w:r>
      <w:r w:rsidR="00B94C75">
        <w:lastRenderedPageBreak/>
        <w:t xml:space="preserve">eliminates the peaks and troughs </w:t>
      </w:r>
      <w:r w:rsidR="00B96BDF">
        <w:t xml:space="preserve">of FVIII concentration </w:t>
      </w:r>
      <w:r w:rsidR="00B94C75">
        <w:t>currently seen when using FVIII</w:t>
      </w:r>
      <w:r w:rsidR="00C12534">
        <w:t xml:space="preserve"> prophylaxis</w:t>
      </w:r>
      <w:r w:rsidR="00DF4F00">
        <w:t>, and reduces the risk of developing FVIII inhibitors</w:t>
      </w:r>
      <w:r w:rsidR="00B94C75">
        <w:t>.</w:t>
      </w:r>
    </w:p>
    <w:p w14:paraId="4C10C7DB" w14:textId="68A5B6EF" w:rsidR="006B0BC1" w:rsidRDefault="009816D3" w:rsidP="00BC72A9">
      <w:pPr>
        <w:spacing w:after="240"/>
      </w:pPr>
      <w:r>
        <w:t xml:space="preserve">MSAC </w:t>
      </w:r>
      <w:r w:rsidR="00BB749C">
        <w:t>advised</w:t>
      </w:r>
      <w:r>
        <w:t xml:space="preserve"> that the most convincing </w:t>
      </w:r>
      <w:r w:rsidR="00BB749C">
        <w:t xml:space="preserve">clinical </w:t>
      </w:r>
      <w:r>
        <w:t>evidence comparing emicizumab with FVIII came from the randomised comparison against FVIII given on</w:t>
      </w:r>
      <w:r w:rsidR="0012193B">
        <w:t xml:space="preserve"> </w:t>
      </w:r>
      <w:r>
        <w:t xml:space="preserve">demand in adult patients with severe HMA in HAVEN 3, which showed reduced annualised bleed rates with emicizumab. Given the expected substitution patterns of emicizumab for FVIII, the more relevant but less convincing (non-randomised) comparisons of emicizumab versus FVIII prophylaxis were also in adult patients with severe HMA, and </w:t>
      </w:r>
      <w:r w:rsidR="00805AAB">
        <w:t>indirectly suggested varying reduced annualised bleed rates with emicizumab</w:t>
      </w:r>
      <w:r>
        <w:t xml:space="preserve">. MSAC further noted that no evidence comparing emicizumab and FVIII in terms of effectiveness was presented for the smaller subpopulations of paediatric patients and/or patients with moderate HMA. MSAC advised that the evidence in adults could be extrapolated to the paediatric population, and that the extrapolation of the evidence for reductions in annualised bleed rates across patients receiving prophylaxis in severe </w:t>
      </w:r>
      <w:r w:rsidR="003E05EE">
        <w:t>HMA</w:t>
      </w:r>
      <w:r>
        <w:t xml:space="preserve"> to patients receiving prophylaxis in moderate or mild </w:t>
      </w:r>
      <w:r w:rsidR="003E05EE">
        <w:t>HMA</w:t>
      </w:r>
      <w:r>
        <w:t xml:space="preserve"> should be on the basis of assuming a constant relative reduction applying to different annualised bleed rates with FVIII prophylaxis.</w:t>
      </w:r>
    </w:p>
    <w:p w14:paraId="5FA32FFC" w14:textId="0DF2EB5E" w:rsidR="00673498" w:rsidRDefault="006B0BC1" w:rsidP="00BC72A9">
      <w:pPr>
        <w:spacing w:after="240"/>
      </w:pPr>
      <w:r>
        <w:t xml:space="preserve">MSAC </w:t>
      </w:r>
      <w:r w:rsidR="00877B35">
        <w:t xml:space="preserve">advised that </w:t>
      </w:r>
      <w:r>
        <w:t xml:space="preserve">the </w:t>
      </w:r>
      <w:r w:rsidR="00B12FBF">
        <w:t>application’s economic evaluation provid</w:t>
      </w:r>
      <w:r w:rsidR="00877B35">
        <w:t>ed</w:t>
      </w:r>
      <w:r w:rsidR="00B12FBF">
        <w:t xml:space="preserve"> a</w:t>
      </w:r>
      <w:r w:rsidR="00877B35">
        <w:t>n acceptable</w:t>
      </w:r>
      <w:r w:rsidR="00B12FBF">
        <w:t xml:space="preserve"> basis for calculating a price for emicizumab </w:t>
      </w:r>
      <w:r w:rsidR="00591503">
        <w:t>of $</w:t>
      </w:r>
      <w:r w:rsidR="00ED2C04" w:rsidRPr="00ED2C04">
        <w:rPr>
          <w:b/>
          <w:szCs w:val="24"/>
        </w:rPr>
        <w:t>redacted</w:t>
      </w:r>
      <w:r w:rsidR="00591503">
        <w:t xml:space="preserve">/mg </w:t>
      </w:r>
      <w:r w:rsidR="00B12FBF">
        <w:t>that results in a cost per patient just less than that for FVIII prophylaxis i</w:t>
      </w:r>
      <w:r w:rsidR="006770A7">
        <w:t>n</w:t>
      </w:r>
      <w:r w:rsidR="00B12FBF">
        <w:t xml:space="preserve"> severe HMA. </w:t>
      </w:r>
      <w:r w:rsidR="00591503">
        <w:t>MSAC a</w:t>
      </w:r>
      <w:r w:rsidR="00DF4F00">
        <w:t>ccepted</w:t>
      </w:r>
      <w:r w:rsidR="00591503">
        <w:t xml:space="preserve"> that </w:t>
      </w:r>
      <w:r w:rsidR="00DF4F00">
        <w:t xml:space="preserve">the calculation of </w:t>
      </w:r>
      <w:r w:rsidR="00591503">
        <w:t>t</w:t>
      </w:r>
      <w:r w:rsidR="00B12FBF">
        <w:t xml:space="preserve">his </w:t>
      </w:r>
      <w:r>
        <w:t>cost</w:t>
      </w:r>
      <w:r w:rsidR="00591503">
        <w:t>-minimisation approach</w:t>
      </w:r>
      <w:r>
        <w:t xml:space="preserve"> </w:t>
      </w:r>
      <w:r w:rsidR="00B12FBF">
        <w:t xml:space="preserve">was </w:t>
      </w:r>
      <w:r w:rsidR="008A5B1E">
        <w:t>acceptable</w:t>
      </w:r>
      <w:r w:rsidR="00B12FBF">
        <w:t xml:space="preserve"> because it </w:t>
      </w:r>
      <w:r w:rsidR="00591503">
        <w:t xml:space="preserve">also </w:t>
      </w:r>
      <w:r w:rsidR="00027E5C">
        <w:t>estimated</w:t>
      </w:r>
      <w:r w:rsidR="00B12FBF">
        <w:t xml:space="preserve"> </w:t>
      </w:r>
      <w:r>
        <w:t>cost offsets of FVIII management of bleeds</w:t>
      </w:r>
      <w:r w:rsidR="00B12FBF">
        <w:t xml:space="preserve"> </w:t>
      </w:r>
      <w:r w:rsidR="00DF4F00">
        <w:t xml:space="preserve">(2% of total costs) </w:t>
      </w:r>
      <w:r w:rsidR="00B12FBF">
        <w:t xml:space="preserve">from </w:t>
      </w:r>
      <w:r>
        <w:t xml:space="preserve">the </w:t>
      </w:r>
      <w:r w:rsidR="00397F4E">
        <w:t xml:space="preserve">intrapatient </w:t>
      </w:r>
      <w:r w:rsidR="00B12FBF">
        <w:t>befor</w:t>
      </w:r>
      <w:r w:rsidR="0010250B">
        <w:t>e-and-after comparison</w:t>
      </w:r>
      <w:r w:rsidR="00877B35">
        <w:t>,</w:t>
      </w:r>
      <w:r w:rsidR="00B12FBF">
        <w:t xml:space="preserve"> rather than </w:t>
      </w:r>
      <w:r w:rsidR="00591503">
        <w:t xml:space="preserve">from </w:t>
      </w:r>
      <w:r w:rsidR="00B12FBF">
        <w:t>t</w:t>
      </w:r>
      <w:r w:rsidR="0010250B">
        <w:t>he indirect comparison</w:t>
      </w:r>
      <w:r w:rsidR="00B12FBF">
        <w:t>.</w:t>
      </w:r>
    </w:p>
    <w:p w14:paraId="7FF85EBB" w14:textId="347914A0" w:rsidR="00673498" w:rsidRDefault="00673498" w:rsidP="00BC72A9">
      <w:pPr>
        <w:spacing w:after="240"/>
      </w:pPr>
      <w:r>
        <w:t xml:space="preserve">However, MSAC did not accept that this approach justified </w:t>
      </w:r>
      <w:r w:rsidR="00591503">
        <w:t xml:space="preserve">the use of this </w:t>
      </w:r>
      <w:r>
        <w:t xml:space="preserve">price for emicizumab in the other requested subpopulations of patients with moderate HMA and/or patients currently receiving </w:t>
      </w:r>
      <w:r w:rsidR="00BB749C">
        <w:t>FVIII</w:t>
      </w:r>
      <w:r w:rsidR="0012193B">
        <w:rPr>
          <w:szCs w:val="24"/>
        </w:rPr>
        <w:t xml:space="preserve"> on demand</w:t>
      </w:r>
      <w:r>
        <w:t xml:space="preserve">. In addition, MSAC did not accept the inference that this approach justified </w:t>
      </w:r>
      <w:r w:rsidR="00591503">
        <w:t xml:space="preserve">the use of this </w:t>
      </w:r>
      <w:r>
        <w:t xml:space="preserve">price for emicizumab in the subpopulations </w:t>
      </w:r>
      <w:r w:rsidR="00877B35">
        <w:t xml:space="preserve">of HMA </w:t>
      </w:r>
      <w:r>
        <w:t xml:space="preserve">beyond those requested, including patients with mild HMA and/or patients with HMA </w:t>
      </w:r>
      <w:r w:rsidR="002B3883">
        <w:t xml:space="preserve">who did </w:t>
      </w:r>
      <w:r>
        <w:t>not receiv</w:t>
      </w:r>
      <w:r w:rsidR="002B3883">
        <w:t>e</w:t>
      </w:r>
      <w:r>
        <w:t xml:space="preserve"> </w:t>
      </w:r>
      <w:r w:rsidR="00877B35">
        <w:t>any HMA blood product in the previous year</w:t>
      </w:r>
      <w:r>
        <w:t>.</w:t>
      </w:r>
    </w:p>
    <w:p w14:paraId="6F30A3CD" w14:textId="0B60E33E" w:rsidR="00B94C75" w:rsidRDefault="00B94C75" w:rsidP="00BC72A9">
      <w:pPr>
        <w:spacing w:after="240"/>
      </w:pPr>
      <w:r>
        <w:t xml:space="preserve">The applicant initially estimated that </w:t>
      </w:r>
      <w:r w:rsidR="00ED2C04">
        <w:t>a maximum of</w:t>
      </w:r>
      <w:r w:rsidR="004B16CA">
        <w:t xml:space="preserve"> </w:t>
      </w:r>
      <w:r>
        <w:t xml:space="preserve">100% of patients with severe </w:t>
      </w:r>
      <w:r w:rsidR="000B7682">
        <w:t xml:space="preserve">and moderate </w:t>
      </w:r>
      <w:r>
        <w:t xml:space="preserve">HMA on </w:t>
      </w:r>
      <w:r w:rsidR="00A55325">
        <w:t xml:space="preserve">FVIII </w:t>
      </w:r>
      <w:r>
        <w:t xml:space="preserve">prophylaxis treatment would switch to emicizumab </w:t>
      </w:r>
      <w:r w:rsidR="00990C9C">
        <w:t>after the first year of funding</w:t>
      </w:r>
      <w:r>
        <w:t xml:space="preserve">. </w:t>
      </w:r>
      <w:r w:rsidR="00990C9C">
        <w:t>In the related application 1510.1, t</w:t>
      </w:r>
      <w:r>
        <w:t xml:space="preserve">he applicant then revised its </w:t>
      </w:r>
      <w:r w:rsidR="004B16CA">
        <w:t xml:space="preserve">uptake </w:t>
      </w:r>
      <w:r>
        <w:t xml:space="preserve">estimate </w:t>
      </w:r>
      <w:r w:rsidR="004B16CA">
        <w:t xml:space="preserve">for adults </w:t>
      </w:r>
      <w:r>
        <w:t xml:space="preserve">to 60% based on clinical input and international experience, but did not present evidence to support either estimate. MSAC considered that at least 80% </w:t>
      </w:r>
      <w:r w:rsidR="00A55325">
        <w:t xml:space="preserve">of this subpopulation </w:t>
      </w:r>
      <w:r>
        <w:t>would likely switch to e</w:t>
      </w:r>
      <w:r w:rsidR="00A55325">
        <w:t>micizumab if it were available.</w:t>
      </w:r>
    </w:p>
    <w:p w14:paraId="6DD19E11" w14:textId="6E359EBA" w:rsidR="00B94C75" w:rsidRDefault="00B94C75" w:rsidP="00BC72A9">
      <w:pPr>
        <w:spacing w:after="240"/>
      </w:pPr>
      <w:r>
        <w:t>Th</w:t>
      </w:r>
      <w:r w:rsidR="00652E2F">
        <w:t>e related re-</w:t>
      </w:r>
      <w:r>
        <w:t xml:space="preserve">application </w:t>
      </w:r>
      <w:r w:rsidR="00652E2F">
        <w:t xml:space="preserve">1510.1 </w:t>
      </w:r>
      <w:r>
        <w:t xml:space="preserve">proposed a weighted </w:t>
      </w:r>
      <w:r w:rsidR="00652E2F">
        <w:t xml:space="preserve">average </w:t>
      </w:r>
      <w:r>
        <w:t xml:space="preserve">price arrangement </w:t>
      </w:r>
      <w:r w:rsidR="007C4940">
        <w:t xml:space="preserve">across the </w:t>
      </w:r>
      <w:r w:rsidR="00867FD5">
        <w:t xml:space="preserve">requested </w:t>
      </w:r>
      <w:r w:rsidR="007C4940">
        <w:t>HMA subpopulations with and without FVIII inhibitors</w:t>
      </w:r>
      <w:r w:rsidR="00652E2F">
        <w:t xml:space="preserve"> and an associated risk sharing arrangement (RSA)</w:t>
      </w:r>
      <w:r>
        <w:t>. MSAC noted the applicant’s proposed shadow price of $</w:t>
      </w:r>
      <w:r w:rsidR="00ED2C04" w:rsidRPr="00ED2C04">
        <w:rPr>
          <w:b/>
          <w:szCs w:val="24"/>
        </w:rPr>
        <w:t>redacted</w:t>
      </w:r>
      <w:r>
        <w:t>/</w:t>
      </w:r>
      <w:r w:rsidR="00652E2F">
        <w:t>m</w:t>
      </w:r>
      <w:r>
        <w:t xml:space="preserve">g for </w:t>
      </w:r>
      <w:r w:rsidR="00652E2F">
        <w:t>all requested patients without inhibitors</w:t>
      </w:r>
      <w:r w:rsidRPr="006B3AEA">
        <w:t xml:space="preserve"> and $</w:t>
      </w:r>
      <w:r w:rsidR="00ED2C04" w:rsidRPr="00ED2C04">
        <w:rPr>
          <w:b/>
          <w:szCs w:val="24"/>
        </w:rPr>
        <w:t>redacted</w:t>
      </w:r>
      <w:r w:rsidRPr="006B3AEA">
        <w:t>/</w:t>
      </w:r>
      <w:r w:rsidR="00652E2F">
        <w:t>m</w:t>
      </w:r>
      <w:r w:rsidRPr="006B3AEA">
        <w:t xml:space="preserve">g for </w:t>
      </w:r>
      <w:r w:rsidR="00652E2F">
        <w:t>all requested patients with inhibitors</w:t>
      </w:r>
      <w:r w:rsidRPr="006B3AEA">
        <w:t xml:space="preserve"> in year 1 (</w:t>
      </w:r>
      <w:r w:rsidR="00652E2F">
        <w:t xml:space="preserve">estimating a </w:t>
      </w:r>
      <w:r w:rsidRPr="006B3AEA">
        <w:t xml:space="preserve">weighted </w:t>
      </w:r>
      <w:r w:rsidR="00652E2F">
        <w:t xml:space="preserve">average </w:t>
      </w:r>
      <w:r w:rsidRPr="006B3AEA">
        <w:t>price of $</w:t>
      </w:r>
      <w:r w:rsidR="00ED2C04" w:rsidRPr="00ED2C04">
        <w:rPr>
          <w:b/>
          <w:szCs w:val="24"/>
        </w:rPr>
        <w:t>redacted</w:t>
      </w:r>
      <w:r w:rsidRPr="006B3AEA">
        <w:t>/</w:t>
      </w:r>
      <w:r w:rsidR="00652E2F">
        <w:t>m</w:t>
      </w:r>
      <w:r w:rsidRPr="006B3AEA">
        <w:t xml:space="preserve">g). The </w:t>
      </w:r>
      <w:r w:rsidR="00652E2F">
        <w:t xml:space="preserve">shadow </w:t>
      </w:r>
      <w:r w:rsidRPr="006B3AEA">
        <w:t xml:space="preserve">price for the population </w:t>
      </w:r>
      <w:r w:rsidR="00652E2F">
        <w:t xml:space="preserve">with inhibitors </w:t>
      </w:r>
      <w:r w:rsidR="006C1F43">
        <w:t xml:space="preserve">would </w:t>
      </w:r>
      <w:r>
        <w:t xml:space="preserve">then </w:t>
      </w:r>
      <w:r w:rsidRPr="006B3AEA">
        <w:t xml:space="preserve">decrease </w:t>
      </w:r>
      <w:r w:rsidR="00652E2F">
        <w:t xml:space="preserve">each year </w:t>
      </w:r>
      <w:r w:rsidRPr="006B3AEA">
        <w:t>to $</w:t>
      </w:r>
      <w:r w:rsidR="00ED2C04" w:rsidRPr="00ED2C04">
        <w:rPr>
          <w:b/>
          <w:szCs w:val="24"/>
        </w:rPr>
        <w:t>redacted</w:t>
      </w:r>
      <w:r w:rsidRPr="006B3AEA">
        <w:t>/</w:t>
      </w:r>
      <w:r w:rsidR="004E4C79">
        <w:t>m</w:t>
      </w:r>
      <w:r w:rsidRPr="006B3AEA">
        <w:t xml:space="preserve">g </w:t>
      </w:r>
      <w:r w:rsidR="00652E2F">
        <w:t>at</w:t>
      </w:r>
      <w:r w:rsidRPr="006B3AEA">
        <w:t xml:space="preserve"> year 5</w:t>
      </w:r>
      <w:r w:rsidR="006C1F43">
        <w:t>,</w:t>
      </w:r>
      <w:r w:rsidRPr="006B3AEA">
        <w:t xml:space="preserve"> with the </w:t>
      </w:r>
      <w:r w:rsidR="00652E2F">
        <w:t xml:space="preserve">shadow price for the </w:t>
      </w:r>
      <w:r w:rsidRPr="006B3AEA">
        <w:t xml:space="preserve">population </w:t>
      </w:r>
      <w:r w:rsidR="00652E2F">
        <w:t>with</w:t>
      </w:r>
      <w:r w:rsidR="00730D5D">
        <w:t>out</w:t>
      </w:r>
      <w:r w:rsidR="00652E2F">
        <w:t xml:space="preserve"> inhibitors </w:t>
      </w:r>
      <w:r w:rsidRPr="006B3AEA">
        <w:t xml:space="preserve">remaining the same, giving a weighted </w:t>
      </w:r>
      <w:r w:rsidR="00652E2F">
        <w:t xml:space="preserve">average </w:t>
      </w:r>
      <w:r w:rsidRPr="006B3AEA">
        <w:t>price of $</w:t>
      </w:r>
      <w:r w:rsidR="00ED2C04" w:rsidRPr="00ED2C04">
        <w:rPr>
          <w:b/>
          <w:szCs w:val="24"/>
        </w:rPr>
        <w:t>redacted</w:t>
      </w:r>
      <w:r w:rsidRPr="006B3AEA">
        <w:t>/</w:t>
      </w:r>
      <w:r w:rsidR="004E4C79">
        <w:t>m</w:t>
      </w:r>
      <w:r w:rsidRPr="006B3AEA">
        <w:t>g</w:t>
      </w:r>
      <w:r>
        <w:t xml:space="preserve"> in year 5</w:t>
      </w:r>
      <w:r w:rsidRPr="006B3AEA">
        <w:t>.</w:t>
      </w:r>
      <w:r>
        <w:t xml:space="preserve"> These </w:t>
      </w:r>
      <w:r w:rsidR="004C5ABD">
        <w:t xml:space="preserve">proposed shadow </w:t>
      </w:r>
      <w:r>
        <w:t xml:space="preserve">prices </w:t>
      </w:r>
      <w:r w:rsidR="004C5ABD">
        <w:t>were</w:t>
      </w:r>
      <w:r>
        <w:t xml:space="preserve"> contingent on funding emicizumab for both </w:t>
      </w:r>
      <w:r w:rsidRPr="000D2193">
        <w:t>populations</w:t>
      </w:r>
      <w:r w:rsidR="004C5ABD">
        <w:t xml:space="preserve"> before the end of 2019</w:t>
      </w:r>
      <w:r w:rsidRPr="000D2193">
        <w:t xml:space="preserve">. The </w:t>
      </w:r>
      <w:r w:rsidR="006C1F43">
        <w:t xml:space="preserve">resulting </w:t>
      </w:r>
      <w:r w:rsidRPr="000D2193">
        <w:t xml:space="preserve">weighted </w:t>
      </w:r>
      <w:r w:rsidR="004C5ABD">
        <w:t xml:space="preserve">average </w:t>
      </w:r>
      <w:r w:rsidRPr="000D2193">
        <w:t xml:space="preserve">price </w:t>
      </w:r>
      <w:r w:rsidR="006C1F43">
        <w:t xml:space="preserve">would </w:t>
      </w:r>
      <w:r w:rsidRPr="000D2193">
        <w:t>reflect</w:t>
      </w:r>
      <w:r w:rsidR="006C1F43">
        <w:t xml:space="preserve"> </w:t>
      </w:r>
      <w:r w:rsidR="004C5ABD">
        <w:t>the applicant’s estimated</w:t>
      </w:r>
      <w:r w:rsidRPr="000D2193">
        <w:t xml:space="preserve"> ratio of 9% </w:t>
      </w:r>
      <w:r w:rsidR="004C5ABD">
        <w:t xml:space="preserve">with inhibitors to </w:t>
      </w:r>
      <w:r w:rsidRPr="000D2193">
        <w:t xml:space="preserve">91% </w:t>
      </w:r>
      <w:r w:rsidR="004C5ABD">
        <w:t>without inhibitors</w:t>
      </w:r>
      <w:r w:rsidRPr="000D2193">
        <w:t xml:space="preserve"> </w:t>
      </w:r>
      <w:r w:rsidR="000B7682">
        <w:t xml:space="preserve">in the target </w:t>
      </w:r>
      <w:r w:rsidR="00EA3095">
        <w:t xml:space="preserve">HMA </w:t>
      </w:r>
      <w:r w:rsidRPr="000D2193">
        <w:t xml:space="preserve">population. MSAC noted that the population </w:t>
      </w:r>
      <w:r w:rsidR="004C5ABD">
        <w:t xml:space="preserve">with inhibitors </w:t>
      </w:r>
      <w:r w:rsidRPr="000D2193">
        <w:t>w</w:t>
      </w:r>
      <w:r w:rsidR="004C5ABD">
        <w:t>ould</w:t>
      </w:r>
      <w:r w:rsidRPr="000D2193">
        <w:t xml:space="preserve"> likely decrease over time, </w:t>
      </w:r>
      <w:r w:rsidR="004C5ABD">
        <w:t xml:space="preserve">but so slowly as unlikely to affect </w:t>
      </w:r>
      <w:r w:rsidR="00A558B5">
        <w:t xml:space="preserve">the 4-year timeframe of the proposed initial </w:t>
      </w:r>
      <w:r w:rsidR="004C5ABD">
        <w:t>RSA</w:t>
      </w:r>
      <w:r>
        <w:t xml:space="preserve">. MSAC also </w:t>
      </w:r>
      <w:r>
        <w:lastRenderedPageBreak/>
        <w:t xml:space="preserve">noted that Australian Bleeding Disorders Registry (ABDR) data shows that the proportion of </w:t>
      </w:r>
      <w:r w:rsidR="009B28FF">
        <w:t>patients</w:t>
      </w:r>
      <w:r>
        <w:t xml:space="preserve"> </w:t>
      </w:r>
      <w:r w:rsidR="004C5ABD">
        <w:t xml:space="preserve">with inhibitors </w:t>
      </w:r>
      <w:r>
        <w:t xml:space="preserve">is </w:t>
      </w:r>
      <w:r w:rsidR="00B96BDF">
        <w:t xml:space="preserve">approximately </w:t>
      </w:r>
      <w:r>
        <w:t>2%</w:t>
      </w:r>
      <w:r w:rsidR="009B28FF">
        <w:t xml:space="preserve"> in the overall HMA population</w:t>
      </w:r>
      <w:r>
        <w:t xml:space="preserve">, not 9%. MSAC considered that this </w:t>
      </w:r>
      <w:r w:rsidR="004C5ABD">
        <w:t>wa</w:t>
      </w:r>
      <w:r w:rsidR="00A558B5">
        <w:t>s</w:t>
      </w:r>
      <w:r>
        <w:t xml:space="preserve"> a significant difference </w:t>
      </w:r>
      <w:r w:rsidR="006C1F43">
        <w:t xml:space="preserve">in estimates </w:t>
      </w:r>
      <w:r>
        <w:t>and the true proportion needs to be determined.</w:t>
      </w:r>
    </w:p>
    <w:p w14:paraId="45F5F5CB" w14:textId="408FCDC5" w:rsidR="00B94C75" w:rsidRDefault="00B94C75" w:rsidP="00BC72A9">
      <w:pPr>
        <w:spacing w:after="240"/>
      </w:pPr>
      <w:r>
        <w:t xml:space="preserve">MSAC noted that the </w:t>
      </w:r>
      <w:r w:rsidR="00867FD5">
        <w:t>re</w:t>
      </w:r>
      <w:r w:rsidR="0088167C">
        <w:t xml:space="preserve">submission for </w:t>
      </w:r>
      <w:r w:rsidR="00867FD5">
        <w:t>application 1510.1</w:t>
      </w:r>
      <w:r>
        <w:t xml:space="preserve"> also proposed </w:t>
      </w:r>
      <w:r w:rsidR="00867FD5">
        <w:t>expenditure</w:t>
      </w:r>
      <w:r>
        <w:t xml:space="preserve"> cap</w:t>
      </w:r>
      <w:r w:rsidR="004E4C79">
        <w:t>s</w:t>
      </w:r>
      <w:r w:rsidR="004E4C79" w:rsidRPr="004E4C79">
        <w:t xml:space="preserve"> </w:t>
      </w:r>
      <w:r w:rsidR="004E4C79">
        <w:t>for emicizumab</w:t>
      </w:r>
      <w:r>
        <w:t xml:space="preserve"> of $</w:t>
      </w:r>
      <w:r w:rsidR="00ED2C04" w:rsidRPr="00ED2C04">
        <w:rPr>
          <w:b/>
          <w:szCs w:val="24"/>
        </w:rPr>
        <w:t>redacted</w:t>
      </w:r>
      <w:r w:rsidR="00ED2C04" w:rsidDel="00ED2C04">
        <w:t xml:space="preserve"> </w:t>
      </w:r>
      <w:r>
        <w:t>million in year 1 increasing each year to $</w:t>
      </w:r>
      <w:r w:rsidR="00ED2C04" w:rsidRPr="00ED2C04">
        <w:rPr>
          <w:b/>
          <w:szCs w:val="24"/>
        </w:rPr>
        <w:t>redacted</w:t>
      </w:r>
      <w:r w:rsidR="00ED2C04">
        <w:rPr>
          <w:b/>
          <w:szCs w:val="24"/>
        </w:rPr>
        <w:t> </w:t>
      </w:r>
      <w:r>
        <w:t xml:space="preserve">million in year 5. If </w:t>
      </w:r>
      <w:r w:rsidR="00867FD5">
        <w:t xml:space="preserve">an expenditure </w:t>
      </w:r>
      <w:r>
        <w:t>cap is exceeded, then the lower price of $</w:t>
      </w:r>
      <w:r w:rsidR="00ED2C04" w:rsidRPr="00ED2C04">
        <w:rPr>
          <w:b/>
          <w:szCs w:val="24"/>
        </w:rPr>
        <w:t>redacted</w:t>
      </w:r>
      <w:r>
        <w:t>/</w:t>
      </w:r>
      <w:r w:rsidR="004E4C79">
        <w:t>m</w:t>
      </w:r>
      <w:r>
        <w:t>g w</w:t>
      </w:r>
      <w:r w:rsidR="00867FD5">
        <w:t>ould</w:t>
      </w:r>
      <w:r>
        <w:t xml:space="preserve"> apply to all </w:t>
      </w:r>
      <w:r w:rsidR="00867FD5">
        <w:t>emicizumab usage beyond the cap</w:t>
      </w:r>
      <w:r>
        <w:t xml:space="preserve">. MSAC considered this RSA to be inadequate, as it </w:t>
      </w:r>
      <w:r w:rsidR="00867FD5">
        <w:t>would</w:t>
      </w:r>
      <w:r>
        <w:t xml:space="preserve"> not disincentivise treating mild patients and thus </w:t>
      </w:r>
      <w:r w:rsidR="00867FD5">
        <w:t xml:space="preserve">does not address the concern of </w:t>
      </w:r>
      <w:r>
        <w:t xml:space="preserve">leakage </w:t>
      </w:r>
      <w:r w:rsidR="00867FD5">
        <w:t>beyond the requested subpopulations</w:t>
      </w:r>
      <w:r>
        <w:t xml:space="preserve">. MSAC noted that, currently, </w:t>
      </w:r>
      <w:r w:rsidR="00867FD5">
        <w:t xml:space="preserve">very few </w:t>
      </w:r>
      <w:r>
        <w:t xml:space="preserve">patients </w:t>
      </w:r>
      <w:r w:rsidR="00B96BDF">
        <w:t xml:space="preserve">with mild HMA </w:t>
      </w:r>
      <w:r>
        <w:t xml:space="preserve">are treated prophylactically, but the RSA should still </w:t>
      </w:r>
      <w:r w:rsidR="00867FD5">
        <w:t>account for</w:t>
      </w:r>
      <w:r>
        <w:t xml:space="preserve"> </w:t>
      </w:r>
      <w:r w:rsidR="00E604CD">
        <w:t>emicizumab prophylaxis</w:t>
      </w:r>
      <w:r>
        <w:t xml:space="preserve"> as a future possibility</w:t>
      </w:r>
      <w:r w:rsidR="00B96BDF">
        <w:t xml:space="preserve"> for such patients</w:t>
      </w:r>
      <w:r>
        <w:t xml:space="preserve">. MSAC also noted that the RSA is based on the cost of FVIII. MSAC considered that the cost of FVIII would decrease in the future, and thus the cost of emicizumab could be linked to the falling </w:t>
      </w:r>
      <w:r w:rsidR="00867FD5">
        <w:t>cost</w:t>
      </w:r>
      <w:r>
        <w:t xml:space="preserve"> of FVIII.</w:t>
      </w:r>
    </w:p>
    <w:p w14:paraId="1C23F936" w14:textId="5C68AD82" w:rsidR="00B94C75" w:rsidRDefault="00B94C75" w:rsidP="00B94C75">
      <w:r>
        <w:t xml:space="preserve">MSAC </w:t>
      </w:r>
      <w:r w:rsidR="00046164">
        <w:t xml:space="preserve">advised </w:t>
      </w:r>
      <w:r>
        <w:t xml:space="preserve">that using </w:t>
      </w:r>
      <w:r w:rsidR="00046164">
        <w:t xml:space="preserve">the proposed </w:t>
      </w:r>
      <w:r>
        <w:t xml:space="preserve">weighted </w:t>
      </w:r>
      <w:r w:rsidR="00BF629A">
        <w:t xml:space="preserve">average </w:t>
      </w:r>
      <w:r>
        <w:t xml:space="preserve">price </w:t>
      </w:r>
      <w:r w:rsidR="00046164">
        <w:t xml:space="preserve">was not adequately justified in economic terms, and </w:t>
      </w:r>
      <w:r w:rsidR="006C1F43">
        <w:t xml:space="preserve">would </w:t>
      </w:r>
      <w:r w:rsidR="00046164">
        <w:t xml:space="preserve">also </w:t>
      </w:r>
      <w:r>
        <w:t>still result in uncertainties for overall financial impact, as on-demand patients are not accounted for</w:t>
      </w:r>
      <w:r w:rsidR="00046164">
        <w:t xml:space="preserve">, and leakage into the mild and untreated </w:t>
      </w:r>
      <w:r w:rsidR="006C1F43">
        <w:t xml:space="preserve">HMA </w:t>
      </w:r>
      <w:r w:rsidR="00046164">
        <w:t xml:space="preserve">populations remains </w:t>
      </w:r>
      <w:r w:rsidR="006C1F43">
        <w:t>a</w:t>
      </w:r>
      <w:r w:rsidR="00046164">
        <w:t xml:space="preserve"> concern</w:t>
      </w:r>
      <w:r>
        <w:t xml:space="preserve">. On-demand patients </w:t>
      </w:r>
      <w:r w:rsidR="00AB5307">
        <w:t>have a higher annualised bleeding rate as compared to those receiving prophylaxis</w:t>
      </w:r>
      <w:r>
        <w:t>, and treating the</w:t>
      </w:r>
      <w:r w:rsidR="00BF629A">
        <w:t>se bleeds</w:t>
      </w:r>
      <w:r>
        <w:t xml:space="preserve"> is costly and must be factored into the financial calculations. In addition, the applicant’s RSA did not eliminate all </w:t>
      </w:r>
      <w:r w:rsidR="00046164">
        <w:t xml:space="preserve">financial </w:t>
      </w:r>
      <w:r>
        <w:t>risk</w:t>
      </w:r>
      <w:r w:rsidR="00046164">
        <w:t>s of leakage</w:t>
      </w:r>
      <w:r>
        <w:t>.</w:t>
      </w:r>
    </w:p>
    <w:p w14:paraId="639AA84A" w14:textId="0D5B94D0" w:rsidR="00B94C75" w:rsidRDefault="00046164" w:rsidP="00BC72A9">
      <w:pPr>
        <w:spacing w:before="240" w:after="240"/>
      </w:pPr>
      <w:r>
        <w:t xml:space="preserve">In this context, </w:t>
      </w:r>
      <w:r w:rsidR="00B94C75">
        <w:t xml:space="preserve">MSAC </w:t>
      </w:r>
      <w:r>
        <w:t xml:space="preserve">also </w:t>
      </w:r>
      <w:r w:rsidR="00B94C75">
        <w:t>noted the strong consumer and industry support for emicizumab, and the</w:t>
      </w:r>
      <w:r w:rsidR="00BF629A">
        <w:t>ir expectations of an</w:t>
      </w:r>
      <w:r w:rsidR="00B94C75">
        <w:t xml:space="preserve"> increase in </w:t>
      </w:r>
      <w:r w:rsidR="00C32664">
        <w:t xml:space="preserve">patient </w:t>
      </w:r>
      <w:r w:rsidR="00B94C75">
        <w:t xml:space="preserve">quality of life </w:t>
      </w:r>
      <w:r w:rsidR="00C32664">
        <w:t xml:space="preserve">and flow-on consequences for families and productivity </w:t>
      </w:r>
      <w:r w:rsidR="00B94C75">
        <w:t>associated with using it compared with FVIII.</w:t>
      </w:r>
    </w:p>
    <w:p w14:paraId="1A616558" w14:textId="155D7BF0" w:rsidR="00877B35" w:rsidRDefault="00877B35" w:rsidP="00BC72A9">
      <w:pPr>
        <w:spacing w:after="240"/>
      </w:pPr>
      <w:r>
        <w:t xml:space="preserve">MSAC therefore advised that alternative approaches were needed to generate shadow prices </w:t>
      </w:r>
      <w:r w:rsidR="00046164">
        <w:t xml:space="preserve">and a revised RSA </w:t>
      </w:r>
      <w:r>
        <w:t xml:space="preserve">for emicizumab across all the affected </w:t>
      </w:r>
      <w:r w:rsidR="00BF629A">
        <w:t xml:space="preserve">HMA </w:t>
      </w:r>
      <w:r>
        <w:t>subpopulations</w:t>
      </w:r>
      <w:r w:rsidR="00BF629A">
        <w:t>, whether requested or not</w:t>
      </w:r>
      <w:r>
        <w:t>.</w:t>
      </w:r>
      <w:r w:rsidR="006C6834">
        <w:t xml:space="preserve"> MSAC further advised that the most recent ABDR data be used in calculating these shadow prices and so the calculations and results of this approach in th</w:t>
      </w:r>
      <w:r w:rsidR="002B30DF">
        <w:t>is</w:t>
      </w:r>
      <w:r w:rsidR="006C6834">
        <w:t xml:space="preserve"> MSAC-ratified </w:t>
      </w:r>
      <w:r w:rsidR="002B30DF">
        <w:t>document</w:t>
      </w:r>
      <w:r w:rsidR="006C6834">
        <w:t xml:space="preserve"> were finalised using ABDR data that became available soon</w:t>
      </w:r>
      <w:r w:rsidR="006C6834" w:rsidRPr="006C6834">
        <w:t xml:space="preserve"> </w:t>
      </w:r>
      <w:r w:rsidR="006C6834">
        <w:t>after the MSAC meeting itself.</w:t>
      </w:r>
    </w:p>
    <w:p w14:paraId="21367ED8" w14:textId="4302D5A6" w:rsidR="00D13436" w:rsidRDefault="00877B35" w:rsidP="00BC72A9">
      <w:pPr>
        <w:spacing w:after="240"/>
      </w:pPr>
      <w:r>
        <w:t xml:space="preserve">For patients starting emicizumab who previously received prophylaxis, MSAC advised that the shadow price for emicizumab be linked to its ability to reduce </w:t>
      </w:r>
      <w:r w:rsidR="00D13436">
        <w:t xml:space="preserve">annualised </w:t>
      </w:r>
      <w:r>
        <w:t>bleed rates</w:t>
      </w:r>
      <w:r w:rsidR="000205BF">
        <w:t>, noting the consequences of bleeds for patient outcomes and extra costs</w:t>
      </w:r>
      <w:r>
        <w:t xml:space="preserve">. </w:t>
      </w:r>
      <w:r w:rsidR="00D13436">
        <w:t>MSAC noted the growing clinical trend towards achieving zero annualised bleeds, and accepted this as clinically valuable, and possibly more important clinically. However, MSAC considered that annualised bleed rates have been estimated with greater confidence, and are therefore a preferred basis by which to benchmark shadow prices for emicizumab for patients starting emicizumab who previously received prophylaxis.</w:t>
      </w:r>
    </w:p>
    <w:p w14:paraId="489ED8C7" w14:textId="1F66C083" w:rsidR="00877B35" w:rsidRDefault="00877B35" w:rsidP="00B930F4">
      <w:r>
        <w:t>At the requested price of $</w:t>
      </w:r>
      <w:r w:rsidR="00ED2C04" w:rsidRPr="00ED2C04">
        <w:rPr>
          <w:b/>
          <w:szCs w:val="24"/>
        </w:rPr>
        <w:t>redacted</w:t>
      </w:r>
      <w:r>
        <w:t xml:space="preserve">/mg justified </w:t>
      </w:r>
      <w:r w:rsidR="00A04564">
        <w:t xml:space="preserve">by the applicant </w:t>
      </w:r>
      <w:r w:rsidR="00EA3568">
        <w:t xml:space="preserve">using </w:t>
      </w:r>
      <w:r>
        <w:t xml:space="preserve"> a cost- </w:t>
      </w:r>
      <w:r w:rsidR="009452B5">
        <w:t xml:space="preserve">consequences </w:t>
      </w:r>
      <w:r w:rsidR="00EA3568">
        <w:t xml:space="preserve"> analysis </w:t>
      </w:r>
      <w:r>
        <w:t xml:space="preserve">for patients </w:t>
      </w:r>
      <w:r w:rsidR="006770A7">
        <w:t xml:space="preserve">with severe </w:t>
      </w:r>
      <w:r w:rsidR="009E3DFC">
        <w:t xml:space="preserve">and moderate </w:t>
      </w:r>
      <w:r w:rsidR="006770A7">
        <w:t xml:space="preserve">HMA without inhibitors who previously </w:t>
      </w:r>
      <w:r>
        <w:t>receiv</w:t>
      </w:r>
      <w:r w:rsidR="006770A7">
        <w:t>ed</w:t>
      </w:r>
      <w:r>
        <w:t xml:space="preserve"> prophylaxis, </w:t>
      </w:r>
      <w:r w:rsidR="00BA1928">
        <w:t xml:space="preserve">MSAC calculated </w:t>
      </w:r>
      <w:r>
        <w:t xml:space="preserve">the cost per annualised bleed averted </w:t>
      </w:r>
      <w:r w:rsidR="00BA1928">
        <w:t xml:space="preserve">for severe HMA patients on a cost-minimisation basis </w:t>
      </w:r>
      <w:r>
        <w:t>from Table 5 is $</w:t>
      </w:r>
      <w:r w:rsidR="00ED2C04" w:rsidRPr="00ED2C04">
        <w:rPr>
          <w:b/>
          <w:szCs w:val="24"/>
        </w:rPr>
        <w:t>redacted</w:t>
      </w:r>
      <w:r>
        <w:t>/(4.8-1.5) = $</w:t>
      </w:r>
      <w:r w:rsidR="00ED2C04" w:rsidRPr="00ED2C04">
        <w:rPr>
          <w:b/>
          <w:szCs w:val="24"/>
        </w:rPr>
        <w:t>redacted</w:t>
      </w:r>
      <w:r w:rsidR="003E1FF3">
        <w:t>/mg</w:t>
      </w:r>
      <w:r>
        <w:t>. The associated relative rate is 0.32 (95% CI: 0.195, 0.514), and the associated relative rate reduction is 1-0.32 = 0.68.</w:t>
      </w:r>
    </w:p>
    <w:p w14:paraId="10EF2BDA" w14:textId="77777777" w:rsidR="00877B35" w:rsidRDefault="00877B35" w:rsidP="00B930F4">
      <w:r>
        <w:lastRenderedPageBreak/>
        <w:t>Applying this cost per annualised bleed averted to the observed annualised bleed rates for non-inhibitor patients with moderate</w:t>
      </w:r>
      <w:r>
        <w:rPr>
          <w:rStyle w:val="FootnoteReference"/>
        </w:rPr>
        <w:footnoteReference w:id="1"/>
      </w:r>
      <w:r>
        <w:t xml:space="preserve"> or mild</w:t>
      </w:r>
      <w:r>
        <w:rPr>
          <w:rStyle w:val="FootnoteReference"/>
        </w:rPr>
        <w:footnoteReference w:id="2"/>
      </w:r>
      <w:r>
        <w:t xml:space="preserve"> HMA who previously received FVIII prophylaxis, and assuming a constant relative treatment effect of emicizumab across these varying annualised bleed rates, gives:</w:t>
      </w:r>
    </w:p>
    <w:p w14:paraId="427210B4" w14:textId="48EF4F06" w:rsidR="00877B35" w:rsidRPr="00E26A4C" w:rsidRDefault="00877B35" w:rsidP="00642BB9">
      <w:pPr>
        <w:pStyle w:val="Bullet"/>
        <w:numPr>
          <w:ilvl w:val="0"/>
          <w:numId w:val="29"/>
        </w:numPr>
        <w:spacing w:after="0" w:line="240" w:lineRule="auto"/>
        <w:ind w:left="720"/>
        <w:jc w:val="left"/>
        <w:rPr>
          <w:rFonts w:ascii="Times New Roman" w:hAnsi="Times New Roman" w:cs="Times New Roman"/>
          <w:sz w:val="24"/>
          <w:szCs w:val="24"/>
        </w:rPr>
      </w:pPr>
      <w:r w:rsidRPr="00E26A4C">
        <w:rPr>
          <w:rFonts w:ascii="Times New Roman" w:hAnsi="Times New Roman" w:cs="Times New Roman"/>
          <w:sz w:val="24"/>
          <w:szCs w:val="24"/>
        </w:rPr>
        <w:t xml:space="preserve">for patients </w:t>
      </w:r>
      <w:r w:rsidR="002B3883">
        <w:rPr>
          <w:rFonts w:ascii="Times New Roman" w:hAnsi="Times New Roman" w:cs="Times New Roman"/>
          <w:sz w:val="24"/>
          <w:szCs w:val="24"/>
        </w:rPr>
        <w:t>with moderate HMA without inhibitors who</w:t>
      </w:r>
      <w:r w:rsidR="002B3883" w:rsidRPr="00422F28">
        <w:rPr>
          <w:rFonts w:ascii="Times New Roman" w:hAnsi="Times New Roman" w:cs="Times New Roman"/>
          <w:sz w:val="24"/>
          <w:szCs w:val="24"/>
        </w:rPr>
        <w:t xml:space="preserve"> </w:t>
      </w:r>
      <w:r w:rsidR="002B3883">
        <w:rPr>
          <w:rFonts w:ascii="Times New Roman" w:hAnsi="Times New Roman" w:cs="Times New Roman"/>
          <w:sz w:val="24"/>
          <w:szCs w:val="24"/>
        </w:rPr>
        <w:t>previously</w:t>
      </w:r>
      <w:r w:rsidR="002B3883" w:rsidRPr="00422F28">
        <w:rPr>
          <w:rFonts w:ascii="Times New Roman" w:hAnsi="Times New Roman" w:cs="Times New Roman"/>
          <w:sz w:val="24"/>
          <w:szCs w:val="24"/>
        </w:rPr>
        <w:t xml:space="preserve"> receiv</w:t>
      </w:r>
      <w:r w:rsidR="002B3883">
        <w:rPr>
          <w:rFonts w:ascii="Times New Roman" w:hAnsi="Times New Roman" w:cs="Times New Roman"/>
          <w:sz w:val="24"/>
          <w:szCs w:val="24"/>
        </w:rPr>
        <w:t xml:space="preserve">ed </w:t>
      </w:r>
      <w:r w:rsidRPr="00E26A4C">
        <w:rPr>
          <w:rFonts w:ascii="Times New Roman" w:hAnsi="Times New Roman" w:cs="Times New Roman"/>
          <w:sz w:val="24"/>
          <w:szCs w:val="24"/>
        </w:rPr>
        <w:t xml:space="preserve">FVIII prophylaxis </w:t>
      </w:r>
      <w:r>
        <w:rPr>
          <w:rFonts w:ascii="Times New Roman" w:hAnsi="Times New Roman" w:cs="Times New Roman"/>
          <w:sz w:val="24"/>
          <w:szCs w:val="24"/>
        </w:rPr>
        <w:t xml:space="preserve">(a requested subpopulation) </w:t>
      </w:r>
      <w:r w:rsidRPr="00E26A4C">
        <w:rPr>
          <w:rFonts w:ascii="Times New Roman" w:hAnsi="Times New Roman" w:cs="Times New Roman"/>
          <w:sz w:val="24"/>
          <w:szCs w:val="24"/>
        </w:rPr>
        <w:t>= $</w:t>
      </w:r>
      <w:r w:rsidR="00ED2C04" w:rsidRPr="00ED2C04">
        <w:rPr>
          <w:rFonts w:ascii="Times New Roman" w:hAnsi="Times New Roman" w:cs="Times New Roman"/>
          <w:b/>
          <w:sz w:val="24"/>
          <w:szCs w:val="24"/>
        </w:rPr>
        <w:t>redacted</w:t>
      </w:r>
      <w:r w:rsidR="00ED2C04">
        <w:rPr>
          <w:rFonts w:ascii="Times New Roman" w:hAnsi="Times New Roman" w:cs="Times New Roman"/>
          <w:sz w:val="24"/>
          <w:szCs w:val="24"/>
        </w:rPr>
        <w:t xml:space="preserve"> </w:t>
      </w:r>
      <w:r w:rsidRPr="00E26A4C">
        <w:rPr>
          <w:rFonts w:ascii="Times New Roman" w:hAnsi="Times New Roman" w:cs="Times New Roman"/>
          <w:sz w:val="24"/>
          <w:szCs w:val="24"/>
        </w:rPr>
        <w:t>= $</w:t>
      </w:r>
      <w:r w:rsidR="00ED2C04" w:rsidRPr="00ED2C04">
        <w:rPr>
          <w:rFonts w:ascii="Times New Roman" w:hAnsi="Times New Roman" w:cs="Times New Roman"/>
          <w:b/>
          <w:sz w:val="24"/>
          <w:szCs w:val="24"/>
        </w:rPr>
        <w:t>redacted</w:t>
      </w:r>
      <w:r w:rsidRPr="00E26A4C">
        <w:rPr>
          <w:rFonts w:ascii="Times New Roman" w:hAnsi="Times New Roman" w:cs="Times New Roman"/>
          <w:sz w:val="24"/>
          <w:szCs w:val="24"/>
        </w:rPr>
        <w:t>/mg</w:t>
      </w:r>
      <w:r w:rsidR="009452B5">
        <w:rPr>
          <w:rFonts w:ascii="Times New Roman" w:hAnsi="Times New Roman" w:cs="Times New Roman"/>
          <w:sz w:val="24"/>
          <w:szCs w:val="24"/>
        </w:rPr>
        <w:t xml:space="preserve"> </w:t>
      </w:r>
    </w:p>
    <w:p w14:paraId="79A46BAB" w14:textId="0F42CD30" w:rsidR="00642BB9" w:rsidRPr="00BC72A9" w:rsidRDefault="00877B35" w:rsidP="00BC72A9">
      <w:pPr>
        <w:pStyle w:val="Bullet"/>
        <w:numPr>
          <w:ilvl w:val="0"/>
          <w:numId w:val="29"/>
        </w:numPr>
        <w:spacing w:after="240" w:line="240" w:lineRule="auto"/>
        <w:ind w:left="714" w:hanging="357"/>
        <w:jc w:val="left"/>
        <w:rPr>
          <w:rFonts w:ascii="Times New Roman" w:hAnsi="Times New Roman" w:cs="Times New Roman"/>
          <w:sz w:val="24"/>
          <w:szCs w:val="24"/>
        </w:rPr>
      </w:pPr>
      <w:r w:rsidRPr="00E26A4C">
        <w:rPr>
          <w:rFonts w:ascii="Times New Roman" w:hAnsi="Times New Roman" w:cs="Times New Roman"/>
          <w:sz w:val="24"/>
          <w:szCs w:val="24"/>
        </w:rPr>
        <w:t xml:space="preserve">for </w:t>
      </w:r>
      <w:r w:rsidR="002B3883">
        <w:rPr>
          <w:rFonts w:ascii="Times New Roman" w:hAnsi="Times New Roman" w:cs="Times New Roman"/>
          <w:sz w:val="24"/>
          <w:szCs w:val="24"/>
        </w:rPr>
        <w:t xml:space="preserve">patients with </w:t>
      </w:r>
      <w:r w:rsidRPr="00E26A4C">
        <w:rPr>
          <w:rFonts w:ascii="Times New Roman" w:hAnsi="Times New Roman" w:cs="Times New Roman"/>
          <w:sz w:val="24"/>
          <w:szCs w:val="24"/>
        </w:rPr>
        <w:t xml:space="preserve">mild </w:t>
      </w:r>
      <w:r w:rsidR="002B3883">
        <w:rPr>
          <w:rFonts w:ascii="Times New Roman" w:hAnsi="Times New Roman" w:cs="Times New Roman"/>
          <w:sz w:val="24"/>
          <w:szCs w:val="24"/>
        </w:rPr>
        <w:t xml:space="preserve">HMA without </w:t>
      </w:r>
      <w:r w:rsidRPr="00E26A4C">
        <w:rPr>
          <w:rFonts w:ascii="Times New Roman" w:hAnsi="Times New Roman" w:cs="Times New Roman"/>
          <w:sz w:val="24"/>
          <w:szCs w:val="24"/>
        </w:rPr>
        <w:t>inhibitor</w:t>
      </w:r>
      <w:r w:rsidR="002B3883">
        <w:rPr>
          <w:rFonts w:ascii="Times New Roman" w:hAnsi="Times New Roman" w:cs="Times New Roman"/>
          <w:sz w:val="24"/>
          <w:szCs w:val="24"/>
        </w:rPr>
        <w:t>s who</w:t>
      </w:r>
      <w:r w:rsidRPr="00E26A4C">
        <w:rPr>
          <w:rFonts w:ascii="Times New Roman" w:hAnsi="Times New Roman" w:cs="Times New Roman"/>
          <w:sz w:val="24"/>
          <w:szCs w:val="24"/>
        </w:rPr>
        <w:t xml:space="preserve"> </w:t>
      </w:r>
      <w:r>
        <w:rPr>
          <w:rFonts w:ascii="Times New Roman" w:hAnsi="Times New Roman" w:cs="Times New Roman"/>
          <w:sz w:val="24"/>
          <w:szCs w:val="24"/>
        </w:rPr>
        <w:t xml:space="preserve">previously </w:t>
      </w:r>
      <w:r w:rsidR="002B3883">
        <w:rPr>
          <w:rFonts w:ascii="Times New Roman" w:hAnsi="Times New Roman" w:cs="Times New Roman"/>
          <w:sz w:val="24"/>
          <w:szCs w:val="24"/>
        </w:rPr>
        <w:t>received</w:t>
      </w:r>
      <w:r w:rsidRPr="00E26A4C">
        <w:rPr>
          <w:rFonts w:ascii="Times New Roman" w:hAnsi="Times New Roman" w:cs="Times New Roman"/>
          <w:sz w:val="24"/>
          <w:szCs w:val="24"/>
        </w:rPr>
        <w:t xml:space="preserve"> FVIII prophylaxis </w:t>
      </w:r>
      <w:r>
        <w:rPr>
          <w:rFonts w:ascii="Times New Roman" w:hAnsi="Times New Roman" w:cs="Times New Roman"/>
          <w:sz w:val="24"/>
          <w:szCs w:val="24"/>
        </w:rPr>
        <w:t xml:space="preserve">(not a requested subpopulation) </w:t>
      </w:r>
      <w:r w:rsidRPr="00E26A4C">
        <w:rPr>
          <w:rFonts w:ascii="Times New Roman" w:hAnsi="Times New Roman" w:cs="Times New Roman"/>
          <w:sz w:val="24"/>
          <w:szCs w:val="24"/>
        </w:rPr>
        <w:t>= $</w:t>
      </w:r>
      <w:r w:rsidR="00ED2C04" w:rsidRPr="00ED2C04">
        <w:rPr>
          <w:rFonts w:ascii="Times New Roman" w:hAnsi="Times New Roman" w:cs="Times New Roman"/>
          <w:b/>
          <w:sz w:val="24"/>
          <w:szCs w:val="24"/>
        </w:rPr>
        <w:t>redacted</w:t>
      </w:r>
      <w:r w:rsidR="00ED2C04" w:rsidRPr="00E26A4C" w:rsidDel="00ED2C04">
        <w:rPr>
          <w:rFonts w:ascii="Times New Roman" w:hAnsi="Times New Roman" w:cs="Times New Roman"/>
          <w:sz w:val="24"/>
          <w:szCs w:val="24"/>
        </w:rPr>
        <w:t xml:space="preserve"> </w:t>
      </w:r>
      <w:r w:rsidRPr="00E26A4C">
        <w:rPr>
          <w:rFonts w:ascii="Times New Roman" w:hAnsi="Times New Roman" w:cs="Times New Roman"/>
          <w:sz w:val="24"/>
          <w:szCs w:val="24"/>
        </w:rPr>
        <w:t>= $</w:t>
      </w:r>
      <w:r w:rsidR="00ED2C04" w:rsidRPr="00ED2C04">
        <w:rPr>
          <w:rFonts w:ascii="Times New Roman" w:hAnsi="Times New Roman" w:cs="Times New Roman"/>
          <w:b/>
          <w:sz w:val="24"/>
          <w:szCs w:val="24"/>
        </w:rPr>
        <w:t>redacted</w:t>
      </w:r>
      <w:r w:rsidRPr="00E26A4C">
        <w:rPr>
          <w:rFonts w:ascii="Times New Roman" w:hAnsi="Times New Roman" w:cs="Times New Roman"/>
          <w:sz w:val="24"/>
          <w:szCs w:val="24"/>
        </w:rPr>
        <w:t>/mg</w:t>
      </w:r>
      <w:r w:rsidR="006408FE">
        <w:rPr>
          <w:rFonts w:ascii="Times New Roman" w:hAnsi="Times New Roman" w:cs="Times New Roman"/>
          <w:sz w:val="24"/>
          <w:szCs w:val="24"/>
        </w:rPr>
        <w:t>.</w:t>
      </w:r>
    </w:p>
    <w:p w14:paraId="32CDC526" w14:textId="3BB3BE9D" w:rsidR="00877B35" w:rsidRDefault="00877B35" w:rsidP="00642BB9">
      <w:pPr>
        <w:rPr>
          <w:szCs w:val="24"/>
        </w:rPr>
      </w:pPr>
      <w:r w:rsidRPr="00042903">
        <w:rPr>
          <w:szCs w:val="24"/>
        </w:rPr>
        <w:t xml:space="preserve">Noting that patients </w:t>
      </w:r>
      <w:r>
        <w:t xml:space="preserve">starting emicizumab who previously received </w:t>
      </w:r>
      <w:r w:rsidRPr="00042903">
        <w:rPr>
          <w:szCs w:val="24"/>
        </w:rPr>
        <w:t xml:space="preserve">treatment </w:t>
      </w:r>
      <w:r>
        <w:rPr>
          <w:szCs w:val="24"/>
        </w:rPr>
        <w:t xml:space="preserve">on demand would have </w:t>
      </w:r>
      <w:r w:rsidRPr="00042903">
        <w:rPr>
          <w:szCs w:val="24"/>
        </w:rPr>
        <w:t>experience</w:t>
      </w:r>
      <w:r>
        <w:rPr>
          <w:szCs w:val="24"/>
        </w:rPr>
        <w:t>d</w:t>
      </w:r>
      <w:r w:rsidRPr="00042903">
        <w:rPr>
          <w:szCs w:val="24"/>
        </w:rPr>
        <w:t xml:space="preserve"> a greater number of bleeds than patients </w:t>
      </w:r>
      <w:r>
        <w:rPr>
          <w:szCs w:val="24"/>
        </w:rPr>
        <w:t xml:space="preserve">who previously </w:t>
      </w:r>
      <w:r w:rsidRPr="00042903">
        <w:rPr>
          <w:szCs w:val="24"/>
        </w:rPr>
        <w:t>receiv</w:t>
      </w:r>
      <w:r>
        <w:rPr>
          <w:szCs w:val="24"/>
        </w:rPr>
        <w:t>ed</w:t>
      </w:r>
      <w:r w:rsidRPr="00042903">
        <w:rPr>
          <w:szCs w:val="24"/>
        </w:rPr>
        <w:t xml:space="preserve"> prophylaxis (and treatment </w:t>
      </w:r>
      <w:r>
        <w:rPr>
          <w:szCs w:val="24"/>
        </w:rPr>
        <w:t xml:space="preserve">on demand </w:t>
      </w:r>
      <w:r w:rsidRPr="00042903">
        <w:rPr>
          <w:szCs w:val="24"/>
        </w:rPr>
        <w:t xml:space="preserve">as required for breakthrough bleeds), </w:t>
      </w:r>
      <w:r>
        <w:rPr>
          <w:szCs w:val="24"/>
        </w:rPr>
        <w:t xml:space="preserve">MSAC advised </w:t>
      </w:r>
      <w:r w:rsidRPr="00042903">
        <w:rPr>
          <w:szCs w:val="24"/>
        </w:rPr>
        <w:t xml:space="preserve">that the ratio of </w:t>
      </w:r>
      <w:r w:rsidR="00BF629A">
        <w:rPr>
          <w:szCs w:val="24"/>
        </w:rPr>
        <w:t xml:space="preserve">the existing </w:t>
      </w:r>
      <w:r w:rsidRPr="00042903">
        <w:rPr>
          <w:szCs w:val="24"/>
        </w:rPr>
        <w:t xml:space="preserve">overall blood product treatment costs </w:t>
      </w:r>
      <w:r w:rsidR="00BF629A">
        <w:rPr>
          <w:szCs w:val="24"/>
        </w:rPr>
        <w:t xml:space="preserve">for on demand versus prophylaxis use for each of the prophylaxis subpopulations </w:t>
      </w:r>
      <w:r w:rsidRPr="00042903">
        <w:rPr>
          <w:szCs w:val="24"/>
        </w:rPr>
        <w:t>be used to calculate the relative cost per mg for emicizumab on the basis that this grandfathers the relative increase in costs already being paid for prophylaxis over on</w:t>
      </w:r>
      <w:r>
        <w:rPr>
          <w:szCs w:val="24"/>
        </w:rPr>
        <w:t xml:space="preserve"> </w:t>
      </w:r>
      <w:r w:rsidRPr="00042903">
        <w:rPr>
          <w:szCs w:val="24"/>
        </w:rPr>
        <w:t>demand.</w:t>
      </w:r>
      <w:r>
        <w:rPr>
          <w:szCs w:val="24"/>
        </w:rPr>
        <w:t xml:space="preserve"> The basis for the estimates of the </w:t>
      </w:r>
      <w:r w:rsidRPr="00042903">
        <w:rPr>
          <w:szCs w:val="24"/>
        </w:rPr>
        <w:t>overall blood product treatment costs</w:t>
      </w:r>
      <w:r>
        <w:rPr>
          <w:szCs w:val="24"/>
        </w:rPr>
        <w:t xml:space="preserve"> is attached to the PSD for 1510.1, and applying this approach gives:</w:t>
      </w:r>
    </w:p>
    <w:p w14:paraId="1B112377" w14:textId="5BF9824D" w:rsidR="00877B35" w:rsidRPr="00042903" w:rsidRDefault="00877B35" w:rsidP="00642BB9">
      <w:pPr>
        <w:pStyle w:val="BulletBeforeDash"/>
        <w:ind w:left="357" w:hanging="357"/>
      </w:pPr>
      <w:r w:rsidRPr="00042903">
        <w:t xml:space="preserve">for patients </w:t>
      </w:r>
      <w:r w:rsidR="002B3883">
        <w:t xml:space="preserve">with severe HMA without </w:t>
      </w:r>
      <w:r w:rsidR="002B3883" w:rsidRPr="00042903">
        <w:t>inhibitor</w:t>
      </w:r>
      <w:r w:rsidR="002B3883">
        <w:t>s who</w:t>
      </w:r>
      <w:r w:rsidR="002B3883" w:rsidRPr="00042903">
        <w:t xml:space="preserve"> </w:t>
      </w:r>
      <w:r>
        <w:t xml:space="preserve">previously </w:t>
      </w:r>
      <w:r w:rsidR="002B3883">
        <w:t>received</w:t>
      </w:r>
      <w:r w:rsidRPr="00042903">
        <w:t xml:space="preserve"> FVIII</w:t>
      </w:r>
      <w:r>
        <w:t xml:space="preserve"> on demand (a requested subpopulation)</w:t>
      </w:r>
      <w:r w:rsidRPr="00042903">
        <w:t>: $</w:t>
      </w:r>
      <w:r w:rsidR="00ED2C04" w:rsidRPr="00ED2C04">
        <w:rPr>
          <w:b/>
          <w:szCs w:val="24"/>
        </w:rPr>
        <w:t>redacted</w:t>
      </w:r>
      <w:r w:rsidR="00ED2C04" w:rsidRPr="00042903" w:rsidDel="00ED2C04">
        <w:t xml:space="preserve"> </w:t>
      </w:r>
      <w:r w:rsidRPr="00042903">
        <w:t>x (</w:t>
      </w:r>
      <w:r w:rsidR="00A04564" w:rsidRPr="00642BB9">
        <w:rPr>
          <w:b/>
        </w:rPr>
        <w:t>redacted</w:t>
      </w:r>
      <w:r w:rsidRPr="00042903">
        <w:t>) = $</w:t>
      </w:r>
      <w:r w:rsidR="00ED2C04" w:rsidRPr="00ED2C04">
        <w:rPr>
          <w:b/>
          <w:szCs w:val="24"/>
        </w:rPr>
        <w:t>redacted</w:t>
      </w:r>
      <w:r w:rsidRPr="00042903">
        <w:t>/mg</w:t>
      </w:r>
      <w:r w:rsidR="009452B5">
        <w:t xml:space="preserve"> </w:t>
      </w:r>
    </w:p>
    <w:p w14:paraId="7B8A4BD7" w14:textId="27C97466" w:rsidR="00877B35" w:rsidRPr="00042903" w:rsidRDefault="00877B35" w:rsidP="00642BB9">
      <w:pPr>
        <w:pStyle w:val="BulletBeforeDash"/>
      </w:pPr>
      <w:r w:rsidRPr="00042903">
        <w:t xml:space="preserve">for </w:t>
      </w:r>
      <w:r w:rsidR="002B3883" w:rsidRPr="00042903">
        <w:t xml:space="preserve">patients </w:t>
      </w:r>
      <w:r w:rsidR="002B3883">
        <w:t xml:space="preserve">with moderate HMA without </w:t>
      </w:r>
      <w:r w:rsidR="002B3883" w:rsidRPr="00042903">
        <w:t>inhibitor</w:t>
      </w:r>
      <w:r w:rsidR="002B3883">
        <w:t>s who</w:t>
      </w:r>
      <w:r w:rsidR="002B3883" w:rsidRPr="00042903">
        <w:t xml:space="preserve"> </w:t>
      </w:r>
      <w:r w:rsidR="002B3883">
        <w:t>previously received</w:t>
      </w:r>
      <w:r w:rsidR="002B3883" w:rsidRPr="00042903">
        <w:t xml:space="preserve"> </w:t>
      </w:r>
      <w:r w:rsidRPr="00042903">
        <w:t>FVIII</w:t>
      </w:r>
      <w:r>
        <w:t xml:space="preserve"> on demand (a requested subpopulation)</w:t>
      </w:r>
      <w:r w:rsidRPr="00042903">
        <w:t>: $</w:t>
      </w:r>
      <w:r w:rsidR="00ED2C04" w:rsidRPr="00ED2C04">
        <w:rPr>
          <w:b/>
          <w:szCs w:val="24"/>
        </w:rPr>
        <w:t>redacted</w:t>
      </w:r>
      <w:r w:rsidR="00ED2C04" w:rsidRPr="00042903" w:rsidDel="00ED2C04">
        <w:t xml:space="preserve"> </w:t>
      </w:r>
      <w:r w:rsidRPr="00042903">
        <w:t>x (</w:t>
      </w:r>
      <w:r w:rsidR="004C6D51" w:rsidRPr="004C6D51">
        <w:rPr>
          <w:rFonts w:eastAsiaTheme="minorEastAsia"/>
          <w:color w:val="auto"/>
          <w:szCs w:val="24"/>
        </w:rPr>
        <w:t>$</w:t>
      </w:r>
      <w:r w:rsidR="00A04564" w:rsidRPr="00642BB9">
        <w:rPr>
          <w:rFonts w:eastAsiaTheme="minorEastAsia"/>
          <w:b/>
          <w:color w:val="auto"/>
          <w:szCs w:val="24"/>
        </w:rPr>
        <w:t>redacted</w:t>
      </w:r>
      <w:r w:rsidRPr="00042903">
        <w:t>) = $</w:t>
      </w:r>
      <w:r w:rsidR="00ED2C04" w:rsidRPr="00ED2C04">
        <w:rPr>
          <w:b/>
          <w:szCs w:val="24"/>
        </w:rPr>
        <w:t>redacted</w:t>
      </w:r>
      <w:r w:rsidRPr="00042903">
        <w:t>/mg</w:t>
      </w:r>
      <w:r w:rsidR="009452B5">
        <w:t xml:space="preserve"> </w:t>
      </w:r>
    </w:p>
    <w:p w14:paraId="038C7F7B" w14:textId="6CCF7953" w:rsidR="00877B35" w:rsidRPr="00042903" w:rsidRDefault="00877B35" w:rsidP="00642BB9">
      <w:pPr>
        <w:pStyle w:val="BulletBeforeDash"/>
      </w:pPr>
      <w:r w:rsidRPr="00042903">
        <w:t xml:space="preserve">for </w:t>
      </w:r>
      <w:r w:rsidR="002B3883" w:rsidRPr="00042903">
        <w:t xml:space="preserve">patients </w:t>
      </w:r>
      <w:r w:rsidR="002B3883">
        <w:t xml:space="preserve">with mild HMA without </w:t>
      </w:r>
      <w:r w:rsidR="002B3883" w:rsidRPr="00042903">
        <w:t>inhibitor</w:t>
      </w:r>
      <w:r w:rsidR="002B3883">
        <w:t>s who</w:t>
      </w:r>
      <w:r w:rsidR="002B3883" w:rsidRPr="00042903">
        <w:t xml:space="preserve"> </w:t>
      </w:r>
      <w:r w:rsidR="002B3883">
        <w:t>previously received</w:t>
      </w:r>
      <w:r w:rsidR="002B3883" w:rsidRPr="00042903">
        <w:t xml:space="preserve"> </w:t>
      </w:r>
      <w:r w:rsidRPr="00042903">
        <w:t>FVIII</w:t>
      </w:r>
      <w:r>
        <w:t xml:space="preserve"> on demand (not a requested subpopulation)</w:t>
      </w:r>
      <w:r w:rsidRPr="00042903">
        <w:t>: $</w:t>
      </w:r>
      <w:r w:rsidR="00ED2C04" w:rsidRPr="00ED2C04">
        <w:rPr>
          <w:b/>
          <w:szCs w:val="24"/>
        </w:rPr>
        <w:t>redacted</w:t>
      </w:r>
      <w:r w:rsidR="00ED2C04" w:rsidRPr="00042903" w:rsidDel="00ED2C04">
        <w:t xml:space="preserve"> </w:t>
      </w:r>
      <w:r w:rsidRPr="00042903">
        <w:t>x (</w:t>
      </w:r>
      <w:r w:rsidR="004C6D51" w:rsidRPr="004C6D51">
        <w:rPr>
          <w:rFonts w:eastAsiaTheme="minorEastAsia"/>
          <w:color w:val="auto"/>
          <w:szCs w:val="24"/>
        </w:rPr>
        <w:t>$</w:t>
      </w:r>
      <w:r w:rsidR="00A04564" w:rsidRPr="00642BB9">
        <w:rPr>
          <w:rFonts w:eastAsiaTheme="minorEastAsia"/>
          <w:b/>
          <w:color w:val="auto"/>
          <w:szCs w:val="24"/>
        </w:rPr>
        <w:t>redacted</w:t>
      </w:r>
      <w:r w:rsidR="00EB677F">
        <w:t>) = $</w:t>
      </w:r>
      <w:r w:rsidR="00ED2C04" w:rsidRPr="00ED2C04">
        <w:rPr>
          <w:b/>
          <w:szCs w:val="24"/>
        </w:rPr>
        <w:t>redacted</w:t>
      </w:r>
      <w:r w:rsidRPr="00042903">
        <w:t>/mg</w:t>
      </w:r>
      <w:r w:rsidR="009452B5">
        <w:t xml:space="preserve"> </w:t>
      </w:r>
    </w:p>
    <w:p w14:paraId="561FA2FC" w14:textId="6D345AA3" w:rsidR="00877B35" w:rsidRDefault="00877B35" w:rsidP="00BC72A9">
      <w:pPr>
        <w:spacing w:before="240" w:after="240"/>
      </w:pPr>
      <w:r>
        <w:rPr>
          <w:szCs w:val="24"/>
        </w:rPr>
        <w:t xml:space="preserve">For </w:t>
      </w:r>
      <w:r w:rsidRPr="00042903">
        <w:rPr>
          <w:szCs w:val="24"/>
        </w:rPr>
        <w:t xml:space="preserve">patients </w:t>
      </w:r>
      <w:r>
        <w:t>starting emicizumab who did not receive any HMA blood product treatment in the previous year, MSAC advised that no basis was available to justify any price for emicizumab, so a shadow price of $</w:t>
      </w:r>
      <w:r w:rsidR="005F4105" w:rsidRPr="00F07FA4">
        <w:rPr>
          <w:b/>
          <w:szCs w:val="24"/>
        </w:rPr>
        <w:t>redacted</w:t>
      </w:r>
      <w:r w:rsidR="005F4105">
        <w:t xml:space="preserve"> </w:t>
      </w:r>
      <w:r>
        <w:t>should be applied for this subpopulation, noting that, like patients with mild HMA, this is a contingency for any use of emicizumab beyond the requested subpopulations</w:t>
      </w:r>
      <w:r w:rsidR="00C439E5">
        <w:t>, but would reflect a “hard cap” in the RSA</w:t>
      </w:r>
      <w:r>
        <w:t>.</w:t>
      </w:r>
    </w:p>
    <w:p w14:paraId="55DE326A" w14:textId="750872FA" w:rsidR="00877B35" w:rsidRDefault="00877B35" w:rsidP="00BC72A9">
      <w:pPr>
        <w:spacing w:after="240"/>
      </w:pPr>
      <w:r>
        <w:t xml:space="preserve">MSAC further advised that the Department of Health should negotiate with the applicant to finalise how these shadow prices should be aggregated to generate the weighted average price for inclusion in the financial analyses for all requested subpopulations (including patients with inhibitors), and also how they should be best incorporated into the proposed </w:t>
      </w:r>
      <w:r w:rsidR="00652E2F">
        <w:t>RSA</w:t>
      </w:r>
      <w:r>
        <w:t xml:space="preserve"> to account for any usage of emicizumab in patients with HMA beyond the requested subpopulations.</w:t>
      </w:r>
      <w:r w:rsidR="00A558B5">
        <w:t xml:space="preserve"> Noting the proposed 4-year timeframe of this proposed initial RSA, MSAC also advised that </w:t>
      </w:r>
      <w:r w:rsidR="002E23E0">
        <w:t xml:space="preserve">the fact of its existence should be public, and </w:t>
      </w:r>
      <w:r w:rsidR="00A558B5">
        <w:t>it should not inadvertently exclude the possibility of funding other emerging therapies for HMA.</w:t>
      </w:r>
    </w:p>
    <w:p w14:paraId="7D5BAFCB" w14:textId="5611D1A1" w:rsidR="00877B35" w:rsidRPr="00BC72A9" w:rsidRDefault="00C439E5" w:rsidP="00BC72A9">
      <w:pPr>
        <w:spacing w:after="240"/>
        <w:rPr>
          <w:szCs w:val="24"/>
        </w:rPr>
      </w:pPr>
      <w:r>
        <w:t xml:space="preserve">Reflecting the residual uncertainty about expected rates of </w:t>
      </w:r>
      <w:r w:rsidR="000423F2">
        <w:t xml:space="preserve">emicizumab </w:t>
      </w:r>
      <w:r>
        <w:t xml:space="preserve">uptake across the subpopulations, </w:t>
      </w:r>
      <w:r w:rsidR="00877B35">
        <w:t xml:space="preserve">MSAC advised that this approach would </w:t>
      </w:r>
      <w:r>
        <w:t xml:space="preserve">also </w:t>
      </w:r>
      <w:r w:rsidR="00877B35">
        <w:t xml:space="preserve">inform a review 12 to 24 months after emicizumab listing </w:t>
      </w:r>
      <w:r w:rsidR="004C5ABD">
        <w:t xml:space="preserve">using </w:t>
      </w:r>
      <w:r w:rsidR="00046164">
        <w:t xml:space="preserve">data from the </w:t>
      </w:r>
      <w:r w:rsidR="004C5ABD">
        <w:t xml:space="preserve">ABDR </w:t>
      </w:r>
      <w:r w:rsidR="00046164">
        <w:t>and haemophilia treatment centres</w:t>
      </w:r>
      <w:r w:rsidR="004C5ABD">
        <w:t xml:space="preserve"> </w:t>
      </w:r>
      <w:r w:rsidR="00877B35">
        <w:t>to confirm the nature of the previous treatment and the HMA severity for each patient who starts emicizumab. Further, as this approach is most relevant to the prevalent pool of patients at the time that emicizumab is listed, consideration of how this approach might need to deal with incident patients could be considered at the time of this recommended review.</w:t>
      </w:r>
    </w:p>
    <w:p w14:paraId="76A595ED" w14:textId="2956F43B" w:rsidR="002E23E0" w:rsidRDefault="002E23E0" w:rsidP="00877B35">
      <w:r>
        <w:lastRenderedPageBreak/>
        <w:t>For implementation purposes, MSAC advised that prescription of funded emicizumab should be limited to haematologists working in Haemophilia Treatment Centres, and that FVIII would still be needed to manage breakthrough bleeds.</w:t>
      </w:r>
    </w:p>
    <w:p w14:paraId="002D9DB7" w14:textId="77777777" w:rsidR="00BC1364" w:rsidRPr="00F715D1" w:rsidRDefault="00BC1364" w:rsidP="00F715D1">
      <w:pPr>
        <w:pStyle w:val="Heading1"/>
      </w:pPr>
      <w:r w:rsidRPr="00F715D1">
        <w:t>Background</w:t>
      </w:r>
    </w:p>
    <w:p w14:paraId="5F4C255E" w14:textId="7C98CB0B" w:rsidR="00233958" w:rsidRDefault="00233958" w:rsidP="00BC72A9">
      <w:pPr>
        <w:spacing w:after="240"/>
      </w:pPr>
      <w:r>
        <w:t xml:space="preserve">MSAC has not previously considered this application for emicizumab for </w:t>
      </w:r>
      <w:r w:rsidR="006D6602">
        <w:t xml:space="preserve">patients with moderate to severe </w:t>
      </w:r>
      <w:r>
        <w:t>HMA without FVIII inhibitors.</w:t>
      </w:r>
    </w:p>
    <w:p w14:paraId="0742761F" w14:textId="095AEEF0" w:rsidR="00233958" w:rsidRDefault="00233958" w:rsidP="00233958">
      <w:r>
        <w:t>MSAC previously considered a</w:t>
      </w:r>
      <w:r w:rsidRPr="00F75CF2">
        <w:t xml:space="preserve"> </w:t>
      </w:r>
      <w:r>
        <w:t>related</w:t>
      </w:r>
      <w:r w:rsidRPr="00F75CF2">
        <w:t xml:space="preserve"> submission </w:t>
      </w:r>
      <w:r w:rsidR="006D6602">
        <w:t xml:space="preserve">for emicizumab for </w:t>
      </w:r>
      <w:r w:rsidRPr="00F75CF2">
        <w:t xml:space="preserve">patients with </w:t>
      </w:r>
      <w:r w:rsidR="006D6602">
        <w:t xml:space="preserve">HMA and </w:t>
      </w:r>
      <w:r>
        <w:t xml:space="preserve">FVIII </w:t>
      </w:r>
      <w:r w:rsidRPr="00F75CF2">
        <w:t>inhibitors (</w:t>
      </w:r>
      <w:r>
        <w:t xml:space="preserve">Application </w:t>
      </w:r>
      <w:r w:rsidRPr="00F75CF2">
        <w:t>1510).</w:t>
      </w:r>
      <w:r w:rsidR="006D6602">
        <w:t xml:space="preserve"> A re</w:t>
      </w:r>
      <w:r w:rsidR="0088167C">
        <w:t>submission</w:t>
      </w:r>
      <w:r w:rsidR="006D6602">
        <w:t xml:space="preserve"> for this smaller population (Application 1510.1), which also proposed an approach for considering emicizumab for all requested patients with HMA, was cons</w:t>
      </w:r>
      <w:r w:rsidR="007C4940">
        <w:t>idered by MSAC alongside this Application 1579.</w:t>
      </w:r>
    </w:p>
    <w:p w14:paraId="1BBA371D" w14:textId="77777777" w:rsidR="00BC1364" w:rsidRPr="00F715D1" w:rsidRDefault="00BC1364" w:rsidP="00F715D1">
      <w:pPr>
        <w:pStyle w:val="Heading1"/>
      </w:pPr>
      <w:r w:rsidRPr="00F715D1">
        <w:t>Prerequisites to implementation of any funding advice</w:t>
      </w:r>
    </w:p>
    <w:p w14:paraId="44D621B9" w14:textId="35AB4507" w:rsidR="00233958" w:rsidRDefault="00233958" w:rsidP="00BC72A9">
      <w:pPr>
        <w:spacing w:after="240"/>
      </w:pPr>
      <w:r>
        <w:t xml:space="preserve">Emicizumab is listed on the </w:t>
      </w:r>
      <w:r w:rsidRPr="00A86110">
        <w:t>Australian Register of Therapeutic Goods (ARTG)</w:t>
      </w:r>
      <w:r>
        <w:t xml:space="preserve"> for routine prophylaxis to prevent bleeding or reduce the frequency of bleeding episodes in adult and paediatric patients with HMA (congenital FVIII deficiency) with and without FVIII inhibitors (Table 1). This is a recent extension (November 2018) of the previous indication which was limited to patients with FVIII inhibitors.</w:t>
      </w:r>
    </w:p>
    <w:p w14:paraId="65D8864E" w14:textId="77777777" w:rsidR="00233958" w:rsidRPr="00275DFD" w:rsidRDefault="00233958" w:rsidP="00233958">
      <w:pPr>
        <w:rPr>
          <w:rFonts w:ascii="Arial Narrow" w:hAnsi="Arial Narrow"/>
          <w:b/>
          <w:sz w:val="20"/>
        </w:rPr>
      </w:pPr>
      <w:bookmarkStart w:id="0" w:name="_Toc6667040"/>
      <w:r w:rsidRPr="00275DFD">
        <w:rPr>
          <w:rFonts w:ascii="Arial Narrow" w:hAnsi="Arial Narrow"/>
          <w:b/>
          <w:sz w:val="20"/>
        </w:rPr>
        <w:t xml:space="preserve">Table </w:t>
      </w:r>
      <w:r w:rsidRPr="00275DFD">
        <w:rPr>
          <w:rFonts w:ascii="Arial Narrow" w:hAnsi="Arial Narrow"/>
          <w:b/>
          <w:noProof/>
          <w:sz w:val="20"/>
        </w:rPr>
        <w:t>1</w:t>
      </w:r>
      <w:r w:rsidRPr="00275DFD">
        <w:rPr>
          <w:rFonts w:ascii="Arial Narrow" w:hAnsi="Arial Narrow"/>
          <w:b/>
          <w:sz w:val="20"/>
        </w:rPr>
        <w:tab/>
        <w:t>Emicizumab products included in the ARTG</w:t>
      </w:r>
      <w:bookmarkEnd w:id="0"/>
    </w:p>
    <w:tbl>
      <w:tblPr>
        <w:tblStyle w:val="TableGrid"/>
        <w:tblW w:w="0" w:type="auto"/>
        <w:tblLook w:val="04A0" w:firstRow="1" w:lastRow="0" w:firstColumn="1" w:lastColumn="0" w:noHBand="0" w:noVBand="1"/>
        <w:tblCaption w:val="Emicizumab products included in the ARTG"/>
        <w:tblDescription w:val="A table describing the strength, dose and form of products available on the ARTG"/>
      </w:tblPr>
      <w:tblGrid>
        <w:gridCol w:w="4304"/>
        <w:gridCol w:w="2780"/>
        <w:gridCol w:w="1932"/>
      </w:tblGrid>
      <w:tr w:rsidR="00233958" w:rsidRPr="00C32664" w14:paraId="31E95E87" w14:textId="77777777" w:rsidTr="008817EF">
        <w:trPr>
          <w:trHeight w:val="199"/>
          <w:tblHeader/>
        </w:trPr>
        <w:tc>
          <w:tcPr>
            <w:tcW w:w="4390" w:type="dxa"/>
          </w:tcPr>
          <w:p w14:paraId="3EA53ED8" w14:textId="77777777" w:rsidR="00233958" w:rsidRPr="00C32664" w:rsidRDefault="00233958" w:rsidP="0010250B">
            <w:pPr>
              <w:pStyle w:val="ComTable"/>
              <w:spacing w:before="0" w:after="0"/>
              <w:rPr>
                <w:b/>
                <w:i w:val="0"/>
                <w:color w:val="auto"/>
              </w:rPr>
            </w:pPr>
            <w:r w:rsidRPr="00C32664">
              <w:rPr>
                <w:b/>
                <w:i w:val="0"/>
                <w:color w:val="auto"/>
              </w:rPr>
              <w:t>Strength, dose form, presentation</w:t>
            </w:r>
          </w:p>
        </w:tc>
        <w:tc>
          <w:tcPr>
            <w:tcW w:w="2835" w:type="dxa"/>
          </w:tcPr>
          <w:p w14:paraId="6468BC82" w14:textId="77777777" w:rsidR="00233958" w:rsidRPr="00C32664" w:rsidRDefault="00233958" w:rsidP="0010250B">
            <w:pPr>
              <w:pStyle w:val="ComTable"/>
              <w:spacing w:before="0" w:after="0"/>
              <w:jc w:val="center"/>
              <w:rPr>
                <w:b/>
                <w:i w:val="0"/>
                <w:color w:val="auto"/>
              </w:rPr>
            </w:pPr>
            <w:r w:rsidRPr="00C32664">
              <w:rPr>
                <w:b/>
                <w:i w:val="0"/>
                <w:color w:val="auto"/>
              </w:rPr>
              <w:t>ARTG number</w:t>
            </w:r>
          </w:p>
        </w:tc>
        <w:tc>
          <w:tcPr>
            <w:tcW w:w="1957" w:type="dxa"/>
          </w:tcPr>
          <w:p w14:paraId="2114B17A" w14:textId="77777777" w:rsidR="00233958" w:rsidRPr="00C32664" w:rsidRDefault="00233958" w:rsidP="0010250B">
            <w:pPr>
              <w:pStyle w:val="ComTable"/>
              <w:spacing w:before="0" w:after="0"/>
              <w:jc w:val="center"/>
              <w:rPr>
                <w:b/>
                <w:i w:val="0"/>
                <w:color w:val="auto"/>
              </w:rPr>
            </w:pPr>
            <w:r w:rsidRPr="00C32664">
              <w:rPr>
                <w:b/>
                <w:i w:val="0"/>
                <w:color w:val="auto"/>
              </w:rPr>
              <w:t>ARTG start date</w:t>
            </w:r>
          </w:p>
        </w:tc>
      </w:tr>
      <w:tr w:rsidR="00233958" w:rsidRPr="00C32664" w14:paraId="5DC6CA67" w14:textId="77777777" w:rsidTr="00054E4D">
        <w:trPr>
          <w:trHeight w:val="303"/>
        </w:trPr>
        <w:tc>
          <w:tcPr>
            <w:tcW w:w="4390" w:type="dxa"/>
          </w:tcPr>
          <w:p w14:paraId="60DC2646" w14:textId="77777777" w:rsidR="00233958" w:rsidRPr="00C32664" w:rsidRDefault="00233958" w:rsidP="0010250B">
            <w:pPr>
              <w:pStyle w:val="ComTable"/>
              <w:spacing w:before="0" w:after="0"/>
              <w:rPr>
                <w:i w:val="0"/>
                <w:color w:val="auto"/>
              </w:rPr>
            </w:pPr>
            <w:r w:rsidRPr="00C32664">
              <w:rPr>
                <w:i w:val="0"/>
                <w:color w:val="auto"/>
              </w:rPr>
              <w:t>Hemlibra 30 mg/1 mL solution for injection vial</w:t>
            </w:r>
          </w:p>
        </w:tc>
        <w:tc>
          <w:tcPr>
            <w:tcW w:w="2835" w:type="dxa"/>
          </w:tcPr>
          <w:p w14:paraId="78B54556" w14:textId="77777777" w:rsidR="00233958" w:rsidRPr="00C32664" w:rsidRDefault="00233958" w:rsidP="0010250B">
            <w:pPr>
              <w:pStyle w:val="ComTable"/>
              <w:spacing w:before="0" w:after="0"/>
              <w:jc w:val="center"/>
              <w:rPr>
                <w:i w:val="0"/>
                <w:color w:val="auto"/>
              </w:rPr>
            </w:pPr>
            <w:r w:rsidRPr="00C32664">
              <w:rPr>
                <w:i w:val="0"/>
                <w:color w:val="auto"/>
              </w:rPr>
              <w:t>AUST R 293761</w:t>
            </w:r>
          </w:p>
        </w:tc>
        <w:tc>
          <w:tcPr>
            <w:tcW w:w="1957" w:type="dxa"/>
          </w:tcPr>
          <w:p w14:paraId="5D31E263" w14:textId="77777777" w:rsidR="00233958" w:rsidRPr="00C32664" w:rsidRDefault="00233958" w:rsidP="0010250B">
            <w:pPr>
              <w:pStyle w:val="ComTable"/>
              <w:spacing w:before="0" w:after="0"/>
              <w:jc w:val="center"/>
              <w:rPr>
                <w:i w:val="0"/>
                <w:color w:val="auto"/>
              </w:rPr>
            </w:pPr>
            <w:r w:rsidRPr="00C32664">
              <w:rPr>
                <w:i w:val="0"/>
                <w:color w:val="auto"/>
              </w:rPr>
              <w:t>23/02/2018</w:t>
            </w:r>
          </w:p>
        </w:tc>
      </w:tr>
      <w:tr w:rsidR="00233958" w:rsidRPr="00C32664" w14:paraId="5097ACD4" w14:textId="77777777" w:rsidTr="00054E4D">
        <w:trPr>
          <w:trHeight w:val="137"/>
        </w:trPr>
        <w:tc>
          <w:tcPr>
            <w:tcW w:w="4390" w:type="dxa"/>
          </w:tcPr>
          <w:p w14:paraId="2E4FB479" w14:textId="77777777" w:rsidR="00233958" w:rsidRPr="00C32664" w:rsidRDefault="00233958" w:rsidP="0010250B">
            <w:pPr>
              <w:pStyle w:val="ComTable"/>
              <w:spacing w:before="0" w:after="0"/>
              <w:rPr>
                <w:i w:val="0"/>
                <w:color w:val="auto"/>
              </w:rPr>
            </w:pPr>
            <w:r w:rsidRPr="00C32664">
              <w:rPr>
                <w:i w:val="0"/>
                <w:color w:val="auto"/>
              </w:rPr>
              <w:t>Hemlibra 60 mg/0.4 mL solution for injection vial</w:t>
            </w:r>
          </w:p>
        </w:tc>
        <w:tc>
          <w:tcPr>
            <w:tcW w:w="2835" w:type="dxa"/>
          </w:tcPr>
          <w:p w14:paraId="42CB64BE" w14:textId="77777777" w:rsidR="00233958" w:rsidRPr="00C32664" w:rsidRDefault="00233958" w:rsidP="0010250B">
            <w:pPr>
              <w:pStyle w:val="ComTable"/>
              <w:spacing w:before="0" w:after="0"/>
              <w:jc w:val="center"/>
              <w:rPr>
                <w:i w:val="0"/>
                <w:color w:val="auto"/>
              </w:rPr>
            </w:pPr>
            <w:r w:rsidRPr="00C32664">
              <w:rPr>
                <w:i w:val="0"/>
                <w:color w:val="auto"/>
              </w:rPr>
              <w:t>AUST R 293760</w:t>
            </w:r>
          </w:p>
        </w:tc>
        <w:tc>
          <w:tcPr>
            <w:tcW w:w="1957" w:type="dxa"/>
          </w:tcPr>
          <w:p w14:paraId="0FE49E40" w14:textId="77777777" w:rsidR="00233958" w:rsidRPr="00C32664" w:rsidRDefault="00233958" w:rsidP="0010250B">
            <w:pPr>
              <w:pStyle w:val="ComTable"/>
              <w:spacing w:before="0" w:after="0"/>
              <w:jc w:val="center"/>
              <w:rPr>
                <w:i w:val="0"/>
                <w:color w:val="auto"/>
              </w:rPr>
            </w:pPr>
            <w:r w:rsidRPr="00C32664">
              <w:rPr>
                <w:i w:val="0"/>
                <w:color w:val="auto"/>
              </w:rPr>
              <w:t>23/02/2018</w:t>
            </w:r>
          </w:p>
        </w:tc>
      </w:tr>
      <w:tr w:rsidR="00233958" w:rsidRPr="00C32664" w14:paraId="7FDAAD5C" w14:textId="77777777" w:rsidTr="00054E4D">
        <w:trPr>
          <w:trHeight w:val="242"/>
        </w:trPr>
        <w:tc>
          <w:tcPr>
            <w:tcW w:w="4390" w:type="dxa"/>
          </w:tcPr>
          <w:p w14:paraId="65CE27F7" w14:textId="77777777" w:rsidR="00233958" w:rsidRPr="00C32664" w:rsidRDefault="00233958" w:rsidP="0010250B">
            <w:pPr>
              <w:pStyle w:val="ComTable"/>
              <w:spacing w:before="0" w:after="0"/>
              <w:rPr>
                <w:i w:val="0"/>
                <w:color w:val="auto"/>
              </w:rPr>
            </w:pPr>
            <w:r w:rsidRPr="00C32664">
              <w:rPr>
                <w:i w:val="0"/>
                <w:color w:val="auto"/>
              </w:rPr>
              <w:t xml:space="preserve">Hemlibra 105 mg/0.7 mL solution for injection vial </w:t>
            </w:r>
          </w:p>
        </w:tc>
        <w:tc>
          <w:tcPr>
            <w:tcW w:w="2835" w:type="dxa"/>
          </w:tcPr>
          <w:p w14:paraId="30E01E9A" w14:textId="77777777" w:rsidR="00233958" w:rsidRPr="00C32664" w:rsidRDefault="00233958" w:rsidP="0010250B">
            <w:pPr>
              <w:pStyle w:val="ComTable"/>
              <w:spacing w:before="0" w:after="0"/>
              <w:jc w:val="center"/>
              <w:rPr>
                <w:i w:val="0"/>
                <w:color w:val="auto"/>
              </w:rPr>
            </w:pPr>
            <w:r w:rsidRPr="00C32664">
              <w:rPr>
                <w:i w:val="0"/>
                <w:color w:val="auto"/>
              </w:rPr>
              <w:t>AUST R 293758</w:t>
            </w:r>
          </w:p>
        </w:tc>
        <w:tc>
          <w:tcPr>
            <w:tcW w:w="1957" w:type="dxa"/>
          </w:tcPr>
          <w:p w14:paraId="2102B4B1" w14:textId="77777777" w:rsidR="00233958" w:rsidRPr="00C32664" w:rsidRDefault="00233958" w:rsidP="0010250B">
            <w:pPr>
              <w:pStyle w:val="ComTable"/>
              <w:spacing w:before="0" w:after="0"/>
              <w:jc w:val="center"/>
              <w:rPr>
                <w:i w:val="0"/>
                <w:color w:val="auto"/>
              </w:rPr>
            </w:pPr>
            <w:r w:rsidRPr="00C32664">
              <w:rPr>
                <w:i w:val="0"/>
                <w:color w:val="auto"/>
              </w:rPr>
              <w:t>23/02/2018</w:t>
            </w:r>
          </w:p>
        </w:tc>
      </w:tr>
      <w:tr w:rsidR="00233958" w:rsidRPr="00C32664" w14:paraId="7AE616B2" w14:textId="77777777" w:rsidTr="00054E4D">
        <w:trPr>
          <w:trHeight w:val="203"/>
        </w:trPr>
        <w:tc>
          <w:tcPr>
            <w:tcW w:w="4390" w:type="dxa"/>
          </w:tcPr>
          <w:p w14:paraId="03399212" w14:textId="77777777" w:rsidR="00233958" w:rsidRPr="00C32664" w:rsidRDefault="00233958" w:rsidP="0010250B">
            <w:pPr>
              <w:pStyle w:val="ComTable"/>
              <w:spacing w:before="0" w:after="0"/>
              <w:rPr>
                <w:i w:val="0"/>
                <w:color w:val="auto"/>
              </w:rPr>
            </w:pPr>
            <w:r w:rsidRPr="00C32664">
              <w:rPr>
                <w:i w:val="0"/>
                <w:color w:val="auto"/>
              </w:rPr>
              <w:t>Hemlibra 150 mg/0.7 mL solution for injection vial</w:t>
            </w:r>
          </w:p>
        </w:tc>
        <w:tc>
          <w:tcPr>
            <w:tcW w:w="2835" w:type="dxa"/>
          </w:tcPr>
          <w:p w14:paraId="52A56287" w14:textId="77777777" w:rsidR="00233958" w:rsidRPr="00C32664" w:rsidRDefault="00233958" w:rsidP="0010250B">
            <w:pPr>
              <w:pStyle w:val="ComTable"/>
              <w:spacing w:before="0" w:after="0"/>
              <w:jc w:val="center"/>
              <w:rPr>
                <w:i w:val="0"/>
                <w:color w:val="auto"/>
              </w:rPr>
            </w:pPr>
            <w:r w:rsidRPr="00C32664">
              <w:rPr>
                <w:i w:val="0"/>
                <w:color w:val="auto"/>
              </w:rPr>
              <w:t>AUST R 293759</w:t>
            </w:r>
          </w:p>
        </w:tc>
        <w:tc>
          <w:tcPr>
            <w:tcW w:w="1957" w:type="dxa"/>
          </w:tcPr>
          <w:p w14:paraId="2DC1B268" w14:textId="77777777" w:rsidR="00233958" w:rsidRPr="00C32664" w:rsidRDefault="00233958" w:rsidP="0010250B">
            <w:pPr>
              <w:pStyle w:val="ComTable"/>
              <w:spacing w:before="0" w:after="0"/>
              <w:jc w:val="center"/>
              <w:rPr>
                <w:i w:val="0"/>
                <w:color w:val="auto"/>
              </w:rPr>
            </w:pPr>
            <w:r w:rsidRPr="00C32664">
              <w:rPr>
                <w:i w:val="0"/>
                <w:color w:val="auto"/>
              </w:rPr>
              <w:t>23/02/2018</w:t>
            </w:r>
          </w:p>
        </w:tc>
      </w:tr>
    </w:tbl>
    <w:p w14:paraId="68019F7A" w14:textId="77777777" w:rsidR="00233958" w:rsidRDefault="00233958" w:rsidP="00233958">
      <w:pPr>
        <w:pStyle w:val="Tablenotes1"/>
      </w:pPr>
      <w:r w:rsidRPr="004B70C2">
        <w:rPr>
          <w:b/>
        </w:rPr>
        <w:t xml:space="preserve">Source: </w:t>
      </w:r>
      <w:r>
        <w:t>Generated for the Critique from the Australian Register of Therapeutic Goods</w:t>
      </w:r>
      <w:hyperlink w:anchor="_ENREF_9" w:tooltip="ARTG, 2019 #255" w:history="1">
        <w:r>
          <w:fldChar w:fldCharType="begin"/>
        </w:r>
        <w:r>
          <w:instrText xml:space="preserve"> ADDIN EN.CITE &lt;EndNote&gt;&lt;Cite&gt;&lt;Author&gt;ARTG&lt;/Author&gt;&lt;Year&gt;2019&lt;/Year&gt;&lt;RecNum&gt;255&lt;/RecNum&gt;&lt;DisplayText&gt;&lt;style face="superscript"&gt;9&lt;/style&gt;&lt;/DisplayText&gt;&lt;record&gt;&lt;rec-number&gt;255&lt;/rec-number&gt;&lt;foreign-keys&gt;&lt;key app="EN" db-id="et0wefzp8xa0z5e0wf8pa9eh5zrt09zwd0sz" timestamp="1554165172"&gt;255&lt;/key&gt;&lt;/foreign-keys&gt;&lt;ref-type name="Web Page"&gt;12&lt;/ref-type&gt;&lt;contributors&gt;&lt;authors&gt;&lt;author&gt;ARTG&lt;/author&gt;&lt;/authors&gt;&lt;/contributors&gt;&lt;titles&gt;&lt;title&gt;Australian Register of Therapeutic Goods&lt;/title&gt;&lt;/titles&gt;&lt;volume&gt;2019&lt;/volume&gt;&lt;number&gt;2 April&lt;/number&gt;&lt;dates&gt;&lt;year&gt;2019&lt;/year&gt;&lt;/dates&gt;&lt;pub-location&gt;Canberra, Australia&lt;/pub-location&gt;&lt;urls&gt;&lt;related-urls&gt;&lt;url&gt;&lt;style face="underline" font="default" size="100%"&gt;https://www.tga.gov.au/artg&lt;/style&gt;&lt;/url&gt;&lt;/related-urls&gt;&lt;/urls&gt;&lt;/record&gt;&lt;/Cite&gt;&lt;/EndNote&gt;</w:instrText>
        </w:r>
        <w:r>
          <w:fldChar w:fldCharType="separate"/>
        </w:r>
        <w:r w:rsidRPr="00140E19">
          <w:rPr>
            <w:noProof/>
            <w:vertAlign w:val="superscript"/>
          </w:rPr>
          <w:t>9</w:t>
        </w:r>
        <w:r>
          <w:fldChar w:fldCharType="end"/>
        </w:r>
      </w:hyperlink>
    </w:p>
    <w:p w14:paraId="214FEC0E" w14:textId="77777777" w:rsidR="00233958" w:rsidRDefault="00233958" w:rsidP="00233958">
      <w:pPr>
        <w:pStyle w:val="Tablenotes1"/>
      </w:pPr>
      <w:r w:rsidRPr="00210910">
        <w:rPr>
          <w:b/>
        </w:rPr>
        <w:t>Abbreviation</w:t>
      </w:r>
      <w:r>
        <w:t>: ARTG = Australian Register of Therapeutic Goods</w:t>
      </w:r>
    </w:p>
    <w:p w14:paraId="121F9BAC" w14:textId="77777777" w:rsidR="00BC1364" w:rsidRPr="00F715D1" w:rsidRDefault="00BC1364" w:rsidP="00F715D1">
      <w:pPr>
        <w:pStyle w:val="Heading1"/>
      </w:pPr>
      <w:r w:rsidRPr="00F715D1">
        <w:t>Proposal for public funding</w:t>
      </w:r>
    </w:p>
    <w:p w14:paraId="63FC900E" w14:textId="5BB0C128" w:rsidR="00980818" w:rsidRDefault="00980818" w:rsidP="00BC72A9">
      <w:pPr>
        <w:spacing w:after="240"/>
      </w:pPr>
      <w:r>
        <w:t xml:space="preserve">The requested inclusion in the National Products List (NPL) </w:t>
      </w:r>
      <w:r w:rsidRPr="004D58E3">
        <w:t>is provided in</w:t>
      </w:r>
      <w:r>
        <w:t xml:space="preserve"> Table 2.</w:t>
      </w:r>
    </w:p>
    <w:p w14:paraId="6B2F4A1E" w14:textId="008D23F7" w:rsidR="00980818" w:rsidRPr="006F64E6" w:rsidRDefault="00980818" w:rsidP="006F64E6">
      <w:pPr>
        <w:rPr>
          <w:rFonts w:ascii="Arial Narrow" w:hAnsi="Arial Narrow"/>
          <w:b/>
          <w:sz w:val="20"/>
        </w:rPr>
      </w:pPr>
      <w:bookmarkStart w:id="1" w:name="_Ref5019191"/>
      <w:bookmarkStart w:id="2" w:name="_Toc6667032"/>
      <w:r w:rsidRPr="006F64E6">
        <w:rPr>
          <w:rFonts w:ascii="Arial Narrow" w:hAnsi="Arial Narrow"/>
          <w:b/>
          <w:sz w:val="20"/>
        </w:rPr>
        <w:t>Table</w:t>
      </w:r>
      <w:bookmarkEnd w:id="1"/>
      <w:r w:rsidR="00054E4D" w:rsidRPr="006F64E6">
        <w:rPr>
          <w:rFonts w:ascii="Arial Narrow" w:hAnsi="Arial Narrow"/>
          <w:b/>
          <w:sz w:val="20"/>
        </w:rPr>
        <w:t xml:space="preserve"> </w:t>
      </w:r>
      <w:r w:rsidR="008501A0" w:rsidRPr="006F64E6">
        <w:rPr>
          <w:rFonts w:ascii="Arial Narrow" w:hAnsi="Arial Narrow"/>
          <w:b/>
          <w:sz w:val="20"/>
        </w:rPr>
        <w:t>2</w:t>
      </w:r>
      <w:r w:rsidRPr="006F64E6">
        <w:rPr>
          <w:rFonts w:ascii="Arial Narrow" w:hAnsi="Arial Narrow"/>
          <w:b/>
          <w:sz w:val="20"/>
        </w:rPr>
        <w:tab/>
        <w:t>Proposed inclusion in the NPL</w:t>
      </w:r>
      <w:bookmarkEnd w:id="2"/>
    </w:p>
    <w:tbl>
      <w:tblPr>
        <w:tblStyle w:val="TableGrid"/>
        <w:tblW w:w="0" w:type="auto"/>
        <w:tblLook w:val="04A0" w:firstRow="1" w:lastRow="0" w:firstColumn="1" w:lastColumn="0" w:noHBand="0" w:noVBand="1"/>
        <w:tblCaption w:val="Proposed NPL item descriptor"/>
        <w:tblDescription w:val="This table provides the proposed description of the requested National Products List item."/>
      </w:tblPr>
      <w:tblGrid>
        <w:gridCol w:w="1370"/>
        <w:gridCol w:w="1388"/>
        <w:gridCol w:w="2996"/>
        <w:gridCol w:w="1863"/>
        <w:gridCol w:w="1399"/>
      </w:tblGrid>
      <w:tr w:rsidR="00980818" w:rsidRPr="008875F8" w:rsidDel="00A134DA" w14:paraId="5FFBDEF4" w14:textId="77777777" w:rsidTr="00290FEC">
        <w:trPr>
          <w:trHeight w:val="250"/>
          <w:tblHeader/>
        </w:trPr>
        <w:tc>
          <w:tcPr>
            <w:tcW w:w="1381" w:type="dxa"/>
          </w:tcPr>
          <w:p w14:paraId="103B435C" w14:textId="77777777" w:rsidR="00980818" w:rsidRPr="008875F8" w:rsidDel="00A134DA" w:rsidRDefault="00980818" w:rsidP="0010250B">
            <w:pPr>
              <w:pStyle w:val="Tabletext1"/>
              <w:spacing w:before="0" w:after="0"/>
              <w:rPr>
                <w:b/>
              </w:rPr>
            </w:pPr>
            <w:r w:rsidRPr="008875F8">
              <w:rPr>
                <w:b/>
              </w:rPr>
              <w:t xml:space="preserve">Product </w:t>
            </w:r>
            <w:r>
              <w:rPr>
                <w:b/>
              </w:rPr>
              <w:t>t</w:t>
            </w:r>
            <w:r w:rsidRPr="008875F8">
              <w:rPr>
                <w:b/>
              </w:rPr>
              <w:t>ype</w:t>
            </w:r>
          </w:p>
        </w:tc>
        <w:tc>
          <w:tcPr>
            <w:tcW w:w="1398" w:type="dxa"/>
          </w:tcPr>
          <w:p w14:paraId="4C93C79C" w14:textId="77777777" w:rsidR="00980818" w:rsidRPr="008875F8" w:rsidDel="00A134DA" w:rsidRDefault="00980818" w:rsidP="0010250B">
            <w:pPr>
              <w:pStyle w:val="Tabletext1"/>
              <w:spacing w:before="0" w:after="0"/>
              <w:rPr>
                <w:b/>
              </w:rPr>
            </w:pPr>
            <w:r w:rsidRPr="008875F8">
              <w:rPr>
                <w:b/>
              </w:rPr>
              <w:t>Name</w:t>
            </w:r>
          </w:p>
        </w:tc>
        <w:tc>
          <w:tcPr>
            <w:tcW w:w="3079" w:type="dxa"/>
          </w:tcPr>
          <w:p w14:paraId="5C5D856F" w14:textId="77777777" w:rsidR="00980818" w:rsidRPr="008875F8" w:rsidDel="00A134DA" w:rsidRDefault="00980818" w:rsidP="0010250B">
            <w:pPr>
              <w:pStyle w:val="Tabletext1"/>
              <w:spacing w:before="0" w:after="0"/>
              <w:rPr>
                <w:b/>
              </w:rPr>
            </w:pPr>
            <w:r w:rsidRPr="008875F8">
              <w:rPr>
                <w:b/>
              </w:rPr>
              <w:t>Presentation</w:t>
            </w:r>
          </w:p>
        </w:tc>
        <w:tc>
          <w:tcPr>
            <w:tcW w:w="1909" w:type="dxa"/>
          </w:tcPr>
          <w:p w14:paraId="0AD4E465" w14:textId="77777777" w:rsidR="00980818" w:rsidRPr="008875F8" w:rsidDel="00A134DA" w:rsidRDefault="00980818" w:rsidP="0010250B">
            <w:pPr>
              <w:pStyle w:val="Tabletext1"/>
              <w:spacing w:before="0" w:after="0"/>
              <w:rPr>
                <w:b/>
              </w:rPr>
            </w:pPr>
            <w:r w:rsidRPr="008875F8">
              <w:rPr>
                <w:b/>
              </w:rPr>
              <w:t>Supplier</w:t>
            </w:r>
          </w:p>
        </w:tc>
        <w:tc>
          <w:tcPr>
            <w:tcW w:w="1420" w:type="dxa"/>
          </w:tcPr>
          <w:p w14:paraId="244AADD7" w14:textId="77777777" w:rsidR="00980818" w:rsidRPr="008875F8" w:rsidDel="00A134DA" w:rsidRDefault="00980818" w:rsidP="0010250B">
            <w:pPr>
              <w:pStyle w:val="Tabletext1"/>
              <w:spacing w:before="0" w:after="0"/>
              <w:jc w:val="center"/>
              <w:rPr>
                <w:b/>
              </w:rPr>
            </w:pPr>
            <w:r w:rsidRPr="008875F8">
              <w:rPr>
                <w:b/>
              </w:rPr>
              <w:t>Effective price</w:t>
            </w:r>
          </w:p>
        </w:tc>
      </w:tr>
      <w:tr w:rsidR="00980818" w:rsidRPr="008875F8" w:rsidDel="00A134DA" w14:paraId="2A3CAB80" w14:textId="77777777" w:rsidTr="00290FEC">
        <w:trPr>
          <w:trHeight w:val="250"/>
        </w:trPr>
        <w:tc>
          <w:tcPr>
            <w:tcW w:w="1381" w:type="dxa"/>
          </w:tcPr>
          <w:p w14:paraId="5CA52C47" w14:textId="77777777" w:rsidR="00980818" w:rsidRPr="008875F8" w:rsidDel="00A134DA" w:rsidRDefault="00980818" w:rsidP="0010250B">
            <w:pPr>
              <w:pStyle w:val="Tabletext1"/>
              <w:spacing w:before="0" w:after="0"/>
            </w:pPr>
            <w:r>
              <w:t>Emicizumab</w:t>
            </w:r>
          </w:p>
        </w:tc>
        <w:tc>
          <w:tcPr>
            <w:tcW w:w="1398" w:type="dxa"/>
          </w:tcPr>
          <w:p w14:paraId="47A08060" w14:textId="77777777" w:rsidR="00980818" w:rsidRPr="008875F8" w:rsidDel="00A134DA" w:rsidRDefault="00980818" w:rsidP="0010250B">
            <w:pPr>
              <w:pStyle w:val="Tabletext1"/>
              <w:spacing w:before="0" w:after="0"/>
            </w:pPr>
            <w:r w:rsidRPr="008875F8">
              <w:t>HEMLIBRA®</w:t>
            </w:r>
          </w:p>
        </w:tc>
        <w:tc>
          <w:tcPr>
            <w:tcW w:w="3079" w:type="dxa"/>
          </w:tcPr>
          <w:p w14:paraId="7369C1E2" w14:textId="77777777" w:rsidR="00980818" w:rsidRPr="008875F8" w:rsidRDefault="00980818" w:rsidP="0010250B">
            <w:pPr>
              <w:pStyle w:val="Tabletext1"/>
              <w:spacing w:before="0" w:after="0"/>
            </w:pPr>
            <w:r w:rsidRPr="008875F8">
              <w:t>30 mg/1 mL (30 mg/mL), 1 vial</w:t>
            </w:r>
          </w:p>
          <w:p w14:paraId="3B3FE13B" w14:textId="77777777" w:rsidR="00980818" w:rsidRPr="008875F8" w:rsidRDefault="00980818" w:rsidP="0010250B">
            <w:pPr>
              <w:pStyle w:val="Tabletext1"/>
              <w:spacing w:before="0" w:after="0"/>
            </w:pPr>
            <w:r w:rsidRPr="008875F8">
              <w:t>60 mg/0.4 mL (150 mg/mL), 1 vial</w:t>
            </w:r>
          </w:p>
          <w:p w14:paraId="1CB05E17" w14:textId="77777777" w:rsidR="00980818" w:rsidRPr="008875F8" w:rsidRDefault="00980818" w:rsidP="0010250B">
            <w:pPr>
              <w:pStyle w:val="Tabletext1"/>
              <w:spacing w:before="0" w:after="0"/>
            </w:pPr>
            <w:r w:rsidRPr="008875F8">
              <w:t>105 mg/0.7 mL (150 mg/mL), 1 vial</w:t>
            </w:r>
          </w:p>
          <w:p w14:paraId="35166109" w14:textId="77777777" w:rsidR="00980818" w:rsidRPr="008875F8" w:rsidDel="00A134DA" w:rsidRDefault="00980818" w:rsidP="0010250B">
            <w:pPr>
              <w:pStyle w:val="Tabletext1"/>
              <w:spacing w:before="0" w:after="0"/>
            </w:pPr>
            <w:r w:rsidRPr="008875F8">
              <w:t>150 mg/1 mL (150 mg/mL), 1 vial</w:t>
            </w:r>
          </w:p>
        </w:tc>
        <w:tc>
          <w:tcPr>
            <w:tcW w:w="1909" w:type="dxa"/>
          </w:tcPr>
          <w:p w14:paraId="36957774" w14:textId="77777777" w:rsidR="00980818" w:rsidRPr="008875F8" w:rsidDel="00A134DA" w:rsidRDefault="00980818" w:rsidP="0010250B">
            <w:pPr>
              <w:pStyle w:val="Tabletext1"/>
              <w:spacing w:before="0" w:after="0"/>
            </w:pPr>
            <w:r w:rsidRPr="008875F8">
              <w:t>Roche Products Pty Ltd</w:t>
            </w:r>
          </w:p>
        </w:tc>
        <w:tc>
          <w:tcPr>
            <w:tcW w:w="1420" w:type="dxa"/>
          </w:tcPr>
          <w:p w14:paraId="1F14672C" w14:textId="0A350F2B" w:rsidR="00980818" w:rsidRPr="008875F8" w:rsidRDefault="00980818" w:rsidP="0010250B">
            <w:pPr>
              <w:pStyle w:val="Tabletext1"/>
              <w:spacing w:before="0" w:after="0"/>
              <w:jc w:val="center"/>
            </w:pPr>
            <w:r w:rsidRPr="008875F8">
              <w:t>$</w:t>
            </w:r>
            <w:r w:rsidR="00ED2C04">
              <w:t>redacted</w:t>
            </w:r>
          </w:p>
          <w:p w14:paraId="6CC6C824" w14:textId="30939F97" w:rsidR="00980818" w:rsidRPr="008875F8" w:rsidRDefault="00980818" w:rsidP="0010250B">
            <w:pPr>
              <w:pStyle w:val="Tabletext1"/>
              <w:spacing w:before="0" w:after="0"/>
              <w:jc w:val="center"/>
            </w:pPr>
            <w:r w:rsidRPr="008875F8">
              <w:t>$</w:t>
            </w:r>
            <w:r w:rsidR="00ED2C04">
              <w:t>redacted</w:t>
            </w:r>
          </w:p>
          <w:p w14:paraId="20F90005" w14:textId="2A5E3BD3" w:rsidR="00980818" w:rsidRPr="008875F8" w:rsidRDefault="00980818" w:rsidP="0010250B">
            <w:pPr>
              <w:pStyle w:val="Tabletext1"/>
              <w:spacing w:before="0" w:after="0"/>
              <w:jc w:val="center"/>
            </w:pPr>
            <w:r w:rsidRPr="008875F8">
              <w:t>$</w:t>
            </w:r>
            <w:r w:rsidR="00ED2C04">
              <w:t>redacted</w:t>
            </w:r>
          </w:p>
          <w:p w14:paraId="0B828BDF" w14:textId="419AEAC4" w:rsidR="00980818" w:rsidRPr="008875F8" w:rsidDel="00A134DA" w:rsidRDefault="00980818" w:rsidP="00ED2C04">
            <w:pPr>
              <w:pStyle w:val="Tabletext1"/>
              <w:spacing w:before="0" w:after="0"/>
              <w:jc w:val="center"/>
            </w:pPr>
            <w:r w:rsidRPr="008875F8">
              <w:t>$</w:t>
            </w:r>
            <w:r w:rsidR="00ED2C04">
              <w:t>redacted</w:t>
            </w:r>
          </w:p>
        </w:tc>
      </w:tr>
    </w:tbl>
    <w:p w14:paraId="748C1DE5" w14:textId="77777777" w:rsidR="00980818" w:rsidRPr="008875F8" w:rsidRDefault="00980818" w:rsidP="00980818">
      <w:pPr>
        <w:pStyle w:val="Tablenotes1"/>
      </w:pPr>
      <w:r w:rsidRPr="004B70C2">
        <w:rPr>
          <w:b/>
        </w:rPr>
        <w:t>Source</w:t>
      </w:r>
      <w:r>
        <w:t>: Table A.2, p14 of the SBA</w:t>
      </w:r>
    </w:p>
    <w:p w14:paraId="3E63D693" w14:textId="77777777" w:rsidR="00980818" w:rsidRDefault="00980818" w:rsidP="00980818">
      <w:r>
        <w:t>The Critique stated a key issue with the submission was the differential pricing proposal for patients with inhibitors (Application 1510; refer to Public Summary Document) and without inhibitors.</w:t>
      </w:r>
    </w:p>
    <w:p w14:paraId="172B8CF6" w14:textId="1484F242" w:rsidR="00BC1364" w:rsidRPr="00F715D1" w:rsidRDefault="00BC1364" w:rsidP="00F715D1">
      <w:pPr>
        <w:pStyle w:val="Heading1"/>
      </w:pPr>
      <w:r w:rsidRPr="00F715D1">
        <w:t>Summary o</w:t>
      </w:r>
      <w:r w:rsidR="008501A0" w:rsidRPr="00F715D1">
        <w:t>f public consultation feedback/consumer issues</w:t>
      </w:r>
    </w:p>
    <w:p w14:paraId="47C3C100" w14:textId="5E03C047" w:rsidR="005A7D42" w:rsidRDefault="005A7D42" w:rsidP="005A7D42">
      <w:pPr>
        <w:tabs>
          <w:tab w:val="left" w:pos="720"/>
          <w:tab w:val="left" w:pos="1140"/>
        </w:tabs>
        <w:rPr>
          <w:szCs w:val="24"/>
        </w:rPr>
      </w:pPr>
      <w:r>
        <w:rPr>
          <w:szCs w:val="24"/>
        </w:rPr>
        <w:t xml:space="preserve">Eleven </w:t>
      </w:r>
      <w:r w:rsidRPr="004D098C">
        <w:rPr>
          <w:szCs w:val="24"/>
        </w:rPr>
        <w:t xml:space="preserve">responses were received </w:t>
      </w:r>
      <w:r>
        <w:rPr>
          <w:szCs w:val="24"/>
        </w:rPr>
        <w:t xml:space="preserve">during </w:t>
      </w:r>
      <w:r w:rsidRPr="004D098C">
        <w:rPr>
          <w:szCs w:val="24"/>
        </w:rPr>
        <w:t xml:space="preserve">the consultation </w:t>
      </w:r>
      <w:r>
        <w:rPr>
          <w:szCs w:val="24"/>
        </w:rPr>
        <w:t xml:space="preserve">phase – </w:t>
      </w:r>
      <w:r w:rsidRPr="004D098C">
        <w:rPr>
          <w:szCs w:val="24"/>
        </w:rPr>
        <w:t>t</w:t>
      </w:r>
      <w:r>
        <w:rPr>
          <w:szCs w:val="24"/>
        </w:rPr>
        <w:t xml:space="preserve">wo responses </w:t>
      </w:r>
      <w:r w:rsidRPr="004D098C">
        <w:rPr>
          <w:szCs w:val="24"/>
        </w:rPr>
        <w:t xml:space="preserve">from professional organisations, </w:t>
      </w:r>
      <w:r>
        <w:rPr>
          <w:szCs w:val="24"/>
        </w:rPr>
        <w:t>five responses from patients, one response from a consumer/patient advocacy organisation, one response from a haematologist, one response from a haemophilia nurse and one from a social worker</w:t>
      </w:r>
      <w:r w:rsidRPr="004D098C">
        <w:rPr>
          <w:szCs w:val="24"/>
        </w:rPr>
        <w:t xml:space="preserve">. The feedback was </w:t>
      </w:r>
      <w:r>
        <w:rPr>
          <w:szCs w:val="24"/>
        </w:rPr>
        <w:t xml:space="preserve">unanimously </w:t>
      </w:r>
      <w:r w:rsidRPr="004D098C">
        <w:rPr>
          <w:szCs w:val="24"/>
        </w:rPr>
        <w:t xml:space="preserve">positive </w:t>
      </w:r>
      <w:r>
        <w:rPr>
          <w:szCs w:val="24"/>
        </w:rPr>
        <w:t xml:space="preserve">about the treatment, </w:t>
      </w:r>
      <w:r w:rsidRPr="004D098C">
        <w:rPr>
          <w:szCs w:val="24"/>
        </w:rPr>
        <w:t xml:space="preserve">and supportive of public funding </w:t>
      </w:r>
      <w:r>
        <w:rPr>
          <w:szCs w:val="24"/>
        </w:rPr>
        <w:t xml:space="preserve">emicizumab </w:t>
      </w:r>
      <w:r w:rsidRPr="004D098C">
        <w:rPr>
          <w:szCs w:val="24"/>
        </w:rPr>
        <w:t>on the NPL</w:t>
      </w:r>
      <w:r>
        <w:rPr>
          <w:szCs w:val="24"/>
        </w:rPr>
        <w:t>.</w:t>
      </w:r>
    </w:p>
    <w:p w14:paraId="31E4A2CF" w14:textId="1D3473B3" w:rsidR="005A7D42" w:rsidRDefault="005A7D42" w:rsidP="00BC72A9">
      <w:pPr>
        <w:tabs>
          <w:tab w:val="left" w:pos="720"/>
          <w:tab w:val="left" w:pos="1140"/>
        </w:tabs>
        <w:spacing w:after="240"/>
        <w:rPr>
          <w:szCs w:val="24"/>
        </w:rPr>
      </w:pPr>
      <w:r>
        <w:rPr>
          <w:szCs w:val="24"/>
        </w:rPr>
        <w:lastRenderedPageBreak/>
        <w:t xml:space="preserve">Feedback stated that patients with severe and moderate haemophilia A currently require regular (minimum twice weekly, but often every second day) factor VIII intravenous infusions to prevent musculo-skeletal bleeds (and associated significant morbidity). This is a major treatment burden for patients and their families/partners/carers. The novelty of emicizumab, which allows weekly (or less often, up to monthly) subcutaneous injections, with 50% of patients experiencing no bleeds over a six month period, facilitates freedom, normality and productivity (work and school). </w:t>
      </w:r>
    </w:p>
    <w:p w14:paraId="4FFC8B6C" w14:textId="29810AAB" w:rsidR="005A7D42" w:rsidRDefault="005A7D42" w:rsidP="00BC72A9">
      <w:pPr>
        <w:tabs>
          <w:tab w:val="left" w:pos="720"/>
          <w:tab w:val="left" w:pos="1140"/>
        </w:tabs>
        <w:spacing w:after="240"/>
        <w:rPr>
          <w:szCs w:val="24"/>
        </w:rPr>
      </w:pPr>
      <w:r>
        <w:rPr>
          <w:szCs w:val="24"/>
        </w:rPr>
        <w:t>Professionals who treat patients are mindful of the cost of novel therapies, have experience in following criteria and the appropriate/sustainable use of high cost drugs and blood products.</w:t>
      </w:r>
    </w:p>
    <w:p w14:paraId="37CEBE9A" w14:textId="02AC61D6" w:rsidR="005A7D42" w:rsidRDefault="005A7D42" w:rsidP="00BC72A9">
      <w:pPr>
        <w:tabs>
          <w:tab w:val="left" w:pos="720"/>
          <w:tab w:val="left" w:pos="1140"/>
        </w:tabs>
        <w:spacing w:after="240"/>
        <w:rPr>
          <w:szCs w:val="24"/>
        </w:rPr>
      </w:pPr>
      <w:r>
        <w:rPr>
          <w:szCs w:val="24"/>
        </w:rPr>
        <w:t>Feedback confirmed that emicizumab’s registration in Australia has provided over two and a half years of patient experience, through clinical trials. Current (alternative) treatments are painful and stressful, because of the invasive nature of infusions. Needle phobia, thrombosis, infection risk, deteriorating vein access and disruption to daily living are some of the difficulties patients face. Poor psychosocial and economic outcomes are exacerbated by mental health issues, family breakdown, sub-optimal education outcomes and reduced work capacity. All family members are affected.</w:t>
      </w:r>
    </w:p>
    <w:p w14:paraId="01DF991E" w14:textId="2858A559" w:rsidR="005A7D42" w:rsidRDefault="005A7D42" w:rsidP="00BC72A9">
      <w:pPr>
        <w:tabs>
          <w:tab w:val="left" w:pos="720"/>
          <w:tab w:val="left" w:pos="1140"/>
        </w:tabs>
        <w:spacing w:after="240"/>
        <w:rPr>
          <w:szCs w:val="24"/>
        </w:rPr>
      </w:pPr>
      <w:r>
        <w:rPr>
          <w:szCs w:val="24"/>
        </w:rPr>
        <w:t>While the feedback acknowledged that some patients currently ‘intravenously’ self-inject the existing (funded) treatments, it clarified this is burdensome, because of vein issues and self-cannulisation difficulties. Reduced current treatment compliance leads to worsening outcomes, late night presentations to emergency departments (after falls/injuries during the day) and longer term joint disease from bleeds (with associated surgeries and poorer quality of life).</w:t>
      </w:r>
    </w:p>
    <w:p w14:paraId="7A01CDE4" w14:textId="77777777" w:rsidR="005A7D42" w:rsidRDefault="005A7D42" w:rsidP="005A7D42">
      <w:pPr>
        <w:tabs>
          <w:tab w:val="left" w:pos="720"/>
          <w:tab w:val="left" w:pos="1140"/>
        </w:tabs>
        <w:rPr>
          <w:szCs w:val="24"/>
        </w:rPr>
      </w:pPr>
      <w:r>
        <w:rPr>
          <w:szCs w:val="24"/>
        </w:rPr>
        <w:t>In the feedback, patients who participated in Australian emicizumab clinical trials talked about forgetting haemophilia for the first time, allowing them to get on with life, school and work.</w:t>
      </w:r>
    </w:p>
    <w:p w14:paraId="25CA6D3C" w14:textId="77777777" w:rsidR="00BC1364" w:rsidRPr="00F715D1" w:rsidRDefault="00BC1364" w:rsidP="00F715D1">
      <w:pPr>
        <w:pStyle w:val="Heading1"/>
      </w:pPr>
      <w:r w:rsidRPr="00F715D1">
        <w:t>Proposed intervention’s place in clinical management</w:t>
      </w:r>
    </w:p>
    <w:p w14:paraId="1D78DC27" w14:textId="06966DB8" w:rsidR="00980818" w:rsidRDefault="00980818" w:rsidP="00980818">
      <w:r>
        <w:t xml:space="preserve">The </w:t>
      </w:r>
      <w:r w:rsidRPr="002A5D2C">
        <w:t xml:space="preserve">proposed clinical management algorithm for patients </w:t>
      </w:r>
      <w:r w:rsidR="007C4940">
        <w:t xml:space="preserve">with HMA </w:t>
      </w:r>
      <w:r w:rsidRPr="002A5D2C">
        <w:t>is provided in</w:t>
      </w:r>
      <w:r>
        <w:t xml:space="preserve"> Figure 1. This </w:t>
      </w:r>
      <w:r w:rsidR="007C4940">
        <w:t>application</w:t>
      </w:r>
      <w:r>
        <w:t xml:space="preserve"> addresse</w:t>
      </w:r>
      <w:r w:rsidR="007C4940">
        <w:t>d</w:t>
      </w:r>
      <w:r>
        <w:t xml:space="preserve"> Population 2 only (without inhibitors). Emicizumab is </w:t>
      </w:r>
      <w:r w:rsidRPr="00E4290B">
        <w:t>shown as an additional treatment option for patients with moderate to severe HMA (without inhibitors</w:t>
      </w:r>
      <w:r>
        <w:t>). Specifically, emicizumab prophylaxis is shown as an alternative to FVIII, which can be given as either on-demand or prophylaxis.</w:t>
      </w:r>
    </w:p>
    <w:p w14:paraId="40A28E1F" w14:textId="77777777" w:rsidR="00980818" w:rsidRPr="002A5D2C" w:rsidRDefault="00980818" w:rsidP="00980818">
      <w:pPr>
        <w:rPr>
          <w:lang w:eastAsia="en-US"/>
        </w:rPr>
      </w:pPr>
      <w:r w:rsidRPr="001B3077">
        <w:rPr>
          <w:rFonts w:eastAsia="SimSun"/>
          <w:noProof/>
        </w:rPr>
        <w:lastRenderedPageBreak/>
        <w:drawing>
          <wp:inline distT="0" distB="0" distL="0" distR="0" wp14:anchorId="0B475BE8" wp14:editId="4B9D864F">
            <wp:extent cx="5188688" cy="6289454"/>
            <wp:effectExtent l="0" t="0" r="0" b="0"/>
            <wp:docPr id="10" name="Picture 10" descr="Proposed clinical management algorithm for patients with congenital 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3444" cy="6295219"/>
                    </a:xfrm>
                    <a:prstGeom prst="rect">
                      <a:avLst/>
                    </a:prstGeom>
                    <a:noFill/>
                  </pic:spPr>
                </pic:pic>
              </a:graphicData>
            </a:graphic>
          </wp:inline>
        </w:drawing>
      </w:r>
    </w:p>
    <w:p w14:paraId="37331FD1" w14:textId="77777777" w:rsidR="00980818" w:rsidRPr="006F64E6" w:rsidRDefault="00980818" w:rsidP="006F64E6">
      <w:pPr>
        <w:rPr>
          <w:rFonts w:ascii="Arial Narrow" w:hAnsi="Arial Narrow"/>
          <w:b/>
          <w:sz w:val="20"/>
        </w:rPr>
      </w:pPr>
      <w:r w:rsidRPr="006F64E6">
        <w:rPr>
          <w:rFonts w:ascii="Arial Narrow" w:hAnsi="Arial Narrow"/>
          <w:b/>
          <w:sz w:val="20"/>
        </w:rPr>
        <w:t>Figure 1</w:t>
      </w:r>
      <w:r w:rsidRPr="006F64E6">
        <w:rPr>
          <w:rFonts w:ascii="Arial Narrow" w:hAnsi="Arial Narrow"/>
          <w:b/>
          <w:sz w:val="20"/>
        </w:rPr>
        <w:tab/>
        <w:t>Proposed clinical management algorithm for patients with congenital HMA</w:t>
      </w:r>
    </w:p>
    <w:p w14:paraId="3F5865A0" w14:textId="77777777" w:rsidR="00980818" w:rsidRPr="002A5D2C" w:rsidRDefault="00980818" w:rsidP="00980818">
      <w:pPr>
        <w:pStyle w:val="TableNotes"/>
      </w:pPr>
      <w:r w:rsidRPr="002A5D2C">
        <w:t>Source: PICO confirmation for MSAC application 1510 March 2018</w:t>
      </w:r>
    </w:p>
    <w:p w14:paraId="3D3F76A7" w14:textId="36F294A5" w:rsidR="00BC1364" w:rsidRPr="00F715D1" w:rsidRDefault="007C4940" w:rsidP="00F715D1">
      <w:pPr>
        <w:pStyle w:val="Heading1"/>
      </w:pPr>
      <w:r>
        <w:t>Comparator</w:t>
      </w:r>
    </w:p>
    <w:p w14:paraId="46B7C21A" w14:textId="72429706" w:rsidR="00980818" w:rsidRDefault="007C4940" w:rsidP="00C56AC9">
      <w:pPr>
        <w:spacing w:before="120" w:after="120"/>
      </w:pPr>
      <w:r>
        <w:t>The proposed comparators are:</w:t>
      </w:r>
    </w:p>
    <w:p w14:paraId="129E4CB2" w14:textId="77777777" w:rsidR="00980818" w:rsidRDefault="00980818" w:rsidP="00C56AC9">
      <w:pPr>
        <w:pStyle w:val="ListParagraph"/>
        <w:numPr>
          <w:ilvl w:val="0"/>
          <w:numId w:val="30"/>
        </w:numPr>
        <w:spacing w:before="120" w:after="120"/>
        <w:contextualSpacing w:val="0"/>
      </w:pPr>
      <w:r>
        <w:t>prophylaxis with FVIII plus on-demand FVIII to treat bleeds; and</w:t>
      </w:r>
    </w:p>
    <w:p w14:paraId="000E8DE0" w14:textId="7F84163C" w:rsidR="00980818" w:rsidRDefault="00980818" w:rsidP="00BC72A9">
      <w:pPr>
        <w:pStyle w:val="ListParagraph"/>
        <w:numPr>
          <w:ilvl w:val="0"/>
          <w:numId w:val="30"/>
        </w:numPr>
        <w:spacing w:before="120" w:after="240"/>
        <w:ind w:left="714" w:hanging="357"/>
        <w:contextualSpacing w:val="0"/>
      </w:pPr>
      <w:r>
        <w:t>no prophylaxis plus on-demand FVIII to treat bleeds or as surgical cover.</w:t>
      </w:r>
    </w:p>
    <w:p w14:paraId="56E756DE" w14:textId="28E8F32F" w:rsidR="00980818" w:rsidRDefault="00980818" w:rsidP="00BC72A9">
      <w:pPr>
        <w:spacing w:after="240"/>
      </w:pPr>
      <w:r>
        <w:t xml:space="preserve">The Critique stated that the comparators are consistent with the PICO Confirmation. </w:t>
      </w:r>
      <w:r w:rsidRPr="00C968B1">
        <w:t>The main comparator is comparator one</w:t>
      </w:r>
      <w:r>
        <w:t xml:space="preserve"> (prophylaxis with FVIII)</w:t>
      </w:r>
      <w:r w:rsidRPr="00C968B1">
        <w:t xml:space="preserve"> as this is the predominant treatment strategy in Australia for patients with severe HMA</w:t>
      </w:r>
      <w:r>
        <w:t>, which is more prevalent than moderate HMA.</w:t>
      </w:r>
    </w:p>
    <w:p w14:paraId="03FC57FF" w14:textId="00DBDBB9" w:rsidR="00980818" w:rsidRDefault="00980818" w:rsidP="00C56AC9">
      <w:pPr>
        <w:spacing w:after="240"/>
      </w:pPr>
      <w:r>
        <w:t>The Critique provided the currently-available products on the NPL and recommended prophylaxis regimens</w:t>
      </w:r>
      <w:r w:rsidR="00054E4D">
        <w:t xml:space="preserve"> (Table </w:t>
      </w:r>
      <w:r w:rsidR="008501A0">
        <w:t>3</w:t>
      </w:r>
      <w:r w:rsidR="00054E4D">
        <w:t>)</w:t>
      </w:r>
      <w:r>
        <w:t>.</w:t>
      </w:r>
    </w:p>
    <w:p w14:paraId="6103A294" w14:textId="0D8903DA" w:rsidR="00980818" w:rsidRPr="006F64E6" w:rsidRDefault="00980818" w:rsidP="006F64E6">
      <w:pPr>
        <w:rPr>
          <w:rFonts w:ascii="Arial Narrow" w:hAnsi="Arial Narrow"/>
          <w:b/>
          <w:sz w:val="20"/>
        </w:rPr>
      </w:pPr>
      <w:bookmarkStart w:id="3" w:name="_Ref2529817"/>
      <w:bookmarkStart w:id="4" w:name="_Toc6667046"/>
      <w:r w:rsidRPr="006F64E6">
        <w:rPr>
          <w:rFonts w:ascii="Arial Narrow" w:hAnsi="Arial Narrow"/>
          <w:b/>
          <w:sz w:val="20"/>
        </w:rPr>
        <w:lastRenderedPageBreak/>
        <w:t>Table</w:t>
      </w:r>
      <w:bookmarkEnd w:id="3"/>
      <w:r w:rsidRPr="006F64E6">
        <w:rPr>
          <w:rFonts w:ascii="Arial Narrow" w:hAnsi="Arial Narrow"/>
          <w:b/>
          <w:sz w:val="20"/>
        </w:rPr>
        <w:t xml:space="preserve"> </w:t>
      </w:r>
      <w:r w:rsidR="008501A0" w:rsidRPr="006F64E6">
        <w:rPr>
          <w:rFonts w:ascii="Arial Narrow" w:hAnsi="Arial Narrow"/>
          <w:b/>
          <w:sz w:val="20"/>
        </w:rPr>
        <w:t>3</w:t>
      </w:r>
      <w:r w:rsidRPr="006F64E6">
        <w:rPr>
          <w:rFonts w:ascii="Arial Narrow" w:hAnsi="Arial Narrow"/>
          <w:b/>
          <w:sz w:val="20"/>
        </w:rPr>
        <w:tab/>
        <w:t>Factor VIII products available on the NPL and EHL factor VIII products registered with the TGA</w:t>
      </w:r>
      <w:bookmarkEnd w:id="4"/>
    </w:p>
    <w:tbl>
      <w:tblPr>
        <w:tblStyle w:val="TableGrid4"/>
        <w:tblW w:w="5000" w:type="pct"/>
        <w:tblBorders>
          <w:insideV w:val="none" w:sz="0" w:space="0" w:color="auto"/>
        </w:tblBorders>
        <w:tblLook w:val="04A0" w:firstRow="1" w:lastRow="0" w:firstColumn="1" w:lastColumn="0" w:noHBand="0" w:noVBand="1"/>
        <w:tblCaption w:val=" Plasma and recombinant products supplied under contract by the National Blood Authority in 2015-16 (2016b) and guidelines for use as per the 2010 guidance for treatment of inhibitors in Haemophilia A and Haemophilia B from the Australian Haemophilia Centre Directors Organisation (2010)"/>
        <w:tblDescription w:val="Factor VIII products available on the NPL and EHL Factor VIII products registered with the TGA"/>
      </w:tblPr>
      <w:tblGrid>
        <w:gridCol w:w="2180"/>
        <w:gridCol w:w="2074"/>
        <w:gridCol w:w="4762"/>
      </w:tblGrid>
      <w:tr w:rsidR="00980818" w:rsidRPr="00C32664" w14:paraId="2922939F" w14:textId="77777777" w:rsidTr="008501A0">
        <w:trPr>
          <w:tblHeader/>
        </w:trPr>
        <w:tc>
          <w:tcPr>
            <w:tcW w:w="1209" w:type="pct"/>
            <w:shd w:val="clear" w:color="auto" w:fill="auto"/>
          </w:tcPr>
          <w:p w14:paraId="6380E5E0" w14:textId="77777777" w:rsidR="00980818" w:rsidRPr="00C32664" w:rsidRDefault="00980818" w:rsidP="0010250B">
            <w:pPr>
              <w:pStyle w:val="ComTable"/>
              <w:spacing w:before="0" w:after="0"/>
              <w:ind w:left="0"/>
              <w:rPr>
                <w:b/>
                <w:i w:val="0"/>
                <w:color w:val="auto"/>
              </w:rPr>
            </w:pPr>
            <w:r w:rsidRPr="00C32664">
              <w:rPr>
                <w:b/>
                <w:i w:val="0"/>
                <w:color w:val="auto"/>
              </w:rPr>
              <w:t>Product</w:t>
            </w:r>
          </w:p>
        </w:tc>
        <w:tc>
          <w:tcPr>
            <w:tcW w:w="1150" w:type="pct"/>
            <w:shd w:val="clear" w:color="auto" w:fill="auto"/>
          </w:tcPr>
          <w:p w14:paraId="62FFB89C" w14:textId="77777777" w:rsidR="00980818" w:rsidRPr="00C32664" w:rsidRDefault="00980818" w:rsidP="0010250B">
            <w:pPr>
              <w:pStyle w:val="ComTable"/>
              <w:spacing w:before="0" w:after="0"/>
              <w:ind w:left="0"/>
              <w:rPr>
                <w:b/>
                <w:i w:val="0"/>
                <w:color w:val="auto"/>
              </w:rPr>
            </w:pPr>
            <w:r w:rsidRPr="00C32664">
              <w:rPr>
                <w:b/>
                <w:i w:val="0"/>
                <w:color w:val="auto"/>
              </w:rPr>
              <w:t>Supplier</w:t>
            </w:r>
          </w:p>
        </w:tc>
        <w:tc>
          <w:tcPr>
            <w:tcW w:w="2641" w:type="pct"/>
            <w:shd w:val="clear" w:color="auto" w:fill="auto"/>
          </w:tcPr>
          <w:p w14:paraId="075A2AA4" w14:textId="77777777" w:rsidR="00980818" w:rsidRPr="00C32664" w:rsidRDefault="00980818" w:rsidP="0010250B">
            <w:pPr>
              <w:pStyle w:val="ComTable"/>
              <w:spacing w:before="0" w:after="0"/>
              <w:ind w:left="0"/>
              <w:rPr>
                <w:b/>
                <w:i w:val="0"/>
                <w:color w:val="auto"/>
              </w:rPr>
            </w:pPr>
            <w:r w:rsidRPr="00C32664">
              <w:rPr>
                <w:b/>
                <w:i w:val="0"/>
                <w:color w:val="auto"/>
              </w:rPr>
              <w:t>Dose (frequency) required when prescribed as prophylaxis</w:t>
            </w:r>
          </w:p>
        </w:tc>
      </w:tr>
      <w:tr w:rsidR="008817EF" w:rsidRPr="00C32664" w14:paraId="3A017428" w14:textId="77777777" w:rsidTr="008501A0">
        <w:tc>
          <w:tcPr>
            <w:tcW w:w="1209" w:type="pct"/>
          </w:tcPr>
          <w:p w14:paraId="2E85FD86" w14:textId="77777777" w:rsidR="008817EF" w:rsidRPr="00C32664" w:rsidRDefault="008817EF" w:rsidP="0010250B">
            <w:pPr>
              <w:pStyle w:val="ComTable"/>
              <w:spacing w:before="0" w:after="0"/>
              <w:ind w:left="0"/>
              <w:rPr>
                <w:i w:val="0"/>
                <w:color w:val="auto"/>
              </w:rPr>
            </w:pPr>
            <w:r w:rsidRPr="00C32664">
              <w:rPr>
                <w:b/>
                <w:i w:val="0"/>
                <w:color w:val="auto"/>
              </w:rPr>
              <w:t>SHL factor VIII products</w:t>
            </w:r>
          </w:p>
        </w:tc>
        <w:tc>
          <w:tcPr>
            <w:tcW w:w="1150" w:type="pct"/>
          </w:tcPr>
          <w:p w14:paraId="655BD173" w14:textId="77777777" w:rsidR="008817EF" w:rsidRPr="00C32664" w:rsidRDefault="008817EF" w:rsidP="0010250B">
            <w:pPr>
              <w:pStyle w:val="ComTable"/>
              <w:spacing w:before="0" w:after="0"/>
              <w:ind w:left="0"/>
              <w:rPr>
                <w:i w:val="0"/>
                <w:color w:val="auto"/>
              </w:rPr>
            </w:pPr>
            <w:r w:rsidRPr="00C32664">
              <w:rPr>
                <w:b/>
                <w:i w:val="0"/>
                <w:color w:val="auto"/>
              </w:rPr>
              <w:t>available on the NPL</w:t>
            </w:r>
          </w:p>
        </w:tc>
        <w:tc>
          <w:tcPr>
            <w:tcW w:w="2641" w:type="pct"/>
          </w:tcPr>
          <w:p w14:paraId="0E7F0578" w14:textId="77777777" w:rsidR="008817EF" w:rsidRPr="00C32664" w:rsidRDefault="008817EF" w:rsidP="0010250B">
            <w:pPr>
              <w:pStyle w:val="ComTable"/>
              <w:spacing w:before="0" w:after="0"/>
              <w:rPr>
                <w:i w:val="0"/>
                <w:color w:val="auto"/>
              </w:rPr>
            </w:pPr>
          </w:p>
        </w:tc>
      </w:tr>
      <w:tr w:rsidR="00980818" w:rsidRPr="00C32664" w14:paraId="5ED8D61B" w14:textId="77777777" w:rsidTr="008501A0">
        <w:tc>
          <w:tcPr>
            <w:tcW w:w="1209" w:type="pct"/>
          </w:tcPr>
          <w:p w14:paraId="64D1F8C6" w14:textId="77777777" w:rsidR="00980818" w:rsidRPr="00C32664" w:rsidRDefault="00980818" w:rsidP="0010250B">
            <w:pPr>
              <w:pStyle w:val="ComTable"/>
              <w:spacing w:before="0" w:after="0"/>
              <w:ind w:left="0"/>
              <w:rPr>
                <w:i w:val="0"/>
                <w:color w:val="auto"/>
              </w:rPr>
            </w:pPr>
            <w:r w:rsidRPr="00C32664">
              <w:rPr>
                <w:i w:val="0"/>
                <w:color w:val="auto"/>
              </w:rPr>
              <w:t xml:space="preserve">rch FVIII </w:t>
            </w:r>
          </w:p>
          <w:p w14:paraId="6641A064" w14:textId="77777777" w:rsidR="00980818" w:rsidRPr="00C32664" w:rsidRDefault="00980818" w:rsidP="0010250B">
            <w:pPr>
              <w:pStyle w:val="ComTable"/>
              <w:spacing w:before="0" w:after="0"/>
              <w:ind w:left="0"/>
              <w:rPr>
                <w:i w:val="0"/>
                <w:color w:val="auto"/>
              </w:rPr>
            </w:pPr>
            <w:r w:rsidRPr="00C32664">
              <w:rPr>
                <w:i w:val="0"/>
                <w:color w:val="auto"/>
              </w:rPr>
              <w:t>rAHF-PFM</w:t>
            </w:r>
          </w:p>
          <w:p w14:paraId="7EB2FBB5" w14:textId="77777777" w:rsidR="00980818" w:rsidRPr="00C32664" w:rsidRDefault="00980818" w:rsidP="0010250B">
            <w:pPr>
              <w:pStyle w:val="ComTable"/>
              <w:spacing w:before="0" w:after="0"/>
              <w:ind w:left="0"/>
              <w:rPr>
                <w:i w:val="0"/>
                <w:color w:val="auto"/>
              </w:rPr>
            </w:pPr>
            <w:r w:rsidRPr="00C32664">
              <w:rPr>
                <w:i w:val="0"/>
                <w:color w:val="auto"/>
              </w:rPr>
              <w:t>(Advate)</w:t>
            </w:r>
          </w:p>
        </w:tc>
        <w:tc>
          <w:tcPr>
            <w:tcW w:w="1150" w:type="pct"/>
          </w:tcPr>
          <w:p w14:paraId="336F57B9" w14:textId="77777777" w:rsidR="00980818" w:rsidRPr="00C32664" w:rsidRDefault="00980818" w:rsidP="0010250B">
            <w:pPr>
              <w:pStyle w:val="ComTable"/>
              <w:spacing w:before="0" w:after="0"/>
              <w:ind w:left="0"/>
              <w:rPr>
                <w:i w:val="0"/>
                <w:color w:val="auto"/>
              </w:rPr>
            </w:pPr>
            <w:r w:rsidRPr="00C32664">
              <w:rPr>
                <w:i w:val="0"/>
                <w:color w:val="auto"/>
              </w:rPr>
              <w:t>Baxalta</w:t>
            </w:r>
          </w:p>
        </w:tc>
        <w:tc>
          <w:tcPr>
            <w:tcW w:w="2641" w:type="pct"/>
          </w:tcPr>
          <w:p w14:paraId="51852F8B" w14:textId="77777777" w:rsidR="00980818" w:rsidRPr="00C32664" w:rsidRDefault="00980818" w:rsidP="0010250B">
            <w:pPr>
              <w:pStyle w:val="ComTable"/>
              <w:spacing w:before="0" w:after="0"/>
              <w:ind w:left="0"/>
              <w:rPr>
                <w:i w:val="0"/>
                <w:color w:val="auto"/>
              </w:rPr>
            </w:pPr>
            <w:r w:rsidRPr="00C32664">
              <w:rPr>
                <w:i w:val="0"/>
                <w:color w:val="auto"/>
              </w:rPr>
              <w:t>20 – 40 IU/kg every other day (3 or 4 x per week)</w:t>
            </w:r>
          </w:p>
          <w:p w14:paraId="7D7DD171" w14:textId="77777777" w:rsidR="00980818" w:rsidRPr="00C32664" w:rsidRDefault="00980818" w:rsidP="0010250B">
            <w:pPr>
              <w:pStyle w:val="ComTable"/>
              <w:spacing w:before="0" w:after="0"/>
              <w:rPr>
                <w:i w:val="0"/>
                <w:color w:val="auto"/>
              </w:rPr>
            </w:pPr>
          </w:p>
        </w:tc>
      </w:tr>
      <w:tr w:rsidR="00980818" w:rsidRPr="00C32664" w14:paraId="74659AB5" w14:textId="77777777" w:rsidTr="008501A0">
        <w:tc>
          <w:tcPr>
            <w:tcW w:w="1209" w:type="pct"/>
          </w:tcPr>
          <w:p w14:paraId="3F9AC5F7" w14:textId="77777777" w:rsidR="00980818" w:rsidRPr="00C32664" w:rsidRDefault="00980818" w:rsidP="0010250B">
            <w:pPr>
              <w:pStyle w:val="ComTable"/>
              <w:spacing w:before="0" w:after="0"/>
              <w:ind w:left="0"/>
              <w:rPr>
                <w:i w:val="0"/>
                <w:color w:val="auto"/>
              </w:rPr>
            </w:pPr>
            <w:r w:rsidRPr="00C32664">
              <w:rPr>
                <w:i w:val="0"/>
                <w:color w:val="auto"/>
              </w:rPr>
              <w:t>rFVIII (Xyntha)</w:t>
            </w:r>
          </w:p>
        </w:tc>
        <w:tc>
          <w:tcPr>
            <w:tcW w:w="1150" w:type="pct"/>
          </w:tcPr>
          <w:p w14:paraId="2FA96DBF" w14:textId="77777777" w:rsidR="00980818" w:rsidRPr="00C32664" w:rsidRDefault="00980818" w:rsidP="0010250B">
            <w:pPr>
              <w:pStyle w:val="ComTable"/>
              <w:spacing w:before="0" w:after="0"/>
              <w:ind w:left="0"/>
              <w:rPr>
                <w:i w:val="0"/>
                <w:color w:val="auto"/>
              </w:rPr>
            </w:pPr>
            <w:r w:rsidRPr="00C32664">
              <w:rPr>
                <w:i w:val="0"/>
                <w:color w:val="auto"/>
              </w:rPr>
              <w:t>Pfizer</w:t>
            </w:r>
          </w:p>
        </w:tc>
        <w:tc>
          <w:tcPr>
            <w:tcW w:w="2641" w:type="pct"/>
          </w:tcPr>
          <w:p w14:paraId="11E40A23" w14:textId="77777777" w:rsidR="00980818" w:rsidRPr="00C32664" w:rsidRDefault="00980818" w:rsidP="0010250B">
            <w:pPr>
              <w:pStyle w:val="ComTable"/>
              <w:spacing w:before="0" w:after="0"/>
              <w:ind w:left="0"/>
              <w:rPr>
                <w:i w:val="0"/>
                <w:color w:val="auto"/>
              </w:rPr>
            </w:pPr>
            <w:r w:rsidRPr="00C32664">
              <w:rPr>
                <w:i w:val="0"/>
                <w:color w:val="auto"/>
              </w:rPr>
              <w:t>10 – 50 IU/kg at least 2 x per week</w:t>
            </w:r>
          </w:p>
        </w:tc>
      </w:tr>
      <w:tr w:rsidR="00980818" w:rsidRPr="00C32664" w14:paraId="6B747C90" w14:textId="77777777" w:rsidTr="008501A0">
        <w:trPr>
          <w:trHeight w:val="269"/>
        </w:trPr>
        <w:tc>
          <w:tcPr>
            <w:tcW w:w="1209" w:type="pct"/>
          </w:tcPr>
          <w:p w14:paraId="78ED0238" w14:textId="77777777" w:rsidR="00980818" w:rsidRPr="00C32664" w:rsidRDefault="00980818" w:rsidP="0010250B">
            <w:pPr>
              <w:pStyle w:val="ComTable"/>
              <w:spacing w:before="0" w:after="0"/>
              <w:ind w:left="0"/>
              <w:rPr>
                <w:i w:val="0"/>
                <w:color w:val="auto"/>
              </w:rPr>
            </w:pPr>
            <w:r w:rsidRPr="00C32664">
              <w:rPr>
                <w:i w:val="0"/>
                <w:color w:val="auto"/>
              </w:rPr>
              <w:t>pdFVIII/vWF (Biostate)</w:t>
            </w:r>
          </w:p>
        </w:tc>
        <w:tc>
          <w:tcPr>
            <w:tcW w:w="1150" w:type="pct"/>
          </w:tcPr>
          <w:p w14:paraId="377B10E9" w14:textId="77777777" w:rsidR="00980818" w:rsidRPr="00C32664" w:rsidRDefault="00980818" w:rsidP="0010250B">
            <w:pPr>
              <w:pStyle w:val="ComTable"/>
              <w:spacing w:before="0" w:after="0"/>
              <w:ind w:left="0"/>
              <w:rPr>
                <w:i w:val="0"/>
                <w:color w:val="auto"/>
              </w:rPr>
            </w:pPr>
            <w:r w:rsidRPr="00C32664">
              <w:rPr>
                <w:i w:val="0"/>
                <w:color w:val="auto"/>
              </w:rPr>
              <w:t xml:space="preserve">CSL Behring </w:t>
            </w:r>
          </w:p>
        </w:tc>
        <w:tc>
          <w:tcPr>
            <w:tcW w:w="2641" w:type="pct"/>
          </w:tcPr>
          <w:p w14:paraId="07448A26" w14:textId="77777777" w:rsidR="00980818" w:rsidRPr="00C32664" w:rsidRDefault="00980818" w:rsidP="0010250B">
            <w:pPr>
              <w:pStyle w:val="ComTable"/>
              <w:spacing w:before="0" w:after="0"/>
              <w:ind w:left="0"/>
              <w:rPr>
                <w:i w:val="0"/>
                <w:color w:val="auto"/>
              </w:rPr>
            </w:pPr>
            <w:r w:rsidRPr="00C32664">
              <w:rPr>
                <w:i w:val="0"/>
                <w:color w:val="auto"/>
              </w:rPr>
              <w:t>12.5 – 20 IU/kg 1 – 3 x weekly</w:t>
            </w:r>
          </w:p>
        </w:tc>
      </w:tr>
      <w:tr w:rsidR="008817EF" w:rsidRPr="00C32664" w14:paraId="4455B48D" w14:textId="77777777" w:rsidTr="008501A0">
        <w:trPr>
          <w:trHeight w:val="299"/>
        </w:trPr>
        <w:tc>
          <w:tcPr>
            <w:tcW w:w="1209" w:type="pct"/>
          </w:tcPr>
          <w:p w14:paraId="6EDB9952" w14:textId="77777777" w:rsidR="008817EF" w:rsidRPr="00C32664" w:rsidRDefault="008817EF" w:rsidP="0010250B">
            <w:pPr>
              <w:pStyle w:val="ComTable"/>
              <w:spacing w:before="0" w:after="0"/>
              <w:ind w:left="0"/>
              <w:rPr>
                <w:i w:val="0"/>
                <w:color w:val="auto"/>
              </w:rPr>
            </w:pPr>
            <w:r w:rsidRPr="00C32664">
              <w:rPr>
                <w:b/>
                <w:i w:val="0"/>
                <w:color w:val="auto"/>
              </w:rPr>
              <w:t>EHL factor VIII products</w:t>
            </w:r>
          </w:p>
        </w:tc>
        <w:tc>
          <w:tcPr>
            <w:tcW w:w="1150" w:type="pct"/>
          </w:tcPr>
          <w:p w14:paraId="7995C61D" w14:textId="624F6101" w:rsidR="008817EF" w:rsidRPr="00C32664" w:rsidRDefault="008817EF" w:rsidP="0010250B">
            <w:pPr>
              <w:pStyle w:val="ComTable"/>
              <w:spacing w:before="0" w:after="0"/>
              <w:ind w:left="0"/>
              <w:rPr>
                <w:i w:val="0"/>
                <w:color w:val="auto"/>
              </w:rPr>
            </w:pPr>
            <w:r w:rsidRPr="00C32664">
              <w:rPr>
                <w:b/>
                <w:i w:val="0"/>
                <w:color w:val="auto"/>
              </w:rPr>
              <w:t xml:space="preserve">registered with the </w:t>
            </w:r>
            <w:r w:rsidR="008501A0" w:rsidRPr="00C32664">
              <w:rPr>
                <w:b/>
                <w:i w:val="0"/>
                <w:color w:val="auto"/>
              </w:rPr>
              <w:t>TGA</w:t>
            </w:r>
          </w:p>
        </w:tc>
        <w:tc>
          <w:tcPr>
            <w:tcW w:w="2641" w:type="pct"/>
          </w:tcPr>
          <w:p w14:paraId="01DE32F6" w14:textId="33FEA5FC" w:rsidR="008817EF" w:rsidRPr="00C32664" w:rsidRDefault="008817EF" w:rsidP="0010250B">
            <w:pPr>
              <w:pStyle w:val="ComTable"/>
              <w:spacing w:before="0" w:after="0"/>
              <w:ind w:left="0"/>
              <w:rPr>
                <w:b/>
                <w:i w:val="0"/>
                <w:color w:val="auto"/>
              </w:rPr>
            </w:pPr>
          </w:p>
        </w:tc>
      </w:tr>
      <w:tr w:rsidR="00980818" w:rsidRPr="00C32664" w14:paraId="0129127C" w14:textId="77777777" w:rsidTr="008501A0">
        <w:trPr>
          <w:trHeight w:val="477"/>
        </w:trPr>
        <w:tc>
          <w:tcPr>
            <w:tcW w:w="1209" w:type="pct"/>
          </w:tcPr>
          <w:p w14:paraId="26FC4D02" w14:textId="77777777" w:rsidR="00980818" w:rsidRPr="00C32664" w:rsidRDefault="00980818" w:rsidP="0010250B">
            <w:pPr>
              <w:pStyle w:val="ComTable"/>
              <w:spacing w:before="0" w:after="0"/>
              <w:ind w:left="0"/>
              <w:rPr>
                <w:i w:val="0"/>
                <w:color w:val="auto"/>
              </w:rPr>
            </w:pPr>
            <w:r w:rsidRPr="00C32664">
              <w:rPr>
                <w:i w:val="0"/>
                <w:color w:val="auto"/>
              </w:rPr>
              <w:t>BAX-855 (Adynovate)</w:t>
            </w:r>
          </w:p>
        </w:tc>
        <w:tc>
          <w:tcPr>
            <w:tcW w:w="1150" w:type="pct"/>
          </w:tcPr>
          <w:p w14:paraId="382310A8" w14:textId="77777777" w:rsidR="00980818" w:rsidRPr="00C32664" w:rsidRDefault="00980818" w:rsidP="0010250B">
            <w:pPr>
              <w:pStyle w:val="ComTable"/>
              <w:spacing w:before="0" w:after="0"/>
              <w:ind w:left="0"/>
              <w:rPr>
                <w:i w:val="0"/>
                <w:color w:val="auto"/>
              </w:rPr>
            </w:pPr>
            <w:r w:rsidRPr="00C32664">
              <w:rPr>
                <w:i w:val="0"/>
                <w:color w:val="auto"/>
              </w:rPr>
              <w:t>Baxalta / Shire</w:t>
            </w:r>
          </w:p>
        </w:tc>
        <w:tc>
          <w:tcPr>
            <w:tcW w:w="2641" w:type="pct"/>
          </w:tcPr>
          <w:p w14:paraId="3442C916" w14:textId="77777777" w:rsidR="00980818" w:rsidRPr="00C32664" w:rsidRDefault="00980818" w:rsidP="0010250B">
            <w:pPr>
              <w:pStyle w:val="ComTable"/>
              <w:spacing w:before="0" w:after="0"/>
              <w:ind w:left="0"/>
              <w:rPr>
                <w:i w:val="0"/>
                <w:color w:val="auto"/>
              </w:rPr>
            </w:pPr>
            <w:r w:rsidRPr="00C32664">
              <w:rPr>
                <w:i w:val="0"/>
                <w:color w:val="auto"/>
              </w:rPr>
              <w:t>40-50 IU/kg/2 x weekly (starting dose 55 IU/kg/2 x weekly in patients &lt;12 years of age, maximum 70 IU/kg)</w:t>
            </w:r>
          </w:p>
        </w:tc>
      </w:tr>
      <w:tr w:rsidR="00980818" w:rsidRPr="00C32664" w14:paraId="77D3CADA" w14:textId="77777777" w:rsidTr="008501A0">
        <w:trPr>
          <w:trHeight w:val="229"/>
        </w:trPr>
        <w:tc>
          <w:tcPr>
            <w:tcW w:w="1209" w:type="pct"/>
          </w:tcPr>
          <w:p w14:paraId="1FB6C915" w14:textId="77777777" w:rsidR="00980818" w:rsidRPr="00C32664" w:rsidRDefault="00980818" w:rsidP="0010250B">
            <w:pPr>
              <w:pStyle w:val="ComTable"/>
              <w:spacing w:before="0" w:after="0"/>
              <w:ind w:left="0"/>
              <w:rPr>
                <w:i w:val="0"/>
                <w:color w:val="auto"/>
              </w:rPr>
            </w:pPr>
            <w:r w:rsidRPr="00C32664">
              <w:rPr>
                <w:i w:val="0"/>
                <w:color w:val="auto"/>
              </w:rPr>
              <w:t>BAY 81-8973 (Kovaltry)</w:t>
            </w:r>
          </w:p>
        </w:tc>
        <w:tc>
          <w:tcPr>
            <w:tcW w:w="1150" w:type="pct"/>
          </w:tcPr>
          <w:p w14:paraId="424D00A6" w14:textId="77777777" w:rsidR="00980818" w:rsidRPr="00C32664" w:rsidRDefault="00980818" w:rsidP="0010250B">
            <w:pPr>
              <w:pStyle w:val="ComTable"/>
              <w:spacing w:before="0" w:after="0"/>
              <w:ind w:left="0"/>
              <w:rPr>
                <w:i w:val="0"/>
                <w:color w:val="auto"/>
              </w:rPr>
            </w:pPr>
            <w:r w:rsidRPr="00C32664">
              <w:rPr>
                <w:i w:val="0"/>
                <w:color w:val="auto"/>
              </w:rPr>
              <w:t>Bayer Australia</w:t>
            </w:r>
          </w:p>
        </w:tc>
        <w:tc>
          <w:tcPr>
            <w:tcW w:w="2641" w:type="pct"/>
          </w:tcPr>
          <w:p w14:paraId="1F1EB35D" w14:textId="77777777" w:rsidR="00980818" w:rsidRPr="00C32664" w:rsidRDefault="00980818" w:rsidP="0010250B">
            <w:pPr>
              <w:pStyle w:val="ComTable"/>
              <w:spacing w:before="0" w:after="0"/>
              <w:ind w:left="0"/>
              <w:rPr>
                <w:i w:val="0"/>
                <w:color w:val="auto"/>
              </w:rPr>
            </w:pPr>
            <w:r w:rsidRPr="00C32664">
              <w:rPr>
                <w:i w:val="0"/>
                <w:color w:val="auto"/>
              </w:rPr>
              <w:t>Patients &gt;12 years old: 20 – 40 IU/kg 2 or 3 times per week</w:t>
            </w:r>
          </w:p>
        </w:tc>
      </w:tr>
      <w:tr w:rsidR="00980818" w:rsidRPr="00C32664" w14:paraId="02F3C98A" w14:textId="77777777" w:rsidTr="008501A0">
        <w:trPr>
          <w:trHeight w:val="744"/>
        </w:trPr>
        <w:tc>
          <w:tcPr>
            <w:tcW w:w="1209" w:type="pct"/>
          </w:tcPr>
          <w:p w14:paraId="131A05C2" w14:textId="77777777" w:rsidR="00980818" w:rsidRPr="00C32664" w:rsidRDefault="00980818" w:rsidP="0010250B">
            <w:pPr>
              <w:pStyle w:val="ComTable"/>
              <w:spacing w:before="0" w:after="0"/>
              <w:ind w:left="0"/>
              <w:rPr>
                <w:i w:val="0"/>
                <w:color w:val="auto"/>
              </w:rPr>
            </w:pPr>
            <w:r w:rsidRPr="00C32664">
              <w:rPr>
                <w:i w:val="0"/>
                <w:color w:val="auto"/>
              </w:rPr>
              <w:t>CSL 627 (Afstyla)</w:t>
            </w:r>
          </w:p>
        </w:tc>
        <w:tc>
          <w:tcPr>
            <w:tcW w:w="1150" w:type="pct"/>
          </w:tcPr>
          <w:p w14:paraId="685BA0FE" w14:textId="77777777" w:rsidR="00980818" w:rsidRPr="00C32664" w:rsidRDefault="00980818" w:rsidP="0010250B">
            <w:pPr>
              <w:pStyle w:val="ComTable"/>
              <w:spacing w:before="0" w:after="0"/>
              <w:ind w:left="0"/>
              <w:rPr>
                <w:i w:val="0"/>
                <w:color w:val="auto"/>
              </w:rPr>
            </w:pPr>
            <w:r w:rsidRPr="00C32664">
              <w:rPr>
                <w:i w:val="0"/>
                <w:color w:val="auto"/>
              </w:rPr>
              <w:t>CSL Behring</w:t>
            </w:r>
          </w:p>
        </w:tc>
        <w:tc>
          <w:tcPr>
            <w:tcW w:w="2641" w:type="pct"/>
          </w:tcPr>
          <w:p w14:paraId="1E3C0EFC" w14:textId="77777777" w:rsidR="00980818" w:rsidRPr="00C32664" w:rsidRDefault="00980818" w:rsidP="0010250B">
            <w:pPr>
              <w:pStyle w:val="ComTable"/>
              <w:spacing w:before="0" w:after="0"/>
              <w:ind w:left="0"/>
              <w:rPr>
                <w:i w:val="0"/>
                <w:color w:val="auto"/>
              </w:rPr>
            </w:pPr>
            <w:r w:rsidRPr="00C32664">
              <w:rPr>
                <w:i w:val="0"/>
                <w:color w:val="auto"/>
              </w:rPr>
              <w:t>Patients ≥12 years old: 20 – 50 IU/kg/2 or 3 x per week</w:t>
            </w:r>
          </w:p>
          <w:p w14:paraId="0117A3CE" w14:textId="77777777" w:rsidR="00980818" w:rsidRPr="00C32664" w:rsidRDefault="00980818" w:rsidP="0010250B">
            <w:pPr>
              <w:pStyle w:val="ComTable"/>
              <w:spacing w:before="0" w:after="0"/>
              <w:ind w:left="0"/>
              <w:rPr>
                <w:i w:val="0"/>
                <w:color w:val="auto"/>
              </w:rPr>
            </w:pPr>
            <w:r w:rsidRPr="00C32664">
              <w:rPr>
                <w:i w:val="0"/>
                <w:color w:val="auto"/>
              </w:rPr>
              <w:t>Patients &lt;12 years old: 30 – 50 IU/kg/2 or 3 x per week. More frequent or higher doses may be required</w:t>
            </w:r>
          </w:p>
        </w:tc>
      </w:tr>
      <w:tr w:rsidR="00980818" w:rsidRPr="00C32664" w14:paraId="516B2C6C" w14:textId="77777777" w:rsidTr="008501A0">
        <w:trPr>
          <w:trHeight w:val="515"/>
        </w:trPr>
        <w:tc>
          <w:tcPr>
            <w:tcW w:w="1209" w:type="pct"/>
          </w:tcPr>
          <w:p w14:paraId="5D877359" w14:textId="77777777" w:rsidR="00980818" w:rsidRPr="00C32664" w:rsidRDefault="00980818" w:rsidP="0010250B">
            <w:pPr>
              <w:pStyle w:val="ComTable"/>
              <w:spacing w:before="0" w:after="0"/>
              <w:ind w:left="0"/>
              <w:rPr>
                <w:i w:val="0"/>
                <w:color w:val="auto"/>
              </w:rPr>
            </w:pPr>
            <w:r w:rsidRPr="00C32664">
              <w:rPr>
                <w:i w:val="0"/>
                <w:color w:val="auto"/>
              </w:rPr>
              <w:t>rFVIII-Fc (Eloctate)</w:t>
            </w:r>
          </w:p>
        </w:tc>
        <w:tc>
          <w:tcPr>
            <w:tcW w:w="1150" w:type="pct"/>
          </w:tcPr>
          <w:p w14:paraId="3060F5DC" w14:textId="77777777" w:rsidR="00980818" w:rsidRPr="00C32664" w:rsidRDefault="00980818" w:rsidP="0010250B">
            <w:pPr>
              <w:pStyle w:val="ComTable"/>
              <w:spacing w:before="0" w:after="0"/>
              <w:ind w:left="0"/>
              <w:rPr>
                <w:i w:val="0"/>
                <w:color w:val="auto"/>
              </w:rPr>
            </w:pPr>
            <w:r w:rsidRPr="00C32664">
              <w:rPr>
                <w:i w:val="0"/>
                <w:color w:val="auto"/>
              </w:rPr>
              <w:t>Bioverativ Australia</w:t>
            </w:r>
          </w:p>
        </w:tc>
        <w:tc>
          <w:tcPr>
            <w:tcW w:w="2641" w:type="pct"/>
          </w:tcPr>
          <w:p w14:paraId="12C4BFF5" w14:textId="77777777" w:rsidR="00980818" w:rsidRPr="00C32664" w:rsidRDefault="00980818" w:rsidP="0010250B">
            <w:pPr>
              <w:pStyle w:val="ComTable"/>
              <w:spacing w:before="0" w:after="0"/>
              <w:ind w:left="0"/>
              <w:rPr>
                <w:i w:val="0"/>
                <w:color w:val="auto"/>
              </w:rPr>
            </w:pPr>
            <w:r w:rsidRPr="00C32664">
              <w:rPr>
                <w:i w:val="0"/>
                <w:color w:val="auto"/>
              </w:rPr>
              <w:t>50 IU/kg every 3-5 days or 65 IU/kg/week</w:t>
            </w:r>
          </w:p>
          <w:p w14:paraId="2104D4FA" w14:textId="77777777" w:rsidR="00980818" w:rsidRPr="00C32664" w:rsidRDefault="00980818" w:rsidP="0010250B">
            <w:pPr>
              <w:pStyle w:val="ComTable"/>
              <w:spacing w:before="0" w:after="0"/>
              <w:ind w:left="0"/>
              <w:rPr>
                <w:i w:val="0"/>
                <w:color w:val="auto"/>
              </w:rPr>
            </w:pPr>
            <w:r w:rsidRPr="00C32664">
              <w:rPr>
                <w:i w:val="0"/>
                <w:color w:val="auto"/>
              </w:rPr>
              <w:t>More frequent doses up to 80 IU/kg may be required in children &lt;12 years of age</w:t>
            </w:r>
          </w:p>
        </w:tc>
      </w:tr>
    </w:tbl>
    <w:p w14:paraId="17940E84" w14:textId="289806A2" w:rsidR="00980818" w:rsidRPr="006D0F14" w:rsidRDefault="00980818" w:rsidP="00980818">
      <w:pPr>
        <w:pStyle w:val="Tablenotes1"/>
        <w:rPr>
          <w:rFonts w:eastAsia="SimSun" w:cs="Times New Roman"/>
          <w:szCs w:val="18"/>
        </w:rPr>
      </w:pPr>
      <w:r w:rsidRPr="003B7441">
        <w:rPr>
          <w:rFonts w:eastAsia="SimSun" w:cs="Times New Roman"/>
          <w:b/>
          <w:szCs w:val="18"/>
        </w:rPr>
        <w:t>Abbreviations:</w:t>
      </w:r>
      <w:r w:rsidRPr="003B7441">
        <w:t xml:space="preserve"> IU</w:t>
      </w:r>
      <w:r>
        <w:t>=</w:t>
      </w:r>
      <w:r w:rsidRPr="004B70C2">
        <w:rPr>
          <w:rFonts w:eastAsia="SimSun" w:cs="Times New Roman"/>
          <w:szCs w:val="18"/>
        </w:rPr>
        <w:t>international units</w:t>
      </w:r>
      <w:r>
        <w:rPr>
          <w:rFonts w:eastAsia="SimSun" w:cs="Times New Roman"/>
          <w:szCs w:val="18"/>
        </w:rPr>
        <w:t>; rFVIII= r</w:t>
      </w:r>
      <w:r w:rsidRPr="004B70C2">
        <w:rPr>
          <w:rFonts w:eastAsia="SimSun" w:cs="Times New Roman"/>
          <w:szCs w:val="18"/>
        </w:rPr>
        <w:t xml:space="preserve">ecombinant </w:t>
      </w:r>
      <w:r>
        <w:rPr>
          <w:rFonts w:eastAsia="SimSun" w:cs="Times New Roman"/>
          <w:szCs w:val="18"/>
        </w:rPr>
        <w:t>c</w:t>
      </w:r>
      <w:r w:rsidRPr="004B70C2">
        <w:rPr>
          <w:rFonts w:eastAsia="SimSun" w:cs="Times New Roman"/>
          <w:szCs w:val="18"/>
        </w:rPr>
        <w:t xml:space="preserve">oagulation </w:t>
      </w:r>
      <w:r>
        <w:rPr>
          <w:rFonts w:eastAsia="SimSun" w:cs="Times New Roman"/>
          <w:szCs w:val="18"/>
        </w:rPr>
        <w:t>f</w:t>
      </w:r>
      <w:r w:rsidRPr="004B70C2">
        <w:rPr>
          <w:rFonts w:eastAsia="SimSun" w:cs="Times New Roman"/>
          <w:szCs w:val="18"/>
        </w:rPr>
        <w:t>actor VIII</w:t>
      </w:r>
      <w:r>
        <w:rPr>
          <w:rFonts w:eastAsia="SimSun" w:cs="Times New Roman"/>
          <w:szCs w:val="18"/>
        </w:rPr>
        <w:t>; pdFVIII=</w:t>
      </w:r>
      <w:r w:rsidRPr="004B70C2">
        <w:rPr>
          <w:rFonts w:eastAsia="SimSun" w:cs="Times New Roman"/>
          <w:szCs w:val="18"/>
        </w:rPr>
        <w:t xml:space="preserve">plasma-derived </w:t>
      </w:r>
      <w:r>
        <w:rPr>
          <w:rFonts w:eastAsia="SimSun" w:cs="Times New Roman"/>
          <w:szCs w:val="18"/>
        </w:rPr>
        <w:t xml:space="preserve">factor </w:t>
      </w:r>
      <w:r w:rsidRPr="004B70C2">
        <w:rPr>
          <w:rFonts w:eastAsia="SimSun" w:cs="Times New Roman"/>
          <w:szCs w:val="18"/>
        </w:rPr>
        <w:t>VIII</w:t>
      </w:r>
      <w:r>
        <w:rPr>
          <w:rFonts w:eastAsia="SimSun" w:cs="Times New Roman"/>
          <w:szCs w:val="18"/>
        </w:rPr>
        <w:t xml:space="preserve">; </w:t>
      </w:r>
      <w:r w:rsidRPr="003B7441">
        <w:rPr>
          <w:rFonts w:eastAsia="SimSun" w:cs="Times New Roman"/>
          <w:szCs w:val="18"/>
        </w:rPr>
        <w:t>rFVIII-Fc</w:t>
      </w:r>
      <w:r>
        <w:rPr>
          <w:rFonts w:eastAsia="SimSun" w:cs="Times New Roman"/>
          <w:szCs w:val="18"/>
        </w:rPr>
        <w:t xml:space="preserve"> =</w:t>
      </w:r>
      <w:r w:rsidRPr="003B7441">
        <w:rPr>
          <w:rFonts w:eastAsia="SimSun" w:cs="Times New Roman"/>
          <w:szCs w:val="18"/>
        </w:rPr>
        <w:t xml:space="preserve"> </w:t>
      </w:r>
      <w:r>
        <w:rPr>
          <w:rFonts w:eastAsia="SimSun" w:cs="Times New Roman"/>
          <w:szCs w:val="18"/>
        </w:rPr>
        <w:t>r</w:t>
      </w:r>
      <w:r w:rsidRPr="003B7441">
        <w:rPr>
          <w:rFonts w:eastAsia="SimSun" w:cs="Times New Roman"/>
          <w:szCs w:val="18"/>
        </w:rPr>
        <w:t xml:space="preserve">ecombinant </w:t>
      </w:r>
      <w:r>
        <w:rPr>
          <w:rFonts w:eastAsia="SimSun" w:cs="Times New Roman"/>
          <w:szCs w:val="18"/>
        </w:rPr>
        <w:t xml:space="preserve">factor VIII </w:t>
      </w:r>
      <w:r w:rsidRPr="003B7441">
        <w:rPr>
          <w:rFonts w:eastAsia="SimSun" w:cs="Times New Roman"/>
          <w:szCs w:val="18"/>
        </w:rPr>
        <w:t xml:space="preserve">Fc </w:t>
      </w:r>
      <w:r>
        <w:rPr>
          <w:rFonts w:eastAsia="SimSun" w:cs="Times New Roman"/>
          <w:szCs w:val="18"/>
        </w:rPr>
        <w:t>f</w:t>
      </w:r>
      <w:r w:rsidRPr="003B7441">
        <w:rPr>
          <w:rFonts w:eastAsia="SimSun" w:cs="Times New Roman"/>
          <w:szCs w:val="18"/>
        </w:rPr>
        <w:t xml:space="preserve">usion </w:t>
      </w:r>
      <w:r>
        <w:rPr>
          <w:rFonts w:eastAsia="SimSun" w:cs="Times New Roman"/>
          <w:szCs w:val="18"/>
        </w:rPr>
        <w:t>p</w:t>
      </w:r>
      <w:r w:rsidRPr="003B7441">
        <w:rPr>
          <w:rFonts w:eastAsia="SimSun" w:cs="Times New Roman"/>
          <w:szCs w:val="18"/>
        </w:rPr>
        <w:t>rotein</w:t>
      </w:r>
      <w:r>
        <w:rPr>
          <w:rFonts w:eastAsia="SimSun" w:cs="Times New Roman"/>
          <w:szCs w:val="18"/>
        </w:rPr>
        <w:t>; SHL – standard half</w:t>
      </w:r>
      <w:r w:rsidR="0012193B">
        <w:rPr>
          <w:rFonts w:eastAsia="SimSun" w:cs="Times New Roman"/>
          <w:szCs w:val="18"/>
        </w:rPr>
        <w:t>-</w:t>
      </w:r>
      <w:r>
        <w:rPr>
          <w:rFonts w:eastAsia="SimSun" w:cs="Times New Roman"/>
          <w:szCs w:val="18"/>
        </w:rPr>
        <w:t>life; EHL = extended half</w:t>
      </w:r>
      <w:r w:rsidR="0012193B">
        <w:rPr>
          <w:rFonts w:eastAsia="SimSun" w:cs="Times New Roman"/>
          <w:szCs w:val="18"/>
        </w:rPr>
        <w:t>-</w:t>
      </w:r>
      <w:r>
        <w:rPr>
          <w:rFonts w:eastAsia="SimSun" w:cs="Times New Roman"/>
          <w:szCs w:val="18"/>
        </w:rPr>
        <w:t>life.</w:t>
      </w:r>
    </w:p>
    <w:p w14:paraId="25FDAB48" w14:textId="09001673" w:rsidR="00980818" w:rsidRPr="00E4290B" w:rsidRDefault="00980818" w:rsidP="00980818">
      <w:pPr>
        <w:pStyle w:val="Tablenotes1"/>
        <w:rPr>
          <w:rFonts w:eastAsia="SimSun" w:cs="Times New Roman"/>
          <w:szCs w:val="18"/>
        </w:rPr>
      </w:pPr>
      <w:r w:rsidRPr="00810DC2">
        <w:rPr>
          <w:rFonts w:eastAsia="SimSun" w:cs="Times New Roman"/>
          <w:b/>
          <w:szCs w:val="18"/>
        </w:rPr>
        <w:t>Source:</w:t>
      </w:r>
      <w:r w:rsidRPr="00810DC2">
        <w:rPr>
          <w:rFonts w:eastAsia="SimSun" w:cs="Times New Roman"/>
          <w:szCs w:val="18"/>
        </w:rPr>
        <w:t xml:space="preserve"> </w:t>
      </w:r>
      <w:r>
        <w:rPr>
          <w:rFonts w:eastAsia="SimSun" w:cs="Times New Roman"/>
          <w:szCs w:val="18"/>
        </w:rPr>
        <w:t>This table has been adapted from the PICO Confirmation documents for 1510 and 1511 (extended half</w:t>
      </w:r>
      <w:r w:rsidR="0012193B">
        <w:rPr>
          <w:rFonts w:eastAsia="SimSun" w:cs="Times New Roman"/>
          <w:szCs w:val="18"/>
        </w:rPr>
        <w:t>-</w:t>
      </w:r>
      <w:r>
        <w:rPr>
          <w:rFonts w:eastAsia="SimSun" w:cs="Times New Roman"/>
          <w:szCs w:val="18"/>
        </w:rPr>
        <w:t>life FVIII).</w:t>
      </w:r>
    </w:p>
    <w:p w14:paraId="0FA0AE05" w14:textId="77777777" w:rsidR="00BC1364" w:rsidRPr="008C05AF" w:rsidRDefault="00BC1364" w:rsidP="00F715D1">
      <w:pPr>
        <w:pStyle w:val="Heading1"/>
      </w:pPr>
      <w:r w:rsidRPr="008C05AF">
        <w:t>Comparative safety</w:t>
      </w:r>
    </w:p>
    <w:p w14:paraId="2240A686" w14:textId="65D9D531" w:rsidR="00980818" w:rsidRPr="00516305" w:rsidRDefault="00980818" w:rsidP="00BB749C">
      <w:pPr>
        <w:pStyle w:val="Heading2"/>
        <w:rPr>
          <w:lang w:val="fr-FR"/>
        </w:rPr>
      </w:pPr>
      <w:r w:rsidRPr="00516305">
        <w:rPr>
          <w:lang w:val="fr-FR"/>
        </w:rPr>
        <w:t>Emicizumab prophylaxis versus on-demand</w:t>
      </w:r>
      <w:r w:rsidR="00BB749C" w:rsidRPr="00516305">
        <w:rPr>
          <w:lang w:val="fr-FR"/>
        </w:rPr>
        <w:t xml:space="preserve"> FVIII</w:t>
      </w:r>
    </w:p>
    <w:p w14:paraId="4D5D89CE" w14:textId="57C787C0" w:rsidR="00980818" w:rsidRDefault="00980818" w:rsidP="00BC72A9">
      <w:pPr>
        <w:spacing w:after="240"/>
      </w:pPr>
      <w:r w:rsidRPr="008C05AF">
        <w:t>One randomised controlled trial (HAVEN 3) was included comparing emicizumab prophylaxis administered weekly (Arm A; n=36) and every two weeks (Arm B; n=35) compared to on-demand use of FVIII (Arm C; n=18) in adult and adolescent patients with severe HMA. This trial report also included an intra-patient (before-and-after) comparison of emicizumab prophylaxis (subgroup of Arm D; n=48/63) compared to these patients’ historical use of FVIII prophylaxis when they had previously participated as Cohort C in the non-interventional study NIS BH29768.</w:t>
      </w:r>
    </w:p>
    <w:p w14:paraId="7CDC9146" w14:textId="6A5F255E" w:rsidR="00980818" w:rsidRDefault="00980818" w:rsidP="00BC72A9">
      <w:pPr>
        <w:spacing w:after="240"/>
      </w:pPr>
      <w:r>
        <w:t>The Critique stated that emicizumab prophylaxis appears safe across the trial period (range of follow-up 7.3-50.6 weeks) compared with on-demand FVIII in patients with severe HMA patients with</w:t>
      </w:r>
      <w:r w:rsidR="007C4940">
        <w:t>out</w:t>
      </w:r>
      <w:r>
        <w:t xml:space="preserve"> inhibitors. The most commonly reported adverse event related to emicizumab was local injection site reaction. Other common adverse events were nasopharyngitis, upper respiratory tract infection, influenza, arthralgia and headache. No serious adverse events or adverse events of grade 3 or above were attributed to emicizumab.</w:t>
      </w:r>
    </w:p>
    <w:p w14:paraId="7BA7BAED" w14:textId="26CDF34F" w:rsidR="00980818" w:rsidRDefault="00980818" w:rsidP="00BC72A9">
      <w:pPr>
        <w:spacing w:after="240"/>
      </w:pPr>
      <w:r>
        <w:t xml:space="preserve">There were no thromboembolic </w:t>
      </w:r>
      <w:r w:rsidR="00044872">
        <w:t xml:space="preserve">or thrombotic microangiopathy </w:t>
      </w:r>
      <w:r>
        <w:t>events (which were identified in HMA patients with inhibitors treated concomitantly with bypassing agents, as discussed in the MSAC PSD for 1510).</w:t>
      </w:r>
    </w:p>
    <w:p w14:paraId="6078B7F6" w14:textId="3751A0EA" w:rsidR="00980818" w:rsidRDefault="00980818" w:rsidP="00BC72A9">
      <w:pPr>
        <w:spacing w:after="240"/>
      </w:pPr>
      <w:r>
        <w:t xml:space="preserve">However, the Critique highlighted that on-demand FVIII is representative of a minor subgroup of </w:t>
      </w:r>
      <w:r w:rsidR="0047039F">
        <w:t xml:space="preserve">severe </w:t>
      </w:r>
      <w:r>
        <w:t>HMA patients in Australia (the majority [80%] of patients with severe HMA are treated with FVIII prophylaxis), and may represent a less well managed population.</w:t>
      </w:r>
    </w:p>
    <w:p w14:paraId="479AC59C" w14:textId="594EECCE" w:rsidR="00980818" w:rsidRDefault="00980818" w:rsidP="00BC72A9">
      <w:pPr>
        <w:spacing w:after="240"/>
        <w:jc w:val="both"/>
      </w:pPr>
      <w:r w:rsidRPr="00A86110">
        <w:t xml:space="preserve">On the basis of the benefits and harms reported in the evidence base, the </w:t>
      </w:r>
      <w:r>
        <w:t>submission</w:t>
      </w:r>
      <w:r w:rsidRPr="00A86110">
        <w:t xml:space="preserve"> proposes that, relative to </w:t>
      </w:r>
      <w:r>
        <w:t>on-demand FVIII</w:t>
      </w:r>
      <w:r w:rsidRPr="00A86110">
        <w:t xml:space="preserve">, </w:t>
      </w:r>
      <w:r>
        <w:t>emicizumab prophylaxis provides a</w:t>
      </w:r>
      <w:r w:rsidRPr="00A86110">
        <w:t xml:space="preserve"> </w:t>
      </w:r>
      <w:r w:rsidRPr="00C075E7">
        <w:t xml:space="preserve">different, non-inferior safety profile </w:t>
      </w:r>
      <w:r w:rsidRPr="001618C4">
        <w:t xml:space="preserve">for severe </w:t>
      </w:r>
      <w:r>
        <w:t>HM</w:t>
      </w:r>
      <w:r w:rsidRPr="001618C4">
        <w:t>A patients with</w:t>
      </w:r>
      <w:r w:rsidR="007C4940">
        <w:t>out</w:t>
      </w:r>
      <w:r w:rsidRPr="001618C4">
        <w:t xml:space="preserve"> inhibitors</w:t>
      </w:r>
      <w:r w:rsidRPr="00A86110">
        <w:t>.</w:t>
      </w:r>
    </w:p>
    <w:p w14:paraId="179BD840" w14:textId="77777777" w:rsidR="00980818" w:rsidRPr="00037E83" w:rsidRDefault="00980818" w:rsidP="00980818">
      <w:pPr>
        <w:rPr>
          <w:i/>
        </w:rPr>
      </w:pPr>
      <w:r w:rsidRPr="00037E83">
        <w:rPr>
          <w:i/>
        </w:rPr>
        <w:t>Emicizumab prophylaxis versus FVIII prophylaxis</w:t>
      </w:r>
    </w:p>
    <w:p w14:paraId="04E65F25" w14:textId="5F1FD2B0" w:rsidR="00980818" w:rsidRDefault="00980818" w:rsidP="00BC72A9">
      <w:pPr>
        <w:spacing w:after="240"/>
      </w:pPr>
      <w:r>
        <w:t xml:space="preserve">An indirect trial comparison was also undertaken using on-demand FVIII as the common reference and evidence from HAVEN 3 for emicizumab (Arm A versus Arm C), and from </w:t>
      </w:r>
      <w:r>
        <w:lastRenderedPageBreak/>
        <w:t>five randomised trials for FVIII prophylaxis. One randomised trial of FVIII (SPINART) was used as the base case, with the other randomised trials providing a sensitivity analysis.</w:t>
      </w:r>
    </w:p>
    <w:p w14:paraId="76162E60" w14:textId="766B9542" w:rsidR="00980818" w:rsidRDefault="00980818" w:rsidP="00BC72A9">
      <w:pPr>
        <w:spacing w:after="240"/>
      </w:pPr>
      <w:r>
        <w:t>The Critique stated that neither emicizumab prophylaxis nor FVIII prophylaxis are associated with serious adverse events. However, the submission did not provide an overall conclusion regarding safety in the non-inhibitor subgroup. Furthermore, the Critique highlighted that comparative safety in this subgroup is subject to uncertainty and is not supported by any statistical evaluation of frequency and severity of adverse events.</w:t>
      </w:r>
    </w:p>
    <w:p w14:paraId="4BFDFF60" w14:textId="21B680CF" w:rsidR="00980818" w:rsidRDefault="00980818" w:rsidP="00980818">
      <w:r>
        <w:t>Overall, the Critique stated that the safety profiles of each therapy vary depending on product (emicizumab or FVIII) and delivery (prophylaxis or on-demand), noting the therapy with fewest adverse events is on-demand</w:t>
      </w:r>
      <w:r w:rsidR="00BB749C">
        <w:t xml:space="preserve"> FVIII</w:t>
      </w:r>
      <w:r>
        <w:t>. However, adverse events with emicizumab and FVIII are typically mild and all serious events are unrelated to the therapy.</w:t>
      </w:r>
    </w:p>
    <w:p w14:paraId="726E2114" w14:textId="77777777" w:rsidR="00980818" w:rsidRPr="00980818" w:rsidRDefault="00980818" w:rsidP="00980818">
      <w:pPr>
        <w:pStyle w:val="Heading1"/>
      </w:pPr>
      <w:r w:rsidRPr="00B02E35">
        <w:t>Comparative effectiveness</w:t>
      </w:r>
    </w:p>
    <w:p w14:paraId="05F7E372" w14:textId="519479B5" w:rsidR="00980818" w:rsidRDefault="00980818" w:rsidP="00980818">
      <w:pPr>
        <w:pStyle w:val="Heading2"/>
      </w:pPr>
      <w:r>
        <w:t xml:space="preserve">Emicizumab prophylaxis versus on-demand </w:t>
      </w:r>
      <w:r w:rsidR="00BB749C">
        <w:t xml:space="preserve">FVIII </w:t>
      </w:r>
      <w:r>
        <w:t>(direct evidence)</w:t>
      </w:r>
    </w:p>
    <w:p w14:paraId="709B177B" w14:textId="5E55DAF5" w:rsidR="00980818" w:rsidRDefault="00980818" w:rsidP="00BC72A9">
      <w:pPr>
        <w:spacing w:after="240"/>
      </w:pPr>
      <w:r w:rsidRPr="00BF6DB4">
        <w:t>For the primary endpoint of treated bleeds for the randomised population</w:t>
      </w:r>
      <w:r>
        <w:t xml:space="preserve"> in HAVEN 3</w:t>
      </w:r>
      <w:r w:rsidRPr="00BF6DB4">
        <w:t xml:space="preserve">, a 96% reduction in treated </w:t>
      </w:r>
      <w:r>
        <w:t>annualised bleed rate (</w:t>
      </w:r>
      <w:r w:rsidRPr="00BF6DB4">
        <w:t>ABR</w:t>
      </w:r>
      <w:r>
        <w:t>)</w:t>
      </w:r>
      <w:r w:rsidRPr="00BF6DB4">
        <w:t xml:space="preserve"> was observed for comparison of emicizumab prophylaxis 1.5</w:t>
      </w:r>
      <w:r w:rsidR="006C1F43">
        <w:t xml:space="preserve"> </w:t>
      </w:r>
      <w:r w:rsidRPr="00BF6DB4">
        <w:t>mg/kg weekly with on-demand FVIII (Arm A versus Arm C) and a 97% reduction for the comparison of 3.0</w:t>
      </w:r>
      <w:r w:rsidR="006C1F43">
        <w:t xml:space="preserve"> </w:t>
      </w:r>
      <w:r w:rsidRPr="00BF6DB4">
        <w:t xml:space="preserve">mg/kg two-weekly with on-demand FVIII (Arm </w:t>
      </w:r>
      <w:r>
        <w:t>B</w:t>
      </w:r>
      <w:bookmarkStart w:id="5" w:name="_Ref5019384"/>
      <w:bookmarkStart w:id="6" w:name="_Toc6667034"/>
      <w:r w:rsidR="00054E4D">
        <w:t xml:space="preserve"> versus Arm C) (Table </w:t>
      </w:r>
      <w:r w:rsidR="008501A0">
        <w:t>4</w:t>
      </w:r>
      <w:r>
        <w:t>).</w:t>
      </w:r>
      <w:r w:rsidRPr="00A86110">
        <w:t>On the basis of the benefits and harms reported in the eviden</w:t>
      </w:r>
      <w:r>
        <w:t>ce base, the submission proposed</w:t>
      </w:r>
      <w:r w:rsidRPr="00A86110">
        <w:t xml:space="preserve"> that, relative to </w:t>
      </w:r>
      <w:r>
        <w:t>on-demand FVIII</w:t>
      </w:r>
      <w:r w:rsidRPr="00A86110">
        <w:t xml:space="preserve">, </w:t>
      </w:r>
      <w:r>
        <w:t>emicizumab prophylaxis</w:t>
      </w:r>
      <w:r w:rsidRPr="00A86110">
        <w:t xml:space="preserve"> has </w:t>
      </w:r>
      <w:r>
        <w:t>superior</w:t>
      </w:r>
      <w:r w:rsidRPr="00A86110">
        <w:t xml:space="preserve"> effectiveness</w:t>
      </w:r>
      <w:r>
        <w:t xml:space="preserve"> </w:t>
      </w:r>
      <w:r w:rsidRPr="001618C4">
        <w:t>in reducing the rate of treated bleeds for</w:t>
      </w:r>
      <w:r w:rsidR="00044872">
        <w:t xml:space="preserve"> patients with</w:t>
      </w:r>
      <w:r w:rsidRPr="001618C4">
        <w:t xml:space="preserve"> severe </w:t>
      </w:r>
      <w:r>
        <w:t>HM</w:t>
      </w:r>
      <w:r w:rsidRPr="001618C4">
        <w:t>A with</w:t>
      </w:r>
      <w:r w:rsidR="00044872">
        <w:t>out</w:t>
      </w:r>
      <w:r w:rsidRPr="001618C4">
        <w:t xml:space="preserve"> </w:t>
      </w:r>
      <w:r w:rsidR="00044872">
        <w:t xml:space="preserve"> FVIII</w:t>
      </w:r>
      <w:r w:rsidRPr="001618C4">
        <w:t xml:space="preserve"> inhibitors</w:t>
      </w:r>
      <w:r w:rsidRPr="00A86110">
        <w:t>.</w:t>
      </w:r>
    </w:p>
    <w:p w14:paraId="2ED107B3" w14:textId="4A51C753" w:rsidR="00980818" w:rsidRDefault="00980818" w:rsidP="00BC72A9">
      <w:pPr>
        <w:spacing w:after="240"/>
      </w:pPr>
      <w:r>
        <w:t>The Critique stated that the open-label nature of the trial and the subjective nature of the outcomes introduced the potential for bias. Disparate efficacy periods between the arms has the potential to over-represent the benefits of emicizumab. Follow-up is relatively short and is extrapolated to annualised data. However, for the direct evidence, the magnitude of the effect is large and unlikely to be impacted by issues in study design, analysis or reporting. The Critique also highlighted other uncertainties for assessing effectiveness of emicizumab including the lack of long term evidence (therapy for HMA is lifelong), there w</w:t>
      </w:r>
      <w:r w:rsidR="00EB6E76">
        <w:t>ere</w:t>
      </w:r>
      <w:r>
        <w:t xml:space="preserve"> no data for patients with moderate HMA and paediatric patients, use of FVIII in clinical practice, requirement for up-titration of emicizumab in clinical practice and impact of emicizumab on quality of life.</w:t>
      </w:r>
    </w:p>
    <w:p w14:paraId="24213C97" w14:textId="7FE41B08" w:rsidR="00980818" w:rsidRPr="006F64E6" w:rsidRDefault="00980818" w:rsidP="006F64E6">
      <w:pPr>
        <w:rPr>
          <w:rFonts w:ascii="Arial Narrow" w:hAnsi="Arial Narrow"/>
          <w:b/>
          <w:sz w:val="20"/>
        </w:rPr>
      </w:pPr>
      <w:r w:rsidRPr="006F64E6">
        <w:rPr>
          <w:rFonts w:ascii="Arial Narrow" w:hAnsi="Arial Narrow"/>
          <w:b/>
          <w:sz w:val="20"/>
        </w:rPr>
        <w:t xml:space="preserve">Table </w:t>
      </w:r>
      <w:bookmarkEnd w:id="5"/>
      <w:r w:rsidR="008501A0" w:rsidRPr="006F64E6">
        <w:rPr>
          <w:rFonts w:ascii="Arial Narrow" w:hAnsi="Arial Narrow"/>
          <w:b/>
          <w:sz w:val="20"/>
        </w:rPr>
        <w:t>4</w:t>
      </w:r>
      <w:r w:rsidRPr="006F64E6">
        <w:rPr>
          <w:rFonts w:ascii="Arial Narrow" w:hAnsi="Arial Narrow"/>
          <w:b/>
          <w:sz w:val="20"/>
        </w:rPr>
        <w:tab/>
        <w:t>Treated bleeding events</w:t>
      </w:r>
      <w:bookmarkEnd w:id="6"/>
    </w:p>
    <w:tbl>
      <w:tblPr>
        <w:tblStyle w:val="TableGrid"/>
        <w:tblW w:w="5000" w:type="pct"/>
        <w:tblLook w:val="04A0" w:firstRow="1" w:lastRow="0" w:firstColumn="1" w:lastColumn="0" w:noHBand="0" w:noVBand="1"/>
        <w:tblCaption w:val="Treated bleeding events as presented in the submission and calculated using the NBR model"/>
        <w:tblDescription w:val="Treated bleeding events as presented in the submission and calculated using the NBR model"/>
      </w:tblPr>
      <w:tblGrid>
        <w:gridCol w:w="3497"/>
        <w:gridCol w:w="1921"/>
        <w:gridCol w:w="1920"/>
        <w:gridCol w:w="1678"/>
      </w:tblGrid>
      <w:tr w:rsidR="00173D89" w:rsidRPr="00E341A0" w14:paraId="06C2D2C7" w14:textId="77777777" w:rsidTr="00290FEC">
        <w:trPr>
          <w:trHeight w:val="1150"/>
          <w:tblHeader/>
        </w:trPr>
        <w:tc>
          <w:tcPr>
            <w:tcW w:w="1967" w:type="pct"/>
          </w:tcPr>
          <w:p w14:paraId="2A1E292D" w14:textId="77777777" w:rsidR="00980818" w:rsidRPr="00E341A0" w:rsidRDefault="00980818" w:rsidP="00E604CD">
            <w:pPr>
              <w:pStyle w:val="TableHeading"/>
              <w:keepNext w:val="0"/>
              <w:widowControl w:val="0"/>
              <w:spacing w:before="0" w:after="0"/>
              <w:jc w:val="left"/>
            </w:pPr>
            <w:r w:rsidRPr="00E341A0">
              <w:t>Parameter</w:t>
            </w:r>
          </w:p>
        </w:tc>
        <w:tc>
          <w:tcPr>
            <w:tcW w:w="1093" w:type="pct"/>
          </w:tcPr>
          <w:p w14:paraId="621E5F4A" w14:textId="77777777" w:rsidR="00980818" w:rsidRPr="00E341A0" w:rsidRDefault="00980818" w:rsidP="00E604CD">
            <w:pPr>
              <w:pStyle w:val="TableHeading"/>
              <w:keepNext w:val="0"/>
              <w:widowControl w:val="0"/>
              <w:spacing w:before="0" w:after="0"/>
              <w:ind w:left="0" w:firstLine="0"/>
              <w:jc w:val="center"/>
            </w:pPr>
            <w:r w:rsidRPr="00E341A0">
              <w:t xml:space="preserve">HAVEN </w:t>
            </w:r>
            <w:r>
              <w:t xml:space="preserve">3 </w:t>
            </w:r>
            <w:r w:rsidRPr="00E341A0">
              <w:t>Arm A</w:t>
            </w:r>
            <w:r w:rsidRPr="00E341A0">
              <w:br/>
            </w:r>
            <w:r>
              <w:t>1.5 mg/kg emicizumab</w:t>
            </w:r>
            <w:r w:rsidRPr="00E341A0">
              <w:t xml:space="preserve"> prophylaxis</w:t>
            </w:r>
            <w:r w:rsidRPr="00E341A0">
              <w:br/>
              <w:t>N</w:t>
            </w:r>
            <w:r>
              <w:t xml:space="preserve"> = </w:t>
            </w:r>
            <w:r w:rsidRPr="00E341A0">
              <w:t>3</w:t>
            </w:r>
            <w:r>
              <w:t>6</w:t>
            </w:r>
          </w:p>
        </w:tc>
        <w:tc>
          <w:tcPr>
            <w:tcW w:w="1092" w:type="pct"/>
          </w:tcPr>
          <w:p w14:paraId="423A7FB6" w14:textId="77777777" w:rsidR="00980818" w:rsidRPr="00E341A0" w:rsidRDefault="00980818" w:rsidP="00E604CD">
            <w:pPr>
              <w:pStyle w:val="TableHeading"/>
              <w:keepNext w:val="0"/>
              <w:widowControl w:val="0"/>
              <w:spacing w:before="0" w:after="0"/>
              <w:ind w:left="0" w:firstLine="0"/>
              <w:jc w:val="center"/>
            </w:pPr>
            <w:r w:rsidRPr="00E341A0">
              <w:t xml:space="preserve">HAVEN </w:t>
            </w:r>
            <w:r>
              <w:t xml:space="preserve">3 </w:t>
            </w:r>
            <w:r w:rsidRPr="00E341A0">
              <w:t xml:space="preserve">Arm </w:t>
            </w:r>
            <w:r>
              <w:t>B</w:t>
            </w:r>
            <w:r w:rsidRPr="00E341A0">
              <w:br/>
            </w:r>
            <w:r>
              <w:t>3.0 mg/kg emicizumab</w:t>
            </w:r>
            <w:r w:rsidRPr="00E341A0">
              <w:t xml:space="preserve"> prophylaxis</w:t>
            </w:r>
            <w:r w:rsidRPr="00E341A0">
              <w:br/>
              <w:t>N</w:t>
            </w:r>
            <w:r>
              <w:t xml:space="preserve"> = 35</w:t>
            </w:r>
          </w:p>
        </w:tc>
        <w:tc>
          <w:tcPr>
            <w:tcW w:w="849" w:type="pct"/>
          </w:tcPr>
          <w:p w14:paraId="59423D2F" w14:textId="77777777" w:rsidR="00980818" w:rsidRDefault="00980818" w:rsidP="00E604CD">
            <w:pPr>
              <w:pStyle w:val="TableHeading"/>
              <w:keepNext w:val="0"/>
              <w:widowControl w:val="0"/>
              <w:spacing w:before="0" w:after="0"/>
              <w:jc w:val="center"/>
            </w:pPr>
            <w:r>
              <w:t>HAVEN 3 Arm C</w:t>
            </w:r>
          </w:p>
          <w:p w14:paraId="5D322CA2" w14:textId="77777777" w:rsidR="00980818" w:rsidRDefault="00980818" w:rsidP="00E604CD">
            <w:pPr>
              <w:pStyle w:val="TableHeading"/>
              <w:keepNext w:val="0"/>
              <w:widowControl w:val="0"/>
              <w:spacing w:before="0" w:after="0"/>
              <w:ind w:left="0" w:firstLine="0"/>
              <w:jc w:val="center"/>
            </w:pPr>
            <w:r>
              <w:t>No prophylaxis / On-demand FVIII</w:t>
            </w:r>
          </w:p>
          <w:p w14:paraId="68E726A7" w14:textId="77777777" w:rsidR="00980818" w:rsidRPr="00E341A0" w:rsidRDefault="00980818" w:rsidP="00E604CD">
            <w:pPr>
              <w:pStyle w:val="TableHeading"/>
              <w:keepNext w:val="0"/>
              <w:widowControl w:val="0"/>
              <w:spacing w:before="0" w:after="0"/>
              <w:ind w:left="0" w:firstLine="0"/>
              <w:jc w:val="center"/>
            </w:pPr>
            <w:r>
              <w:t>N = 18</w:t>
            </w:r>
          </w:p>
        </w:tc>
      </w:tr>
      <w:tr w:rsidR="00173D89" w:rsidRPr="00E341A0" w14:paraId="05B7E3F8" w14:textId="77777777" w:rsidTr="00290FEC">
        <w:trPr>
          <w:trHeight w:val="287"/>
        </w:trPr>
        <w:tc>
          <w:tcPr>
            <w:tcW w:w="1967" w:type="pct"/>
          </w:tcPr>
          <w:p w14:paraId="7B1CC44D" w14:textId="77777777" w:rsidR="00980818" w:rsidRPr="00E341A0" w:rsidRDefault="00980818" w:rsidP="00E604CD">
            <w:pPr>
              <w:pStyle w:val="Tabletext"/>
              <w:widowControl w:val="0"/>
              <w:spacing w:before="0" w:after="0"/>
            </w:pPr>
            <w:r w:rsidRPr="00E341A0">
              <w:t>Median efficacy period (weeks)</w:t>
            </w:r>
          </w:p>
        </w:tc>
        <w:tc>
          <w:tcPr>
            <w:tcW w:w="1093" w:type="pct"/>
          </w:tcPr>
          <w:p w14:paraId="19A3BE07" w14:textId="77777777" w:rsidR="00980818" w:rsidRPr="00E341A0" w:rsidRDefault="00980818" w:rsidP="00E604CD">
            <w:pPr>
              <w:pStyle w:val="Tabletext"/>
              <w:widowControl w:val="0"/>
              <w:spacing w:before="0" w:after="0"/>
              <w:jc w:val="center"/>
            </w:pPr>
            <w:r>
              <w:t>29.57</w:t>
            </w:r>
          </w:p>
        </w:tc>
        <w:tc>
          <w:tcPr>
            <w:tcW w:w="1092" w:type="pct"/>
          </w:tcPr>
          <w:p w14:paraId="39BDD65B" w14:textId="77777777" w:rsidR="00980818" w:rsidRPr="00E341A0" w:rsidRDefault="00980818" w:rsidP="00E604CD">
            <w:pPr>
              <w:pStyle w:val="Tabletext"/>
              <w:widowControl w:val="0"/>
              <w:spacing w:before="0" w:after="0"/>
              <w:jc w:val="center"/>
            </w:pPr>
            <w:r>
              <w:t>31.29</w:t>
            </w:r>
          </w:p>
        </w:tc>
        <w:tc>
          <w:tcPr>
            <w:tcW w:w="849" w:type="pct"/>
          </w:tcPr>
          <w:p w14:paraId="42D5234C" w14:textId="77777777" w:rsidR="00980818" w:rsidRPr="00E341A0" w:rsidRDefault="00980818" w:rsidP="00E604CD">
            <w:pPr>
              <w:pStyle w:val="Tabletext"/>
              <w:widowControl w:val="0"/>
              <w:spacing w:before="0" w:after="0"/>
              <w:jc w:val="center"/>
            </w:pPr>
            <w:r>
              <w:t>24.00</w:t>
            </w:r>
          </w:p>
        </w:tc>
      </w:tr>
      <w:tr w:rsidR="00173D89" w:rsidRPr="00E341A0" w14:paraId="4FBF81D0" w14:textId="77777777" w:rsidTr="00290FEC">
        <w:tc>
          <w:tcPr>
            <w:tcW w:w="1967" w:type="pct"/>
          </w:tcPr>
          <w:p w14:paraId="7AB14DE6" w14:textId="77777777" w:rsidR="00980818" w:rsidRPr="00E341A0" w:rsidRDefault="00980818" w:rsidP="00E604CD">
            <w:pPr>
              <w:pStyle w:val="Tabletext"/>
              <w:widowControl w:val="0"/>
              <w:spacing w:before="0" w:after="0"/>
              <w:rPr>
                <w:color w:val="000000"/>
                <w:lang w:eastAsia="zh-TW"/>
              </w:rPr>
            </w:pPr>
            <w:r w:rsidRPr="00E341A0">
              <w:rPr>
                <w:color w:val="000000"/>
                <w:lang w:eastAsia="zh-TW"/>
              </w:rPr>
              <w:t>ABR</w:t>
            </w:r>
          </w:p>
        </w:tc>
        <w:tc>
          <w:tcPr>
            <w:tcW w:w="1093" w:type="pct"/>
          </w:tcPr>
          <w:p w14:paraId="7F066238" w14:textId="77777777" w:rsidR="00980818" w:rsidRPr="00E341A0" w:rsidRDefault="00980818" w:rsidP="00E604CD">
            <w:pPr>
              <w:pStyle w:val="Tabletext"/>
              <w:widowControl w:val="0"/>
              <w:spacing w:before="0" w:after="0"/>
              <w:jc w:val="center"/>
              <w:rPr>
                <w:color w:val="000000"/>
              </w:rPr>
            </w:pPr>
            <w:r>
              <w:rPr>
                <w:color w:val="000000"/>
              </w:rPr>
              <w:t>1.5</w:t>
            </w:r>
          </w:p>
        </w:tc>
        <w:tc>
          <w:tcPr>
            <w:tcW w:w="1092" w:type="pct"/>
          </w:tcPr>
          <w:p w14:paraId="32F2ED50" w14:textId="77777777" w:rsidR="00980818" w:rsidRPr="00E341A0" w:rsidRDefault="00980818" w:rsidP="00E604CD">
            <w:pPr>
              <w:pStyle w:val="Tabletext"/>
              <w:widowControl w:val="0"/>
              <w:spacing w:before="0" w:after="0"/>
              <w:jc w:val="center"/>
              <w:rPr>
                <w:color w:val="000000"/>
              </w:rPr>
            </w:pPr>
            <w:r>
              <w:rPr>
                <w:color w:val="000000"/>
              </w:rPr>
              <w:t>1.3</w:t>
            </w:r>
          </w:p>
        </w:tc>
        <w:tc>
          <w:tcPr>
            <w:tcW w:w="849" w:type="pct"/>
          </w:tcPr>
          <w:p w14:paraId="2C86F05A" w14:textId="77777777" w:rsidR="00980818" w:rsidRPr="00E341A0" w:rsidRDefault="00980818" w:rsidP="00E604CD">
            <w:pPr>
              <w:pStyle w:val="Tabletext"/>
              <w:widowControl w:val="0"/>
              <w:spacing w:before="0" w:after="0"/>
              <w:jc w:val="center"/>
              <w:rPr>
                <w:color w:val="000000"/>
              </w:rPr>
            </w:pPr>
            <w:r>
              <w:rPr>
                <w:color w:val="000000"/>
              </w:rPr>
              <w:t>38.2</w:t>
            </w:r>
          </w:p>
        </w:tc>
      </w:tr>
      <w:tr w:rsidR="00173D89" w:rsidRPr="00E341A0" w14:paraId="432372F2" w14:textId="77777777" w:rsidTr="00290FEC">
        <w:tc>
          <w:tcPr>
            <w:tcW w:w="1967" w:type="pct"/>
          </w:tcPr>
          <w:p w14:paraId="00E3EF98" w14:textId="77777777" w:rsidR="00980818" w:rsidRPr="00E341A0" w:rsidRDefault="00980818" w:rsidP="00E604CD">
            <w:pPr>
              <w:pStyle w:val="Tabletext"/>
              <w:widowControl w:val="0"/>
              <w:spacing w:before="0" w:after="0"/>
              <w:rPr>
                <w:color w:val="000000"/>
                <w:lang w:eastAsia="zh-TW"/>
              </w:rPr>
            </w:pPr>
            <w:r w:rsidRPr="00E341A0">
              <w:rPr>
                <w:color w:val="000000"/>
                <w:lang w:eastAsia="zh-TW"/>
              </w:rPr>
              <w:t>ABR ratio</w:t>
            </w:r>
            <w:r>
              <w:rPr>
                <w:color w:val="000000"/>
                <w:lang w:eastAsia="zh-TW"/>
              </w:rPr>
              <w:t>:</w:t>
            </w:r>
            <w:r w:rsidRPr="00E341A0">
              <w:rPr>
                <w:color w:val="000000"/>
                <w:lang w:eastAsia="zh-TW"/>
              </w:rPr>
              <w:t xml:space="preserve"> </w:t>
            </w:r>
            <w:r>
              <w:rPr>
                <w:color w:val="000000"/>
                <w:lang w:eastAsia="zh-TW"/>
              </w:rPr>
              <w:t xml:space="preserve">Arm A </w:t>
            </w:r>
            <w:r w:rsidRPr="00CE6493">
              <w:rPr>
                <w:b/>
                <w:i/>
                <w:color w:val="000000"/>
                <w:lang w:eastAsia="zh-TW"/>
              </w:rPr>
              <w:t>OR</w:t>
            </w:r>
            <w:r>
              <w:rPr>
                <w:color w:val="000000"/>
                <w:lang w:eastAsia="zh-TW"/>
              </w:rPr>
              <w:t xml:space="preserve"> Arm B /Arm C </w:t>
            </w:r>
            <w:r w:rsidRPr="00E341A0">
              <w:rPr>
                <w:color w:val="000000"/>
                <w:lang w:eastAsia="zh-TW"/>
              </w:rPr>
              <w:t>(95% CI)</w:t>
            </w:r>
          </w:p>
        </w:tc>
        <w:tc>
          <w:tcPr>
            <w:tcW w:w="1093" w:type="pct"/>
          </w:tcPr>
          <w:p w14:paraId="436B4454" w14:textId="77777777" w:rsidR="00980818" w:rsidRPr="00E341A0" w:rsidRDefault="00980818" w:rsidP="00E604CD">
            <w:pPr>
              <w:pStyle w:val="Tabletext"/>
              <w:widowControl w:val="0"/>
              <w:spacing w:before="0" w:after="0"/>
              <w:jc w:val="center"/>
              <w:rPr>
                <w:color w:val="000000"/>
              </w:rPr>
            </w:pPr>
            <w:r>
              <w:rPr>
                <w:color w:val="000000"/>
              </w:rPr>
              <w:t>0.04 (0.020, 0.075)</w:t>
            </w:r>
          </w:p>
        </w:tc>
        <w:tc>
          <w:tcPr>
            <w:tcW w:w="1092" w:type="pct"/>
          </w:tcPr>
          <w:p w14:paraId="05292782" w14:textId="77777777" w:rsidR="00980818" w:rsidRPr="00E341A0" w:rsidRDefault="00980818" w:rsidP="00E604CD">
            <w:pPr>
              <w:pStyle w:val="Tabletext"/>
              <w:widowControl w:val="0"/>
              <w:spacing w:before="0" w:after="0"/>
              <w:jc w:val="center"/>
              <w:rPr>
                <w:color w:val="000000"/>
              </w:rPr>
            </w:pPr>
            <w:r>
              <w:rPr>
                <w:color w:val="000000"/>
              </w:rPr>
              <w:t>0.03 (0.017, 0.066)</w:t>
            </w:r>
          </w:p>
        </w:tc>
        <w:tc>
          <w:tcPr>
            <w:tcW w:w="849" w:type="pct"/>
          </w:tcPr>
          <w:p w14:paraId="16DD4EC4" w14:textId="77777777" w:rsidR="00980818" w:rsidRPr="00E341A0" w:rsidRDefault="00980818" w:rsidP="00E604CD">
            <w:pPr>
              <w:pStyle w:val="Tabletext"/>
              <w:widowControl w:val="0"/>
              <w:spacing w:before="0" w:after="0"/>
              <w:jc w:val="center"/>
              <w:rPr>
                <w:color w:val="000000"/>
              </w:rPr>
            </w:pPr>
            <w:r>
              <w:rPr>
                <w:color w:val="000000"/>
              </w:rPr>
              <w:t>-</w:t>
            </w:r>
          </w:p>
        </w:tc>
      </w:tr>
      <w:tr w:rsidR="00173D89" w:rsidRPr="00E341A0" w14:paraId="19017447" w14:textId="77777777" w:rsidTr="00290FEC">
        <w:tc>
          <w:tcPr>
            <w:tcW w:w="1967" w:type="pct"/>
          </w:tcPr>
          <w:p w14:paraId="41FD7B2A" w14:textId="77777777" w:rsidR="00980818" w:rsidRPr="00E341A0" w:rsidRDefault="00980818" w:rsidP="00E604CD">
            <w:pPr>
              <w:pStyle w:val="Tabletext"/>
              <w:widowControl w:val="0"/>
              <w:spacing w:before="0" w:after="0"/>
              <w:rPr>
                <w:color w:val="000000"/>
                <w:lang w:eastAsia="zh-TW"/>
              </w:rPr>
            </w:pPr>
            <w:r w:rsidRPr="00E341A0">
              <w:rPr>
                <w:color w:val="000000"/>
                <w:lang w:eastAsia="zh-TW"/>
              </w:rPr>
              <w:t>p</w:t>
            </w:r>
            <w:r w:rsidRPr="00E341A0">
              <w:rPr>
                <w:color w:val="000000"/>
                <w:lang w:eastAsia="zh-TW"/>
              </w:rPr>
              <w:noBreakHyphen/>
              <w:t>value</w:t>
            </w:r>
            <w:r w:rsidRPr="00E341A0">
              <w:rPr>
                <w:color w:val="000000"/>
                <w:vertAlign w:val="superscript"/>
                <w:lang w:eastAsia="zh-TW"/>
              </w:rPr>
              <w:t xml:space="preserve"> </w:t>
            </w:r>
          </w:p>
        </w:tc>
        <w:tc>
          <w:tcPr>
            <w:tcW w:w="1093" w:type="pct"/>
          </w:tcPr>
          <w:p w14:paraId="346ADE83" w14:textId="77777777" w:rsidR="00980818" w:rsidRPr="00E341A0" w:rsidRDefault="00980818" w:rsidP="00E604CD">
            <w:pPr>
              <w:pStyle w:val="Tabletext"/>
              <w:widowControl w:val="0"/>
              <w:spacing w:before="0" w:after="0"/>
              <w:jc w:val="center"/>
              <w:rPr>
                <w:color w:val="000000"/>
              </w:rPr>
            </w:pPr>
            <w:r>
              <w:rPr>
                <w:color w:val="000000"/>
              </w:rPr>
              <w:t>&lt;0.0001</w:t>
            </w:r>
          </w:p>
        </w:tc>
        <w:tc>
          <w:tcPr>
            <w:tcW w:w="1092" w:type="pct"/>
          </w:tcPr>
          <w:p w14:paraId="02E722C8" w14:textId="77777777" w:rsidR="00980818" w:rsidRPr="00E341A0" w:rsidRDefault="00980818" w:rsidP="00E604CD">
            <w:pPr>
              <w:pStyle w:val="Tabletext"/>
              <w:widowControl w:val="0"/>
              <w:spacing w:before="0" w:after="0"/>
              <w:jc w:val="center"/>
              <w:rPr>
                <w:color w:val="000000"/>
              </w:rPr>
            </w:pPr>
            <w:r>
              <w:rPr>
                <w:color w:val="000000"/>
              </w:rPr>
              <w:t>&lt;0.0001</w:t>
            </w:r>
          </w:p>
        </w:tc>
        <w:tc>
          <w:tcPr>
            <w:tcW w:w="849" w:type="pct"/>
          </w:tcPr>
          <w:p w14:paraId="782E084D" w14:textId="77777777" w:rsidR="00980818" w:rsidRPr="00E341A0" w:rsidRDefault="00980818" w:rsidP="00E604CD">
            <w:pPr>
              <w:pStyle w:val="Tabletext"/>
              <w:widowControl w:val="0"/>
              <w:spacing w:before="0" w:after="0"/>
              <w:jc w:val="center"/>
              <w:rPr>
                <w:color w:val="000000"/>
              </w:rPr>
            </w:pPr>
            <w:r>
              <w:rPr>
                <w:color w:val="000000"/>
              </w:rPr>
              <w:t>-</w:t>
            </w:r>
          </w:p>
        </w:tc>
      </w:tr>
      <w:tr w:rsidR="00173D89" w:rsidRPr="00E341A0" w14:paraId="79334C53" w14:textId="77777777" w:rsidTr="00290FEC">
        <w:tc>
          <w:tcPr>
            <w:tcW w:w="1967" w:type="pct"/>
          </w:tcPr>
          <w:p w14:paraId="67D68D66" w14:textId="77777777" w:rsidR="00980818" w:rsidRPr="00E341A0" w:rsidRDefault="00980818" w:rsidP="00E604CD">
            <w:pPr>
              <w:pStyle w:val="Tabletext"/>
              <w:widowControl w:val="0"/>
              <w:spacing w:before="0" w:after="0"/>
              <w:rPr>
                <w:color w:val="000000"/>
                <w:lang w:eastAsia="zh-TW"/>
              </w:rPr>
            </w:pPr>
            <w:r>
              <w:rPr>
                <w:color w:val="000000"/>
                <w:lang w:eastAsia="zh-TW"/>
              </w:rPr>
              <w:t>Zero treated bleeds</w:t>
            </w:r>
            <w:r>
              <w:rPr>
                <w:color w:val="000000"/>
                <w:lang w:eastAsia="zh-TW"/>
              </w:rPr>
              <w:br/>
              <w:t>n (%); no descriptive statistics</w:t>
            </w:r>
          </w:p>
        </w:tc>
        <w:tc>
          <w:tcPr>
            <w:tcW w:w="1093" w:type="pct"/>
          </w:tcPr>
          <w:p w14:paraId="2CFB7871" w14:textId="77777777" w:rsidR="00980818" w:rsidRDefault="00980818" w:rsidP="00E604CD">
            <w:pPr>
              <w:pStyle w:val="Tabletext"/>
              <w:widowControl w:val="0"/>
              <w:spacing w:before="0" w:after="0"/>
              <w:jc w:val="center"/>
              <w:rPr>
                <w:color w:val="000000"/>
              </w:rPr>
            </w:pPr>
            <w:r>
              <w:rPr>
                <w:color w:val="000000"/>
              </w:rPr>
              <w:t>20 (55.6%)</w:t>
            </w:r>
          </w:p>
        </w:tc>
        <w:tc>
          <w:tcPr>
            <w:tcW w:w="1092" w:type="pct"/>
          </w:tcPr>
          <w:p w14:paraId="46486097" w14:textId="77777777" w:rsidR="00980818" w:rsidRDefault="00980818" w:rsidP="00E604CD">
            <w:pPr>
              <w:pStyle w:val="Tabletext"/>
              <w:widowControl w:val="0"/>
              <w:spacing w:before="0" w:after="0"/>
              <w:jc w:val="center"/>
              <w:rPr>
                <w:color w:val="000000"/>
              </w:rPr>
            </w:pPr>
            <w:r>
              <w:rPr>
                <w:color w:val="000000"/>
              </w:rPr>
              <w:t>21 (60.0%)</w:t>
            </w:r>
          </w:p>
        </w:tc>
        <w:tc>
          <w:tcPr>
            <w:tcW w:w="849" w:type="pct"/>
          </w:tcPr>
          <w:p w14:paraId="61AE5D04" w14:textId="77777777" w:rsidR="00980818" w:rsidRPr="00E341A0" w:rsidRDefault="00980818" w:rsidP="00E604CD">
            <w:pPr>
              <w:pStyle w:val="Tabletext"/>
              <w:widowControl w:val="0"/>
              <w:spacing w:before="0" w:after="0"/>
              <w:jc w:val="center"/>
              <w:rPr>
                <w:color w:val="000000"/>
              </w:rPr>
            </w:pPr>
            <w:r>
              <w:rPr>
                <w:color w:val="000000"/>
              </w:rPr>
              <w:t>0</w:t>
            </w:r>
          </w:p>
        </w:tc>
      </w:tr>
    </w:tbl>
    <w:p w14:paraId="4003FF3E" w14:textId="77777777" w:rsidR="00980818" w:rsidRDefault="00980818" w:rsidP="00BC72A9">
      <w:pPr>
        <w:pStyle w:val="Tablenotes0"/>
      </w:pPr>
      <w:r w:rsidRPr="00B129E2">
        <w:rPr>
          <w:b/>
        </w:rPr>
        <w:t>Source</w:t>
      </w:r>
      <w:r>
        <w:t>: Submission Table B.19 and Table B.20</w:t>
      </w:r>
    </w:p>
    <w:p w14:paraId="0990433B" w14:textId="77FEF8CF" w:rsidR="00BC72A9" w:rsidRDefault="00980818" w:rsidP="00BC72A9">
      <w:pPr>
        <w:pStyle w:val="Tablenotes0"/>
      </w:pPr>
      <w:r w:rsidRPr="008D1759">
        <w:rPr>
          <w:b/>
        </w:rPr>
        <w:t>Abbreviations</w:t>
      </w:r>
      <w:r>
        <w:t>: ABR = Annualised bleed ratio; CI = confidence interval; FVIII = factor VIII</w:t>
      </w:r>
      <w:r w:rsidR="00BC72A9">
        <w:br w:type="page"/>
      </w:r>
    </w:p>
    <w:p w14:paraId="71BEBE0A" w14:textId="77777777" w:rsidR="00980818" w:rsidRPr="00037E83" w:rsidRDefault="00980818" w:rsidP="00BC72A9">
      <w:pPr>
        <w:spacing w:before="240"/>
        <w:rPr>
          <w:i/>
        </w:rPr>
      </w:pPr>
      <w:r w:rsidRPr="00037E83">
        <w:rPr>
          <w:i/>
        </w:rPr>
        <w:lastRenderedPageBreak/>
        <w:t>Emicizumab prophylaxis versus FVIII prophylaxis</w:t>
      </w:r>
    </w:p>
    <w:p w14:paraId="79AD508D" w14:textId="4831437D" w:rsidR="00980818" w:rsidRDefault="00980818" w:rsidP="00BC72A9">
      <w:pPr>
        <w:spacing w:after="240"/>
        <w:jc w:val="both"/>
      </w:pPr>
      <w:r w:rsidRPr="00A86110">
        <w:t xml:space="preserve">On the basis of the benefits and harms reported in the evidence base, the submission proposes that, relative to </w:t>
      </w:r>
      <w:r>
        <w:t>FVIII prophylaxis</w:t>
      </w:r>
      <w:r w:rsidRPr="00A86110">
        <w:t xml:space="preserve">, </w:t>
      </w:r>
      <w:r>
        <w:t>emicizumab prophylaxis</w:t>
      </w:r>
      <w:r w:rsidRPr="00A86110">
        <w:t xml:space="preserve"> has </w:t>
      </w:r>
      <w:r>
        <w:t>superior</w:t>
      </w:r>
      <w:r w:rsidRPr="00A86110">
        <w:t xml:space="preserve"> effectiveness</w:t>
      </w:r>
      <w:r>
        <w:t xml:space="preserve"> </w:t>
      </w:r>
      <w:r w:rsidRPr="001618C4">
        <w:t xml:space="preserve">in reducing the rate of treated bleeds for severe </w:t>
      </w:r>
      <w:r>
        <w:t>HM</w:t>
      </w:r>
      <w:r w:rsidRPr="001618C4">
        <w:t>A patients witho</w:t>
      </w:r>
      <w:r w:rsidR="007C4940">
        <w:t>ut</w:t>
      </w:r>
      <w:r w:rsidRPr="001618C4">
        <w:t xml:space="preserve"> inhibitors</w:t>
      </w:r>
      <w:r>
        <w:t xml:space="preserve"> (see also </w:t>
      </w:r>
      <w:r w:rsidR="00054E4D">
        <w:t xml:space="preserve">Table </w:t>
      </w:r>
      <w:r w:rsidR="00A24252">
        <w:t>5</w:t>
      </w:r>
      <w:r>
        <w:t xml:space="preserve"> for the </w:t>
      </w:r>
      <w:r w:rsidRPr="005F7052">
        <w:t>before-and-after comparison</w:t>
      </w:r>
      <w:r w:rsidR="00054E4D">
        <w:t xml:space="preserve"> and Table </w:t>
      </w:r>
      <w:r w:rsidR="00A24252">
        <w:t>6</w:t>
      </w:r>
      <w:r>
        <w:t xml:space="preserve"> for the indirect comparison).</w:t>
      </w:r>
    </w:p>
    <w:p w14:paraId="08F83241" w14:textId="5FB9065C" w:rsidR="00980818" w:rsidRPr="006F64E6" w:rsidRDefault="00980818" w:rsidP="006F64E6">
      <w:pPr>
        <w:rPr>
          <w:rFonts w:ascii="Arial Narrow" w:hAnsi="Arial Narrow"/>
          <w:b/>
          <w:sz w:val="20"/>
        </w:rPr>
      </w:pPr>
      <w:bookmarkStart w:id="7" w:name="_Ref5019422"/>
      <w:bookmarkStart w:id="8" w:name="_Toc6667035"/>
      <w:r w:rsidRPr="006F64E6">
        <w:rPr>
          <w:rFonts w:ascii="Arial Narrow" w:hAnsi="Arial Narrow"/>
          <w:b/>
          <w:sz w:val="20"/>
        </w:rPr>
        <w:t xml:space="preserve">Table </w:t>
      </w:r>
      <w:bookmarkEnd w:id="7"/>
      <w:r w:rsidR="00A24252" w:rsidRPr="006F64E6">
        <w:rPr>
          <w:rFonts w:ascii="Arial Narrow" w:hAnsi="Arial Narrow"/>
          <w:b/>
          <w:sz w:val="20"/>
        </w:rPr>
        <w:t>5</w:t>
      </w:r>
      <w:r w:rsidRPr="006F64E6">
        <w:rPr>
          <w:rFonts w:ascii="Arial Narrow" w:hAnsi="Arial Narrow"/>
          <w:b/>
          <w:sz w:val="20"/>
        </w:rPr>
        <w:tab/>
        <w:t>Treated bleeding events, calculated with the NBR model – Arm D compared to NIS FVIII prophylaxis</w:t>
      </w:r>
      <w:bookmarkEnd w:id="8"/>
    </w:p>
    <w:tbl>
      <w:tblPr>
        <w:tblStyle w:val="TableGrid"/>
        <w:tblW w:w="5000" w:type="pct"/>
        <w:tblLook w:val="04A0" w:firstRow="1" w:lastRow="0" w:firstColumn="1" w:lastColumn="0" w:noHBand="0" w:noVBand="1"/>
        <w:tblCaption w:val="Treated bleeding events as presented in the submission and calculated using the NBR model"/>
        <w:tblDescription w:val="Treated bleeding events as presented in the submission and calculated using the NBR model - FVIII prophylaxis versus emicizumab"/>
      </w:tblPr>
      <w:tblGrid>
        <w:gridCol w:w="2778"/>
        <w:gridCol w:w="3760"/>
        <w:gridCol w:w="2478"/>
      </w:tblGrid>
      <w:tr w:rsidR="00980818" w:rsidRPr="00E341A0" w14:paraId="7FD80B98" w14:textId="77777777" w:rsidTr="00290FEC">
        <w:trPr>
          <w:trHeight w:val="950"/>
          <w:tblHeader/>
        </w:trPr>
        <w:tc>
          <w:tcPr>
            <w:tcW w:w="1541" w:type="pct"/>
          </w:tcPr>
          <w:p w14:paraId="34AC92FF" w14:textId="77777777" w:rsidR="00980818" w:rsidRPr="00E341A0" w:rsidRDefault="00980818" w:rsidP="0010250B">
            <w:pPr>
              <w:pStyle w:val="TableHeading"/>
              <w:spacing w:before="0" w:after="0"/>
              <w:jc w:val="left"/>
            </w:pPr>
            <w:r w:rsidRPr="00E341A0">
              <w:t>Parameter</w:t>
            </w:r>
          </w:p>
        </w:tc>
        <w:tc>
          <w:tcPr>
            <w:tcW w:w="2085" w:type="pct"/>
          </w:tcPr>
          <w:p w14:paraId="5B9020FE" w14:textId="77777777" w:rsidR="00980818" w:rsidRDefault="00980818" w:rsidP="0010250B">
            <w:pPr>
              <w:pStyle w:val="TableHeading"/>
              <w:spacing w:before="0" w:after="0"/>
              <w:jc w:val="center"/>
            </w:pPr>
            <w:r w:rsidRPr="00E341A0">
              <w:t xml:space="preserve">HAVEN </w:t>
            </w:r>
            <w:r>
              <w:t xml:space="preserve">3 </w:t>
            </w:r>
            <w:r w:rsidRPr="00E341A0">
              <w:t xml:space="preserve">Arm </w:t>
            </w:r>
            <w:r>
              <w:t>D</w:t>
            </w:r>
          </w:p>
          <w:p w14:paraId="434EA0BE" w14:textId="77777777" w:rsidR="00980818" w:rsidRDefault="00980818" w:rsidP="0010250B">
            <w:pPr>
              <w:pStyle w:val="TableHeading"/>
              <w:spacing w:before="0" w:after="0"/>
              <w:jc w:val="center"/>
            </w:pPr>
            <w:r>
              <w:t>1.5 mg/kg per week emicizumab</w:t>
            </w:r>
            <w:r w:rsidRPr="00E341A0">
              <w:t xml:space="preserve"> prophylaxis</w:t>
            </w:r>
          </w:p>
          <w:p w14:paraId="3A796527" w14:textId="77777777" w:rsidR="00980818" w:rsidRPr="00E341A0" w:rsidRDefault="00980818" w:rsidP="0010250B">
            <w:pPr>
              <w:pStyle w:val="TableHeading"/>
              <w:spacing w:before="0" w:after="0"/>
              <w:jc w:val="center"/>
            </w:pPr>
            <w:r w:rsidRPr="00E341A0">
              <w:t>N</w:t>
            </w:r>
            <w:r>
              <w:t xml:space="preserve"> </w:t>
            </w:r>
            <w:r w:rsidRPr="00E341A0">
              <w:sym w:font="Symbol" w:char="F03D"/>
            </w:r>
            <w:r>
              <w:t xml:space="preserve"> 48</w:t>
            </w:r>
          </w:p>
        </w:tc>
        <w:tc>
          <w:tcPr>
            <w:tcW w:w="1374" w:type="pct"/>
          </w:tcPr>
          <w:p w14:paraId="5E2A519F" w14:textId="77777777" w:rsidR="00980818" w:rsidRDefault="00980818" w:rsidP="0010250B">
            <w:pPr>
              <w:pStyle w:val="TableHeading"/>
              <w:spacing w:before="0" w:after="0"/>
              <w:jc w:val="center"/>
            </w:pPr>
            <w:r>
              <w:t>NIS BH29768 Cohort C</w:t>
            </w:r>
          </w:p>
          <w:p w14:paraId="188A3368" w14:textId="77777777" w:rsidR="00980818" w:rsidRDefault="00980818" w:rsidP="0010250B">
            <w:pPr>
              <w:pStyle w:val="TableHeading"/>
              <w:spacing w:before="0" w:after="0"/>
              <w:jc w:val="center"/>
            </w:pPr>
            <w:r>
              <w:t>FVIII prophylaxis</w:t>
            </w:r>
          </w:p>
          <w:p w14:paraId="08E2CCD0" w14:textId="77777777" w:rsidR="00980818" w:rsidRPr="00E341A0" w:rsidRDefault="00980818" w:rsidP="0010250B">
            <w:pPr>
              <w:pStyle w:val="TableHeading"/>
              <w:spacing w:before="0" w:after="0"/>
              <w:jc w:val="center"/>
            </w:pPr>
            <w:r>
              <w:t>N = 48</w:t>
            </w:r>
          </w:p>
        </w:tc>
      </w:tr>
      <w:tr w:rsidR="00980818" w:rsidRPr="00E341A0" w14:paraId="63099E4C" w14:textId="77777777" w:rsidTr="00290FEC">
        <w:trPr>
          <w:trHeight w:val="258"/>
        </w:trPr>
        <w:tc>
          <w:tcPr>
            <w:tcW w:w="1541" w:type="pct"/>
          </w:tcPr>
          <w:p w14:paraId="1E41C3BA" w14:textId="77777777" w:rsidR="00980818" w:rsidRPr="00E341A0" w:rsidRDefault="00980818" w:rsidP="0010250B">
            <w:pPr>
              <w:pStyle w:val="Tabletext"/>
              <w:spacing w:before="0" w:after="0"/>
            </w:pPr>
            <w:r w:rsidRPr="00E341A0">
              <w:t>Median efficacy period (weeks)</w:t>
            </w:r>
          </w:p>
        </w:tc>
        <w:tc>
          <w:tcPr>
            <w:tcW w:w="2085" w:type="pct"/>
          </w:tcPr>
          <w:p w14:paraId="5BFE73A3" w14:textId="77777777" w:rsidR="00980818" w:rsidRPr="00E341A0" w:rsidRDefault="00980818" w:rsidP="0010250B">
            <w:pPr>
              <w:pStyle w:val="Tabletext"/>
              <w:spacing w:before="0" w:after="0"/>
              <w:jc w:val="center"/>
            </w:pPr>
            <w:r>
              <w:t>33.71</w:t>
            </w:r>
          </w:p>
        </w:tc>
        <w:tc>
          <w:tcPr>
            <w:tcW w:w="1374" w:type="pct"/>
          </w:tcPr>
          <w:p w14:paraId="4BA70F7A" w14:textId="77777777" w:rsidR="00980818" w:rsidRPr="00E341A0" w:rsidRDefault="00980818" w:rsidP="0010250B">
            <w:pPr>
              <w:pStyle w:val="Tabletext"/>
              <w:spacing w:before="0" w:after="0"/>
              <w:jc w:val="center"/>
            </w:pPr>
            <w:r>
              <w:t>30.07</w:t>
            </w:r>
          </w:p>
        </w:tc>
      </w:tr>
      <w:tr w:rsidR="00980818" w:rsidRPr="00E341A0" w14:paraId="10714E32" w14:textId="77777777" w:rsidTr="00290FEC">
        <w:tc>
          <w:tcPr>
            <w:tcW w:w="1541" w:type="pct"/>
          </w:tcPr>
          <w:p w14:paraId="030AC7CB" w14:textId="77777777" w:rsidR="00980818" w:rsidRPr="00E341A0" w:rsidRDefault="00980818" w:rsidP="0010250B">
            <w:pPr>
              <w:pStyle w:val="Tabletext"/>
              <w:spacing w:before="0" w:after="0"/>
              <w:rPr>
                <w:color w:val="000000"/>
                <w:lang w:eastAsia="zh-TW"/>
              </w:rPr>
            </w:pPr>
            <w:r w:rsidRPr="00E341A0">
              <w:rPr>
                <w:color w:val="000000"/>
                <w:lang w:eastAsia="zh-TW"/>
              </w:rPr>
              <w:t>ABR</w:t>
            </w:r>
          </w:p>
        </w:tc>
        <w:tc>
          <w:tcPr>
            <w:tcW w:w="2085" w:type="pct"/>
          </w:tcPr>
          <w:p w14:paraId="4F9F65BA" w14:textId="77777777" w:rsidR="00980818" w:rsidRPr="00E341A0" w:rsidRDefault="00980818" w:rsidP="0010250B">
            <w:pPr>
              <w:pStyle w:val="Tabletext"/>
              <w:spacing w:before="0" w:after="0"/>
              <w:jc w:val="center"/>
              <w:rPr>
                <w:color w:val="000000"/>
              </w:rPr>
            </w:pPr>
            <w:r>
              <w:t>1.5</w:t>
            </w:r>
          </w:p>
        </w:tc>
        <w:tc>
          <w:tcPr>
            <w:tcW w:w="1374" w:type="pct"/>
          </w:tcPr>
          <w:p w14:paraId="310E6624" w14:textId="77777777" w:rsidR="00980818" w:rsidRPr="00E341A0" w:rsidRDefault="00980818" w:rsidP="0010250B">
            <w:pPr>
              <w:pStyle w:val="Tabletext"/>
              <w:spacing w:before="0" w:after="0"/>
              <w:jc w:val="center"/>
              <w:rPr>
                <w:color w:val="000000"/>
              </w:rPr>
            </w:pPr>
            <w:r>
              <w:t>4.8</w:t>
            </w:r>
          </w:p>
        </w:tc>
      </w:tr>
      <w:tr w:rsidR="00980818" w:rsidRPr="00E341A0" w14:paraId="2E54F4D4" w14:textId="77777777" w:rsidTr="00290FEC">
        <w:tc>
          <w:tcPr>
            <w:tcW w:w="1541" w:type="pct"/>
          </w:tcPr>
          <w:p w14:paraId="65D182D8" w14:textId="77777777" w:rsidR="00980818" w:rsidRPr="00E341A0" w:rsidRDefault="00980818" w:rsidP="0010250B">
            <w:pPr>
              <w:pStyle w:val="Tabletext"/>
              <w:spacing w:before="0" w:after="0"/>
              <w:rPr>
                <w:color w:val="000000"/>
                <w:lang w:eastAsia="zh-TW"/>
              </w:rPr>
            </w:pPr>
            <w:r w:rsidRPr="00E341A0">
              <w:rPr>
                <w:color w:val="000000"/>
                <w:lang w:eastAsia="zh-TW"/>
              </w:rPr>
              <w:t>ABR ratio</w:t>
            </w:r>
            <w:r>
              <w:rPr>
                <w:color w:val="000000"/>
                <w:lang w:eastAsia="zh-TW"/>
              </w:rPr>
              <w:t xml:space="preserve"> </w:t>
            </w:r>
            <w:r w:rsidRPr="00E341A0">
              <w:rPr>
                <w:color w:val="000000"/>
                <w:lang w:eastAsia="zh-TW"/>
              </w:rPr>
              <w:t>(95% CI)</w:t>
            </w:r>
          </w:p>
        </w:tc>
        <w:tc>
          <w:tcPr>
            <w:tcW w:w="2085" w:type="pct"/>
          </w:tcPr>
          <w:p w14:paraId="31957887" w14:textId="77777777" w:rsidR="00980818" w:rsidRPr="00E341A0" w:rsidRDefault="00980818" w:rsidP="0010250B">
            <w:pPr>
              <w:pStyle w:val="Tabletext"/>
              <w:spacing w:before="0" w:after="0"/>
              <w:jc w:val="center"/>
              <w:rPr>
                <w:color w:val="000000"/>
              </w:rPr>
            </w:pPr>
            <w:r>
              <w:rPr>
                <w:color w:val="000000"/>
              </w:rPr>
              <w:t>0.32 (0.195, 0.514)</w:t>
            </w:r>
          </w:p>
        </w:tc>
        <w:tc>
          <w:tcPr>
            <w:tcW w:w="1374" w:type="pct"/>
          </w:tcPr>
          <w:p w14:paraId="4E3DA7A3" w14:textId="77777777" w:rsidR="00980818" w:rsidRPr="00E341A0" w:rsidRDefault="00980818" w:rsidP="0010250B">
            <w:pPr>
              <w:pStyle w:val="Tabletext"/>
              <w:spacing w:before="0" w:after="0"/>
              <w:jc w:val="center"/>
              <w:rPr>
                <w:color w:val="000000"/>
              </w:rPr>
            </w:pPr>
            <w:r>
              <w:rPr>
                <w:color w:val="000000"/>
              </w:rPr>
              <w:t>-</w:t>
            </w:r>
          </w:p>
        </w:tc>
      </w:tr>
      <w:tr w:rsidR="00980818" w:rsidRPr="00E341A0" w14:paraId="2F10AEC8" w14:textId="77777777" w:rsidTr="00290FEC">
        <w:tc>
          <w:tcPr>
            <w:tcW w:w="1541" w:type="pct"/>
          </w:tcPr>
          <w:p w14:paraId="0C412FFA" w14:textId="77777777" w:rsidR="00980818" w:rsidRPr="00E341A0" w:rsidRDefault="00980818" w:rsidP="0010250B">
            <w:pPr>
              <w:pStyle w:val="Tabletext"/>
              <w:spacing w:before="0" w:after="0"/>
              <w:rPr>
                <w:color w:val="000000"/>
                <w:lang w:eastAsia="zh-TW"/>
              </w:rPr>
            </w:pPr>
            <w:r w:rsidRPr="00E341A0">
              <w:rPr>
                <w:color w:val="000000"/>
                <w:lang w:eastAsia="zh-TW"/>
              </w:rPr>
              <w:t>p</w:t>
            </w:r>
            <w:r w:rsidRPr="00E341A0">
              <w:rPr>
                <w:color w:val="000000"/>
                <w:lang w:eastAsia="zh-TW"/>
              </w:rPr>
              <w:noBreakHyphen/>
              <w:t>value</w:t>
            </w:r>
            <w:r w:rsidRPr="00E341A0">
              <w:rPr>
                <w:color w:val="000000"/>
                <w:vertAlign w:val="superscript"/>
                <w:lang w:eastAsia="zh-TW"/>
              </w:rPr>
              <w:t xml:space="preserve"> </w:t>
            </w:r>
          </w:p>
        </w:tc>
        <w:tc>
          <w:tcPr>
            <w:tcW w:w="2085" w:type="pct"/>
          </w:tcPr>
          <w:p w14:paraId="3BDA3DD2" w14:textId="77777777" w:rsidR="00980818" w:rsidRPr="00E341A0" w:rsidRDefault="00980818" w:rsidP="0010250B">
            <w:pPr>
              <w:pStyle w:val="Tabletext"/>
              <w:spacing w:before="0" w:after="0"/>
              <w:jc w:val="center"/>
              <w:rPr>
                <w:color w:val="000000"/>
              </w:rPr>
            </w:pPr>
            <w:r>
              <w:rPr>
                <w:color w:val="000000"/>
              </w:rPr>
              <w:t>&lt;0.0001</w:t>
            </w:r>
          </w:p>
        </w:tc>
        <w:tc>
          <w:tcPr>
            <w:tcW w:w="1374" w:type="pct"/>
          </w:tcPr>
          <w:p w14:paraId="3E827D60" w14:textId="77777777" w:rsidR="00980818" w:rsidRPr="00E341A0" w:rsidRDefault="00980818" w:rsidP="0010250B">
            <w:pPr>
              <w:pStyle w:val="Tabletext"/>
              <w:spacing w:before="0" w:after="0"/>
              <w:jc w:val="center"/>
              <w:rPr>
                <w:color w:val="000000"/>
              </w:rPr>
            </w:pPr>
            <w:r>
              <w:rPr>
                <w:color w:val="000000"/>
              </w:rPr>
              <w:t>-</w:t>
            </w:r>
          </w:p>
        </w:tc>
      </w:tr>
      <w:tr w:rsidR="00980818" w:rsidRPr="00E341A0" w14:paraId="1BFE05C0" w14:textId="77777777" w:rsidTr="00290FEC">
        <w:tc>
          <w:tcPr>
            <w:tcW w:w="1541" w:type="pct"/>
          </w:tcPr>
          <w:p w14:paraId="2E0DFF81" w14:textId="77777777" w:rsidR="00980818" w:rsidRPr="00E341A0" w:rsidRDefault="00980818" w:rsidP="0010250B">
            <w:pPr>
              <w:pStyle w:val="Tabletext"/>
              <w:spacing w:before="0" w:after="0"/>
              <w:rPr>
                <w:color w:val="000000"/>
                <w:lang w:eastAsia="zh-TW"/>
              </w:rPr>
            </w:pPr>
            <w:r>
              <w:rPr>
                <w:color w:val="000000"/>
                <w:lang w:eastAsia="zh-TW"/>
              </w:rPr>
              <w:t>Zero treated bleeds</w:t>
            </w:r>
            <w:r>
              <w:rPr>
                <w:color w:val="000000"/>
                <w:lang w:eastAsia="zh-TW"/>
              </w:rPr>
              <w:br/>
              <w:t>n (%); no descriptive statistics</w:t>
            </w:r>
          </w:p>
        </w:tc>
        <w:tc>
          <w:tcPr>
            <w:tcW w:w="2085" w:type="pct"/>
          </w:tcPr>
          <w:p w14:paraId="6A0FD153" w14:textId="77777777" w:rsidR="00980818" w:rsidRDefault="00980818" w:rsidP="0010250B">
            <w:pPr>
              <w:pStyle w:val="Tabletext"/>
              <w:spacing w:before="0" w:after="0"/>
              <w:jc w:val="center"/>
              <w:rPr>
                <w:color w:val="000000"/>
              </w:rPr>
            </w:pPr>
            <w:r>
              <w:rPr>
                <w:color w:val="000000"/>
              </w:rPr>
              <w:t>26 (54.2%)</w:t>
            </w:r>
          </w:p>
        </w:tc>
        <w:tc>
          <w:tcPr>
            <w:tcW w:w="1374" w:type="pct"/>
          </w:tcPr>
          <w:p w14:paraId="7BDE58B5" w14:textId="77777777" w:rsidR="00980818" w:rsidRPr="00E341A0" w:rsidRDefault="00980818" w:rsidP="0010250B">
            <w:pPr>
              <w:pStyle w:val="Tabletext"/>
              <w:spacing w:before="0" w:after="0"/>
              <w:jc w:val="center"/>
              <w:rPr>
                <w:color w:val="000000"/>
              </w:rPr>
            </w:pPr>
            <w:r>
              <w:rPr>
                <w:color w:val="000000"/>
              </w:rPr>
              <w:t>19 (39.6%)</w:t>
            </w:r>
          </w:p>
        </w:tc>
      </w:tr>
    </w:tbl>
    <w:p w14:paraId="7B2F6319" w14:textId="77777777" w:rsidR="00980818" w:rsidRDefault="00980818" w:rsidP="00BC72A9">
      <w:pPr>
        <w:pStyle w:val="Tablenotes0"/>
      </w:pPr>
      <w:r w:rsidRPr="00930D04">
        <w:rPr>
          <w:b/>
        </w:rPr>
        <w:t>Source</w:t>
      </w:r>
      <w:r>
        <w:t>: Table B.19 and Table B.20 of the Submission</w:t>
      </w:r>
    </w:p>
    <w:p w14:paraId="7E59FA42" w14:textId="39CD145B" w:rsidR="00980818" w:rsidRDefault="00980818" w:rsidP="00BC72A9">
      <w:pPr>
        <w:pStyle w:val="Tablenotes0"/>
      </w:pPr>
      <w:r w:rsidRPr="00CB7C79">
        <w:rPr>
          <w:b/>
        </w:rPr>
        <w:t>Abbreviation</w:t>
      </w:r>
      <w:r>
        <w:t>: ABR = annualised bleeding events; CI = confidence interval; CSR = clinical summary report; FVIII = factor VIII</w:t>
      </w:r>
    </w:p>
    <w:p w14:paraId="5CE2C1CB" w14:textId="0C11C6C0" w:rsidR="00980818" w:rsidRPr="006F64E6" w:rsidRDefault="00980818" w:rsidP="006F64E6">
      <w:pPr>
        <w:rPr>
          <w:rFonts w:ascii="Arial Narrow" w:hAnsi="Arial Narrow"/>
          <w:b/>
          <w:sz w:val="20"/>
        </w:rPr>
      </w:pPr>
      <w:bookmarkStart w:id="9" w:name="_Ref4403293"/>
      <w:bookmarkStart w:id="10" w:name="_Toc6667088"/>
      <w:r w:rsidRPr="006F64E6">
        <w:rPr>
          <w:rFonts w:ascii="Arial Narrow" w:hAnsi="Arial Narrow"/>
          <w:b/>
          <w:sz w:val="20"/>
        </w:rPr>
        <w:t xml:space="preserve">Table </w:t>
      </w:r>
      <w:bookmarkEnd w:id="9"/>
      <w:r w:rsidR="00A24252" w:rsidRPr="006F64E6">
        <w:rPr>
          <w:rFonts w:ascii="Arial Narrow" w:hAnsi="Arial Narrow"/>
          <w:b/>
          <w:sz w:val="20"/>
        </w:rPr>
        <w:t>6</w:t>
      </w:r>
      <w:r w:rsidRPr="006F64E6">
        <w:rPr>
          <w:rFonts w:ascii="Arial Narrow" w:hAnsi="Arial Narrow"/>
          <w:b/>
          <w:sz w:val="20"/>
        </w:rPr>
        <w:tab/>
        <w:t>Annualised bleed rate, HAVEN 3 and SPINART</w:t>
      </w:r>
      <w:bookmarkEnd w:id="10"/>
    </w:p>
    <w:tbl>
      <w:tblPr>
        <w:tblStyle w:val="TableGrid"/>
        <w:tblW w:w="5000" w:type="pct"/>
        <w:tblLayout w:type="fixed"/>
        <w:tblLook w:val="04A0" w:firstRow="1" w:lastRow="0" w:firstColumn="1" w:lastColumn="0" w:noHBand="0" w:noVBand="1"/>
        <w:tblCaption w:val="Annualised bleed rate, HAVEN 3 and SPINART"/>
        <w:tblDescription w:val="Annualised bleed rate for treated bleeds, HAVEN 3 and SPINART"/>
      </w:tblPr>
      <w:tblGrid>
        <w:gridCol w:w="2405"/>
        <w:gridCol w:w="2045"/>
        <w:gridCol w:w="1531"/>
        <w:gridCol w:w="1531"/>
        <w:gridCol w:w="1504"/>
      </w:tblGrid>
      <w:tr w:rsidR="00980818" w:rsidRPr="00BF7EDB" w14:paraId="50F84693" w14:textId="77777777" w:rsidTr="00290FEC">
        <w:trPr>
          <w:trHeight w:val="1259"/>
          <w:tblHeader/>
        </w:trPr>
        <w:tc>
          <w:tcPr>
            <w:tcW w:w="1334" w:type="pct"/>
          </w:tcPr>
          <w:p w14:paraId="0231607E" w14:textId="77777777" w:rsidR="00980818" w:rsidRPr="008C05AF" w:rsidRDefault="00980818" w:rsidP="0010250B">
            <w:pPr>
              <w:pStyle w:val="TableHeading"/>
              <w:spacing w:before="0" w:after="0"/>
              <w:jc w:val="left"/>
            </w:pPr>
          </w:p>
        </w:tc>
        <w:tc>
          <w:tcPr>
            <w:tcW w:w="1134" w:type="pct"/>
          </w:tcPr>
          <w:p w14:paraId="3B4F69C9" w14:textId="77777777" w:rsidR="00980818" w:rsidRPr="008C05AF" w:rsidRDefault="00980818" w:rsidP="0010250B">
            <w:pPr>
              <w:pStyle w:val="TableHeading"/>
              <w:spacing w:before="0" w:after="0"/>
              <w:jc w:val="center"/>
            </w:pPr>
            <w:r w:rsidRPr="008C05AF">
              <w:t>HAVEN 3 Arm A</w:t>
            </w:r>
          </w:p>
          <w:p w14:paraId="709A1DB5" w14:textId="77777777" w:rsidR="00980818" w:rsidRPr="008C05AF" w:rsidRDefault="00980818" w:rsidP="0010250B">
            <w:pPr>
              <w:pStyle w:val="TableHeading"/>
              <w:spacing w:before="0" w:after="0"/>
              <w:jc w:val="center"/>
            </w:pPr>
            <w:r w:rsidRPr="008C05AF">
              <w:t>1.5 mg/kg per week</w:t>
            </w:r>
          </w:p>
          <w:p w14:paraId="6372A9DB" w14:textId="77777777" w:rsidR="00980818" w:rsidRPr="008C05AF" w:rsidRDefault="00980818" w:rsidP="0010250B">
            <w:pPr>
              <w:pStyle w:val="TableHeading"/>
              <w:spacing w:before="0" w:after="0"/>
              <w:jc w:val="center"/>
            </w:pPr>
            <w:r w:rsidRPr="008C05AF">
              <w:t>emicizumab prophylaxis</w:t>
            </w:r>
          </w:p>
          <w:p w14:paraId="40EB0F33" w14:textId="77777777" w:rsidR="00980818" w:rsidRPr="008C05AF" w:rsidRDefault="00980818" w:rsidP="0010250B">
            <w:pPr>
              <w:pStyle w:val="TableHeading"/>
              <w:spacing w:before="0" w:after="0"/>
              <w:jc w:val="center"/>
            </w:pPr>
            <w:r w:rsidRPr="008C05AF">
              <w:t>N = 36</w:t>
            </w:r>
          </w:p>
        </w:tc>
        <w:tc>
          <w:tcPr>
            <w:tcW w:w="849" w:type="pct"/>
          </w:tcPr>
          <w:p w14:paraId="14B2ECCC" w14:textId="77777777" w:rsidR="00980818" w:rsidRPr="008C05AF" w:rsidRDefault="00980818" w:rsidP="0010250B">
            <w:pPr>
              <w:pStyle w:val="TableHeading"/>
              <w:spacing w:before="0" w:after="0"/>
              <w:jc w:val="center"/>
            </w:pPr>
            <w:r w:rsidRPr="008C05AF">
              <w:t>HAVEN 3 Arm C</w:t>
            </w:r>
          </w:p>
          <w:p w14:paraId="2F331CB6" w14:textId="77777777" w:rsidR="00980818" w:rsidRPr="008C05AF" w:rsidRDefault="00980818" w:rsidP="0010250B">
            <w:pPr>
              <w:pStyle w:val="TableHeading"/>
              <w:spacing w:before="0" w:after="0"/>
              <w:jc w:val="center"/>
            </w:pPr>
            <w:r w:rsidRPr="008C05AF">
              <w:t>FVIII on-demand</w:t>
            </w:r>
          </w:p>
          <w:p w14:paraId="56E13A59" w14:textId="77777777" w:rsidR="00980818" w:rsidRPr="008C05AF" w:rsidRDefault="00980818" w:rsidP="0010250B">
            <w:pPr>
              <w:pStyle w:val="TableHeading"/>
              <w:spacing w:before="0" w:after="0"/>
              <w:jc w:val="center"/>
            </w:pPr>
            <w:r w:rsidRPr="008C05AF">
              <w:t>N = 18</w:t>
            </w:r>
          </w:p>
        </w:tc>
        <w:tc>
          <w:tcPr>
            <w:tcW w:w="849" w:type="pct"/>
          </w:tcPr>
          <w:p w14:paraId="19884612" w14:textId="77777777" w:rsidR="00980818" w:rsidRPr="008C05AF" w:rsidRDefault="00980818" w:rsidP="0010250B">
            <w:pPr>
              <w:pStyle w:val="TableHeading"/>
              <w:spacing w:before="0" w:after="0"/>
              <w:jc w:val="center"/>
            </w:pPr>
            <w:r w:rsidRPr="008C05AF">
              <w:t>SPINART</w:t>
            </w:r>
          </w:p>
          <w:p w14:paraId="1BF4DCEF" w14:textId="77777777" w:rsidR="00980818" w:rsidRPr="008C05AF" w:rsidRDefault="00980818" w:rsidP="0010250B">
            <w:pPr>
              <w:pStyle w:val="TableHeading"/>
              <w:spacing w:before="0" w:after="0"/>
              <w:jc w:val="center"/>
            </w:pPr>
            <w:r w:rsidRPr="008C05AF">
              <w:t>FVIII prophylaxis</w:t>
            </w:r>
          </w:p>
          <w:p w14:paraId="1BCC7FBD" w14:textId="77777777" w:rsidR="00980818" w:rsidRPr="008C05AF" w:rsidRDefault="00980818" w:rsidP="0010250B">
            <w:pPr>
              <w:pStyle w:val="TableHeading"/>
              <w:spacing w:before="0" w:after="0"/>
              <w:jc w:val="center"/>
            </w:pPr>
            <w:r w:rsidRPr="008C05AF">
              <w:t>N = 42</w:t>
            </w:r>
          </w:p>
        </w:tc>
        <w:tc>
          <w:tcPr>
            <w:tcW w:w="834" w:type="pct"/>
          </w:tcPr>
          <w:p w14:paraId="0F4D3102" w14:textId="77777777" w:rsidR="00980818" w:rsidRPr="00516305" w:rsidRDefault="00980818" w:rsidP="0010250B">
            <w:pPr>
              <w:pStyle w:val="TableHeading"/>
              <w:spacing w:before="0" w:after="0"/>
              <w:jc w:val="center"/>
              <w:rPr>
                <w:lang w:val="fr-FR"/>
              </w:rPr>
            </w:pPr>
            <w:r w:rsidRPr="00516305">
              <w:rPr>
                <w:lang w:val="fr-FR"/>
              </w:rPr>
              <w:t>SPINART</w:t>
            </w:r>
          </w:p>
          <w:p w14:paraId="1F5DC7CF" w14:textId="77777777" w:rsidR="00980818" w:rsidRPr="00516305" w:rsidRDefault="00980818" w:rsidP="0010250B">
            <w:pPr>
              <w:pStyle w:val="TableHeading"/>
              <w:spacing w:before="0" w:after="0"/>
              <w:jc w:val="center"/>
              <w:rPr>
                <w:lang w:val="fr-FR"/>
              </w:rPr>
            </w:pPr>
            <w:r w:rsidRPr="00516305">
              <w:rPr>
                <w:lang w:val="fr-FR"/>
              </w:rPr>
              <w:t>FVIII on-demand</w:t>
            </w:r>
          </w:p>
          <w:p w14:paraId="6BC71EDF" w14:textId="77777777" w:rsidR="00980818" w:rsidRPr="00516305" w:rsidRDefault="00980818" w:rsidP="0010250B">
            <w:pPr>
              <w:pStyle w:val="TableHeading"/>
              <w:spacing w:before="0" w:after="0"/>
              <w:jc w:val="center"/>
              <w:rPr>
                <w:lang w:val="fr-FR"/>
              </w:rPr>
            </w:pPr>
            <w:r w:rsidRPr="00516305">
              <w:rPr>
                <w:lang w:val="fr-FR"/>
              </w:rPr>
              <w:t>N=42</w:t>
            </w:r>
          </w:p>
        </w:tc>
      </w:tr>
      <w:tr w:rsidR="00980818" w:rsidRPr="008C05AF" w14:paraId="5E865397" w14:textId="77777777" w:rsidTr="00290FEC">
        <w:tc>
          <w:tcPr>
            <w:tcW w:w="1334" w:type="pct"/>
          </w:tcPr>
          <w:p w14:paraId="5FB84F17" w14:textId="77777777" w:rsidR="00980818" w:rsidRPr="008C05AF" w:rsidRDefault="00980818" w:rsidP="0010250B">
            <w:pPr>
              <w:pStyle w:val="Tabletext"/>
              <w:spacing w:before="0" w:after="0"/>
              <w:rPr>
                <w:lang w:eastAsia="zh-TW"/>
              </w:rPr>
            </w:pPr>
            <w:r w:rsidRPr="008C05AF">
              <w:rPr>
                <w:lang w:eastAsia="zh-TW"/>
              </w:rPr>
              <w:t xml:space="preserve">Exposure (years) </w:t>
            </w:r>
            <w:r w:rsidRPr="008C05AF">
              <w:rPr>
                <w:vertAlign w:val="superscript"/>
                <w:lang w:eastAsia="zh-TW"/>
              </w:rPr>
              <w:t>a</w:t>
            </w:r>
          </w:p>
        </w:tc>
        <w:tc>
          <w:tcPr>
            <w:tcW w:w="1134" w:type="pct"/>
          </w:tcPr>
          <w:p w14:paraId="3CBF0F74" w14:textId="77777777" w:rsidR="00980818" w:rsidRPr="008C05AF" w:rsidRDefault="00980818" w:rsidP="0010250B">
            <w:pPr>
              <w:pStyle w:val="Tabletext"/>
              <w:spacing w:before="0" w:after="0"/>
              <w:jc w:val="center"/>
            </w:pPr>
            <w:r w:rsidRPr="008C05AF">
              <w:t>18</w:t>
            </w:r>
          </w:p>
        </w:tc>
        <w:tc>
          <w:tcPr>
            <w:tcW w:w="849" w:type="pct"/>
          </w:tcPr>
          <w:p w14:paraId="08C0B6C7" w14:textId="77777777" w:rsidR="00980818" w:rsidRPr="008C05AF" w:rsidRDefault="00980818" w:rsidP="0010250B">
            <w:pPr>
              <w:pStyle w:val="Tabletext"/>
              <w:spacing w:before="0" w:after="0"/>
              <w:jc w:val="center"/>
            </w:pPr>
            <w:r w:rsidRPr="008C05AF">
              <w:t>9</w:t>
            </w:r>
          </w:p>
        </w:tc>
        <w:tc>
          <w:tcPr>
            <w:tcW w:w="849" w:type="pct"/>
          </w:tcPr>
          <w:p w14:paraId="64309767" w14:textId="77777777" w:rsidR="00980818" w:rsidRPr="008C05AF" w:rsidRDefault="00980818" w:rsidP="0010250B">
            <w:pPr>
              <w:pStyle w:val="Tabletext"/>
              <w:spacing w:before="0" w:after="0"/>
              <w:jc w:val="center"/>
            </w:pPr>
          </w:p>
        </w:tc>
        <w:tc>
          <w:tcPr>
            <w:tcW w:w="834" w:type="pct"/>
          </w:tcPr>
          <w:p w14:paraId="372D4394" w14:textId="77777777" w:rsidR="00980818" w:rsidRPr="008C05AF" w:rsidRDefault="00980818" w:rsidP="0010250B">
            <w:pPr>
              <w:pStyle w:val="Tabletext"/>
              <w:spacing w:before="0" w:after="0"/>
              <w:jc w:val="center"/>
            </w:pPr>
          </w:p>
        </w:tc>
      </w:tr>
      <w:tr w:rsidR="00980818" w:rsidRPr="008C05AF" w14:paraId="116CEA25" w14:textId="77777777" w:rsidTr="00290FEC">
        <w:tc>
          <w:tcPr>
            <w:tcW w:w="1334" w:type="pct"/>
          </w:tcPr>
          <w:p w14:paraId="6241A4FD" w14:textId="77777777" w:rsidR="00980818" w:rsidRPr="008C05AF" w:rsidRDefault="00980818" w:rsidP="0010250B">
            <w:pPr>
              <w:pStyle w:val="ComTable"/>
              <w:spacing w:before="0" w:after="0"/>
              <w:jc w:val="left"/>
              <w:rPr>
                <w:color w:val="auto"/>
                <w:lang w:eastAsia="zh-TW"/>
              </w:rPr>
            </w:pPr>
            <w:r w:rsidRPr="008C05AF">
              <w:rPr>
                <w:color w:val="auto"/>
                <w:lang w:eastAsia="zh-TW"/>
              </w:rPr>
              <w:t xml:space="preserve">Exposure (years) </w:t>
            </w:r>
            <w:r w:rsidRPr="008C05AF">
              <w:rPr>
                <w:color w:val="auto"/>
                <w:vertAlign w:val="superscript"/>
                <w:lang w:eastAsia="zh-TW"/>
              </w:rPr>
              <w:t>b</w:t>
            </w:r>
          </w:p>
        </w:tc>
        <w:tc>
          <w:tcPr>
            <w:tcW w:w="1134" w:type="pct"/>
          </w:tcPr>
          <w:p w14:paraId="0B6375A6" w14:textId="77777777" w:rsidR="00980818" w:rsidRPr="008C05AF" w:rsidRDefault="00980818" w:rsidP="0010250B">
            <w:pPr>
              <w:pStyle w:val="ComTable"/>
              <w:spacing w:before="0" w:after="0"/>
              <w:jc w:val="center"/>
              <w:rPr>
                <w:color w:val="auto"/>
              </w:rPr>
            </w:pPr>
            <w:r w:rsidRPr="008C05AF">
              <w:rPr>
                <w:color w:val="auto"/>
              </w:rPr>
              <w:t>22.14</w:t>
            </w:r>
          </w:p>
        </w:tc>
        <w:tc>
          <w:tcPr>
            <w:tcW w:w="849" w:type="pct"/>
          </w:tcPr>
          <w:p w14:paraId="01A51ED3" w14:textId="77777777" w:rsidR="00980818" w:rsidRPr="008C05AF" w:rsidRDefault="00980818" w:rsidP="0010250B">
            <w:pPr>
              <w:pStyle w:val="ComTable"/>
              <w:spacing w:before="0" w:after="0"/>
              <w:jc w:val="center"/>
              <w:rPr>
                <w:color w:val="auto"/>
              </w:rPr>
            </w:pPr>
            <w:r w:rsidRPr="008C05AF">
              <w:rPr>
                <w:color w:val="auto"/>
              </w:rPr>
              <w:t>8.17</w:t>
            </w:r>
          </w:p>
        </w:tc>
        <w:tc>
          <w:tcPr>
            <w:tcW w:w="849" w:type="pct"/>
          </w:tcPr>
          <w:p w14:paraId="369C3D00" w14:textId="77777777" w:rsidR="00980818" w:rsidRPr="008C05AF" w:rsidRDefault="00980818" w:rsidP="0010250B">
            <w:pPr>
              <w:pStyle w:val="ComTable"/>
              <w:spacing w:before="0" w:after="0"/>
              <w:jc w:val="center"/>
              <w:rPr>
                <w:color w:val="auto"/>
              </w:rPr>
            </w:pPr>
            <w:r w:rsidRPr="008C05AF">
              <w:rPr>
                <w:color w:val="auto"/>
              </w:rPr>
              <w:t>127 (median)</w:t>
            </w:r>
          </w:p>
        </w:tc>
        <w:tc>
          <w:tcPr>
            <w:tcW w:w="834" w:type="pct"/>
          </w:tcPr>
          <w:p w14:paraId="22DCF342" w14:textId="77777777" w:rsidR="00980818" w:rsidRPr="008C05AF" w:rsidRDefault="00980818" w:rsidP="0010250B">
            <w:pPr>
              <w:pStyle w:val="ComTable"/>
              <w:spacing w:before="0" w:after="0"/>
              <w:jc w:val="center"/>
              <w:rPr>
                <w:color w:val="auto"/>
              </w:rPr>
            </w:pPr>
            <w:r w:rsidRPr="008C05AF">
              <w:rPr>
                <w:color w:val="auto"/>
              </w:rPr>
              <w:t>126 (median)</w:t>
            </w:r>
          </w:p>
        </w:tc>
      </w:tr>
      <w:tr w:rsidR="00980818" w:rsidRPr="008C05AF" w14:paraId="571C19AB" w14:textId="77777777" w:rsidTr="00290FEC">
        <w:tc>
          <w:tcPr>
            <w:tcW w:w="1334" w:type="pct"/>
          </w:tcPr>
          <w:p w14:paraId="1A5F45A4" w14:textId="77777777" w:rsidR="00980818" w:rsidRPr="008C05AF" w:rsidRDefault="00980818" w:rsidP="0010250B">
            <w:pPr>
              <w:pStyle w:val="Tabletext"/>
              <w:spacing w:before="0" w:after="0"/>
              <w:rPr>
                <w:lang w:eastAsia="zh-TW"/>
              </w:rPr>
            </w:pPr>
            <w:r w:rsidRPr="008C05AF">
              <w:rPr>
                <w:lang w:eastAsia="zh-TW"/>
              </w:rPr>
              <w:t>Number of treated bleeds</w:t>
            </w:r>
          </w:p>
        </w:tc>
        <w:tc>
          <w:tcPr>
            <w:tcW w:w="1134" w:type="pct"/>
          </w:tcPr>
          <w:p w14:paraId="53FF60E5" w14:textId="77777777" w:rsidR="00980818" w:rsidRPr="008C05AF" w:rsidRDefault="00980818" w:rsidP="0010250B">
            <w:pPr>
              <w:pStyle w:val="Tabletext"/>
              <w:spacing w:before="0" w:after="0"/>
              <w:jc w:val="center"/>
            </w:pPr>
            <w:r w:rsidRPr="008C05AF">
              <w:t>37</w:t>
            </w:r>
          </w:p>
        </w:tc>
        <w:tc>
          <w:tcPr>
            <w:tcW w:w="849" w:type="pct"/>
          </w:tcPr>
          <w:p w14:paraId="07351380" w14:textId="77777777" w:rsidR="00980818" w:rsidRPr="008C05AF" w:rsidRDefault="00980818" w:rsidP="0010250B">
            <w:pPr>
              <w:pStyle w:val="Tabletext"/>
              <w:spacing w:before="0" w:after="0"/>
              <w:jc w:val="center"/>
            </w:pPr>
            <w:r w:rsidRPr="008C05AF">
              <w:t>369</w:t>
            </w:r>
          </w:p>
        </w:tc>
        <w:tc>
          <w:tcPr>
            <w:tcW w:w="849" w:type="pct"/>
          </w:tcPr>
          <w:p w14:paraId="1A39D4F8" w14:textId="77777777" w:rsidR="00980818" w:rsidRPr="008C05AF" w:rsidRDefault="00980818" w:rsidP="0010250B">
            <w:pPr>
              <w:pStyle w:val="Tabletext"/>
              <w:spacing w:before="0" w:after="0"/>
              <w:jc w:val="center"/>
            </w:pPr>
            <w:r w:rsidRPr="008C05AF">
              <w:t>264</w:t>
            </w:r>
          </w:p>
        </w:tc>
        <w:tc>
          <w:tcPr>
            <w:tcW w:w="834" w:type="pct"/>
          </w:tcPr>
          <w:p w14:paraId="37ABDBCD" w14:textId="77777777" w:rsidR="00980818" w:rsidRPr="008C05AF" w:rsidRDefault="00980818" w:rsidP="0010250B">
            <w:pPr>
              <w:pStyle w:val="Tabletext"/>
              <w:spacing w:before="0" w:after="0"/>
              <w:jc w:val="center"/>
            </w:pPr>
            <w:r w:rsidRPr="008C05AF">
              <w:t>4338</w:t>
            </w:r>
          </w:p>
        </w:tc>
      </w:tr>
      <w:tr w:rsidR="00980818" w:rsidRPr="008C05AF" w14:paraId="7E817365" w14:textId="77777777" w:rsidTr="00290FEC">
        <w:tc>
          <w:tcPr>
            <w:tcW w:w="1334" w:type="pct"/>
          </w:tcPr>
          <w:p w14:paraId="6C1198EC" w14:textId="77777777" w:rsidR="00980818" w:rsidRPr="008C05AF" w:rsidRDefault="00980818" w:rsidP="0010250B">
            <w:pPr>
              <w:pStyle w:val="Tabletext"/>
              <w:spacing w:before="0" w:after="0"/>
              <w:rPr>
                <w:lang w:eastAsia="zh-TW"/>
              </w:rPr>
            </w:pPr>
            <w:r w:rsidRPr="008C05AF">
              <w:rPr>
                <w:lang w:eastAsia="zh-TW"/>
              </w:rPr>
              <w:t>ABR calculated by the SBA</w:t>
            </w:r>
          </w:p>
        </w:tc>
        <w:tc>
          <w:tcPr>
            <w:tcW w:w="1134" w:type="pct"/>
          </w:tcPr>
          <w:p w14:paraId="7A2493D6" w14:textId="77777777" w:rsidR="00980818" w:rsidRPr="008C05AF" w:rsidRDefault="00980818" w:rsidP="0010250B">
            <w:pPr>
              <w:pStyle w:val="Tabletext"/>
              <w:spacing w:before="0" w:after="0"/>
              <w:jc w:val="center"/>
            </w:pPr>
            <w:r w:rsidRPr="008C05AF">
              <w:t>2.06</w:t>
            </w:r>
          </w:p>
        </w:tc>
        <w:tc>
          <w:tcPr>
            <w:tcW w:w="849" w:type="pct"/>
          </w:tcPr>
          <w:p w14:paraId="68486D8E" w14:textId="77777777" w:rsidR="00980818" w:rsidRPr="008C05AF" w:rsidRDefault="00980818" w:rsidP="0010250B">
            <w:pPr>
              <w:pStyle w:val="Tabletext"/>
              <w:spacing w:before="0" w:after="0"/>
              <w:jc w:val="center"/>
            </w:pPr>
            <w:r w:rsidRPr="008C05AF">
              <w:t>41.0</w:t>
            </w:r>
          </w:p>
        </w:tc>
        <w:tc>
          <w:tcPr>
            <w:tcW w:w="849" w:type="pct"/>
          </w:tcPr>
          <w:p w14:paraId="3D9FC152" w14:textId="77777777" w:rsidR="00980818" w:rsidRPr="008C05AF" w:rsidRDefault="00980818" w:rsidP="0010250B">
            <w:pPr>
              <w:pStyle w:val="Tabletext"/>
              <w:spacing w:before="0" w:after="0"/>
              <w:jc w:val="center"/>
            </w:pPr>
            <w:r w:rsidRPr="008C05AF">
              <w:t>2.1</w:t>
            </w:r>
          </w:p>
        </w:tc>
        <w:tc>
          <w:tcPr>
            <w:tcW w:w="834" w:type="pct"/>
          </w:tcPr>
          <w:p w14:paraId="34C82D5F" w14:textId="77777777" w:rsidR="00980818" w:rsidRPr="008C05AF" w:rsidRDefault="00980818" w:rsidP="0010250B">
            <w:pPr>
              <w:pStyle w:val="Tabletext"/>
              <w:spacing w:before="0" w:after="0"/>
              <w:jc w:val="center"/>
            </w:pPr>
            <w:r w:rsidRPr="008C05AF">
              <w:t>34.4</w:t>
            </w:r>
          </w:p>
        </w:tc>
      </w:tr>
      <w:tr w:rsidR="00980818" w:rsidRPr="008C05AF" w14:paraId="39129060" w14:textId="77777777" w:rsidTr="00290FEC">
        <w:tc>
          <w:tcPr>
            <w:tcW w:w="1334" w:type="pct"/>
          </w:tcPr>
          <w:p w14:paraId="4734DA62" w14:textId="77777777" w:rsidR="00980818" w:rsidRPr="008C05AF" w:rsidRDefault="00980818" w:rsidP="0010250B">
            <w:pPr>
              <w:pStyle w:val="ComTable"/>
              <w:spacing w:before="0" w:after="0"/>
              <w:jc w:val="left"/>
              <w:rPr>
                <w:color w:val="auto"/>
                <w:lang w:eastAsia="zh-TW"/>
              </w:rPr>
            </w:pPr>
            <w:r w:rsidRPr="008C05AF">
              <w:rPr>
                <w:color w:val="auto"/>
                <w:lang w:eastAsia="zh-TW"/>
              </w:rPr>
              <w:t>ABR reported by the trial</w:t>
            </w:r>
          </w:p>
        </w:tc>
        <w:tc>
          <w:tcPr>
            <w:tcW w:w="1134" w:type="pct"/>
          </w:tcPr>
          <w:p w14:paraId="51AAC2A2" w14:textId="77777777" w:rsidR="00980818" w:rsidRPr="008C05AF" w:rsidRDefault="00980818" w:rsidP="0010250B">
            <w:pPr>
              <w:pStyle w:val="ComTable"/>
              <w:spacing w:before="0" w:after="0"/>
              <w:jc w:val="center"/>
              <w:rPr>
                <w:color w:val="auto"/>
              </w:rPr>
            </w:pPr>
            <w:r w:rsidRPr="008C05AF">
              <w:rPr>
                <w:color w:val="auto"/>
              </w:rPr>
              <w:t>1.5</w:t>
            </w:r>
          </w:p>
        </w:tc>
        <w:tc>
          <w:tcPr>
            <w:tcW w:w="849" w:type="pct"/>
          </w:tcPr>
          <w:p w14:paraId="1EF9A34F" w14:textId="77777777" w:rsidR="00980818" w:rsidRPr="008C05AF" w:rsidRDefault="00980818" w:rsidP="0010250B">
            <w:pPr>
              <w:pStyle w:val="ComTable"/>
              <w:spacing w:before="0" w:after="0"/>
              <w:jc w:val="center"/>
              <w:rPr>
                <w:color w:val="auto"/>
              </w:rPr>
            </w:pPr>
            <w:r w:rsidRPr="008C05AF">
              <w:rPr>
                <w:color w:val="auto"/>
              </w:rPr>
              <w:t>38.2</w:t>
            </w:r>
          </w:p>
        </w:tc>
        <w:tc>
          <w:tcPr>
            <w:tcW w:w="849" w:type="pct"/>
          </w:tcPr>
          <w:p w14:paraId="69FADB19" w14:textId="77777777" w:rsidR="00980818" w:rsidRPr="008C05AF" w:rsidRDefault="00980818" w:rsidP="0010250B">
            <w:pPr>
              <w:pStyle w:val="ComTable"/>
              <w:spacing w:before="0" w:after="0"/>
              <w:jc w:val="center"/>
              <w:rPr>
                <w:color w:val="auto"/>
              </w:rPr>
            </w:pPr>
            <w:r w:rsidRPr="008C05AF">
              <w:rPr>
                <w:color w:val="auto"/>
              </w:rPr>
              <w:t>0.7</w:t>
            </w:r>
          </w:p>
        </w:tc>
        <w:tc>
          <w:tcPr>
            <w:tcW w:w="834" w:type="pct"/>
          </w:tcPr>
          <w:p w14:paraId="57B44046" w14:textId="77777777" w:rsidR="00980818" w:rsidRPr="008C05AF" w:rsidRDefault="00980818" w:rsidP="0010250B">
            <w:pPr>
              <w:pStyle w:val="ComTable"/>
              <w:spacing w:before="0" w:after="0"/>
              <w:jc w:val="center"/>
              <w:rPr>
                <w:color w:val="auto"/>
              </w:rPr>
            </w:pPr>
            <w:r w:rsidRPr="008C05AF">
              <w:rPr>
                <w:color w:val="auto"/>
              </w:rPr>
              <w:t>37.4</w:t>
            </w:r>
          </w:p>
        </w:tc>
      </w:tr>
      <w:tr w:rsidR="00980818" w:rsidRPr="008C05AF" w14:paraId="30EFCFC6" w14:textId="77777777" w:rsidTr="00290FEC">
        <w:tc>
          <w:tcPr>
            <w:tcW w:w="1334" w:type="pct"/>
          </w:tcPr>
          <w:p w14:paraId="18398FA4" w14:textId="132F7294" w:rsidR="00980818" w:rsidRPr="008C05AF" w:rsidRDefault="00980818" w:rsidP="0010250B">
            <w:pPr>
              <w:pStyle w:val="ComTable"/>
              <w:spacing w:before="0" w:after="0"/>
              <w:jc w:val="left"/>
              <w:rPr>
                <w:i w:val="0"/>
                <w:color w:val="auto"/>
                <w:lang w:eastAsia="zh-TW"/>
              </w:rPr>
            </w:pPr>
            <w:r w:rsidRPr="008C05AF">
              <w:rPr>
                <w:i w:val="0"/>
                <w:color w:val="auto"/>
                <w:lang w:eastAsia="zh-TW"/>
              </w:rPr>
              <w:t>Log rate ratio (on-demand /</w:t>
            </w:r>
            <w:r w:rsidR="00A24252" w:rsidRPr="008C05AF">
              <w:rPr>
                <w:i w:val="0"/>
                <w:color w:val="auto"/>
                <w:lang w:eastAsia="zh-TW"/>
              </w:rPr>
              <w:t xml:space="preserve"> </w:t>
            </w:r>
            <w:r w:rsidRPr="008C05AF">
              <w:rPr>
                <w:i w:val="0"/>
                <w:color w:val="auto"/>
                <w:lang w:eastAsia="zh-TW"/>
              </w:rPr>
              <w:t>prophylaxis) (calculated by the SBA)</w:t>
            </w:r>
          </w:p>
        </w:tc>
        <w:tc>
          <w:tcPr>
            <w:tcW w:w="1134" w:type="pct"/>
          </w:tcPr>
          <w:p w14:paraId="7348351B" w14:textId="77777777" w:rsidR="00980818" w:rsidRPr="008C05AF" w:rsidRDefault="00980818" w:rsidP="0010250B">
            <w:pPr>
              <w:pStyle w:val="Tabletext"/>
              <w:spacing w:before="0" w:after="0"/>
              <w:jc w:val="center"/>
            </w:pPr>
            <w:r w:rsidRPr="008C05AF">
              <w:t>-0.19</w:t>
            </w:r>
          </w:p>
        </w:tc>
        <w:tc>
          <w:tcPr>
            <w:tcW w:w="849" w:type="pct"/>
          </w:tcPr>
          <w:p w14:paraId="342A454B" w14:textId="77777777" w:rsidR="00980818" w:rsidRPr="008C05AF" w:rsidRDefault="00980818" w:rsidP="0010250B">
            <w:pPr>
              <w:pStyle w:val="Tabletext"/>
              <w:spacing w:before="0" w:after="0"/>
              <w:jc w:val="center"/>
            </w:pPr>
          </w:p>
        </w:tc>
        <w:tc>
          <w:tcPr>
            <w:tcW w:w="849" w:type="pct"/>
          </w:tcPr>
          <w:p w14:paraId="54B12B15" w14:textId="77777777" w:rsidR="00980818" w:rsidRPr="008C05AF" w:rsidRDefault="00980818" w:rsidP="0010250B">
            <w:pPr>
              <w:pStyle w:val="Tabletext"/>
              <w:spacing w:before="0" w:after="0"/>
              <w:jc w:val="center"/>
            </w:pPr>
          </w:p>
        </w:tc>
        <w:tc>
          <w:tcPr>
            <w:tcW w:w="834" w:type="pct"/>
          </w:tcPr>
          <w:p w14:paraId="2BCEA07E" w14:textId="77777777" w:rsidR="00980818" w:rsidRPr="008C05AF" w:rsidRDefault="00980818" w:rsidP="0010250B">
            <w:pPr>
              <w:pStyle w:val="Tabletext"/>
              <w:spacing w:before="0" w:after="0"/>
              <w:jc w:val="center"/>
            </w:pPr>
          </w:p>
        </w:tc>
      </w:tr>
      <w:tr w:rsidR="00980818" w:rsidRPr="008C05AF" w14:paraId="16BDC274" w14:textId="77777777" w:rsidTr="00290FEC">
        <w:tc>
          <w:tcPr>
            <w:tcW w:w="1334" w:type="pct"/>
          </w:tcPr>
          <w:p w14:paraId="7B02BC23" w14:textId="27CDB59D" w:rsidR="00980818" w:rsidRPr="008C05AF" w:rsidRDefault="00980818" w:rsidP="0010250B">
            <w:pPr>
              <w:pStyle w:val="ComTable"/>
              <w:spacing w:before="0" w:after="0"/>
              <w:jc w:val="left"/>
              <w:rPr>
                <w:color w:val="auto"/>
                <w:lang w:eastAsia="zh-TW"/>
              </w:rPr>
            </w:pPr>
            <w:r w:rsidRPr="008C05AF">
              <w:rPr>
                <w:color w:val="auto"/>
                <w:lang w:eastAsia="zh-TW"/>
              </w:rPr>
              <w:t>Log rate ratio (on-demand /</w:t>
            </w:r>
            <w:r w:rsidR="00A24252" w:rsidRPr="008C05AF">
              <w:rPr>
                <w:color w:val="auto"/>
                <w:lang w:eastAsia="zh-TW"/>
              </w:rPr>
              <w:t xml:space="preserve"> </w:t>
            </w:r>
            <w:r w:rsidRPr="008C05AF">
              <w:rPr>
                <w:color w:val="auto"/>
                <w:lang w:eastAsia="zh-TW"/>
              </w:rPr>
              <w:t xml:space="preserve">prophylaxis) </w:t>
            </w:r>
            <w:r w:rsidRPr="008C05AF">
              <w:rPr>
                <w:color w:val="auto"/>
                <w:vertAlign w:val="superscript"/>
                <w:lang w:eastAsia="zh-TW"/>
              </w:rPr>
              <w:t>b</w:t>
            </w:r>
          </w:p>
        </w:tc>
        <w:tc>
          <w:tcPr>
            <w:tcW w:w="1134" w:type="pct"/>
          </w:tcPr>
          <w:p w14:paraId="32F8896B" w14:textId="77777777" w:rsidR="00980818" w:rsidRPr="008C05AF" w:rsidRDefault="00980818" w:rsidP="0010250B">
            <w:pPr>
              <w:pStyle w:val="ComTable"/>
              <w:spacing w:before="0" w:after="0"/>
              <w:jc w:val="center"/>
              <w:rPr>
                <w:color w:val="auto"/>
              </w:rPr>
            </w:pPr>
            <w:r w:rsidRPr="008C05AF">
              <w:rPr>
                <w:color w:val="auto"/>
              </w:rPr>
              <w:t>-0.49 (using rate ratios reported by each trial)</w:t>
            </w:r>
          </w:p>
        </w:tc>
        <w:tc>
          <w:tcPr>
            <w:tcW w:w="849" w:type="pct"/>
          </w:tcPr>
          <w:p w14:paraId="03BCADB5" w14:textId="77777777" w:rsidR="00980818" w:rsidRPr="008C05AF" w:rsidRDefault="00980818" w:rsidP="0010250B">
            <w:pPr>
              <w:pStyle w:val="ComTable"/>
              <w:spacing w:before="0" w:after="0"/>
              <w:rPr>
                <w:color w:val="auto"/>
              </w:rPr>
            </w:pPr>
          </w:p>
        </w:tc>
        <w:tc>
          <w:tcPr>
            <w:tcW w:w="849" w:type="pct"/>
          </w:tcPr>
          <w:p w14:paraId="7860B871" w14:textId="77777777" w:rsidR="00980818" w:rsidRPr="008C05AF" w:rsidRDefault="00980818" w:rsidP="0010250B">
            <w:pPr>
              <w:pStyle w:val="ComTable"/>
              <w:spacing w:before="0" w:after="0"/>
              <w:rPr>
                <w:color w:val="auto"/>
              </w:rPr>
            </w:pPr>
          </w:p>
        </w:tc>
        <w:tc>
          <w:tcPr>
            <w:tcW w:w="834" w:type="pct"/>
          </w:tcPr>
          <w:p w14:paraId="3190B007" w14:textId="77777777" w:rsidR="00980818" w:rsidRPr="008C05AF" w:rsidRDefault="00980818" w:rsidP="0010250B">
            <w:pPr>
              <w:pStyle w:val="ComTable"/>
              <w:spacing w:before="0" w:after="0"/>
              <w:rPr>
                <w:color w:val="auto"/>
              </w:rPr>
            </w:pPr>
          </w:p>
        </w:tc>
      </w:tr>
      <w:tr w:rsidR="00980818" w:rsidRPr="008C05AF" w14:paraId="37E9CE9A" w14:textId="77777777" w:rsidTr="00290FEC">
        <w:tc>
          <w:tcPr>
            <w:tcW w:w="1334" w:type="pct"/>
          </w:tcPr>
          <w:p w14:paraId="08D9A1AE" w14:textId="77777777" w:rsidR="00980818" w:rsidRPr="008C05AF" w:rsidRDefault="00980818" w:rsidP="0010250B">
            <w:pPr>
              <w:pStyle w:val="ComTable"/>
              <w:spacing w:before="0" w:after="0"/>
              <w:jc w:val="left"/>
              <w:rPr>
                <w:i w:val="0"/>
                <w:color w:val="auto"/>
                <w:lang w:eastAsia="zh-TW"/>
              </w:rPr>
            </w:pPr>
            <w:r w:rsidRPr="008C05AF">
              <w:rPr>
                <w:i w:val="0"/>
                <w:color w:val="auto"/>
                <w:lang w:eastAsia="zh-TW"/>
              </w:rPr>
              <w:t>Indirect treatment effect (emicizumab prophylaxis versus FVIII prophylaxis) (calculated by the SBA)</w:t>
            </w:r>
          </w:p>
        </w:tc>
        <w:tc>
          <w:tcPr>
            <w:tcW w:w="1134" w:type="pct"/>
          </w:tcPr>
          <w:p w14:paraId="201C32E8" w14:textId="77777777" w:rsidR="00980818" w:rsidRPr="008C05AF" w:rsidRDefault="00980818" w:rsidP="0010250B">
            <w:pPr>
              <w:pStyle w:val="Tabletext"/>
              <w:spacing w:before="0" w:after="0"/>
              <w:jc w:val="center"/>
            </w:pPr>
            <w:r w:rsidRPr="008C05AF">
              <w:t>0.83</w:t>
            </w:r>
          </w:p>
        </w:tc>
        <w:tc>
          <w:tcPr>
            <w:tcW w:w="849" w:type="pct"/>
          </w:tcPr>
          <w:p w14:paraId="74D9A593" w14:textId="77777777" w:rsidR="00980818" w:rsidRPr="008C05AF" w:rsidRDefault="00980818" w:rsidP="0010250B">
            <w:pPr>
              <w:pStyle w:val="Tabletext"/>
              <w:spacing w:before="0" w:after="0"/>
              <w:jc w:val="center"/>
            </w:pPr>
          </w:p>
        </w:tc>
        <w:tc>
          <w:tcPr>
            <w:tcW w:w="849" w:type="pct"/>
          </w:tcPr>
          <w:p w14:paraId="5CB1FA8D" w14:textId="77777777" w:rsidR="00980818" w:rsidRPr="008C05AF" w:rsidRDefault="00980818" w:rsidP="0010250B">
            <w:pPr>
              <w:pStyle w:val="Tabletext"/>
              <w:spacing w:before="0" w:after="0"/>
              <w:jc w:val="center"/>
            </w:pPr>
          </w:p>
        </w:tc>
        <w:tc>
          <w:tcPr>
            <w:tcW w:w="834" w:type="pct"/>
          </w:tcPr>
          <w:p w14:paraId="32E5E0B2" w14:textId="77777777" w:rsidR="00980818" w:rsidRPr="008C05AF" w:rsidRDefault="00980818" w:rsidP="0010250B">
            <w:pPr>
              <w:pStyle w:val="Tabletext"/>
              <w:spacing w:before="0" w:after="0"/>
              <w:jc w:val="center"/>
            </w:pPr>
          </w:p>
        </w:tc>
      </w:tr>
      <w:tr w:rsidR="00980818" w:rsidRPr="008C05AF" w14:paraId="5CD625C2" w14:textId="77777777" w:rsidTr="00290FEC">
        <w:tc>
          <w:tcPr>
            <w:tcW w:w="1334" w:type="pct"/>
          </w:tcPr>
          <w:p w14:paraId="1FA7BDCB" w14:textId="77777777" w:rsidR="00980818" w:rsidRPr="008C05AF" w:rsidRDefault="00980818" w:rsidP="0010250B">
            <w:pPr>
              <w:pStyle w:val="ComTable"/>
              <w:spacing w:before="0" w:after="0"/>
              <w:jc w:val="left"/>
              <w:rPr>
                <w:color w:val="auto"/>
                <w:lang w:eastAsia="zh-TW"/>
              </w:rPr>
            </w:pPr>
            <w:r w:rsidRPr="008C05AF">
              <w:rPr>
                <w:color w:val="auto"/>
                <w:lang w:eastAsia="zh-TW"/>
              </w:rPr>
              <w:t xml:space="preserve">Indirect treatment effect (emicizumab prophylaxis versus FVIII prophylaxis) </w:t>
            </w:r>
            <w:r w:rsidRPr="008C05AF">
              <w:rPr>
                <w:color w:val="auto"/>
                <w:vertAlign w:val="superscript"/>
                <w:lang w:eastAsia="zh-TW"/>
              </w:rPr>
              <w:t>b</w:t>
            </w:r>
          </w:p>
        </w:tc>
        <w:tc>
          <w:tcPr>
            <w:tcW w:w="1134" w:type="pct"/>
          </w:tcPr>
          <w:p w14:paraId="0128D20B" w14:textId="77777777" w:rsidR="00980818" w:rsidRPr="008C05AF" w:rsidRDefault="00980818" w:rsidP="0010250B">
            <w:pPr>
              <w:pStyle w:val="ComTable"/>
              <w:spacing w:before="0" w:after="0"/>
              <w:jc w:val="center"/>
              <w:rPr>
                <w:color w:val="auto"/>
              </w:rPr>
            </w:pPr>
            <w:r w:rsidRPr="008C05AF">
              <w:rPr>
                <w:color w:val="auto"/>
              </w:rPr>
              <w:t>0.61</w:t>
            </w:r>
          </w:p>
        </w:tc>
        <w:tc>
          <w:tcPr>
            <w:tcW w:w="849" w:type="pct"/>
          </w:tcPr>
          <w:p w14:paraId="160E9371" w14:textId="77777777" w:rsidR="00980818" w:rsidRPr="008C05AF" w:rsidRDefault="00980818" w:rsidP="0010250B">
            <w:pPr>
              <w:pStyle w:val="ComTable"/>
              <w:spacing w:before="0" w:after="0"/>
              <w:rPr>
                <w:color w:val="auto"/>
              </w:rPr>
            </w:pPr>
          </w:p>
        </w:tc>
        <w:tc>
          <w:tcPr>
            <w:tcW w:w="849" w:type="pct"/>
          </w:tcPr>
          <w:p w14:paraId="483B064E" w14:textId="77777777" w:rsidR="00980818" w:rsidRPr="008C05AF" w:rsidRDefault="00980818" w:rsidP="0010250B">
            <w:pPr>
              <w:pStyle w:val="ComTable"/>
              <w:spacing w:before="0" w:after="0"/>
              <w:rPr>
                <w:color w:val="auto"/>
              </w:rPr>
            </w:pPr>
          </w:p>
        </w:tc>
        <w:tc>
          <w:tcPr>
            <w:tcW w:w="834" w:type="pct"/>
          </w:tcPr>
          <w:p w14:paraId="1B6DC2C8" w14:textId="77777777" w:rsidR="00980818" w:rsidRPr="008C05AF" w:rsidRDefault="00980818" w:rsidP="0010250B">
            <w:pPr>
              <w:pStyle w:val="ComTable"/>
              <w:spacing w:before="0" w:after="0"/>
              <w:rPr>
                <w:color w:val="auto"/>
              </w:rPr>
            </w:pPr>
          </w:p>
        </w:tc>
      </w:tr>
    </w:tbl>
    <w:p w14:paraId="1E7358AC" w14:textId="77777777" w:rsidR="00980818" w:rsidRPr="008C05AF" w:rsidRDefault="00980818" w:rsidP="00BC72A9">
      <w:pPr>
        <w:pStyle w:val="Tablenotes0"/>
      </w:pPr>
      <w:r w:rsidRPr="008C05AF">
        <w:rPr>
          <w:b/>
        </w:rPr>
        <w:t>Source</w:t>
      </w:r>
      <w:r w:rsidRPr="008C05AF">
        <w:t>: Submission and SPINART published data</w:t>
      </w:r>
    </w:p>
    <w:p w14:paraId="4A1D861E" w14:textId="77777777" w:rsidR="00980818" w:rsidRPr="008C05AF" w:rsidRDefault="00980818" w:rsidP="00BC72A9">
      <w:pPr>
        <w:pStyle w:val="Tablenotes0"/>
      </w:pPr>
      <w:r w:rsidRPr="008C05AF">
        <w:rPr>
          <w:b/>
        </w:rPr>
        <w:t>Abbreviation</w:t>
      </w:r>
      <w:r w:rsidRPr="008C05AF">
        <w:t>: ABR = annualised bleeding rate; FVIII = factor VIII; SBA = submission-based assessment</w:t>
      </w:r>
    </w:p>
    <w:p w14:paraId="789CE99C" w14:textId="2943A469" w:rsidR="00980818" w:rsidRDefault="00980818" w:rsidP="00BC72A9">
      <w:pPr>
        <w:pStyle w:val="Tablenotes0"/>
      </w:pPr>
      <w:r w:rsidRPr="008C05AF">
        <w:rPr>
          <w:b/>
        </w:rPr>
        <w:t>Note</w:t>
      </w:r>
      <w:r w:rsidRPr="008C05AF">
        <w:t xml:space="preserve">: a = used by the Submission; </w:t>
      </w:r>
      <w:r w:rsidRPr="008C05AF">
        <w:rPr>
          <w:i/>
        </w:rPr>
        <w:t>b = calculated by the Critique</w:t>
      </w:r>
    </w:p>
    <w:p w14:paraId="3BFAA0DE" w14:textId="4F4102E6" w:rsidR="00054E4D" w:rsidRPr="00054E4D" w:rsidRDefault="00980818" w:rsidP="00BC72A9">
      <w:pPr>
        <w:spacing w:after="240"/>
      </w:pPr>
      <w:r>
        <w:t>However, the Critique stated that the point estimate of the rate ratio of treated bleeds ABRs is uncertain due to the number of sensitivity analyses showing the effect size to be variable. In addition, the Critique highlighted that the indirect trial comparison is limited due to uncertainty in the exchangeability of the trial populations, variability in study design and quality, and the use of different outcome measures.</w:t>
      </w:r>
    </w:p>
    <w:p w14:paraId="18FA4B74" w14:textId="4D2534D8" w:rsidR="00F37B9C" w:rsidRDefault="00F37B9C" w:rsidP="00E604CD">
      <w:pPr>
        <w:tabs>
          <w:tab w:val="left" w:pos="720"/>
          <w:tab w:val="left" w:pos="1140"/>
        </w:tabs>
        <w:spacing w:after="120"/>
        <w:rPr>
          <w:b/>
          <w:szCs w:val="24"/>
        </w:rPr>
      </w:pPr>
      <w:r w:rsidRPr="00F37B9C">
        <w:rPr>
          <w:b/>
          <w:szCs w:val="24"/>
        </w:rPr>
        <w:t xml:space="preserve">Clinical </w:t>
      </w:r>
      <w:r w:rsidR="00A24252" w:rsidRPr="00F37B9C">
        <w:rPr>
          <w:b/>
          <w:szCs w:val="24"/>
        </w:rPr>
        <w:t>c</w:t>
      </w:r>
      <w:r w:rsidRPr="00F37B9C">
        <w:rPr>
          <w:b/>
          <w:szCs w:val="24"/>
        </w:rPr>
        <w:t>laim</w:t>
      </w:r>
    </w:p>
    <w:p w14:paraId="552D5CB5" w14:textId="77777777" w:rsidR="00980818" w:rsidRPr="00054E4D" w:rsidRDefault="00980818" w:rsidP="00054E4D">
      <w:pPr>
        <w:tabs>
          <w:tab w:val="left" w:pos="720"/>
          <w:tab w:val="left" w:pos="1140"/>
        </w:tabs>
        <w:spacing w:after="240"/>
      </w:pPr>
      <w:r>
        <w:t>The clinical claim is that “</w:t>
      </w:r>
      <w:r w:rsidRPr="00914E98">
        <w:t xml:space="preserve">Prophylaxis with </w:t>
      </w:r>
      <w:r>
        <w:t>subcutaneous</w:t>
      </w:r>
      <w:r w:rsidRPr="00914E98">
        <w:t xml:space="preserve"> </w:t>
      </w:r>
      <w:r>
        <w:t>emicizumab</w:t>
      </w:r>
      <w:r w:rsidRPr="00914E98">
        <w:t xml:space="preserve"> is associated with superior health outcomes for HMA patients without </w:t>
      </w:r>
      <w:r>
        <w:t xml:space="preserve">FVIII </w:t>
      </w:r>
      <w:r w:rsidRPr="00914E98">
        <w:t xml:space="preserve">inhibitors through improved efficacy (reduction in bleeds), improved convenience and acceptable safety in comparison to </w:t>
      </w:r>
      <w:r w:rsidRPr="00914E98">
        <w:lastRenderedPageBreak/>
        <w:t xml:space="preserve">treatment with the SHL </w:t>
      </w:r>
      <w:r>
        <w:t xml:space="preserve">FVIII </w:t>
      </w:r>
      <w:r w:rsidRPr="00914E98">
        <w:t>agents (ADVATE, BIOSTATE, XYNTHA) administered as prophylaxis.</w:t>
      </w:r>
      <w:r>
        <w:t xml:space="preserve">” The Critique highlighted </w:t>
      </w:r>
      <w:r w:rsidR="00054E4D">
        <w:t>the issue that the clinical claim d</w:t>
      </w:r>
      <w:r w:rsidR="00054E4D" w:rsidRPr="00054E4D">
        <w:rPr>
          <w:szCs w:val="24"/>
        </w:rPr>
        <w:t>id</w:t>
      </w:r>
      <w:r w:rsidRPr="00054E4D">
        <w:rPr>
          <w:szCs w:val="24"/>
        </w:rPr>
        <w:t xml:space="preserve"> not consider emicizu</w:t>
      </w:r>
      <w:r w:rsidR="00054E4D">
        <w:rPr>
          <w:szCs w:val="24"/>
        </w:rPr>
        <w:t>mab relative to on-demand FVIII.</w:t>
      </w:r>
    </w:p>
    <w:p w14:paraId="484A751A" w14:textId="77777777" w:rsidR="00BC1364" w:rsidRPr="00F715D1" w:rsidRDefault="00BC1364" w:rsidP="00F715D1">
      <w:pPr>
        <w:pStyle w:val="Heading1"/>
      </w:pPr>
      <w:r w:rsidRPr="00F715D1">
        <w:t>Economic evaluation</w:t>
      </w:r>
    </w:p>
    <w:p w14:paraId="74972895" w14:textId="04CF9FFE" w:rsidR="00054E4D" w:rsidRPr="00BC72A9" w:rsidRDefault="00054E4D" w:rsidP="00BC72A9">
      <w:pPr>
        <w:tabs>
          <w:tab w:val="left" w:pos="720"/>
        </w:tabs>
        <w:spacing w:after="240"/>
      </w:pPr>
      <w:r w:rsidRPr="008363EE">
        <w:t>The submission stated that</w:t>
      </w:r>
      <w:r>
        <w:t>,</w:t>
      </w:r>
      <w:r>
        <w:rPr>
          <w:color w:val="0066FF"/>
          <w:szCs w:val="24"/>
        </w:rPr>
        <w:t xml:space="preserve"> </w:t>
      </w:r>
      <w:r>
        <w:t xml:space="preserve">given that the clinical assessment does not warrant a claim of survival benefit or a significant incremental gain of quality of life versus treatment with FVIII prophylaxis, a cost-consequences analysis (CCA) was provided comparing prophylaxis with emicizumab and prophylaxis with FVIII </w:t>
      </w:r>
      <w:r w:rsidRPr="00FF298A">
        <w:t xml:space="preserve">in patients with severe </w:t>
      </w:r>
      <w:r w:rsidR="00DF2F71">
        <w:t xml:space="preserve">and moderate </w:t>
      </w:r>
      <w:r w:rsidRPr="00FF298A">
        <w:t>HMA</w:t>
      </w:r>
      <w:r>
        <w:t xml:space="preserve"> </w:t>
      </w:r>
      <w:r w:rsidR="00DF2F71">
        <w:t xml:space="preserve">without inhibitors </w:t>
      </w:r>
      <w:r>
        <w:t xml:space="preserve">(Table </w:t>
      </w:r>
      <w:r w:rsidR="00A24252">
        <w:t>7</w:t>
      </w:r>
      <w:r>
        <w:t>).</w:t>
      </w:r>
    </w:p>
    <w:p w14:paraId="65FCD18A" w14:textId="154E72C5" w:rsidR="00054E4D" w:rsidRPr="00FF298A" w:rsidRDefault="00054E4D" w:rsidP="00054E4D">
      <w:pPr>
        <w:pStyle w:val="TableHeader1"/>
      </w:pPr>
      <w:bookmarkStart w:id="11" w:name="_Ref5200531"/>
      <w:bookmarkStart w:id="12" w:name="_Toc481054993"/>
      <w:bookmarkStart w:id="13" w:name="_Toc481145152"/>
      <w:bookmarkStart w:id="14" w:name="_Toc6667036"/>
      <w:r>
        <w:t xml:space="preserve">Table </w:t>
      </w:r>
      <w:bookmarkEnd w:id="11"/>
      <w:r w:rsidR="00A24252">
        <w:t>7</w:t>
      </w:r>
      <w:r>
        <w:tab/>
      </w:r>
      <w:r w:rsidRPr="00FF298A">
        <w:t>Element</w:t>
      </w:r>
      <w:r>
        <w:t>s</w:t>
      </w:r>
      <w:r w:rsidRPr="00FF298A">
        <w:t xml:space="preserve"> of the economic model included in the evaluation</w:t>
      </w:r>
      <w:bookmarkEnd w:id="12"/>
      <w:bookmarkEnd w:id="13"/>
      <w:bookmarkEnd w:id="14"/>
    </w:p>
    <w:tbl>
      <w:tblPr>
        <w:tblStyle w:val="TableGrid4"/>
        <w:tblW w:w="5000" w:type="pct"/>
        <w:tblLook w:val="01E0" w:firstRow="1" w:lastRow="1" w:firstColumn="1" w:lastColumn="1" w:noHBand="0" w:noVBand="0"/>
        <w:tblCaption w:val="Elements of the economic model included in the evaluation"/>
        <w:tblDescription w:val="Describes the information used in the submission for economic analysis"/>
      </w:tblPr>
      <w:tblGrid>
        <w:gridCol w:w="2779"/>
        <w:gridCol w:w="6237"/>
      </w:tblGrid>
      <w:tr w:rsidR="00054E4D" w:rsidRPr="000E38A6" w14:paraId="09A83DF5" w14:textId="77777777" w:rsidTr="00290FEC">
        <w:trPr>
          <w:trHeight w:val="20"/>
          <w:tblHeader/>
        </w:trPr>
        <w:tc>
          <w:tcPr>
            <w:tcW w:w="1541" w:type="pct"/>
            <w:tcBorders>
              <w:top w:val="single" w:sz="4" w:space="0" w:color="auto"/>
              <w:left w:val="single" w:sz="4" w:space="0" w:color="auto"/>
              <w:bottom w:val="single" w:sz="4" w:space="0" w:color="auto"/>
              <w:right w:val="single" w:sz="4" w:space="0" w:color="auto"/>
            </w:tcBorders>
          </w:tcPr>
          <w:p w14:paraId="2EFF8D40" w14:textId="77777777" w:rsidR="00054E4D" w:rsidRPr="000E38A6" w:rsidRDefault="00054E4D" w:rsidP="00290FEC">
            <w:pPr>
              <w:keepNext/>
              <w:spacing w:after="0"/>
              <w:ind w:left="-120"/>
              <w:rPr>
                <w:rFonts w:ascii="Arial Narrow" w:eastAsia="SimSun" w:hAnsi="Arial Narrow"/>
                <w:position w:val="-6"/>
                <w:sz w:val="20"/>
                <w:lang w:eastAsia="zh-CN"/>
              </w:rPr>
            </w:pPr>
            <w:r w:rsidRPr="000E38A6">
              <w:rPr>
                <w:rFonts w:ascii="Arial Narrow" w:hAnsi="Arial Narrow"/>
                <w:b/>
                <w:position w:val="-6"/>
                <w:sz w:val="20"/>
                <w:lang w:eastAsia="zh-CN"/>
              </w:rPr>
              <w:t>Element of economic evaluation</w:t>
            </w:r>
          </w:p>
        </w:tc>
        <w:tc>
          <w:tcPr>
            <w:tcW w:w="3459" w:type="pct"/>
            <w:tcBorders>
              <w:top w:val="single" w:sz="4" w:space="0" w:color="auto"/>
              <w:left w:val="single" w:sz="4" w:space="0" w:color="auto"/>
              <w:bottom w:val="single" w:sz="4" w:space="0" w:color="auto"/>
              <w:right w:val="single" w:sz="4" w:space="0" w:color="auto"/>
            </w:tcBorders>
          </w:tcPr>
          <w:p w14:paraId="1CDA9C3B" w14:textId="77777777" w:rsidR="00054E4D" w:rsidRPr="000E38A6" w:rsidRDefault="00054E4D" w:rsidP="00290FEC">
            <w:pPr>
              <w:keepNext/>
              <w:spacing w:after="0"/>
              <w:ind w:left="-59"/>
              <w:rPr>
                <w:rFonts w:ascii="Arial Narrow" w:eastAsia="SimSun" w:hAnsi="Arial Narrow"/>
                <w:position w:val="-6"/>
                <w:sz w:val="20"/>
                <w:lang w:eastAsia="zh-CN"/>
              </w:rPr>
            </w:pPr>
            <w:r w:rsidRPr="000E38A6">
              <w:rPr>
                <w:rFonts w:ascii="Arial Narrow" w:hAnsi="Arial Narrow"/>
                <w:b/>
                <w:position w:val="-6"/>
                <w:sz w:val="20"/>
                <w:lang w:eastAsia="zh-CN"/>
              </w:rPr>
              <w:t>MSAC’s preference for the base-case scenario</w:t>
            </w:r>
          </w:p>
        </w:tc>
      </w:tr>
      <w:tr w:rsidR="00054E4D" w:rsidRPr="000E38A6" w14:paraId="556CC936" w14:textId="77777777" w:rsidTr="00054E4D">
        <w:trPr>
          <w:trHeight w:val="20"/>
        </w:trPr>
        <w:tc>
          <w:tcPr>
            <w:tcW w:w="1541" w:type="pct"/>
            <w:tcBorders>
              <w:top w:val="single" w:sz="4" w:space="0" w:color="auto"/>
              <w:left w:val="single" w:sz="4" w:space="0" w:color="auto"/>
              <w:bottom w:val="single" w:sz="4" w:space="0" w:color="auto"/>
              <w:right w:val="single" w:sz="4" w:space="0" w:color="auto"/>
            </w:tcBorders>
          </w:tcPr>
          <w:p w14:paraId="165D8E2A" w14:textId="77777777" w:rsidR="00054E4D" w:rsidRPr="000E38A6" w:rsidRDefault="00054E4D" w:rsidP="00290FEC">
            <w:pPr>
              <w:spacing w:after="0"/>
              <w:ind w:left="-120"/>
              <w:rPr>
                <w:rFonts w:ascii="Arial Narrow" w:hAnsi="Arial Narrow"/>
                <w:sz w:val="20"/>
              </w:rPr>
            </w:pPr>
            <w:r w:rsidRPr="000E38A6">
              <w:rPr>
                <w:rFonts w:ascii="Arial Narrow" w:hAnsi="Arial Narrow"/>
                <w:sz w:val="20"/>
              </w:rPr>
              <w:t>Perspective</w:t>
            </w:r>
          </w:p>
        </w:tc>
        <w:tc>
          <w:tcPr>
            <w:tcW w:w="3459" w:type="pct"/>
            <w:tcBorders>
              <w:top w:val="single" w:sz="4" w:space="0" w:color="auto"/>
              <w:left w:val="single" w:sz="4" w:space="0" w:color="auto"/>
              <w:bottom w:val="single" w:sz="4" w:space="0" w:color="auto"/>
              <w:right w:val="single" w:sz="4" w:space="0" w:color="auto"/>
            </w:tcBorders>
          </w:tcPr>
          <w:p w14:paraId="1E23908A" w14:textId="77777777" w:rsidR="00054E4D" w:rsidRPr="000E38A6" w:rsidRDefault="00054E4D"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Healthcare payer perspective including only direct treatment-related costs</w:t>
            </w:r>
          </w:p>
        </w:tc>
      </w:tr>
      <w:tr w:rsidR="00054E4D" w:rsidRPr="000E38A6" w14:paraId="2E894385" w14:textId="77777777" w:rsidTr="00054E4D">
        <w:trPr>
          <w:trHeight w:val="20"/>
        </w:trPr>
        <w:tc>
          <w:tcPr>
            <w:tcW w:w="1541" w:type="pct"/>
            <w:tcBorders>
              <w:top w:val="single" w:sz="4" w:space="0" w:color="auto"/>
              <w:left w:val="single" w:sz="4" w:space="0" w:color="auto"/>
              <w:bottom w:val="single" w:sz="4" w:space="0" w:color="auto"/>
              <w:right w:val="single" w:sz="4" w:space="0" w:color="auto"/>
            </w:tcBorders>
          </w:tcPr>
          <w:p w14:paraId="496FF69B" w14:textId="77777777" w:rsidR="00054E4D" w:rsidRPr="000E38A6" w:rsidRDefault="00054E4D" w:rsidP="00290FEC">
            <w:pPr>
              <w:spacing w:after="0"/>
              <w:ind w:left="-120"/>
              <w:rPr>
                <w:rFonts w:ascii="Arial Narrow" w:hAnsi="Arial Narrow"/>
                <w:sz w:val="20"/>
              </w:rPr>
            </w:pPr>
            <w:r w:rsidRPr="000E38A6">
              <w:rPr>
                <w:rFonts w:ascii="Arial Narrow" w:hAnsi="Arial Narrow"/>
                <w:sz w:val="20"/>
              </w:rPr>
              <w:t>Population</w:t>
            </w:r>
          </w:p>
        </w:tc>
        <w:tc>
          <w:tcPr>
            <w:tcW w:w="3459" w:type="pct"/>
            <w:tcBorders>
              <w:top w:val="single" w:sz="4" w:space="0" w:color="auto"/>
              <w:left w:val="single" w:sz="4" w:space="0" w:color="auto"/>
              <w:bottom w:val="single" w:sz="4" w:space="0" w:color="auto"/>
              <w:right w:val="single" w:sz="4" w:space="0" w:color="auto"/>
            </w:tcBorders>
          </w:tcPr>
          <w:p w14:paraId="675477EA" w14:textId="02D3CD96" w:rsidR="00054E4D" w:rsidRPr="000E38A6" w:rsidRDefault="00A24252"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S</w:t>
            </w:r>
            <w:r w:rsidR="00054E4D" w:rsidRPr="000E38A6">
              <w:rPr>
                <w:rFonts w:ascii="Arial Narrow" w:eastAsia="SimSun" w:hAnsi="Arial Narrow"/>
                <w:sz w:val="20"/>
                <w:lang w:eastAsia="zh-CN"/>
              </w:rPr>
              <w:t>evere</w:t>
            </w:r>
            <w:r w:rsidR="00DF2F71">
              <w:rPr>
                <w:rFonts w:ascii="Arial Narrow" w:eastAsia="SimSun" w:hAnsi="Arial Narrow"/>
                <w:sz w:val="20"/>
                <w:lang w:eastAsia="zh-CN"/>
              </w:rPr>
              <w:t xml:space="preserve"> and moderate</w:t>
            </w:r>
            <w:r w:rsidR="00054E4D" w:rsidRPr="000E38A6">
              <w:rPr>
                <w:rFonts w:ascii="Arial Narrow" w:eastAsia="SimSun" w:hAnsi="Arial Narrow"/>
                <w:sz w:val="20"/>
                <w:lang w:eastAsia="zh-CN"/>
              </w:rPr>
              <w:t xml:space="preserve"> HMA without inhibitors</w:t>
            </w:r>
          </w:p>
        </w:tc>
      </w:tr>
      <w:tr w:rsidR="00054E4D" w:rsidRPr="000E38A6" w14:paraId="5C539122" w14:textId="77777777" w:rsidTr="00054E4D">
        <w:trPr>
          <w:trHeight w:val="20"/>
        </w:trPr>
        <w:tc>
          <w:tcPr>
            <w:tcW w:w="1541" w:type="pct"/>
            <w:tcBorders>
              <w:top w:val="single" w:sz="4" w:space="0" w:color="auto"/>
              <w:left w:val="single" w:sz="4" w:space="0" w:color="auto"/>
              <w:bottom w:val="single" w:sz="4" w:space="0" w:color="auto"/>
              <w:right w:val="single" w:sz="4" w:space="0" w:color="auto"/>
            </w:tcBorders>
          </w:tcPr>
          <w:p w14:paraId="62F0144A" w14:textId="77777777" w:rsidR="00054E4D" w:rsidRPr="000E38A6" w:rsidRDefault="00054E4D" w:rsidP="00290FEC">
            <w:pPr>
              <w:spacing w:after="0"/>
              <w:ind w:left="-120"/>
              <w:rPr>
                <w:rFonts w:ascii="Arial Narrow" w:hAnsi="Arial Narrow"/>
                <w:sz w:val="20"/>
              </w:rPr>
            </w:pPr>
            <w:r w:rsidRPr="000E38A6">
              <w:rPr>
                <w:rFonts w:ascii="Arial Narrow" w:hAnsi="Arial Narrow"/>
                <w:sz w:val="20"/>
              </w:rPr>
              <w:t>Comparator</w:t>
            </w:r>
          </w:p>
        </w:tc>
        <w:tc>
          <w:tcPr>
            <w:tcW w:w="3459" w:type="pct"/>
            <w:tcBorders>
              <w:top w:val="single" w:sz="4" w:space="0" w:color="auto"/>
              <w:left w:val="single" w:sz="4" w:space="0" w:color="auto"/>
              <w:bottom w:val="single" w:sz="4" w:space="0" w:color="auto"/>
              <w:right w:val="single" w:sz="4" w:space="0" w:color="auto"/>
            </w:tcBorders>
          </w:tcPr>
          <w:p w14:paraId="2F4745F5" w14:textId="585039CC" w:rsidR="00054E4D" w:rsidRPr="000E38A6" w:rsidRDefault="00054E4D" w:rsidP="00290FEC">
            <w:pPr>
              <w:spacing w:after="0"/>
              <w:ind w:left="-59"/>
              <w:jc w:val="both"/>
              <w:rPr>
                <w:rFonts w:ascii="Arial Narrow" w:eastAsia="SimSun" w:hAnsi="Arial Narrow"/>
                <w:i/>
                <w:sz w:val="20"/>
                <w:lang w:eastAsia="zh-CN"/>
              </w:rPr>
            </w:pPr>
            <w:r w:rsidRPr="00CB1295">
              <w:rPr>
                <w:rFonts w:ascii="Arial Narrow" w:eastAsia="SimSun" w:hAnsi="Arial Narrow"/>
                <w:sz w:val="20"/>
                <w:lang w:eastAsia="zh-CN"/>
              </w:rPr>
              <w:t>FVIII prophylaxis only considered in the economic model</w:t>
            </w:r>
            <w:r w:rsidRPr="000E38A6">
              <w:rPr>
                <w:rFonts w:ascii="Arial Narrow" w:eastAsia="SimSun" w:hAnsi="Arial Narrow"/>
                <w:i/>
                <w:sz w:val="20"/>
                <w:lang w:eastAsia="zh-CN"/>
              </w:rPr>
              <w:t xml:space="preserve">, however, the budget impact model </w:t>
            </w:r>
            <w:r w:rsidR="006D54A1">
              <w:rPr>
                <w:rFonts w:ascii="Arial Narrow" w:eastAsia="SimSun" w:hAnsi="Arial Narrow"/>
                <w:i/>
                <w:sz w:val="20"/>
                <w:lang w:eastAsia="zh-CN"/>
              </w:rPr>
              <w:t xml:space="preserve">also </w:t>
            </w:r>
            <w:r w:rsidRPr="000E38A6">
              <w:rPr>
                <w:rFonts w:ascii="Arial Narrow" w:eastAsia="SimSun" w:hAnsi="Arial Narrow"/>
                <w:i/>
                <w:sz w:val="20"/>
                <w:lang w:eastAsia="zh-CN"/>
              </w:rPr>
              <w:t xml:space="preserve">allows for uptake among </w:t>
            </w:r>
            <w:r w:rsidR="006D54A1">
              <w:rPr>
                <w:rFonts w:ascii="Arial Narrow" w:eastAsia="SimSun" w:hAnsi="Arial Narrow"/>
                <w:i/>
                <w:sz w:val="20"/>
                <w:lang w:eastAsia="zh-CN"/>
              </w:rPr>
              <w:t xml:space="preserve">patients with severe </w:t>
            </w:r>
            <w:r w:rsidR="00DF2F71">
              <w:rPr>
                <w:rFonts w:ascii="Arial Narrow" w:eastAsia="SimSun" w:hAnsi="Arial Narrow"/>
                <w:i/>
                <w:sz w:val="20"/>
                <w:lang w:eastAsia="zh-CN"/>
              </w:rPr>
              <w:t xml:space="preserve">and moderate </w:t>
            </w:r>
            <w:r w:rsidR="006D54A1">
              <w:rPr>
                <w:rFonts w:ascii="Arial Narrow" w:eastAsia="SimSun" w:hAnsi="Arial Narrow"/>
                <w:i/>
                <w:sz w:val="20"/>
                <w:lang w:eastAsia="zh-CN"/>
              </w:rPr>
              <w:t xml:space="preserve">HMA receiving FVIII </w:t>
            </w:r>
            <w:r w:rsidRPr="000E38A6">
              <w:rPr>
                <w:rFonts w:ascii="Arial Narrow" w:eastAsia="SimSun" w:hAnsi="Arial Narrow"/>
                <w:i/>
                <w:sz w:val="20"/>
                <w:lang w:eastAsia="zh-CN"/>
              </w:rPr>
              <w:t>on</w:t>
            </w:r>
            <w:r w:rsidR="006D54A1">
              <w:rPr>
                <w:rFonts w:ascii="Arial Narrow" w:eastAsia="SimSun" w:hAnsi="Arial Narrow"/>
                <w:i/>
                <w:sz w:val="20"/>
                <w:lang w:eastAsia="zh-CN"/>
              </w:rPr>
              <w:t xml:space="preserve"> </w:t>
            </w:r>
            <w:r w:rsidRPr="000E38A6">
              <w:rPr>
                <w:rFonts w:ascii="Arial Narrow" w:eastAsia="SimSun" w:hAnsi="Arial Narrow"/>
                <w:i/>
                <w:sz w:val="20"/>
                <w:lang w:eastAsia="zh-CN"/>
              </w:rPr>
              <w:t>demand.</w:t>
            </w:r>
          </w:p>
        </w:tc>
      </w:tr>
      <w:tr w:rsidR="00054E4D" w:rsidRPr="000E38A6" w14:paraId="1FCE479B" w14:textId="77777777" w:rsidTr="00054E4D">
        <w:trPr>
          <w:trHeight w:val="20"/>
        </w:trPr>
        <w:tc>
          <w:tcPr>
            <w:tcW w:w="1541" w:type="pct"/>
            <w:tcBorders>
              <w:top w:val="single" w:sz="4" w:space="0" w:color="auto"/>
              <w:left w:val="single" w:sz="4" w:space="0" w:color="auto"/>
              <w:bottom w:val="single" w:sz="4" w:space="0" w:color="auto"/>
              <w:right w:val="single" w:sz="4" w:space="0" w:color="auto"/>
            </w:tcBorders>
          </w:tcPr>
          <w:p w14:paraId="0CF3A9FC" w14:textId="77777777" w:rsidR="00054E4D" w:rsidRPr="000E38A6" w:rsidRDefault="00054E4D" w:rsidP="00290FEC">
            <w:pPr>
              <w:spacing w:after="0"/>
              <w:ind w:left="-120"/>
              <w:rPr>
                <w:rFonts w:ascii="Arial Narrow" w:hAnsi="Arial Narrow"/>
                <w:sz w:val="20"/>
              </w:rPr>
            </w:pPr>
            <w:r w:rsidRPr="000E38A6">
              <w:rPr>
                <w:rFonts w:ascii="Arial Narrow" w:hAnsi="Arial Narrow"/>
                <w:sz w:val="20"/>
              </w:rPr>
              <w:t>Type of economic evaluation</w:t>
            </w:r>
          </w:p>
        </w:tc>
        <w:tc>
          <w:tcPr>
            <w:tcW w:w="3459" w:type="pct"/>
            <w:tcBorders>
              <w:top w:val="single" w:sz="4" w:space="0" w:color="auto"/>
              <w:left w:val="single" w:sz="4" w:space="0" w:color="auto"/>
              <w:bottom w:val="single" w:sz="4" w:space="0" w:color="auto"/>
              <w:right w:val="single" w:sz="4" w:space="0" w:color="auto"/>
            </w:tcBorders>
          </w:tcPr>
          <w:p w14:paraId="7ACCD9D9" w14:textId="69184F32" w:rsidR="00054E4D" w:rsidRPr="000E38A6" w:rsidRDefault="00054E4D"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 xml:space="preserve">Cost-consequences analysis. </w:t>
            </w:r>
            <w:r w:rsidRPr="000E38A6">
              <w:rPr>
                <w:rFonts w:ascii="Arial Narrow" w:eastAsia="SimSun" w:hAnsi="Arial Narrow"/>
                <w:i/>
                <w:sz w:val="20"/>
                <w:lang w:eastAsia="zh-CN"/>
              </w:rPr>
              <w:t xml:space="preserve">Primarily a cost-minimisation analysis with the small cost consequence of break-through bleed costs included in the intervention arm. The economic approach essentially estimates the price of emicizumab that results in cost-equivalence against current FVIII </w:t>
            </w:r>
            <w:r w:rsidR="00DF2F71">
              <w:rPr>
                <w:rFonts w:ascii="Arial Narrow" w:eastAsia="SimSun" w:hAnsi="Arial Narrow"/>
                <w:i/>
                <w:sz w:val="20"/>
                <w:lang w:eastAsia="zh-CN"/>
              </w:rPr>
              <w:t>prophylaxis</w:t>
            </w:r>
            <w:r w:rsidRPr="000E38A6">
              <w:rPr>
                <w:rFonts w:ascii="Arial Narrow" w:eastAsia="SimSun" w:hAnsi="Arial Narrow"/>
                <w:i/>
                <w:sz w:val="20"/>
                <w:lang w:eastAsia="zh-CN"/>
              </w:rPr>
              <w:t xml:space="preserve"> in Australia</w:t>
            </w:r>
            <w:r w:rsidR="00A24252">
              <w:rPr>
                <w:rFonts w:ascii="Arial Narrow" w:eastAsia="SimSun" w:hAnsi="Arial Narrow"/>
                <w:i/>
                <w:sz w:val="20"/>
                <w:lang w:eastAsia="zh-CN"/>
              </w:rPr>
              <w:t>.</w:t>
            </w:r>
          </w:p>
        </w:tc>
      </w:tr>
      <w:tr w:rsidR="00054E4D" w:rsidRPr="000E38A6" w14:paraId="48FE77B9" w14:textId="77777777" w:rsidTr="00054E4D">
        <w:trPr>
          <w:trHeight w:val="20"/>
        </w:trPr>
        <w:tc>
          <w:tcPr>
            <w:tcW w:w="1541" w:type="pct"/>
            <w:tcBorders>
              <w:top w:val="single" w:sz="4" w:space="0" w:color="auto"/>
              <w:left w:val="single" w:sz="4" w:space="0" w:color="auto"/>
              <w:bottom w:val="single" w:sz="4" w:space="0" w:color="auto"/>
              <w:right w:val="single" w:sz="4" w:space="0" w:color="auto"/>
            </w:tcBorders>
          </w:tcPr>
          <w:p w14:paraId="479DBCD5" w14:textId="77777777" w:rsidR="00054E4D" w:rsidRPr="000E38A6" w:rsidRDefault="00054E4D" w:rsidP="00290FEC">
            <w:pPr>
              <w:spacing w:after="0"/>
              <w:ind w:left="-120"/>
              <w:rPr>
                <w:rFonts w:ascii="Arial Narrow" w:hAnsi="Arial Narrow"/>
                <w:sz w:val="20"/>
              </w:rPr>
            </w:pPr>
            <w:r w:rsidRPr="000E38A6">
              <w:rPr>
                <w:rFonts w:ascii="Arial Narrow" w:hAnsi="Arial Narrow"/>
                <w:sz w:val="20"/>
              </w:rPr>
              <w:t>Sources of evidence</w:t>
            </w:r>
          </w:p>
        </w:tc>
        <w:tc>
          <w:tcPr>
            <w:tcW w:w="3459" w:type="pct"/>
            <w:tcBorders>
              <w:top w:val="single" w:sz="4" w:space="0" w:color="auto"/>
              <w:left w:val="single" w:sz="4" w:space="0" w:color="auto"/>
              <w:bottom w:val="single" w:sz="4" w:space="0" w:color="auto"/>
              <w:right w:val="single" w:sz="4" w:space="0" w:color="auto"/>
            </w:tcBorders>
          </w:tcPr>
          <w:p w14:paraId="096201B6" w14:textId="77777777" w:rsidR="00054E4D" w:rsidRPr="000E38A6" w:rsidRDefault="00054E4D"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Key health outcome is ABR as reported in the clinical trials of emicizumab, specifically:</w:t>
            </w:r>
          </w:p>
          <w:p w14:paraId="0FE85DCA" w14:textId="77777777" w:rsidR="00054E4D" w:rsidRPr="000E38A6" w:rsidRDefault="00054E4D"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HAVEN 3 Arm D and NIS BH29768 Cohort C</w:t>
            </w:r>
          </w:p>
          <w:p w14:paraId="6062CA79" w14:textId="77777777" w:rsidR="00054E4D" w:rsidRPr="000E38A6" w:rsidRDefault="00054E4D"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Australian FVIII utilisation patterns based on Mason (2018) and ABDR annual report 2015/16 (NBA 2017)</w:t>
            </w:r>
          </w:p>
        </w:tc>
      </w:tr>
      <w:tr w:rsidR="00054E4D" w:rsidRPr="000E38A6" w14:paraId="50B4D6BE" w14:textId="77777777" w:rsidTr="00054E4D">
        <w:trPr>
          <w:trHeight w:val="20"/>
        </w:trPr>
        <w:tc>
          <w:tcPr>
            <w:tcW w:w="1541" w:type="pct"/>
            <w:tcBorders>
              <w:top w:val="single" w:sz="4" w:space="0" w:color="auto"/>
              <w:left w:val="single" w:sz="4" w:space="0" w:color="auto"/>
              <w:bottom w:val="single" w:sz="4" w:space="0" w:color="auto"/>
              <w:right w:val="single" w:sz="4" w:space="0" w:color="auto"/>
            </w:tcBorders>
            <w:hideMark/>
          </w:tcPr>
          <w:p w14:paraId="6543C008" w14:textId="77777777" w:rsidR="00054E4D" w:rsidRPr="000E38A6" w:rsidRDefault="00054E4D" w:rsidP="00290FEC">
            <w:pPr>
              <w:spacing w:after="0"/>
              <w:ind w:left="-120"/>
              <w:rPr>
                <w:rFonts w:ascii="Arial Narrow" w:hAnsi="Arial Narrow"/>
                <w:sz w:val="20"/>
              </w:rPr>
            </w:pPr>
            <w:r w:rsidRPr="000E38A6">
              <w:rPr>
                <w:rFonts w:ascii="Arial Narrow" w:hAnsi="Arial Narrow"/>
                <w:sz w:val="20"/>
              </w:rPr>
              <w:t>Time horizon</w:t>
            </w:r>
          </w:p>
        </w:tc>
        <w:tc>
          <w:tcPr>
            <w:tcW w:w="3459" w:type="pct"/>
            <w:tcBorders>
              <w:top w:val="single" w:sz="4" w:space="0" w:color="auto"/>
              <w:left w:val="single" w:sz="4" w:space="0" w:color="auto"/>
              <w:bottom w:val="single" w:sz="4" w:space="0" w:color="auto"/>
              <w:right w:val="single" w:sz="4" w:space="0" w:color="auto"/>
            </w:tcBorders>
            <w:hideMark/>
          </w:tcPr>
          <w:p w14:paraId="732AEC36" w14:textId="77777777" w:rsidR="00054E4D" w:rsidRPr="000E38A6" w:rsidRDefault="00054E4D"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One year a</w:t>
            </w:r>
            <w:r>
              <w:rPr>
                <w:rFonts w:ascii="Arial Narrow" w:eastAsia="SimSun" w:hAnsi="Arial Narrow"/>
                <w:sz w:val="20"/>
                <w:lang w:eastAsia="zh-CN"/>
              </w:rPr>
              <w:t>t steady state treatment dosing</w:t>
            </w:r>
          </w:p>
        </w:tc>
      </w:tr>
      <w:tr w:rsidR="00054E4D" w:rsidRPr="000E38A6" w14:paraId="7A747A63" w14:textId="77777777" w:rsidTr="00054E4D">
        <w:trPr>
          <w:trHeight w:val="20"/>
        </w:trPr>
        <w:tc>
          <w:tcPr>
            <w:tcW w:w="1541" w:type="pct"/>
            <w:tcBorders>
              <w:top w:val="single" w:sz="4" w:space="0" w:color="auto"/>
              <w:left w:val="single" w:sz="4" w:space="0" w:color="auto"/>
              <w:bottom w:val="single" w:sz="4" w:space="0" w:color="auto"/>
              <w:right w:val="single" w:sz="4" w:space="0" w:color="auto"/>
            </w:tcBorders>
            <w:hideMark/>
          </w:tcPr>
          <w:p w14:paraId="449F0C11" w14:textId="77777777" w:rsidR="00054E4D" w:rsidRPr="000E38A6" w:rsidRDefault="00054E4D" w:rsidP="00290FEC">
            <w:pPr>
              <w:spacing w:after="0"/>
              <w:ind w:left="-120"/>
              <w:rPr>
                <w:rFonts w:ascii="Arial Narrow" w:hAnsi="Arial Narrow"/>
                <w:sz w:val="20"/>
              </w:rPr>
            </w:pPr>
            <w:r w:rsidRPr="000E38A6">
              <w:rPr>
                <w:rFonts w:ascii="Arial Narrow" w:hAnsi="Arial Narrow"/>
                <w:sz w:val="20"/>
              </w:rPr>
              <w:t>Outcomes</w:t>
            </w:r>
          </w:p>
        </w:tc>
        <w:tc>
          <w:tcPr>
            <w:tcW w:w="3459" w:type="pct"/>
            <w:tcBorders>
              <w:top w:val="single" w:sz="4" w:space="0" w:color="auto"/>
              <w:left w:val="single" w:sz="4" w:space="0" w:color="auto"/>
              <w:bottom w:val="single" w:sz="4" w:space="0" w:color="auto"/>
              <w:right w:val="single" w:sz="4" w:space="0" w:color="auto"/>
            </w:tcBorders>
          </w:tcPr>
          <w:p w14:paraId="249EC83C" w14:textId="77777777" w:rsidR="00054E4D" w:rsidRPr="000E38A6" w:rsidRDefault="00054E4D"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Annual total treatment costs per kilogram body weight</w:t>
            </w:r>
          </w:p>
        </w:tc>
      </w:tr>
      <w:tr w:rsidR="00054E4D" w:rsidRPr="000E38A6" w14:paraId="2EA62397" w14:textId="77777777" w:rsidTr="00054E4D">
        <w:trPr>
          <w:trHeight w:val="20"/>
        </w:trPr>
        <w:tc>
          <w:tcPr>
            <w:tcW w:w="1541" w:type="pct"/>
            <w:tcBorders>
              <w:top w:val="single" w:sz="4" w:space="0" w:color="auto"/>
              <w:left w:val="single" w:sz="4" w:space="0" w:color="auto"/>
              <w:bottom w:val="single" w:sz="4" w:space="0" w:color="auto"/>
              <w:right w:val="single" w:sz="4" w:space="0" w:color="auto"/>
            </w:tcBorders>
          </w:tcPr>
          <w:p w14:paraId="61882AF0" w14:textId="77777777" w:rsidR="00054E4D" w:rsidRPr="000E38A6" w:rsidRDefault="00054E4D" w:rsidP="00290FEC">
            <w:pPr>
              <w:spacing w:after="0"/>
              <w:ind w:left="-120"/>
              <w:rPr>
                <w:rFonts w:ascii="Arial Narrow" w:hAnsi="Arial Narrow"/>
                <w:sz w:val="20"/>
              </w:rPr>
            </w:pPr>
            <w:r w:rsidRPr="000E38A6">
              <w:rPr>
                <w:rFonts w:ascii="Arial Narrow" w:hAnsi="Arial Narrow"/>
                <w:sz w:val="20"/>
              </w:rPr>
              <w:t>Method</w:t>
            </w:r>
          </w:p>
        </w:tc>
        <w:tc>
          <w:tcPr>
            <w:tcW w:w="3459" w:type="pct"/>
            <w:tcBorders>
              <w:top w:val="single" w:sz="4" w:space="0" w:color="auto"/>
              <w:left w:val="single" w:sz="4" w:space="0" w:color="auto"/>
              <w:bottom w:val="single" w:sz="4" w:space="0" w:color="auto"/>
              <w:right w:val="single" w:sz="4" w:space="0" w:color="auto"/>
            </w:tcBorders>
          </w:tcPr>
          <w:p w14:paraId="3FE42682" w14:textId="77777777" w:rsidR="00054E4D" w:rsidRPr="000E38A6" w:rsidRDefault="00054E4D"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Trial- and real world data based estimation of direct medical resource utilisation</w:t>
            </w:r>
          </w:p>
        </w:tc>
      </w:tr>
      <w:tr w:rsidR="00054E4D" w:rsidRPr="000E38A6" w14:paraId="54EA645A" w14:textId="77777777" w:rsidTr="00054E4D">
        <w:trPr>
          <w:trHeight w:val="20"/>
        </w:trPr>
        <w:tc>
          <w:tcPr>
            <w:tcW w:w="1541" w:type="pct"/>
            <w:tcBorders>
              <w:top w:val="single" w:sz="4" w:space="0" w:color="auto"/>
              <w:left w:val="single" w:sz="4" w:space="0" w:color="auto"/>
              <w:bottom w:val="single" w:sz="4" w:space="0" w:color="auto"/>
              <w:right w:val="single" w:sz="4" w:space="0" w:color="auto"/>
            </w:tcBorders>
            <w:hideMark/>
          </w:tcPr>
          <w:p w14:paraId="36B033F1" w14:textId="77777777" w:rsidR="00054E4D" w:rsidRPr="000E38A6" w:rsidRDefault="00054E4D" w:rsidP="00290FEC">
            <w:pPr>
              <w:spacing w:after="0"/>
              <w:ind w:left="-120"/>
              <w:rPr>
                <w:rFonts w:ascii="Arial Narrow" w:eastAsia="SimSun" w:hAnsi="Arial Narrow"/>
                <w:sz w:val="20"/>
                <w:lang w:eastAsia="zh-CN"/>
              </w:rPr>
            </w:pPr>
            <w:r w:rsidRPr="000E38A6">
              <w:rPr>
                <w:rFonts w:ascii="Arial Narrow" w:hAnsi="Arial Narrow"/>
                <w:sz w:val="20"/>
              </w:rPr>
              <w:t>Cycle length</w:t>
            </w:r>
          </w:p>
        </w:tc>
        <w:tc>
          <w:tcPr>
            <w:tcW w:w="3459" w:type="pct"/>
            <w:tcBorders>
              <w:top w:val="single" w:sz="4" w:space="0" w:color="auto"/>
              <w:left w:val="single" w:sz="4" w:space="0" w:color="auto"/>
              <w:bottom w:val="single" w:sz="4" w:space="0" w:color="auto"/>
              <w:right w:val="single" w:sz="4" w:space="0" w:color="auto"/>
            </w:tcBorders>
          </w:tcPr>
          <w:p w14:paraId="20C58775" w14:textId="77777777" w:rsidR="00054E4D" w:rsidRPr="000E38A6" w:rsidRDefault="00054E4D"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One year</w:t>
            </w:r>
          </w:p>
        </w:tc>
      </w:tr>
      <w:tr w:rsidR="00054E4D" w:rsidRPr="000E38A6" w14:paraId="57F085FC" w14:textId="77777777" w:rsidTr="00054E4D">
        <w:trPr>
          <w:trHeight w:val="20"/>
        </w:trPr>
        <w:tc>
          <w:tcPr>
            <w:tcW w:w="1541" w:type="pct"/>
            <w:tcBorders>
              <w:top w:val="single" w:sz="4" w:space="0" w:color="auto"/>
              <w:left w:val="single" w:sz="4" w:space="0" w:color="auto"/>
              <w:bottom w:val="single" w:sz="4" w:space="0" w:color="auto"/>
              <w:right w:val="single" w:sz="4" w:space="0" w:color="auto"/>
            </w:tcBorders>
            <w:hideMark/>
          </w:tcPr>
          <w:p w14:paraId="3F18AA29" w14:textId="77777777" w:rsidR="00054E4D" w:rsidRPr="000E38A6" w:rsidRDefault="00054E4D" w:rsidP="00290FEC">
            <w:pPr>
              <w:spacing w:after="0"/>
              <w:ind w:left="-120"/>
              <w:rPr>
                <w:rFonts w:ascii="Arial Narrow" w:hAnsi="Arial Narrow"/>
                <w:sz w:val="20"/>
              </w:rPr>
            </w:pPr>
            <w:r w:rsidRPr="000E38A6">
              <w:rPr>
                <w:rFonts w:ascii="Arial Narrow" w:hAnsi="Arial Narrow"/>
                <w:sz w:val="20"/>
              </w:rPr>
              <w:t>Software packages used</w:t>
            </w:r>
          </w:p>
        </w:tc>
        <w:tc>
          <w:tcPr>
            <w:tcW w:w="3459" w:type="pct"/>
            <w:tcBorders>
              <w:top w:val="single" w:sz="4" w:space="0" w:color="auto"/>
              <w:left w:val="single" w:sz="4" w:space="0" w:color="auto"/>
              <w:bottom w:val="single" w:sz="4" w:space="0" w:color="auto"/>
              <w:right w:val="single" w:sz="4" w:space="0" w:color="auto"/>
            </w:tcBorders>
          </w:tcPr>
          <w:p w14:paraId="3044BC17" w14:textId="77777777" w:rsidR="00054E4D" w:rsidRPr="000E38A6" w:rsidRDefault="00054E4D" w:rsidP="00290FEC">
            <w:pPr>
              <w:spacing w:after="0"/>
              <w:ind w:left="-59"/>
              <w:jc w:val="both"/>
              <w:rPr>
                <w:rFonts w:ascii="Arial Narrow" w:eastAsia="SimSun" w:hAnsi="Arial Narrow"/>
                <w:sz w:val="20"/>
                <w:lang w:eastAsia="zh-CN"/>
              </w:rPr>
            </w:pPr>
            <w:r w:rsidRPr="000E38A6">
              <w:rPr>
                <w:rFonts w:ascii="Arial Narrow" w:eastAsia="SimSun" w:hAnsi="Arial Narrow"/>
                <w:sz w:val="20"/>
                <w:lang w:eastAsia="zh-CN"/>
              </w:rPr>
              <w:t>Excel</w:t>
            </w:r>
          </w:p>
        </w:tc>
      </w:tr>
    </w:tbl>
    <w:p w14:paraId="41510743" w14:textId="77777777" w:rsidR="00054E4D" w:rsidRDefault="00054E4D" w:rsidP="00BC72A9">
      <w:pPr>
        <w:pStyle w:val="Tablenotes0"/>
        <w:rPr>
          <w:rFonts w:eastAsia="Calibri"/>
        </w:rPr>
      </w:pPr>
      <w:r w:rsidRPr="003937B3">
        <w:rPr>
          <w:rFonts w:eastAsia="Calibri"/>
          <w:b/>
        </w:rPr>
        <w:t>Source</w:t>
      </w:r>
      <w:r w:rsidRPr="00FF298A">
        <w:rPr>
          <w:rFonts w:eastAsia="Calibri"/>
        </w:rPr>
        <w:t>: Submission</w:t>
      </w:r>
      <w:r>
        <w:rPr>
          <w:rFonts w:eastAsia="Calibri"/>
        </w:rPr>
        <w:t xml:space="preserve">, </w:t>
      </w:r>
      <w:r w:rsidRPr="000E38A6">
        <w:rPr>
          <w:rFonts w:eastAsia="Calibri"/>
        </w:rPr>
        <w:t>with comments by the Critique in italics</w:t>
      </w:r>
    </w:p>
    <w:p w14:paraId="2C8D234E" w14:textId="1A90FA97" w:rsidR="00054E4D" w:rsidRPr="00BC72A9" w:rsidRDefault="00054E4D" w:rsidP="00BC72A9">
      <w:pPr>
        <w:pStyle w:val="Tablecaption"/>
        <w:spacing w:after="240"/>
        <w:rPr>
          <w:sz w:val="18"/>
          <w:szCs w:val="24"/>
        </w:rPr>
      </w:pPr>
      <w:r w:rsidRPr="008363EE">
        <w:rPr>
          <w:rFonts w:eastAsia="Calibri"/>
          <w:b/>
          <w:sz w:val="18"/>
        </w:rPr>
        <w:t>Abbreviation</w:t>
      </w:r>
      <w:r>
        <w:rPr>
          <w:rFonts w:eastAsia="Calibri"/>
          <w:b/>
          <w:sz w:val="18"/>
        </w:rPr>
        <w:t>s</w:t>
      </w:r>
      <w:r w:rsidRPr="008363EE">
        <w:rPr>
          <w:rFonts w:eastAsia="Calibri"/>
          <w:sz w:val="18"/>
        </w:rPr>
        <w:t>: ABR = annualised bleeding rates; ABDR = Australian Bleeding Disorders Registry; FVIII = factor VIII; HMA = haemophilia</w:t>
      </w:r>
    </w:p>
    <w:p w14:paraId="61C81107" w14:textId="3C603E7A" w:rsidR="00054E4D" w:rsidRDefault="00054E4D" w:rsidP="00BC72A9">
      <w:pPr>
        <w:spacing w:after="240"/>
      </w:pPr>
      <w:r>
        <w:t>The submission’s CCA indicated using an</w:t>
      </w:r>
      <w:r w:rsidRPr="00FF298A">
        <w:t xml:space="preserve"> effective price of </w:t>
      </w:r>
      <w:r>
        <w:t>emicizumab</w:t>
      </w:r>
      <w:r w:rsidRPr="00FF298A">
        <w:t xml:space="preserve"> of $</w:t>
      </w:r>
      <w:r w:rsidR="00ED2C04" w:rsidRPr="00ED2C04">
        <w:rPr>
          <w:b/>
          <w:szCs w:val="24"/>
        </w:rPr>
        <w:t>redacted</w:t>
      </w:r>
      <w:r w:rsidR="00ED2C04" w:rsidRPr="00FF298A" w:rsidDel="00ED2C04">
        <w:t xml:space="preserve"> </w:t>
      </w:r>
      <w:r w:rsidRPr="00FF298A">
        <w:t>per mg</w:t>
      </w:r>
      <w:r>
        <w:t>, cost equivalence was</w:t>
      </w:r>
      <w:r w:rsidRPr="00FF298A">
        <w:t xml:space="preserve"> evident for the intervention and current FVIII </w:t>
      </w:r>
      <w:r w:rsidR="00A24252">
        <w:t xml:space="preserve">prophylaxis </w:t>
      </w:r>
      <w:r w:rsidRPr="00FF298A">
        <w:t xml:space="preserve">among </w:t>
      </w:r>
      <w:r w:rsidR="00A24252">
        <w:t xml:space="preserve">patients with </w:t>
      </w:r>
      <w:r w:rsidRPr="00FF298A">
        <w:t xml:space="preserve">severe </w:t>
      </w:r>
      <w:r w:rsidR="008C05AF">
        <w:t xml:space="preserve">and moderate </w:t>
      </w:r>
      <w:r w:rsidR="00A24252">
        <w:t>HMA</w:t>
      </w:r>
      <w:r w:rsidR="004347FB">
        <w:t xml:space="preserve"> </w:t>
      </w:r>
      <w:r w:rsidR="00DF2F71">
        <w:t xml:space="preserve">without inhibitors </w:t>
      </w:r>
      <w:r w:rsidR="004347FB">
        <w:t xml:space="preserve">(Table </w:t>
      </w:r>
      <w:r w:rsidR="00A24252">
        <w:t>8</w:t>
      </w:r>
      <w:r>
        <w:t>).</w:t>
      </w:r>
    </w:p>
    <w:p w14:paraId="53421F98" w14:textId="49E9B609" w:rsidR="00054E4D" w:rsidRPr="006F64E6" w:rsidRDefault="00054E4D" w:rsidP="006F64E6">
      <w:pPr>
        <w:rPr>
          <w:rFonts w:ascii="Arial Narrow" w:hAnsi="Arial Narrow"/>
          <w:b/>
          <w:sz w:val="20"/>
        </w:rPr>
      </w:pPr>
      <w:bookmarkStart w:id="15" w:name="_Ref535412043"/>
      <w:r w:rsidRPr="006F64E6">
        <w:rPr>
          <w:rFonts w:ascii="Arial Narrow" w:hAnsi="Arial Narrow"/>
          <w:b/>
          <w:sz w:val="20"/>
        </w:rPr>
        <w:t>Table </w:t>
      </w:r>
      <w:bookmarkEnd w:id="15"/>
      <w:r w:rsidR="00A24252" w:rsidRPr="006F64E6">
        <w:rPr>
          <w:rFonts w:ascii="Arial Narrow" w:hAnsi="Arial Narrow"/>
          <w:b/>
          <w:sz w:val="20"/>
        </w:rPr>
        <w:t>8</w:t>
      </w:r>
      <w:r w:rsidRPr="006F64E6">
        <w:rPr>
          <w:rFonts w:ascii="Arial Narrow" w:hAnsi="Arial Narrow"/>
          <w:b/>
          <w:sz w:val="20"/>
        </w:rPr>
        <w:tab/>
        <w:t>Results of cost-consequences analysis</w:t>
      </w:r>
    </w:p>
    <w:tbl>
      <w:tblPr>
        <w:tblStyle w:val="TableGrid4"/>
        <w:tblW w:w="5000" w:type="pct"/>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4110"/>
        <w:gridCol w:w="1636"/>
        <w:gridCol w:w="1636"/>
        <w:gridCol w:w="1634"/>
      </w:tblGrid>
      <w:tr w:rsidR="00054E4D" w:rsidRPr="002A5D2C" w14:paraId="1F7C787C" w14:textId="77777777" w:rsidTr="00290FEC">
        <w:trPr>
          <w:tblHeader/>
        </w:trPr>
        <w:tc>
          <w:tcPr>
            <w:tcW w:w="2280" w:type="pct"/>
          </w:tcPr>
          <w:p w14:paraId="2AC2F332" w14:textId="77777777" w:rsidR="00054E4D" w:rsidRPr="00C075E7" w:rsidRDefault="00054E4D" w:rsidP="00290FEC">
            <w:pPr>
              <w:pStyle w:val="TableHeadingRow"/>
              <w:spacing w:before="0" w:after="0"/>
              <w:ind w:left="-120"/>
              <w:rPr>
                <w:rFonts w:ascii="Arial Narrow" w:hAnsi="Arial Narrow"/>
              </w:rPr>
            </w:pPr>
            <w:r w:rsidRPr="00C075E7">
              <w:rPr>
                <w:rFonts w:ascii="Arial Narrow" w:hAnsi="Arial Narrow"/>
              </w:rPr>
              <w:t>Annual treatment cost per kilogram body weight</w:t>
            </w:r>
          </w:p>
        </w:tc>
        <w:tc>
          <w:tcPr>
            <w:tcW w:w="907" w:type="pct"/>
          </w:tcPr>
          <w:p w14:paraId="13F88B00" w14:textId="77777777" w:rsidR="00054E4D" w:rsidRPr="00C075E7" w:rsidRDefault="00054E4D" w:rsidP="00290FEC">
            <w:pPr>
              <w:pStyle w:val="TableHeadingRow"/>
              <w:spacing w:before="0" w:after="0"/>
              <w:ind w:left="-120"/>
              <w:jc w:val="center"/>
              <w:rPr>
                <w:rFonts w:ascii="Arial Narrow" w:hAnsi="Arial Narrow"/>
              </w:rPr>
            </w:pPr>
            <w:r w:rsidRPr="00C075E7">
              <w:rPr>
                <w:rFonts w:ascii="Arial Narrow" w:hAnsi="Arial Narrow"/>
              </w:rPr>
              <w:t>Emicizumab arm</w:t>
            </w:r>
          </w:p>
        </w:tc>
        <w:tc>
          <w:tcPr>
            <w:tcW w:w="907" w:type="pct"/>
          </w:tcPr>
          <w:p w14:paraId="40F93D91" w14:textId="77777777" w:rsidR="00054E4D" w:rsidRPr="00C075E7" w:rsidRDefault="00054E4D" w:rsidP="00290FEC">
            <w:pPr>
              <w:pStyle w:val="TableHeadingRow"/>
              <w:spacing w:before="0" w:after="0"/>
              <w:ind w:left="-120"/>
              <w:jc w:val="center"/>
              <w:rPr>
                <w:rFonts w:ascii="Arial Narrow" w:hAnsi="Arial Narrow"/>
              </w:rPr>
            </w:pPr>
            <w:r w:rsidRPr="00C075E7">
              <w:rPr>
                <w:rFonts w:ascii="Arial Narrow" w:hAnsi="Arial Narrow"/>
              </w:rPr>
              <w:t>Factor VIII arm</w:t>
            </w:r>
          </w:p>
        </w:tc>
        <w:tc>
          <w:tcPr>
            <w:tcW w:w="907" w:type="pct"/>
          </w:tcPr>
          <w:p w14:paraId="34BBB0DA" w14:textId="77777777" w:rsidR="00054E4D" w:rsidRPr="00C075E7" w:rsidRDefault="00054E4D" w:rsidP="00290FEC">
            <w:pPr>
              <w:pStyle w:val="TableHeadingRow"/>
              <w:spacing w:before="0" w:after="0"/>
              <w:ind w:left="-120"/>
              <w:jc w:val="center"/>
              <w:rPr>
                <w:rFonts w:ascii="Arial Narrow" w:hAnsi="Arial Narrow"/>
              </w:rPr>
            </w:pPr>
            <w:r w:rsidRPr="00C075E7">
              <w:rPr>
                <w:rFonts w:ascii="Arial Narrow" w:hAnsi="Arial Narrow"/>
              </w:rPr>
              <w:t>Incremental cost</w:t>
            </w:r>
          </w:p>
        </w:tc>
      </w:tr>
      <w:tr w:rsidR="00054E4D" w:rsidRPr="002A5D2C" w14:paraId="4104F008" w14:textId="77777777" w:rsidTr="00290FEC">
        <w:tc>
          <w:tcPr>
            <w:tcW w:w="2280" w:type="pct"/>
          </w:tcPr>
          <w:p w14:paraId="0526E5FF" w14:textId="77777777" w:rsidR="00054E4D" w:rsidRPr="00C075E7" w:rsidRDefault="00054E4D" w:rsidP="00290FEC">
            <w:pPr>
              <w:pStyle w:val="TableText0"/>
              <w:spacing w:before="0" w:after="0"/>
              <w:ind w:left="-120"/>
              <w:rPr>
                <w:rFonts w:ascii="Arial Narrow" w:hAnsi="Arial Narrow"/>
              </w:rPr>
            </w:pPr>
            <w:r w:rsidRPr="00C075E7">
              <w:rPr>
                <w:rFonts w:ascii="Arial Narrow" w:hAnsi="Arial Narrow"/>
              </w:rPr>
              <w:t>Emicizumab prophylaxis</w:t>
            </w:r>
          </w:p>
        </w:tc>
        <w:tc>
          <w:tcPr>
            <w:tcW w:w="907" w:type="pct"/>
          </w:tcPr>
          <w:p w14:paraId="40521CE9" w14:textId="6B811ECE"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w:t>
            </w:r>
            <w:r w:rsidR="00ED2C04">
              <w:rPr>
                <w:rFonts w:ascii="Arial Narrow" w:hAnsi="Arial Narrow"/>
              </w:rPr>
              <w:t>redacted</w:t>
            </w:r>
          </w:p>
        </w:tc>
        <w:tc>
          <w:tcPr>
            <w:tcW w:w="907" w:type="pct"/>
          </w:tcPr>
          <w:p w14:paraId="292BF61B" w14:textId="77777777"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w:t>
            </w:r>
          </w:p>
        </w:tc>
        <w:tc>
          <w:tcPr>
            <w:tcW w:w="907" w:type="pct"/>
          </w:tcPr>
          <w:p w14:paraId="168D2D06" w14:textId="5387A45E"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w:t>
            </w:r>
            <w:r w:rsidR="00ED2C04">
              <w:rPr>
                <w:rFonts w:ascii="Arial Narrow" w:hAnsi="Arial Narrow"/>
              </w:rPr>
              <w:t>redacted</w:t>
            </w:r>
          </w:p>
        </w:tc>
      </w:tr>
      <w:tr w:rsidR="00054E4D" w:rsidRPr="002A5D2C" w14:paraId="3DE5A898" w14:textId="77777777" w:rsidTr="00290FEC">
        <w:tc>
          <w:tcPr>
            <w:tcW w:w="2280" w:type="pct"/>
          </w:tcPr>
          <w:p w14:paraId="75794D3A" w14:textId="77777777" w:rsidR="00054E4D" w:rsidRPr="00C075E7" w:rsidRDefault="00054E4D" w:rsidP="00290FEC">
            <w:pPr>
              <w:pStyle w:val="TableText0"/>
              <w:spacing w:before="0" w:after="0"/>
              <w:ind w:left="-120"/>
              <w:rPr>
                <w:rFonts w:ascii="Arial Narrow" w:hAnsi="Arial Narrow"/>
              </w:rPr>
            </w:pPr>
            <w:r w:rsidRPr="00C075E7">
              <w:rPr>
                <w:rFonts w:ascii="Arial Narrow" w:hAnsi="Arial Narrow"/>
              </w:rPr>
              <w:t>Factor VIII prophylaxis</w:t>
            </w:r>
          </w:p>
        </w:tc>
        <w:tc>
          <w:tcPr>
            <w:tcW w:w="907" w:type="pct"/>
          </w:tcPr>
          <w:p w14:paraId="4994A09B" w14:textId="3000ADA4"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w:t>
            </w:r>
          </w:p>
        </w:tc>
        <w:tc>
          <w:tcPr>
            <w:tcW w:w="907" w:type="pct"/>
          </w:tcPr>
          <w:p w14:paraId="65E241EF" w14:textId="77777777"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$1,530.47</w:t>
            </w:r>
          </w:p>
        </w:tc>
        <w:tc>
          <w:tcPr>
            <w:tcW w:w="907" w:type="pct"/>
          </w:tcPr>
          <w:p w14:paraId="34084FAE" w14:textId="15B99AC5"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w:t>
            </w:r>
            <w:r w:rsidR="00ED2C04">
              <w:rPr>
                <w:rFonts w:ascii="Arial Narrow" w:hAnsi="Arial Narrow"/>
              </w:rPr>
              <w:t>redacted</w:t>
            </w:r>
          </w:p>
        </w:tc>
      </w:tr>
      <w:tr w:rsidR="00054E4D" w:rsidRPr="002A5D2C" w14:paraId="1FDA7874" w14:textId="77777777" w:rsidTr="00290FEC">
        <w:tc>
          <w:tcPr>
            <w:tcW w:w="2280" w:type="pct"/>
          </w:tcPr>
          <w:p w14:paraId="2E8195A7" w14:textId="77777777" w:rsidR="00054E4D" w:rsidRPr="00C075E7" w:rsidRDefault="00054E4D" w:rsidP="00290FEC">
            <w:pPr>
              <w:pStyle w:val="TableText0"/>
              <w:spacing w:before="0" w:after="0"/>
              <w:ind w:left="-120"/>
              <w:rPr>
                <w:rFonts w:ascii="Arial Narrow" w:hAnsi="Arial Narrow"/>
              </w:rPr>
            </w:pPr>
            <w:r w:rsidRPr="00C075E7">
              <w:rPr>
                <w:rFonts w:ascii="Arial Narrow" w:hAnsi="Arial Narrow"/>
              </w:rPr>
              <w:t>Factor VIII for breakthrough bleeds</w:t>
            </w:r>
          </w:p>
        </w:tc>
        <w:tc>
          <w:tcPr>
            <w:tcW w:w="907" w:type="pct"/>
          </w:tcPr>
          <w:p w14:paraId="3C56F79E" w14:textId="0C732B45"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w:t>
            </w:r>
            <w:r w:rsidR="00ED2C04">
              <w:rPr>
                <w:rFonts w:ascii="Arial Narrow" w:hAnsi="Arial Narrow"/>
              </w:rPr>
              <w:t>redacted</w:t>
            </w:r>
          </w:p>
        </w:tc>
        <w:tc>
          <w:tcPr>
            <w:tcW w:w="907" w:type="pct"/>
          </w:tcPr>
          <w:p w14:paraId="6F663AF8" w14:textId="77777777"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Included above</w:t>
            </w:r>
          </w:p>
        </w:tc>
        <w:tc>
          <w:tcPr>
            <w:tcW w:w="907" w:type="pct"/>
          </w:tcPr>
          <w:p w14:paraId="3FF11C60" w14:textId="394FB648"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w:t>
            </w:r>
            <w:r w:rsidR="00ED2C04">
              <w:rPr>
                <w:rFonts w:ascii="Arial Narrow" w:hAnsi="Arial Narrow"/>
              </w:rPr>
              <w:t>redacted</w:t>
            </w:r>
          </w:p>
        </w:tc>
      </w:tr>
      <w:tr w:rsidR="00054E4D" w:rsidRPr="002A5D2C" w14:paraId="46BA2CC6" w14:textId="77777777" w:rsidTr="00290FEC">
        <w:tc>
          <w:tcPr>
            <w:tcW w:w="2280" w:type="pct"/>
          </w:tcPr>
          <w:p w14:paraId="1B4BAAFF" w14:textId="77777777" w:rsidR="00054E4D" w:rsidRPr="00C075E7" w:rsidRDefault="00054E4D" w:rsidP="00290FEC">
            <w:pPr>
              <w:pStyle w:val="TableText0"/>
              <w:spacing w:before="0" w:after="0"/>
              <w:ind w:left="-120"/>
              <w:rPr>
                <w:rFonts w:ascii="Arial Narrow" w:hAnsi="Arial Narrow"/>
              </w:rPr>
            </w:pPr>
            <w:r w:rsidRPr="00C075E7">
              <w:rPr>
                <w:rFonts w:ascii="Arial Narrow" w:hAnsi="Arial Narrow"/>
              </w:rPr>
              <w:t>Total annual treatment cost</w:t>
            </w:r>
          </w:p>
        </w:tc>
        <w:tc>
          <w:tcPr>
            <w:tcW w:w="907" w:type="pct"/>
          </w:tcPr>
          <w:p w14:paraId="40EBBC99" w14:textId="4210B52F"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w:t>
            </w:r>
            <w:r w:rsidR="00ED2C04">
              <w:rPr>
                <w:rFonts w:ascii="Arial Narrow" w:hAnsi="Arial Narrow"/>
              </w:rPr>
              <w:t>redacted</w:t>
            </w:r>
          </w:p>
        </w:tc>
        <w:tc>
          <w:tcPr>
            <w:tcW w:w="907" w:type="pct"/>
          </w:tcPr>
          <w:p w14:paraId="2EAF09C2" w14:textId="77777777"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$1,530.47</w:t>
            </w:r>
          </w:p>
        </w:tc>
        <w:tc>
          <w:tcPr>
            <w:tcW w:w="907" w:type="pct"/>
          </w:tcPr>
          <w:p w14:paraId="0C161898" w14:textId="16039B6D" w:rsidR="00054E4D" w:rsidRPr="00C075E7" w:rsidRDefault="00054E4D" w:rsidP="00290FEC">
            <w:pPr>
              <w:pStyle w:val="TableText0"/>
              <w:spacing w:before="0" w:after="0"/>
              <w:ind w:left="-120"/>
              <w:jc w:val="center"/>
              <w:rPr>
                <w:rFonts w:ascii="Arial Narrow" w:hAnsi="Arial Narrow"/>
              </w:rPr>
            </w:pPr>
            <w:r w:rsidRPr="00C075E7">
              <w:rPr>
                <w:rFonts w:ascii="Arial Narrow" w:hAnsi="Arial Narrow"/>
              </w:rPr>
              <w:t>-$</w:t>
            </w:r>
            <w:r w:rsidR="00ED2C04">
              <w:rPr>
                <w:rFonts w:ascii="Arial Narrow" w:hAnsi="Arial Narrow"/>
              </w:rPr>
              <w:t>redacted</w:t>
            </w:r>
          </w:p>
        </w:tc>
      </w:tr>
    </w:tbl>
    <w:p w14:paraId="4B948935" w14:textId="59688EB3" w:rsidR="00054E4D" w:rsidRDefault="00054E4D" w:rsidP="00BC72A9">
      <w:pPr>
        <w:spacing w:before="240" w:after="240"/>
      </w:pPr>
      <w:r>
        <w:t xml:space="preserve">The Critique highlighted two major areas of uncertainty. </w:t>
      </w:r>
      <w:r w:rsidRPr="00F16D23">
        <w:t xml:space="preserve">Firstly, annual </w:t>
      </w:r>
      <w:r>
        <w:t xml:space="preserve">costs of </w:t>
      </w:r>
      <w:r w:rsidRPr="00F16D23">
        <w:t xml:space="preserve">FVIII </w:t>
      </w:r>
      <w:r>
        <w:t>prophylaxis</w:t>
      </w:r>
      <w:r w:rsidRPr="00F16D23">
        <w:t xml:space="preserve"> are derived from the </w:t>
      </w:r>
      <w:r>
        <w:t xml:space="preserve">reported </w:t>
      </w:r>
      <w:r w:rsidRPr="00F16D23">
        <w:t xml:space="preserve">data of FVIII use in Australia, reported by Mason et al (2018) and in </w:t>
      </w:r>
      <w:r w:rsidRPr="00D526DD">
        <w:t>Australian Bleeding Disorders Registry</w:t>
      </w:r>
      <w:r>
        <w:t xml:space="preserve"> (</w:t>
      </w:r>
      <w:r w:rsidRPr="00F16D23">
        <w:t>ABDR</w:t>
      </w:r>
      <w:r>
        <w:t>)</w:t>
      </w:r>
      <w:r w:rsidRPr="00F16D23">
        <w:t xml:space="preserve"> annual reports. These estimates include wastage and compliance, whereas </w:t>
      </w:r>
      <w:r>
        <w:t xml:space="preserve">the modelled estimates of </w:t>
      </w:r>
      <w:r w:rsidRPr="00F16D23">
        <w:t xml:space="preserve">emicizumab usage does not. </w:t>
      </w:r>
      <w:r>
        <w:t>However, as c</w:t>
      </w:r>
      <w:r w:rsidRPr="00F16D23">
        <w:t xml:space="preserve">ompliance with emicizumab is likely to be higher than </w:t>
      </w:r>
      <w:r>
        <w:t xml:space="preserve">with </w:t>
      </w:r>
      <w:r w:rsidRPr="00F16D23">
        <w:t xml:space="preserve">FVIII </w:t>
      </w:r>
      <w:r>
        <w:t>prophylaxis</w:t>
      </w:r>
      <w:r w:rsidRPr="00F16D23">
        <w:t>, this assumption favours the comparator. In contrast,</w:t>
      </w:r>
      <w:r>
        <w:t xml:space="preserve"> the submission’s modelling assumption that there would be no</w:t>
      </w:r>
      <w:r w:rsidRPr="00F16D23">
        <w:t xml:space="preserve"> emicizumab wastage</w:t>
      </w:r>
      <w:r>
        <w:t xml:space="preserve"> </w:t>
      </w:r>
      <w:r w:rsidRPr="00F16D23">
        <w:t>favours the intervention</w:t>
      </w:r>
      <w:r>
        <w:t xml:space="preserve"> (relative to wastage and compliance of FVIII prophylaxis included in the observed Australian data (Mason et al. 2018; and annual ABDR reports)</w:t>
      </w:r>
      <w:r w:rsidRPr="00F16D23">
        <w:t xml:space="preserve">. Secondly, on-demand patients may </w:t>
      </w:r>
      <w:r w:rsidRPr="00F16D23">
        <w:lastRenderedPageBreak/>
        <w:t xml:space="preserve">adopt emicizumab. The volume of FVIII used per year among on-demand patients is lower than that for </w:t>
      </w:r>
      <w:r>
        <w:t>prophylaxis. The Critique’s additional sensitivity analyses confirmed that compliance with emicizumab, and the proportion of on-demand and prophylaxis treatment patients in the comparator arm, were key driver assumptions for the cost estimates.</w:t>
      </w:r>
    </w:p>
    <w:p w14:paraId="1C60999C" w14:textId="25F95C80" w:rsidR="00054E4D" w:rsidRDefault="00054E4D" w:rsidP="00054E4D">
      <w:r w:rsidRPr="00F16D23">
        <w:t xml:space="preserve">The </w:t>
      </w:r>
      <w:r>
        <w:t>ex</w:t>
      </w:r>
      <w:r w:rsidRPr="00F16D23">
        <w:t xml:space="preserve">clusion of </w:t>
      </w:r>
      <w:r>
        <w:t xml:space="preserve">the </w:t>
      </w:r>
      <w:r w:rsidRPr="00F16D23">
        <w:t>on-demand sub</w:t>
      </w:r>
      <w:r>
        <w:t>groups</w:t>
      </w:r>
      <w:r w:rsidRPr="00F16D23">
        <w:t xml:space="preserve"> results in a higher emicizumab price to achieve cost</w:t>
      </w:r>
      <w:r>
        <w:t xml:space="preserve"> parity</w:t>
      </w:r>
      <w:r w:rsidRPr="00F16D23">
        <w:t xml:space="preserve"> with current FVIII usage than if on-demand patients were included in the </w:t>
      </w:r>
      <w:r>
        <w:t xml:space="preserve">eligible </w:t>
      </w:r>
      <w:r w:rsidRPr="00F16D23">
        <w:t>patient population.</w:t>
      </w:r>
      <w:r>
        <w:t xml:space="preserve"> This explains the net cost increase in</w:t>
      </w:r>
      <w:r w:rsidR="004347FB">
        <w:t xml:space="preserve"> the financial analyses (Table </w:t>
      </w:r>
      <w:r w:rsidR="00FE478C">
        <w:t>9</w:t>
      </w:r>
      <w:r>
        <w:t>), which includes all requested subgroups in the overall non-inhibitor HMA sub-population.</w:t>
      </w:r>
    </w:p>
    <w:p w14:paraId="40F1C9F7" w14:textId="77777777" w:rsidR="00BC1364" w:rsidRPr="00F715D1" w:rsidRDefault="00BC1364" w:rsidP="00F715D1">
      <w:pPr>
        <w:pStyle w:val="Heading1"/>
      </w:pPr>
      <w:r w:rsidRPr="00F715D1">
        <w:t>Financial/budgetary impacts</w:t>
      </w:r>
      <w:bookmarkStart w:id="16" w:name="_GoBack"/>
      <w:bookmarkEnd w:id="16"/>
    </w:p>
    <w:p w14:paraId="5B4695D2" w14:textId="3BAD77A0" w:rsidR="00054E4D" w:rsidRDefault="00054E4D" w:rsidP="00BC72A9">
      <w:pPr>
        <w:spacing w:after="240"/>
      </w:pPr>
      <w:r>
        <w:t>An epidemiological approach was used to estimate the</w:t>
      </w:r>
      <w:r w:rsidR="004347FB">
        <w:t xml:space="preserve"> financial implications (Table </w:t>
      </w:r>
      <w:r w:rsidR="00FE478C">
        <w:t>9</w:t>
      </w:r>
      <w:r>
        <w:t>).</w:t>
      </w:r>
    </w:p>
    <w:p w14:paraId="3DEE7228" w14:textId="4129C73D" w:rsidR="00054E4D" w:rsidRPr="006F64E6" w:rsidRDefault="00054E4D" w:rsidP="006F64E6">
      <w:pPr>
        <w:rPr>
          <w:rFonts w:ascii="Arial Narrow" w:hAnsi="Arial Narrow"/>
          <w:b/>
          <w:sz w:val="20"/>
        </w:rPr>
      </w:pPr>
      <w:bookmarkStart w:id="17" w:name="_Ref521022205"/>
      <w:bookmarkStart w:id="18" w:name="_Toc523234929"/>
      <w:bookmarkStart w:id="19" w:name="_Toc523381443"/>
      <w:bookmarkStart w:id="20" w:name="_Toc523407749"/>
      <w:bookmarkStart w:id="21" w:name="_Toc6667124"/>
      <w:r w:rsidRPr="006F64E6">
        <w:rPr>
          <w:rFonts w:ascii="Arial Narrow" w:hAnsi="Arial Narrow"/>
          <w:b/>
          <w:sz w:val="20"/>
        </w:rPr>
        <w:t xml:space="preserve">Table </w:t>
      </w:r>
      <w:bookmarkEnd w:id="17"/>
      <w:r w:rsidR="00FE478C" w:rsidRPr="006F64E6">
        <w:rPr>
          <w:rFonts w:ascii="Arial Narrow" w:hAnsi="Arial Narrow"/>
          <w:b/>
          <w:sz w:val="20"/>
        </w:rPr>
        <w:t>9</w:t>
      </w:r>
      <w:r w:rsidRPr="006F64E6">
        <w:rPr>
          <w:rFonts w:ascii="Arial Narrow" w:hAnsi="Arial Narrow"/>
          <w:b/>
          <w:sz w:val="20"/>
        </w:rPr>
        <w:tab/>
        <w:t>Final cost summary and the net cost to the NPL over the five-year prediction</w:t>
      </w:r>
      <w:bookmarkEnd w:id="18"/>
      <w:bookmarkEnd w:id="19"/>
      <w:bookmarkEnd w:id="20"/>
      <w:bookmarkEnd w:id="21"/>
    </w:p>
    <w:tbl>
      <w:tblPr>
        <w:tblStyle w:val="TableGrid"/>
        <w:tblW w:w="4888" w:type="pct"/>
        <w:tblLook w:val="04A0" w:firstRow="1" w:lastRow="0" w:firstColumn="1" w:lastColumn="0" w:noHBand="0" w:noVBand="1"/>
        <w:tblCaption w:val="Final cost summary and the net cost to the NPL over the five-year prediction"/>
        <w:tblDescription w:val="This table provides a summary of the financial impact of the proposed new medical service over the next five years."/>
      </w:tblPr>
      <w:tblGrid>
        <w:gridCol w:w="1597"/>
        <w:gridCol w:w="1881"/>
        <w:gridCol w:w="1883"/>
        <w:gridCol w:w="1174"/>
        <w:gridCol w:w="1174"/>
        <w:gridCol w:w="1105"/>
      </w:tblGrid>
      <w:tr w:rsidR="00054E4D" w:rsidRPr="000242C4" w14:paraId="11075652" w14:textId="77777777" w:rsidTr="00290FEC">
        <w:trPr>
          <w:trHeight w:val="300"/>
          <w:tblHeader/>
        </w:trPr>
        <w:tc>
          <w:tcPr>
            <w:tcW w:w="906" w:type="pct"/>
          </w:tcPr>
          <w:p w14:paraId="7F9E2C56" w14:textId="77777777" w:rsidR="00054E4D" w:rsidRPr="000242C4" w:rsidRDefault="00054E4D" w:rsidP="0010250B">
            <w:pPr>
              <w:pStyle w:val="Tabletext"/>
              <w:spacing w:before="0" w:after="0"/>
              <w:rPr>
                <w:b/>
              </w:rPr>
            </w:pPr>
          </w:p>
        </w:tc>
        <w:tc>
          <w:tcPr>
            <w:tcW w:w="1067" w:type="pct"/>
          </w:tcPr>
          <w:p w14:paraId="7217EE34" w14:textId="77777777" w:rsidR="00054E4D" w:rsidRPr="000242C4" w:rsidRDefault="00054E4D" w:rsidP="0010250B">
            <w:pPr>
              <w:pStyle w:val="Tabletext"/>
              <w:spacing w:before="0" w:after="0"/>
              <w:jc w:val="center"/>
              <w:rPr>
                <w:b/>
              </w:rPr>
            </w:pPr>
            <w:r w:rsidRPr="000242C4">
              <w:rPr>
                <w:b/>
              </w:rPr>
              <w:t>Year 1</w:t>
            </w:r>
          </w:p>
        </w:tc>
        <w:tc>
          <w:tcPr>
            <w:tcW w:w="1068" w:type="pct"/>
          </w:tcPr>
          <w:p w14:paraId="1B1A309C" w14:textId="77777777" w:rsidR="00054E4D" w:rsidRPr="000242C4" w:rsidRDefault="00054E4D" w:rsidP="0010250B">
            <w:pPr>
              <w:pStyle w:val="Tabletext"/>
              <w:spacing w:before="0" w:after="0"/>
              <w:jc w:val="center"/>
              <w:rPr>
                <w:b/>
              </w:rPr>
            </w:pPr>
            <w:r w:rsidRPr="000242C4">
              <w:rPr>
                <w:b/>
              </w:rPr>
              <w:t>Year 2</w:t>
            </w:r>
          </w:p>
        </w:tc>
        <w:tc>
          <w:tcPr>
            <w:tcW w:w="666" w:type="pct"/>
          </w:tcPr>
          <w:p w14:paraId="56C7A3EB" w14:textId="77777777" w:rsidR="00054E4D" w:rsidRPr="000242C4" w:rsidRDefault="00054E4D" w:rsidP="0010250B">
            <w:pPr>
              <w:pStyle w:val="Tabletext"/>
              <w:spacing w:before="0" w:after="0"/>
              <w:jc w:val="center"/>
              <w:rPr>
                <w:b/>
              </w:rPr>
            </w:pPr>
            <w:r w:rsidRPr="000242C4">
              <w:rPr>
                <w:b/>
              </w:rPr>
              <w:t>Year 3</w:t>
            </w:r>
          </w:p>
        </w:tc>
        <w:tc>
          <w:tcPr>
            <w:tcW w:w="666" w:type="pct"/>
          </w:tcPr>
          <w:p w14:paraId="43E840A4" w14:textId="77777777" w:rsidR="00054E4D" w:rsidRPr="000242C4" w:rsidRDefault="00054E4D" w:rsidP="0010250B">
            <w:pPr>
              <w:pStyle w:val="Tabletext"/>
              <w:spacing w:before="0" w:after="0"/>
              <w:jc w:val="center"/>
              <w:rPr>
                <w:b/>
              </w:rPr>
            </w:pPr>
            <w:r w:rsidRPr="000242C4">
              <w:rPr>
                <w:b/>
              </w:rPr>
              <w:t>Year 4</w:t>
            </w:r>
          </w:p>
        </w:tc>
        <w:tc>
          <w:tcPr>
            <w:tcW w:w="627" w:type="pct"/>
          </w:tcPr>
          <w:p w14:paraId="4004BE5A" w14:textId="77777777" w:rsidR="00054E4D" w:rsidRPr="000242C4" w:rsidRDefault="00054E4D" w:rsidP="0010250B">
            <w:pPr>
              <w:pStyle w:val="Tabletext"/>
              <w:spacing w:before="0" w:after="0"/>
              <w:jc w:val="center"/>
              <w:rPr>
                <w:b/>
              </w:rPr>
            </w:pPr>
            <w:r w:rsidRPr="000242C4">
              <w:rPr>
                <w:b/>
              </w:rPr>
              <w:t>Year 5</w:t>
            </w:r>
          </w:p>
        </w:tc>
      </w:tr>
      <w:tr w:rsidR="00054E4D" w:rsidRPr="001C6BDD" w14:paraId="1A500485" w14:textId="77777777" w:rsidTr="00290FEC">
        <w:trPr>
          <w:trHeight w:val="300"/>
        </w:trPr>
        <w:tc>
          <w:tcPr>
            <w:tcW w:w="5000" w:type="pct"/>
            <w:gridSpan w:val="6"/>
          </w:tcPr>
          <w:p w14:paraId="6187302C" w14:textId="77777777" w:rsidR="00054E4D" w:rsidRPr="001C6BDD" w:rsidRDefault="00054E4D" w:rsidP="0010250B">
            <w:pPr>
              <w:pStyle w:val="Tabletext"/>
              <w:spacing w:before="0" w:after="0"/>
              <w:rPr>
                <w:b/>
              </w:rPr>
            </w:pPr>
            <w:r w:rsidRPr="001C6BDD">
              <w:rPr>
                <w:b/>
              </w:rPr>
              <w:t>Patients treated</w:t>
            </w:r>
          </w:p>
        </w:tc>
      </w:tr>
      <w:tr w:rsidR="00A040E4" w:rsidRPr="001C6BDD" w14:paraId="1F07901D" w14:textId="77777777" w:rsidTr="00290FEC">
        <w:trPr>
          <w:trHeight w:val="300"/>
        </w:trPr>
        <w:tc>
          <w:tcPr>
            <w:tcW w:w="906" w:type="pct"/>
          </w:tcPr>
          <w:p w14:paraId="0ACA1173" w14:textId="77777777" w:rsidR="00A040E4" w:rsidRPr="001C6BDD" w:rsidRDefault="00A040E4" w:rsidP="00A040E4">
            <w:pPr>
              <w:pStyle w:val="Tabletext"/>
              <w:spacing w:before="0" w:after="0"/>
            </w:pPr>
            <w:r w:rsidRPr="001C6BDD">
              <w:t>Adult</w:t>
            </w:r>
          </w:p>
        </w:tc>
        <w:tc>
          <w:tcPr>
            <w:tcW w:w="1067" w:type="pct"/>
          </w:tcPr>
          <w:p w14:paraId="050C25EC" w14:textId="71D6217C" w:rsidR="00A040E4" w:rsidRPr="00F229C3" w:rsidRDefault="00A040E4" w:rsidP="00A040E4">
            <w:pPr>
              <w:pStyle w:val="Tabletext"/>
              <w:spacing w:before="0" w:after="0"/>
              <w:jc w:val="center"/>
              <w:rPr>
                <w:b/>
              </w:rPr>
            </w:pPr>
            <w:r w:rsidRPr="00F229C3">
              <w:rPr>
                <w:b/>
              </w:rPr>
              <w:t>redacted</w:t>
            </w:r>
          </w:p>
        </w:tc>
        <w:tc>
          <w:tcPr>
            <w:tcW w:w="1068" w:type="pct"/>
          </w:tcPr>
          <w:p w14:paraId="3E178A9A" w14:textId="0B270768" w:rsidR="00A040E4" w:rsidRPr="001C6BDD" w:rsidRDefault="00A040E4" w:rsidP="00A040E4">
            <w:pPr>
              <w:pStyle w:val="Tabletext"/>
              <w:spacing w:before="0" w:after="0"/>
              <w:jc w:val="center"/>
            </w:pPr>
            <w:r w:rsidRPr="00F229C3">
              <w:rPr>
                <w:b/>
              </w:rPr>
              <w:t>redacted</w:t>
            </w:r>
          </w:p>
        </w:tc>
        <w:tc>
          <w:tcPr>
            <w:tcW w:w="666" w:type="pct"/>
          </w:tcPr>
          <w:p w14:paraId="282D14CE" w14:textId="3761EA24" w:rsidR="00A040E4" w:rsidRPr="001C6BDD" w:rsidRDefault="00A040E4" w:rsidP="00A040E4">
            <w:pPr>
              <w:pStyle w:val="Tabletext"/>
              <w:spacing w:before="0" w:after="0"/>
              <w:jc w:val="center"/>
            </w:pPr>
            <w:r w:rsidRPr="00F229C3">
              <w:rPr>
                <w:b/>
              </w:rPr>
              <w:t>redacted</w:t>
            </w:r>
          </w:p>
        </w:tc>
        <w:tc>
          <w:tcPr>
            <w:tcW w:w="666" w:type="pct"/>
          </w:tcPr>
          <w:p w14:paraId="6483FB06" w14:textId="62FD1C22" w:rsidR="00A040E4" w:rsidRPr="001C6BDD" w:rsidRDefault="00A040E4" w:rsidP="00A040E4">
            <w:pPr>
              <w:pStyle w:val="Tabletext"/>
              <w:spacing w:before="0" w:after="0"/>
              <w:jc w:val="center"/>
            </w:pPr>
            <w:r w:rsidRPr="00F229C3">
              <w:rPr>
                <w:b/>
              </w:rPr>
              <w:t>redacted</w:t>
            </w:r>
          </w:p>
        </w:tc>
        <w:tc>
          <w:tcPr>
            <w:tcW w:w="627" w:type="pct"/>
          </w:tcPr>
          <w:p w14:paraId="36420D5E" w14:textId="2E2D8051" w:rsidR="00A040E4" w:rsidRPr="001C6BDD" w:rsidRDefault="00A040E4" w:rsidP="00A040E4">
            <w:pPr>
              <w:pStyle w:val="Tabletext"/>
              <w:spacing w:before="0" w:after="0"/>
              <w:jc w:val="center"/>
            </w:pPr>
            <w:r w:rsidRPr="00F229C3">
              <w:rPr>
                <w:b/>
              </w:rPr>
              <w:t>redacted</w:t>
            </w:r>
          </w:p>
        </w:tc>
      </w:tr>
      <w:tr w:rsidR="00A040E4" w:rsidRPr="001C6BDD" w14:paraId="671F01B2" w14:textId="77777777" w:rsidTr="00290FEC">
        <w:trPr>
          <w:trHeight w:val="300"/>
        </w:trPr>
        <w:tc>
          <w:tcPr>
            <w:tcW w:w="906" w:type="pct"/>
          </w:tcPr>
          <w:p w14:paraId="00306E86" w14:textId="6B251343" w:rsidR="00A040E4" w:rsidRPr="001C6BDD" w:rsidRDefault="00A040E4" w:rsidP="00A040E4">
            <w:pPr>
              <w:pStyle w:val="Tabletext"/>
              <w:spacing w:before="0" w:after="0"/>
            </w:pPr>
            <w:r>
              <w:t xml:space="preserve">  </w:t>
            </w:r>
            <w:r w:rsidRPr="001C6BDD">
              <w:t>severe HMA</w:t>
            </w:r>
          </w:p>
        </w:tc>
        <w:tc>
          <w:tcPr>
            <w:tcW w:w="1067" w:type="pct"/>
          </w:tcPr>
          <w:p w14:paraId="5D0CB0D1" w14:textId="69AF3355" w:rsidR="00A040E4" w:rsidRPr="00F229C3" w:rsidRDefault="00A040E4" w:rsidP="00A040E4">
            <w:pPr>
              <w:pStyle w:val="Tabletext"/>
              <w:spacing w:before="0" w:after="0"/>
              <w:jc w:val="center"/>
              <w:rPr>
                <w:b/>
              </w:rPr>
            </w:pPr>
            <w:r w:rsidRPr="00F229C3">
              <w:rPr>
                <w:b/>
              </w:rPr>
              <w:t>redacted</w:t>
            </w:r>
          </w:p>
        </w:tc>
        <w:tc>
          <w:tcPr>
            <w:tcW w:w="1068" w:type="pct"/>
          </w:tcPr>
          <w:p w14:paraId="4AE82D39" w14:textId="6FE723F2" w:rsidR="00A040E4" w:rsidRPr="001C6BDD" w:rsidRDefault="00A040E4" w:rsidP="00A040E4">
            <w:pPr>
              <w:pStyle w:val="Tabletext"/>
              <w:spacing w:before="0" w:after="0"/>
              <w:jc w:val="center"/>
            </w:pPr>
            <w:r w:rsidRPr="00F229C3">
              <w:rPr>
                <w:b/>
              </w:rPr>
              <w:t>redacted</w:t>
            </w:r>
          </w:p>
        </w:tc>
        <w:tc>
          <w:tcPr>
            <w:tcW w:w="666" w:type="pct"/>
          </w:tcPr>
          <w:p w14:paraId="481BD021" w14:textId="064C6B6E" w:rsidR="00A040E4" w:rsidRPr="001C6BDD" w:rsidRDefault="00A040E4" w:rsidP="00A040E4">
            <w:pPr>
              <w:pStyle w:val="Tabletext"/>
              <w:spacing w:before="0" w:after="0"/>
              <w:jc w:val="center"/>
            </w:pPr>
            <w:r w:rsidRPr="00F229C3">
              <w:rPr>
                <w:b/>
              </w:rPr>
              <w:t>redacted</w:t>
            </w:r>
          </w:p>
        </w:tc>
        <w:tc>
          <w:tcPr>
            <w:tcW w:w="666" w:type="pct"/>
          </w:tcPr>
          <w:p w14:paraId="6E0C5575" w14:textId="316F5F16" w:rsidR="00A040E4" w:rsidRPr="001C6BDD" w:rsidRDefault="00A040E4" w:rsidP="00A040E4">
            <w:pPr>
              <w:pStyle w:val="Tabletext"/>
              <w:spacing w:before="0" w:after="0"/>
              <w:jc w:val="center"/>
            </w:pPr>
            <w:r w:rsidRPr="00F229C3">
              <w:rPr>
                <w:b/>
              </w:rPr>
              <w:t>redacted</w:t>
            </w:r>
          </w:p>
        </w:tc>
        <w:tc>
          <w:tcPr>
            <w:tcW w:w="627" w:type="pct"/>
          </w:tcPr>
          <w:p w14:paraId="6A3750AE" w14:textId="7B11AE85" w:rsidR="00A040E4" w:rsidRPr="001C6BDD" w:rsidRDefault="00A040E4" w:rsidP="00A040E4">
            <w:pPr>
              <w:pStyle w:val="Tabletext"/>
              <w:spacing w:before="0" w:after="0"/>
              <w:jc w:val="center"/>
            </w:pPr>
            <w:r w:rsidRPr="00F229C3">
              <w:rPr>
                <w:b/>
              </w:rPr>
              <w:t>redacted</w:t>
            </w:r>
          </w:p>
        </w:tc>
      </w:tr>
      <w:tr w:rsidR="00A040E4" w:rsidRPr="001C6BDD" w14:paraId="2F767430" w14:textId="77777777" w:rsidTr="00290FEC">
        <w:trPr>
          <w:trHeight w:val="300"/>
        </w:trPr>
        <w:tc>
          <w:tcPr>
            <w:tcW w:w="906" w:type="pct"/>
          </w:tcPr>
          <w:p w14:paraId="2B90E561" w14:textId="0A983586" w:rsidR="00A040E4" w:rsidRPr="001C6BDD" w:rsidRDefault="00A040E4" w:rsidP="00A040E4">
            <w:pPr>
              <w:pStyle w:val="Tabletext"/>
              <w:spacing w:before="0" w:after="0"/>
            </w:pPr>
            <w:r>
              <w:t xml:space="preserve">  </w:t>
            </w:r>
            <w:r w:rsidRPr="001C6BDD">
              <w:t>moderate HMA</w:t>
            </w:r>
          </w:p>
        </w:tc>
        <w:tc>
          <w:tcPr>
            <w:tcW w:w="1067" w:type="pct"/>
          </w:tcPr>
          <w:p w14:paraId="70BC7A4D" w14:textId="541DF7CA" w:rsidR="00A040E4" w:rsidRPr="00F229C3" w:rsidRDefault="00A040E4" w:rsidP="00A040E4">
            <w:pPr>
              <w:pStyle w:val="Tabletext"/>
              <w:spacing w:before="0" w:after="0"/>
              <w:jc w:val="center"/>
              <w:rPr>
                <w:b/>
              </w:rPr>
            </w:pPr>
            <w:r w:rsidRPr="00F229C3">
              <w:rPr>
                <w:b/>
              </w:rPr>
              <w:t>redacted</w:t>
            </w:r>
          </w:p>
        </w:tc>
        <w:tc>
          <w:tcPr>
            <w:tcW w:w="1068" w:type="pct"/>
          </w:tcPr>
          <w:p w14:paraId="09ACC16E" w14:textId="1620AC68" w:rsidR="00A040E4" w:rsidRPr="001C6BDD" w:rsidRDefault="00A040E4" w:rsidP="00A040E4">
            <w:pPr>
              <w:pStyle w:val="Tabletext"/>
              <w:spacing w:before="0" w:after="0"/>
              <w:jc w:val="center"/>
            </w:pPr>
            <w:r w:rsidRPr="00F229C3">
              <w:rPr>
                <w:b/>
              </w:rPr>
              <w:t>redacted</w:t>
            </w:r>
          </w:p>
        </w:tc>
        <w:tc>
          <w:tcPr>
            <w:tcW w:w="666" w:type="pct"/>
          </w:tcPr>
          <w:p w14:paraId="43854A57" w14:textId="0D15C00D" w:rsidR="00A040E4" w:rsidRPr="001C6BDD" w:rsidRDefault="00A040E4" w:rsidP="00A040E4">
            <w:pPr>
              <w:pStyle w:val="Tabletext"/>
              <w:spacing w:before="0" w:after="0"/>
              <w:jc w:val="center"/>
            </w:pPr>
            <w:r w:rsidRPr="00F229C3">
              <w:rPr>
                <w:b/>
              </w:rPr>
              <w:t>redacted</w:t>
            </w:r>
          </w:p>
        </w:tc>
        <w:tc>
          <w:tcPr>
            <w:tcW w:w="666" w:type="pct"/>
          </w:tcPr>
          <w:p w14:paraId="6B81B9FA" w14:textId="7AB9FF03" w:rsidR="00A040E4" w:rsidRPr="001C6BDD" w:rsidRDefault="00A040E4" w:rsidP="00A040E4">
            <w:pPr>
              <w:pStyle w:val="Tabletext"/>
              <w:spacing w:before="0" w:after="0"/>
              <w:jc w:val="center"/>
            </w:pPr>
            <w:r w:rsidRPr="00F229C3">
              <w:rPr>
                <w:b/>
              </w:rPr>
              <w:t>redacted</w:t>
            </w:r>
          </w:p>
        </w:tc>
        <w:tc>
          <w:tcPr>
            <w:tcW w:w="627" w:type="pct"/>
          </w:tcPr>
          <w:p w14:paraId="6AC8ABDF" w14:textId="5F846C1F" w:rsidR="00A040E4" w:rsidRPr="001C6BDD" w:rsidRDefault="00A040E4" w:rsidP="00A040E4">
            <w:pPr>
              <w:pStyle w:val="Tabletext"/>
              <w:spacing w:before="0" w:after="0"/>
              <w:jc w:val="center"/>
            </w:pPr>
            <w:r w:rsidRPr="00F229C3">
              <w:rPr>
                <w:b/>
              </w:rPr>
              <w:t>redacted</w:t>
            </w:r>
          </w:p>
        </w:tc>
      </w:tr>
      <w:tr w:rsidR="00A040E4" w:rsidRPr="001C6BDD" w14:paraId="04E4BCB0" w14:textId="77777777" w:rsidTr="00290FEC">
        <w:trPr>
          <w:trHeight w:val="300"/>
        </w:trPr>
        <w:tc>
          <w:tcPr>
            <w:tcW w:w="906" w:type="pct"/>
          </w:tcPr>
          <w:p w14:paraId="6E5417BF" w14:textId="77777777" w:rsidR="00A040E4" w:rsidRPr="001C6BDD" w:rsidRDefault="00A040E4" w:rsidP="00A040E4">
            <w:pPr>
              <w:pStyle w:val="Tabletext"/>
              <w:spacing w:before="0" w:after="0"/>
            </w:pPr>
            <w:r w:rsidRPr="001C6BDD">
              <w:t>Paediatric</w:t>
            </w:r>
          </w:p>
        </w:tc>
        <w:tc>
          <w:tcPr>
            <w:tcW w:w="1067" w:type="pct"/>
          </w:tcPr>
          <w:p w14:paraId="2B1FF113" w14:textId="0B08B94A" w:rsidR="00A040E4" w:rsidRPr="00F229C3" w:rsidRDefault="00A040E4" w:rsidP="00A040E4">
            <w:pPr>
              <w:pStyle w:val="Tabletext"/>
              <w:spacing w:before="0" w:after="0"/>
              <w:jc w:val="center"/>
              <w:rPr>
                <w:b/>
              </w:rPr>
            </w:pPr>
            <w:r w:rsidRPr="00F229C3">
              <w:rPr>
                <w:b/>
              </w:rPr>
              <w:t>redacted</w:t>
            </w:r>
          </w:p>
        </w:tc>
        <w:tc>
          <w:tcPr>
            <w:tcW w:w="1068" w:type="pct"/>
          </w:tcPr>
          <w:p w14:paraId="037034F5" w14:textId="212BCD1B" w:rsidR="00A040E4" w:rsidRPr="001C6BDD" w:rsidRDefault="00A040E4" w:rsidP="00A040E4">
            <w:pPr>
              <w:pStyle w:val="Tabletext"/>
              <w:spacing w:before="0" w:after="0"/>
              <w:jc w:val="center"/>
            </w:pPr>
            <w:r w:rsidRPr="00F229C3">
              <w:rPr>
                <w:b/>
              </w:rPr>
              <w:t>redacted</w:t>
            </w:r>
          </w:p>
        </w:tc>
        <w:tc>
          <w:tcPr>
            <w:tcW w:w="666" w:type="pct"/>
          </w:tcPr>
          <w:p w14:paraId="02AC4053" w14:textId="456A4AB6" w:rsidR="00A040E4" w:rsidRPr="001C6BDD" w:rsidRDefault="00A040E4" w:rsidP="00A040E4">
            <w:pPr>
              <w:pStyle w:val="Tabletext"/>
              <w:spacing w:before="0" w:after="0"/>
              <w:jc w:val="center"/>
            </w:pPr>
            <w:r w:rsidRPr="00F229C3">
              <w:rPr>
                <w:b/>
              </w:rPr>
              <w:t>redacted</w:t>
            </w:r>
          </w:p>
        </w:tc>
        <w:tc>
          <w:tcPr>
            <w:tcW w:w="666" w:type="pct"/>
          </w:tcPr>
          <w:p w14:paraId="252C4ECD" w14:textId="317E4A31" w:rsidR="00A040E4" w:rsidRPr="001C6BDD" w:rsidRDefault="00A040E4" w:rsidP="00A040E4">
            <w:pPr>
              <w:pStyle w:val="Tabletext"/>
              <w:spacing w:before="0" w:after="0"/>
              <w:jc w:val="center"/>
            </w:pPr>
            <w:r w:rsidRPr="00F229C3">
              <w:rPr>
                <w:b/>
              </w:rPr>
              <w:t>redacted</w:t>
            </w:r>
          </w:p>
        </w:tc>
        <w:tc>
          <w:tcPr>
            <w:tcW w:w="627" w:type="pct"/>
          </w:tcPr>
          <w:p w14:paraId="2FD7CD1E" w14:textId="294AE5BD" w:rsidR="00A040E4" w:rsidRPr="001C6BDD" w:rsidRDefault="00A040E4" w:rsidP="00A040E4">
            <w:pPr>
              <w:pStyle w:val="Tabletext"/>
              <w:spacing w:before="0" w:after="0"/>
              <w:jc w:val="center"/>
            </w:pPr>
            <w:r w:rsidRPr="00F229C3">
              <w:rPr>
                <w:b/>
              </w:rPr>
              <w:t>redacted</w:t>
            </w:r>
          </w:p>
        </w:tc>
      </w:tr>
      <w:tr w:rsidR="00A040E4" w:rsidRPr="001C6BDD" w14:paraId="1CB9E586" w14:textId="77777777" w:rsidTr="00290FEC">
        <w:trPr>
          <w:trHeight w:val="315"/>
        </w:trPr>
        <w:tc>
          <w:tcPr>
            <w:tcW w:w="906" w:type="pct"/>
          </w:tcPr>
          <w:p w14:paraId="562755AC" w14:textId="49E80888" w:rsidR="00A040E4" w:rsidRPr="001C6BDD" w:rsidRDefault="00A040E4" w:rsidP="00A040E4">
            <w:pPr>
              <w:pStyle w:val="Tabletext"/>
              <w:spacing w:before="0" w:after="0"/>
            </w:pPr>
            <w:r>
              <w:t xml:space="preserve">  </w:t>
            </w:r>
            <w:r w:rsidRPr="001C6BDD">
              <w:t>severe HMA</w:t>
            </w:r>
          </w:p>
        </w:tc>
        <w:tc>
          <w:tcPr>
            <w:tcW w:w="1067" w:type="pct"/>
          </w:tcPr>
          <w:p w14:paraId="3E0E87FE" w14:textId="6D3323E4" w:rsidR="00A040E4" w:rsidRPr="00F229C3" w:rsidRDefault="00A040E4" w:rsidP="00A040E4">
            <w:pPr>
              <w:pStyle w:val="Tabletext"/>
              <w:spacing w:before="0" w:after="0"/>
              <w:jc w:val="center"/>
              <w:rPr>
                <w:b/>
              </w:rPr>
            </w:pPr>
            <w:r w:rsidRPr="00F229C3">
              <w:rPr>
                <w:b/>
              </w:rPr>
              <w:t>redacted</w:t>
            </w:r>
          </w:p>
        </w:tc>
        <w:tc>
          <w:tcPr>
            <w:tcW w:w="1068" w:type="pct"/>
          </w:tcPr>
          <w:p w14:paraId="4E83F350" w14:textId="5E2DC0C5" w:rsidR="00A040E4" w:rsidRPr="001C6BDD" w:rsidRDefault="00A040E4" w:rsidP="00A040E4">
            <w:pPr>
              <w:pStyle w:val="Tabletext"/>
              <w:spacing w:before="0" w:after="0"/>
              <w:jc w:val="center"/>
            </w:pPr>
            <w:r w:rsidRPr="00F229C3">
              <w:rPr>
                <w:b/>
              </w:rPr>
              <w:t>redacted</w:t>
            </w:r>
          </w:p>
        </w:tc>
        <w:tc>
          <w:tcPr>
            <w:tcW w:w="666" w:type="pct"/>
          </w:tcPr>
          <w:p w14:paraId="371A2E50" w14:textId="539789AA" w:rsidR="00A040E4" w:rsidRPr="001C6BDD" w:rsidRDefault="00A040E4" w:rsidP="00A040E4">
            <w:pPr>
              <w:pStyle w:val="Tabletext"/>
              <w:spacing w:before="0" w:after="0"/>
              <w:jc w:val="center"/>
            </w:pPr>
            <w:r w:rsidRPr="00F229C3">
              <w:rPr>
                <w:b/>
              </w:rPr>
              <w:t>redacted</w:t>
            </w:r>
          </w:p>
        </w:tc>
        <w:tc>
          <w:tcPr>
            <w:tcW w:w="666" w:type="pct"/>
          </w:tcPr>
          <w:p w14:paraId="026F7C46" w14:textId="7912B101" w:rsidR="00A040E4" w:rsidRPr="001C6BDD" w:rsidRDefault="00A040E4" w:rsidP="00A040E4">
            <w:pPr>
              <w:pStyle w:val="Tabletext"/>
              <w:spacing w:before="0" w:after="0"/>
              <w:jc w:val="center"/>
            </w:pPr>
            <w:r w:rsidRPr="00F229C3">
              <w:rPr>
                <w:b/>
              </w:rPr>
              <w:t>redacted</w:t>
            </w:r>
          </w:p>
        </w:tc>
        <w:tc>
          <w:tcPr>
            <w:tcW w:w="627" w:type="pct"/>
          </w:tcPr>
          <w:p w14:paraId="09FF284E" w14:textId="047152F2" w:rsidR="00A040E4" w:rsidRPr="001C6BDD" w:rsidRDefault="00A040E4" w:rsidP="00A040E4">
            <w:pPr>
              <w:pStyle w:val="Tabletext"/>
              <w:spacing w:before="0" w:after="0"/>
              <w:jc w:val="center"/>
            </w:pPr>
            <w:r w:rsidRPr="00F229C3">
              <w:rPr>
                <w:b/>
              </w:rPr>
              <w:t>redacted</w:t>
            </w:r>
          </w:p>
        </w:tc>
      </w:tr>
      <w:tr w:rsidR="00A040E4" w:rsidRPr="001C6BDD" w14:paraId="6103BFCA" w14:textId="77777777" w:rsidTr="00290FEC">
        <w:trPr>
          <w:trHeight w:val="315"/>
        </w:trPr>
        <w:tc>
          <w:tcPr>
            <w:tcW w:w="906" w:type="pct"/>
          </w:tcPr>
          <w:p w14:paraId="22A6FE18" w14:textId="0D05426B" w:rsidR="00A040E4" w:rsidRPr="001C6BDD" w:rsidRDefault="00A040E4" w:rsidP="00A040E4">
            <w:pPr>
              <w:pStyle w:val="Tabletext"/>
              <w:spacing w:before="0" w:after="0"/>
            </w:pPr>
            <w:r>
              <w:t xml:space="preserve">  </w:t>
            </w:r>
            <w:r w:rsidRPr="001C6BDD">
              <w:t>moderate HMA</w:t>
            </w:r>
          </w:p>
        </w:tc>
        <w:tc>
          <w:tcPr>
            <w:tcW w:w="1067" w:type="pct"/>
          </w:tcPr>
          <w:p w14:paraId="7B6EA0B1" w14:textId="38B7EAD7" w:rsidR="00A040E4" w:rsidRPr="00F229C3" w:rsidRDefault="00A040E4" w:rsidP="00A040E4">
            <w:pPr>
              <w:pStyle w:val="Tabletext"/>
              <w:spacing w:before="0" w:after="0"/>
              <w:jc w:val="center"/>
              <w:rPr>
                <w:b/>
              </w:rPr>
            </w:pPr>
            <w:r w:rsidRPr="00F229C3">
              <w:rPr>
                <w:b/>
              </w:rPr>
              <w:t>redacted</w:t>
            </w:r>
          </w:p>
        </w:tc>
        <w:tc>
          <w:tcPr>
            <w:tcW w:w="1068" w:type="pct"/>
          </w:tcPr>
          <w:p w14:paraId="5E1790CF" w14:textId="1AA722C2" w:rsidR="00A040E4" w:rsidRPr="001C6BDD" w:rsidRDefault="00A040E4" w:rsidP="00A040E4">
            <w:pPr>
              <w:pStyle w:val="Tabletext"/>
              <w:spacing w:before="0" w:after="0"/>
              <w:jc w:val="center"/>
            </w:pPr>
            <w:r w:rsidRPr="00F229C3">
              <w:rPr>
                <w:b/>
              </w:rPr>
              <w:t>redacted</w:t>
            </w:r>
          </w:p>
        </w:tc>
        <w:tc>
          <w:tcPr>
            <w:tcW w:w="666" w:type="pct"/>
          </w:tcPr>
          <w:p w14:paraId="491B4A03" w14:textId="2A57818E" w:rsidR="00A040E4" w:rsidRPr="001C6BDD" w:rsidRDefault="00A040E4" w:rsidP="00A040E4">
            <w:pPr>
              <w:pStyle w:val="Tabletext"/>
              <w:spacing w:before="0" w:after="0"/>
              <w:jc w:val="center"/>
            </w:pPr>
            <w:r w:rsidRPr="00F229C3">
              <w:rPr>
                <w:b/>
              </w:rPr>
              <w:t>redacted</w:t>
            </w:r>
          </w:p>
        </w:tc>
        <w:tc>
          <w:tcPr>
            <w:tcW w:w="666" w:type="pct"/>
          </w:tcPr>
          <w:p w14:paraId="36F335C0" w14:textId="733A03EA" w:rsidR="00A040E4" w:rsidRPr="001C6BDD" w:rsidRDefault="00A040E4" w:rsidP="00A040E4">
            <w:pPr>
              <w:pStyle w:val="Tabletext"/>
              <w:spacing w:before="0" w:after="0"/>
              <w:jc w:val="center"/>
            </w:pPr>
            <w:r w:rsidRPr="00F229C3">
              <w:rPr>
                <w:b/>
              </w:rPr>
              <w:t>redacted</w:t>
            </w:r>
          </w:p>
        </w:tc>
        <w:tc>
          <w:tcPr>
            <w:tcW w:w="627" w:type="pct"/>
          </w:tcPr>
          <w:p w14:paraId="2B61C65E" w14:textId="42153A70" w:rsidR="00A040E4" w:rsidRPr="001C6BDD" w:rsidRDefault="00A040E4" w:rsidP="00A040E4">
            <w:pPr>
              <w:pStyle w:val="Tabletext"/>
              <w:spacing w:before="0" w:after="0"/>
              <w:jc w:val="center"/>
            </w:pPr>
            <w:r w:rsidRPr="00F229C3">
              <w:rPr>
                <w:b/>
              </w:rPr>
              <w:t>redacted</w:t>
            </w:r>
          </w:p>
        </w:tc>
      </w:tr>
      <w:tr w:rsidR="00A040E4" w:rsidRPr="001C6BDD" w14:paraId="5A953E26" w14:textId="77777777" w:rsidTr="00290FEC">
        <w:trPr>
          <w:trHeight w:val="315"/>
        </w:trPr>
        <w:tc>
          <w:tcPr>
            <w:tcW w:w="906" w:type="pct"/>
          </w:tcPr>
          <w:p w14:paraId="67E198B3" w14:textId="77777777" w:rsidR="00A040E4" w:rsidRPr="001C6BDD" w:rsidRDefault="00A040E4" w:rsidP="00A040E4">
            <w:pPr>
              <w:pStyle w:val="Tabletext"/>
              <w:spacing w:before="0" w:after="0"/>
            </w:pPr>
            <w:r w:rsidRPr="001C6BDD">
              <w:t>Total patients treated</w:t>
            </w:r>
          </w:p>
        </w:tc>
        <w:tc>
          <w:tcPr>
            <w:tcW w:w="1067" w:type="pct"/>
          </w:tcPr>
          <w:p w14:paraId="54ABEF95" w14:textId="6D13870A" w:rsidR="00A040E4" w:rsidRPr="00F229C3" w:rsidRDefault="00A040E4" w:rsidP="00A040E4">
            <w:pPr>
              <w:pStyle w:val="Tabletext"/>
              <w:spacing w:before="0" w:after="0"/>
              <w:jc w:val="center"/>
              <w:rPr>
                <w:b/>
              </w:rPr>
            </w:pPr>
            <w:r w:rsidRPr="00F229C3">
              <w:rPr>
                <w:b/>
              </w:rPr>
              <w:t>redacted</w:t>
            </w:r>
          </w:p>
        </w:tc>
        <w:tc>
          <w:tcPr>
            <w:tcW w:w="1068" w:type="pct"/>
          </w:tcPr>
          <w:p w14:paraId="6312F7D3" w14:textId="3759FF08" w:rsidR="00A040E4" w:rsidRPr="001C6BDD" w:rsidRDefault="00A040E4" w:rsidP="00A040E4">
            <w:pPr>
              <w:pStyle w:val="Tabletext"/>
              <w:spacing w:before="0" w:after="0"/>
              <w:jc w:val="center"/>
            </w:pPr>
            <w:r w:rsidRPr="00F229C3">
              <w:rPr>
                <w:b/>
              </w:rPr>
              <w:t>redacted</w:t>
            </w:r>
          </w:p>
        </w:tc>
        <w:tc>
          <w:tcPr>
            <w:tcW w:w="666" w:type="pct"/>
          </w:tcPr>
          <w:p w14:paraId="69BA4B8B" w14:textId="1D30863E" w:rsidR="00A040E4" w:rsidRPr="001C6BDD" w:rsidRDefault="00A040E4" w:rsidP="00A040E4">
            <w:pPr>
              <w:pStyle w:val="Tabletext"/>
              <w:spacing w:before="0" w:after="0"/>
              <w:jc w:val="center"/>
            </w:pPr>
            <w:r w:rsidRPr="00F229C3">
              <w:rPr>
                <w:b/>
              </w:rPr>
              <w:t>redacted</w:t>
            </w:r>
          </w:p>
        </w:tc>
        <w:tc>
          <w:tcPr>
            <w:tcW w:w="666" w:type="pct"/>
          </w:tcPr>
          <w:p w14:paraId="2AF0F0EF" w14:textId="653DF0AE" w:rsidR="00A040E4" w:rsidRPr="001C6BDD" w:rsidRDefault="00A040E4" w:rsidP="00A040E4">
            <w:pPr>
              <w:pStyle w:val="Tabletext"/>
              <w:spacing w:before="0" w:after="0"/>
              <w:jc w:val="center"/>
            </w:pPr>
            <w:r w:rsidRPr="00F229C3">
              <w:rPr>
                <w:b/>
              </w:rPr>
              <w:t>redacted</w:t>
            </w:r>
          </w:p>
        </w:tc>
        <w:tc>
          <w:tcPr>
            <w:tcW w:w="627" w:type="pct"/>
          </w:tcPr>
          <w:p w14:paraId="7857C7B4" w14:textId="1D0EA1F0" w:rsidR="00A040E4" w:rsidRPr="001C6BDD" w:rsidRDefault="00A040E4" w:rsidP="00A040E4">
            <w:pPr>
              <w:pStyle w:val="Tabletext"/>
              <w:spacing w:before="0" w:after="0"/>
              <w:jc w:val="center"/>
            </w:pPr>
            <w:r w:rsidRPr="00F229C3">
              <w:rPr>
                <w:b/>
              </w:rPr>
              <w:t>redacted</w:t>
            </w:r>
          </w:p>
        </w:tc>
      </w:tr>
      <w:tr w:rsidR="00054E4D" w:rsidRPr="001C6BDD" w14:paraId="426EED7E" w14:textId="77777777" w:rsidTr="00290FEC">
        <w:trPr>
          <w:trHeight w:val="70"/>
        </w:trPr>
        <w:tc>
          <w:tcPr>
            <w:tcW w:w="5000" w:type="pct"/>
            <w:gridSpan w:val="6"/>
          </w:tcPr>
          <w:p w14:paraId="2A7E1817" w14:textId="77777777" w:rsidR="00054E4D" w:rsidRPr="001C6BDD" w:rsidRDefault="00054E4D" w:rsidP="0010250B">
            <w:pPr>
              <w:pStyle w:val="Tabletext"/>
              <w:spacing w:before="0" w:after="0"/>
            </w:pPr>
            <w:r w:rsidRPr="001C6BDD">
              <w:rPr>
                <w:b/>
              </w:rPr>
              <w:t xml:space="preserve">Cost of </w:t>
            </w:r>
            <w:r>
              <w:rPr>
                <w:b/>
              </w:rPr>
              <w:t>emicizumab</w:t>
            </w:r>
            <w:r w:rsidRPr="001C6BDD">
              <w:rPr>
                <w:b/>
              </w:rPr>
              <w:t xml:space="preserve"> to NPL</w:t>
            </w:r>
          </w:p>
        </w:tc>
      </w:tr>
      <w:tr w:rsidR="00054E4D" w:rsidRPr="001C6BDD" w14:paraId="52CC27AD" w14:textId="77777777" w:rsidTr="00290FEC">
        <w:trPr>
          <w:trHeight w:val="300"/>
        </w:trPr>
        <w:tc>
          <w:tcPr>
            <w:tcW w:w="906" w:type="pct"/>
          </w:tcPr>
          <w:p w14:paraId="3499CB06" w14:textId="77777777" w:rsidR="00054E4D" w:rsidRPr="001C6BDD" w:rsidRDefault="00054E4D" w:rsidP="0010250B">
            <w:pPr>
              <w:pStyle w:val="Tabletext"/>
              <w:spacing w:before="0" w:after="0"/>
            </w:pPr>
            <w:r w:rsidRPr="001C6BDD">
              <w:t>Adult</w:t>
            </w:r>
          </w:p>
        </w:tc>
        <w:tc>
          <w:tcPr>
            <w:tcW w:w="1067" w:type="pct"/>
          </w:tcPr>
          <w:p w14:paraId="0B0E6D44" w14:textId="7B055BFE" w:rsidR="00054E4D" w:rsidRPr="005D0DCB" w:rsidRDefault="005D0DCB" w:rsidP="0010250B">
            <w:pPr>
              <w:pStyle w:val="Tabletext"/>
              <w:spacing w:before="0" w:after="0"/>
              <w:jc w:val="center"/>
              <w:rPr>
                <w:b/>
              </w:rPr>
            </w:pPr>
            <w:r>
              <w:rPr>
                <w:color w:val="000000"/>
              </w:rPr>
              <w:t>$</w:t>
            </w:r>
            <w:r>
              <w:rPr>
                <w:b/>
                <w:color w:val="000000"/>
              </w:rPr>
              <w:t>redacted</w:t>
            </w:r>
          </w:p>
        </w:tc>
        <w:tc>
          <w:tcPr>
            <w:tcW w:w="1068" w:type="pct"/>
          </w:tcPr>
          <w:p w14:paraId="43827323" w14:textId="0E4390A1" w:rsidR="00054E4D" w:rsidRPr="001C6BDD" w:rsidRDefault="005D0DCB" w:rsidP="0010250B">
            <w:pPr>
              <w:pStyle w:val="Tabletext"/>
              <w:spacing w:before="0" w:after="0"/>
              <w:jc w:val="center"/>
            </w:pPr>
            <w:r w:rsidRPr="005D0DCB">
              <w:rPr>
                <w:color w:val="000000"/>
              </w:rPr>
              <w:t>$</w:t>
            </w:r>
            <w:r>
              <w:rPr>
                <w:b/>
                <w:color w:val="000000"/>
              </w:rPr>
              <w:t>redacted</w:t>
            </w:r>
          </w:p>
        </w:tc>
        <w:tc>
          <w:tcPr>
            <w:tcW w:w="666" w:type="pct"/>
          </w:tcPr>
          <w:p w14:paraId="7E87F0B5" w14:textId="3F581E06" w:rsidR="00054E4D"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66" w:type="pct"/>
          </w:tcPr>
          <w:p w14:paraId="402A5EA4" w14:textId="3284A199" w:rsidR="00054E4D"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27" w:type="pct"/>
          </w:tcPr>
          <w:p w14:paraId="347DA267" w14:textId="7B0D303F" w:rsidR="00054E4D"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r>
      <w:tr w:rsidR="005D0DCB" w:rsidRPr="001C6BDD" w14:paraId="232D4A49" w14:textId="77777777" w:rsidTr="00290FEC">
        <w:trPr>
          <w:trHeight w:val="300"/>
        </w:trPr>
        <w:tc>
          <w:tcPr>
            <w:tcW w:w="906" w:type="pct"/>
          </w:tcPr>
          <w:p w14:paraId="7D1B0504" w14:textId="77777777" w:rsidR="005D0DCB" w:rsidRPr="001C6BDD" w:rsidRDefault="005D0DCB" w:rsidP="005D0DCB">
            <w:pPr>
              <w:pStyle w:val="Tabletext"/>
              <w:spacing w:before="0" w:after="0"/>
            </w:pPr>
            <w:r w:rsidRPr="001C6BDD">
              <w:t>Paediatric</w:t>
            </w:r>
          </w:p>
        </w:tc>
        <w:tc>
          <w:tcPr>
            <w:tcW w:w="1067" w:type="pct"/>
          </w:tcPr>
          <w:p w14:paraId="109C5D3F" w14:textId="2BEA6422" w:rsidR="005D0DCB" w:rsidRPr="001C6BDD" w:rsidRDefault="005D0DCB" w:rsidP="005D0DCB">
            <w:pPr>
              <w:pStyle w:val="Tabletext"/>
              <w:spacing w:before="0" w:after="0"/>
              <w:jc w:val="center"/>
            </w:pPr>
            <w:r>
              <w:rPr>
                <w:color w:val="000000"/>
              </w:rPr>
              <w:t>$</w:t>
            </w:r>
            <w:r>
              <w:rPr>
                <w:b/>
                <w:color w:val="000000"/>
              </w:rPr>
              <w:t>redacted</w:t>
            </w:r>
          </w:p>
        </w:tc>
        <w:tc>
          <w:tcPr>
            <w:tcW w:w="1068" w:type="pct"/>
          </w:tcPr>
          <w:p w14:paraId="59B1F7DA" w14:textId="5A104225" w:rsidR="005D0DCB" w:rsidRPr="001C6BDD" w:rsidRDefault="005D0DCB" w:rsidP="005D0DCB">
            <w:pPr>
              <w:pStyle w:val="Tabletext"/>
              <w:spacing w:before="0" w:after="0"/>
              <w:jc w:val="center"/>
            </w:pPr>
            <w:r w:rsidRPr="005D0DCB">
              <w:rPr>
                <w:color w:val="000000"/>
              </w:rPr>
              <w:t>$</w:t>
            </w:r>
            <w:r>
              <w:rPr>
                <w:b/>
                <w:color w:val="000000"/>
              </w:rPr>
              <w:t>redacted</w:t>
            </w:r>
          </w:p>
        </w:tc>
        <w:tc>
          <w:tcPr>
            <w:tcW w:w="666" w:type="pct"/>
          </w:tcPr>
          <w:p w14:paraId="1B7E485B" w14:textId="3CC65E75"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66" w:type="pct"/>
          </w:tcPr>
          <w:p w14:paraId="56AA7C96" w14:textId="21228041"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27" w:type="pct"/>
          </w:tcPr>
          <w:p w14:paraId="657A62CD" w14:textId="439EF79C"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r>
      <w:tr w:rsidR="005D0DCB" w:rsidRPr="001C6BDD" w14:paraId="6DCFB135" w14:textId="77777777" w:rsidTr="00290FEC">
        <w:trPr>
          <w:trHeight w:val="315"/>
        </w:trPr>
        <w:tc>
          <w:tcPr>
            <w:tcW w:w="906" w:type="pct"/>
          </w:tcPr>
          <w:p w14:paraId="1B879702" w14:textId="77777777" w:rsidR="005D0DCB" w:rsidRPr="001C6BDD" w:rsidRDefault="005D0DCB" w:rsidP="005D0DCB">
            <w:pPr>
              <w:pStyle w:val="Tabletext"/>
              <w:spacing w:before="0" w:after="0"/>
            </w:pPr>
            <w:r w:rsidRPr="001C6BDD">
              <w:t xml:space="preserve">Total cost of </w:t>
            </w:r>
            <w:r>
              <w:t>emicizumab</w:t>
            </w:r>
          </w:p>
        </w:tc>
        <w:tc>
          <w:tcPr>
            <w:tcW w:w="1067" w:type="pct"/>
          </w:tcPr>
          <w:p w14:paraId="3BB8DBF4" w14:textId="448DE5C7" w:rsidR="005D0DCB" w:rsidRPr="001C6BDD" w:rsidRDefault="005D0DCB" w:rsidP="005D0DCB">
            <w:pPr>
              <w:pStyle w:val="Tabletext"/>
              <w:spacing w:before="0" w:after="0"/>
              <w:jc w:val="center"/>
            </w:pPr>
            <w:r>
              <w:rPr>
                <w:color w:val="000000"/>
              </w:rPr>
              <w:t>$</w:t>
            </w:r>
            <w:r>
              <w:rPr>
                <w:b/>
                <w:color w:val="000000"/>
              </w:rPr>
              <w:t>redacted</w:t>
            </w:r>
          </w:p>
        </w:tc>
        <w:tc>
          <w:tcPr>
            <w:tcW w:w="1068" w:type="pct"/>
          </w:tcPr>
          <w:p w14:paraId="3DDAEA45" w14:textId="12B4CF6C" w:rsidR="005D0DCB" w:rsidRPr="001C6BDD" w:rsidRDefault="005D0DCB" w:rsidP="005D0DCB">
            <w:pPr>
              <w:pStyle w:val="Tabletext"/>
              <w:spacing w:before="0" w:after="0"/>
              <w:jc w:val="center"/>
            </w:pPr>
            <w:r w:rsidRPr="005D0DCB">
              <w:rPr>
                <w:color w:val="000000"/>
              </w:rPr>
              <w:t>$</w:t>
            </w:r>
            <w:r>
              <w:rPr>
                <w:b/>
                <w:color w:val="000000"/>
              </w:rPr>
              <w:t>redacted</w:t>
            </w:r>
          </w:p>
        </w:tc>
        <w:tc>
          <w:tcPr>
            <w:tcW w:w="666" w:type="pct"/>
          </w:tcPr>
          <w:p w14:paraId="125A2F9D" w14:textId="3D862AB1"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66" w:type="pct"/>
          </w:tcPr>
          <w:p w14:paraId="28E145A5" w14:textId="5F209494"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27" w:type="pct"/>
          </w:tcPr>
          <w:p w14:paraId="653999D7" w14:textId="7FF0C828"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r>
      <w:tr w:rsidR="005D0DCB" w:rsidRPr="001C6BDD" w14:paraId="285BF5FB" w14:textId="77777777" w:rsidTr="00290FEC">
        <w:trPr>
          <w:trHeight w:val="70"/>
        </w:trPr>
        <w:tc>
          <w:tcPr>
            <w:tcW w:w="5000" w:type="pct"/>
            <w:gridSpan w:val="6"/>
          </w:tcPr>
          <w:p w14:paraId="53CE31DE" w14:textId="77777777" w:rsidR="005D0DCB" w:rsidRPr="001C6BDD" w:rsidRDefault="005D0DCB" w:rsidP="005D0DCB">
            <w:pPr>
              <w:pStyle w:val="Tabletext"/>
              <w:spacing w:before="0" w:after="0"/>
            </w:pPr>
            <w:r w:rsidRPr="001C6BDD">
              <w:rPr>
                <w:b/>
              </w:rPr>
              <w:t xml:space="preserve">Cost of FVIII for breakthrough bleeds in patients treated with </w:t>
            </w:r>
            <w:r>
              <w:rPr>
                <w:b/>
              </w:rPr>
              <w:t>emicizumab</w:t>
            </w:r>
          </w:p>
        </w:tc>
      </w:tr>
      <w:tr w:rsidR="005D0DCB" w:rsidRPr="001C6BDD" w14:paraId="5DD97A43" w14:textId="77777777" w:rsidTr="00290FEC">
        <w:trPr>
          <w:trHeight w:val="300"/>
        </w:trPr>
        <w:tc>
          <w:tcPr>
            <w:tcW w:w="906" w:type="pct"/>
          </w:tcPr>
          <w:p w14:paraId="6AF859F9" w14:textId="77777777" w:rsidR="005D0DCB" w:rsidRPr="001C6BDD" w:rsidRDefault="005D0DCB" w:rsidP="005D0DCB">
            <w:pPr>
              <w:pStyle w:val="Tabletext"/>
              <w:spacing w:before="0" w:after="0"/>
            </w:pPr>
            <w:r w:rsidRPr="001C6BDD">
              <w:t>Adult</w:t>
            </w:r>
          </w:p>
        </w:tc>
        <w:tc>
          <w:tcPr>
            <w:tcW w:w="1067" w:type="pct"/>
          </w:tcPr>
          <w:p w14:paraId="54A0A3B6" w14:textId="533B90EE" w:rsidR="005D0DCB" w:rsidRPr="001C6BDD" w:rsidRDefault="005D0DCB" w:rsidP="005D0DCB">
            <w:pPr>
              <w:pStyle w:val="Tabletext"/>
              <w:spacing w:before="0" w:after="0"/>
              <w:jc w:val="center"/>
            </w:pPr>
            <w:r>
              <w:rPr>
                <w:color w:val="000000"/>
              </w:rPr>
              <w:t>$</w:t>
            </w:r>
            <w:r>
              <w:rPr>
                <w:b/>
                <w:color w:val="000000"/>
              </w:rPr>
              <w:t>redacted</w:t>
            </w:r>
          </w:p>
        </w:tc>
        <w:tc>
          <w:tcPr>
            <w:tcW w:w="1068" w:type="pct"/>
          </w:tcPr>
          <w:p w14:paraId="31B55981" w14:textId="2F33D19B" w:rsidR="005D0DCB" w:rsidRPr="001C6BDD" w:rsidRDefault="005D0DCB" w:rsidP="005D0DCB">
            <w:pPr>
              <w:pStyle w:val="Tabletext"/>
              <w:spacing w:before="0" w:after="0"/>
              <w:jc w:val="center"/>
            </w:pPr>
            <w:r w:rsidRPr="005D0DCB">
              <w:rPr>
                <w:color w:val="000000"/>
              </w:rPr>
              <w:t>$</w:t>
            </w:r>
            <w:r>
              <w:rPr>
                <w:b/>
                <w:color w:val="000000"/>
              </w:rPr>
              <w:t>redacted</w:t>
            </w:r>
          </w:p>
        </w:tc>
        <w:tc>
          <w:tcPr>
            <w:tcW w:w="666" w:type="pct"/>
          </w:tcPr>
          <w:p w14:paraId="15378248" w14:textId="71FCE44C"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66" w:type="pct"/>
          </w:tcPr>
          <w:p w14:paraId="0D8DC486" w14:textId="0DCF3245"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27" w:type="pct"/>
          </w:tcPr>
          <w:p w14:paraId="12B8FD48" w14:textId="60C841E1"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r>
      <w:tr w:rsidR="005D0DCB" w:rsidRPr="001C6BDD" w14:paraId="3F1D67EB" w14:textId="77777777" w:rsidTr="00290FEC">
        <w:trPr>
          <w:trHeight w:val="300"/>
        </w:trPr>
        <w:tc>
          <w:tcPr>
            <w:tcW w:w="906" w:type="pct"/>
          </w:tcPr>
          <w:p w14:paraId="7B3444A3" w14:textId="77777777" w:rsidR="005D0DCB" w:rsidRPr="001C6BDD" w:rsidRDefault="005D0DCB" w:rsidP="005D0DCB">
            <w:pPr>
              <w:pStyle w:val="Tabletext"/>
              <w:spacing w:before="0" w:after="0"/>
            </w:pPr>
            <w:r w:rsidRPr="001C6BDD">
              <w:t>Paediatric</w:t>
            </w:r>
          </w:p>
        </w:tc>
        <w:tc>
          <w:tcPr>
            <w:tcW w:w="1067" w:type="pct"/>
          </w:tcPr>
          <w:p w14:paraId="1F3A1B6D" w14:textId="7D943325" w:rsidR="005D0DCB" w:rsidRPr="001C6BDD" w:rsidRDefault="005D0DCB" w:rsidP="005D0DCB">
            <w:pPr>
              <w:pStyle w:val="Tabletext"/>
              <w:spacing w:before="0" w:after="0"/>
              <w:jc w:val="center"/>
            </w:pPr>
            <w:r>
              <w:rPr>
                <w:color w:val="000000"/>
              </w:rPr>
              <w:t>$</w:t>
            </w:r>
            <w:r>
              <w:rPr>
                <w:b/>
                <w:color w:val="000000"/>
              </w:rPr>
              <w:t>redacted</w:t>
            </w:r>
          </w:p>
        </w:tc>
        <w:tc>
          <w:tcPr>
            <w:tcW w:w="1068" w:type="pct"/>
          </w:tcPr>
          <w:p w14:paraId="133AE1F8" w14:textId="397B0D8D" w:rsidR="005D0DCB" w:rsidRPr="001C6BDD" w:rsidRDefault="005D0DCB" w:rsidP="005D0DCB">
            <w:pPr>
              <w:pStyle w:val="Tabletext"/>
              <w:spacing w:before="0" w:after="0"/>
              <w:jc w:val="center"/>
            </w:pPr>
            <w:r w:rsidRPr="005D0DCB">
              <w:rPr>
                <w:color w:val="000000"/>
              </w:rPr>
              <w:t>$</w:t>
            </w:r>
            <w:r>
              <w:rPr>
                <w:b/>
                <w:color w:val="000000"/>
              </w:rPr>
              <w:t>redacted</w:t>
            </w:r>
          </w:p>
        </w:tc>
        <w:tc>
          <w:tcPr>
            <w:tcW w:w="666" w:type="pct"/>
          </w:tcPr>
          <w:p w14:paraId="54FB9181" w14:textId="40C39E7C"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66" w:type="pct"/>
          </w:tcPr>
          <w:p w14:paraId="5209D45C" w14:textId="2BA3C0BB"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27" w:type="pct"/>
          </w:tcPr>
          <w:p w14:paraId="5E24A6BC" w14:textId="44259CED"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r>
      <w:tr w:rsidR="005D0DCB" w:rsidRPr="001C6BDD" w14:paraId="28F934FA" w14:textId="77777777" w:rsidTr="00290FEC">
        <w:trPr>
          <w:trHeight w:val="315"/>
        </w:trPr>
        <w:tc>
          <w:tcPr>
            <w:tcW w:w="906" w:type="pct"/>
          </w:tcPr>
          <w:p w14:paraId="6628723E" w14:textId="77777777" w:rsidR="005D0DCB" w:rsidRPr="001C6BDD" w:rsidRDefault="005D0DCB" w:rsidP="005D0DCB">
            <w:pPr>
              <w:pStyle w:val="Tabletext"/>
              <w:spacing w:before="0" w:after="0"/>
            </w:pPr>
            <w:r w:rsidRPr="001C6BDD">
              <w:t>Total cost of FVIII</w:t>
            </w:r>
          </w:p>
        </w:tc>
        <w:tc>
          <w:tcPr>
            <w:tcW w:w="1067" w:type="pct"/>
          </w:tcPr>
          <w:p w14:paraId="38B3A67D" w14:textId="72020583" w:rsidR="005D0DCB" w:rsidRPr="001C6BDD" w:rsidRDefault="005D0DCB" w:rsidP="005D0DCB">
            <w:pPr>
              <w:pStyle w:val="Tabletext"/>
              <w:spacing w:before="0" w:after="0"/>
              <w:jc w:val="center"/>
              <w:rPr>
                <w:color w:val="000000"/>
              </w:rPr>
            </w:pPr>
            <w:r>
              <w:rPr>
                <w:color w:val="000000"/>
              </w:rPr>
              <w:t>$</w:t>
            </w:r>
            <w:r>
              <w:rPr>
                <w:b/>
                <w:color w:val="000000"/>
              </w:rPr>
              <w:t>redacted</w:t>
            </w:r>
          </w:p>
        </w:tc>
        <w:tc>
          <w:tcPr>
            <w:tcW w:w="1068" w:type="pct"/>
          </w:tcPr>
          <w:p w14:paraId="5F06EDD0" w14:textId="529A757D" w:rsidR="005D0DCB" w:rsidRPr="001C6BDD" w:rsidRDefault="005D0DCB" w:rsidP="005D0DCB">
            <w:pPr>
              <w:pStyle w:val="Tabletext"/>
              <w:spacing w:before="0" w:after="0"/>
              <w:jc w:val="center"/>
              <w:rPr>
                <w:color w:val="000000"/>
              </w:rPr>
            </w:pPr>
            <w:r w:rsidRPr="005D0DCB">
              <w:rPr>
                <w:color w:val="000000"/>
              </w:rPr>
              <w:t>$</w:t>
            </w:r>
            <w:r>
              <w:rPr>
                <w:b/>
                <w:color w:val="000000"/>
              </w:rPr>
              <w:t>redacted</w:t>
            </w:r>
          </w:p>
        </w:tc>
        <w:tc>
          <w:tcPr>
            <w:tcW w:w="666" w:type="pct"/>
          </w:tcPr>
          <w:p w14:paraId="27DE2DB0" w14:textId="0A9A22D7" w:rsidR="005D0DCB" w:rsidRPr="001C6BDD" w:rsidRDefault="005D0DCB" w:rsidP="005D0DCB">
            <w:pPr>
              <w:pStyle w:val="Tabletext"/>
              <w:spacing w:before="0" w:after="0"/>
              <w:jc w:val="center"/>
              <w:rPr>
                <w:color w:val="000000"/>
              </w:rPr>
            </w:pPr>
            <w:r>
              <w:rPr>
                <w:color w:val="000000"/>
              </w:rPr>
              <w:t>$</w:t>
            </w:r>
            <w:r>
              <w:rPr>
                <w:b/>
                <w:color w:val="000000"/>
              </w:rPr>
              <w:t>redacted</w:t>
            </w:r>
            <w:r w:rsidRPr="001C6BDD">
              <w:rPr>
                <w:color w:val="000000"/>
              </w:rPr>
              <w:t xml:space="preserve"> </w:t>
            </w:r>
          </w:p>
        </w:tc>
        <w:tc>
          <w:tcPr>
            <w:tcW w:w="666" w:type="pct"/>
          </w:tcPr>
          <w:p w14:paraId="118B8CB6" w14:textId="56375132" w:rsidR="005D0DCB" w:rsidRPr="001C6BDD" w:rsidRDefault="005D0DCB" w:rsidP="005D0DCB">
            <w:pPr>
              <w:pStyle w:val="Tabletext"/>
              <w:spacing w:before="0" w:after="0"/>
              <w:jc w:val="center"/>
              <w:rPr>
                <w:color w:val="000000"/>
              </w:rPr>
            </w:pPr>
            <w:r>
              <w:rPr>
                <w:color w:val="000000"/>
              </w:rPr>
              <w:t>$</w:t>
            </w:r>
            <w:r>
              <w:rPr>
                <w:b/>
                <w:color w:val="000000"/>
              </w:rPr>
              <w:t>redacted</w:t>
            </w:r>
            <w:r w:rsidRPr="001C6BDD">
              <w:rPr>
                <w:color w:val="000000"/>
              </w:rPr>
              <w:t xml:space="preserve"> </w:t>
            </w:r>
          </w:p>
        </w:tc>
        <w:tc>
          <w:tcPr>
            <w:tcW w:w="627" w:type="pct"/>
          </w:tcPr>
          <w:p w14:paraId="31A1D871" w14:textId="2332C2C2" w:rsidR="005D0DCB" w:rsidRPr="001C6BDD" w:rsidRDefault="005D0DCB" w:rsidP="005D0DCB">
            <w:pPr>
              <w:pStyle w:val="Tabletext"/>
              <w:spacing w:before="0" w:after="0"/>
              <w:jc w:val="center"/>
              <w:rPr>
                <w:color w:val="000000"/>
              </w:rPr>
            </w:pPr>
            <w:r>
              <w:rPr>
                <w:color w:val="000000"/>
              </w:rPr>
              <w:t>$</w:t>
            </w:r>
            <w:r>
              <w:rPr>
                <w:b/>
                <w:color w:val="000000"/>
              </w:rPr>
              <w:t>redacted</w:t>
            </w:r>
            <w:r w:rsidRPr="001C6BDD">
              <w:rPr>
                <w:color w:val="000000"/>
              </w:rPr>
              <w:t xml:space="preserve"> </w:t>
            </w:r>
          </w:p>
        </w:tc>
      </w:tr>
      <w:tr w:rsidR="005D0DCB" w:rsidRPr="001C6BDD" w14:paraId="66D10F46" w14:textId="77777777" w:rsidTr="00290FEC">
        <w:trPr>
          <w:trHeight w:val="70"/>
        </w:trPr>
        <w:tc>
          <w:tcPr>
            <w:tcW w:w="5000" w:type="pct"/>
            <w:gridSpan w:val="6"/>
          </w:tcPr>
          <w:p w14:paraId="7B72310F" w14:textId="77777777" w:rsidR="005D0DCB" w:rsidRPr="001C6BDD" w:rsidRDefault="005D0DCB" w:rsidP="005D0DCB">
            <w:pPr>
              <w:pStyle w:val="Tabletext"/>
              <w:spacing w:before="0" w:after="0"/>
            </w:pPr>
            <w:r w:rsidRPr="001C6BDD">
              <w:rPr>
                <w:b/>
              </w:rPr>
              <w:t xml:space="preserve">Cost of FVIII substituted by </w:t>
            </w:r>
            <w:r>
              <w:rPr>
                <w:b/>
              </w:rPr>
              <w:t>emicizumab</w:t>
            </w:r>
          </w:p>
        </w:tc>
      </w:tr>
      <w:tr w:rsidR="005D0DCB" w:rsidRPr="001C6BDD" w14:paraId="250D9376" w14:textId="77777777" w:rsidTr="00290FEC">
        <w:trPr>
          <w:trHeight w:val="300"/>
        </w:trPr>
        <w:tc>
          <w:tcPr>
            <w:tcW w:w="906" w:type="pct"/>
          </w:tcPr>
          <w:p w14:paraId="7D43CFF6" w14:textId="77777777" w:rsidR="005D0DCB" w:rsidRPr="001C6BDD" w:rsidRDefault="005D0DCB" w:rsidP="005D0DCB">
            <w:pPr>
              <w:pStyle w:val="Tabletext"/>
              <w:spacing w:before="0" w:after="0"/>
            </w:pPr>
            <w:r w:rsidRPr="001C6BDD">
              <w:t>Severe</w:t>
            </w:r>
          </w:p>
        </w:tc>
        <w:tc>
          <w:tcPr>
            <w:tcW w:w="1067" w:type="pct"/>
          </w:tcPr>
          <w:p w14:paraId="2D8E00E9" w14:textId="6D664CEA" w:rsidR="005D0DCB" w:rsidRPr="001C6BDD" w:rsidRDefault="005D0DCB" w:rsidP="005D0DCB">
            <w:pPr>
              <w:pStyle w:val="Tabletext"/>
              <w:spacing w:before="0" w:after="0"/>
              <w:jc w:val="center"/>
            </w:pPr>
            <w:r>
              <w:rPr>
                <w:color w:val="000000"/>
              </w:rPr>
              <w:t>$</w:t>
            </w:r>
            <w:r>
              <w:rPr>
                <w:b/>
                <w:color w:val="000000"/>
              </w:rPr>
              <w:t>redacted</w:t>
            </w:r>
          </w:p>
        </w:tc>
        <w:tc>
          <w:tcPr>
            <w:tcW w:w="1068" w:type="pct"/>
          </w:tcPr>
          <w:p w14:paraId="3BC5BDE4" w14:textId="08A18EF1" w:rsidR="005D0DCB" w:rsidRPr="001C6BDD" w:rsidRDefault="005D0DCB" w:rsidP="005D0DCB">
            <w:pPr>
              <w:pStyle w:val="Tabletext"/>
              <w:spacing w:before="0" w:after="0"/>
              <w:jc w:val="center"/>
            </w:pPr>
            <w:r w:rsidRPr="005D0DCB">
              <w:rPr>
                <w:color w:val="000000"/>
              </w:rPr>
              <w:t>$</w:t>
            </w:r>
            <w:r>
              <w:rPr>
                <w:b/>
                <w:color w:val="000000"/>
              </w:rPr>
              <w:t>redacted</w:t>
            </w:r>
          </w:p>
        </w:tc>
        <w:tc>
          <w:tcPr>
            <w:tcW w:w="666" w:type="pct"/>
          </w:tcPr>
          <w:p w14:paraId="2C12A61A" w14:textId="38F5769D"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66" w:type="pct"/>
          </w:tcPr>
          <w:p w14:paraId="627AF7DA" w14:textId="3BD42E51"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27" w:type="pct"/>
          </w:tcPr>
          <w:p w14:paraId="2283602E" w14:textId="5601A5A0"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r>
      <w:tr w:rsidR="005D0DCB" w:rsidRPr="001C6BDD" w14:paraId="0E6BB95B" w14:textId="77777777" w:rsidTr="00290FEC">
        <w:trPr>
          <w:trHeight w:val="300"/>
        </w:trPr>
        <w:tc>
          <w:tcPr>
            <w:tcW w:w="906" w:type="pct"/>
          </w:tcPr>
          <w:p w14:paraId="14DEEC0A" w14:textId="77777777" w:rsidR="005D0DCB" w:rsidRPr="001C6BDD" w:rsidRDefault="005D0DCB" w:rsidP="005D0DCB">
            <w:pPr>
              <w:pStyle w:val="Tabletext"/>
              <w:spacing w:before="0" w:after="0"/>
            </w:pPr>
            <w:r w:rsidRPr="001C6BDD">
              <w:t>Moderate</w:t>
            </w:r>
          </w:p>
        </w:tc>
        <w:tc>
          <w:tcPr>
            <w:tcW w:w="1067" w:type="pct"/>
          </w:tcPr>
          <w:p w14:paraId="4711EAC3" w14:textId="183BE0EA" w:rsidR="005D0DCB" w:rsidRPr="001C6BDD" w:rsidRDefault="005D0DCB" w:rsidP="005D0DCB">
            <w:pPr>
              <w:pStyle w:val="Tabletext"/>
              <w:spacing w:before="0" w:after="0"/>
              <w:jc w:val="center"/>
            </w:pPr>
            <w:r>
              <w:rPr>
                <w:color w:val="000000"/>
              </w:rPr>
              <w:t>$</w:t>
            </w:r>
            <w:r>
              <w:rPr>
                <w:b/>
                <w:color w:val="000000"/>
              </w:rPr>
              <w:t>redacted</w:t>
            </w:r>
          </w:p>
        </w:tc>
        <w:tc>
          <w:tcPr>
            <w:tcW w:w="1068" w:type="pct"/>
          </w:tcPr>
          <w:p w14:paraId="15681E59" w14:textId="4C30392A" w:rsidR="005D0DCB" w:rsidRPr="001C6BDD" w:rsidRDefault="005D0DCB" w:rsidP="005D0DCB">
            <w:pPr>
              <w:pStyle w:val="Tabletext"/>
              <w:spacing w:before="0" w:after="0"/>
              <w:jc w:val="center"/>
            </w:pPr>
            <w:r w:rsidRPr="005D0DCB">
              <w:rPr>
                <w:color w:val="000000"/>
              </w:rPr>
              <w:t>$</w:t>
            </w:r>
            <w:r>
              <w:rPr>
                <w:b/>
                <w:color w:val="000000"/>
              </w:rPr>
              <w:t>redacted</w:t>
            </w:r>
          </w:p>
        </w:tc>
        <w:tc>
          <w:tcPr>
            <w:tcW w:w="666" w:type="pct"/>
          </w:tcPr>
          <w:p w14:paraId="5660F833" w14:textId="710DD706"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66" w:type="pct"/>
          </w:tcPr>
          <w:p w14:paraId="611E9B63" w14:textId="3AFEE80F"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c>
          <w:tcPr>
            <w:tcW w:w="627" w:type="pct"/>
          </w:tcPr>
          <w:p w14:paraId="6E3BFD27" w14:textId="60194A0F" w:rsidR="005D0DCB" w:rsidRPr="001C6BDD" w:rsidRDefault="005D0DCB" w:rsidP="005D0DCB">
            <w:pPr>
              <w:pStyle w:val="Tabletext"/>
              <w:spacing w:before="0" w:after="0"/>
              <w:jc w:val="center"/>
            </w:pPr>
            <w:r>
              <w:rPr>
                <w:color w:val="000000"/>
              </w:rPr>
              <w:t>$</w:t>
            </w:r>
            <w:r>
              <w:rPr>
                <w:b/>
                <w:color w:val="000000"/>
              </w:rPr>
              <w:t>redacted</w:t>
            </w:r>
            <w:r w:rsidRPr="001C6BDD">
              <w:rPr>
                <w:color w:val="000000"/>
              </w:rPr>
              <w:t xml:space="preserve"> </w:t>
            </w:r>
          </w:p>
        </w:tc>
      </w:tr>
      <w:tr w:rsidR="005D0DCB" w:rsidRPr="001C6BDD" w14:paraId="5066146D" w14:textId="77777777" w:rsidTr="00290FEC">
        <w:trPr>
          <w:trHeight w:val="315"/>
        </w:trPr>
        <w:tc>
          <w:tcPr>
            <w:tcW w:w="906" w:type="pct"/>
          </w:tcPr>
          <w:p w14:paraId="55B29905" w14:textId="77777777" w:rsidR="005D0DCB" w:rsidRPr="001C6BDD" w:rsidRDefault="005D0DCB" w:rsidP="005D0DCB">
            <w:pPr>
              <w:pStyle w:val="Tabletext"/>
              <w:spacing w:before="0" w:after="0"/>
            </w:pPr>
            <w:r w:rsidRPr="001C6BDD">
              <w:t>Substituted cost of FVIII</w:t>
            </w:r>
          </w:p>
        </w:tc>
        <w:tc>
          <w:tcPr>
            <w:tcW w:w="1067" w:type="pct"/>
          </w:tcPr>
          <w:p w14:paraId="3FA5412A" w14:textId="453B0DA5" w:rsidR="005D0DCB" w:rsidRPr="001C6BDD" w:rsidRDefault="005D0DCB" w:rsidP="005D0DCB">
            <w:pPr>
              <w:pStyle w:val="Tabletext"/>
              <w:spacing w:before="0" w:after="0"/>
              <w:jc w:val="center"/>
              <w:rPr>
                <w:color w:val="000000"/>
              </w:rPr>
            </w:pPr>
            <w:r>
              <w:rPr>
                <w:color w:val="000000"/>
              </w:rPr>
              <w:t>$</w:t>
            </w:r>
            <w:r>
              <w:rPr>
                <w:b/>
                <w:color w:val="000000"/>
              </w:rPr>
              <w:t>redacted</w:t>
            </w:r>
          </w:p>
        </w:tc>
        <w:tc>
          <w:tcPr>
            <w:tcW w:w="1068" w:type="pct"/>
          </w:tcPr>
          <w:p w14:paraId="41C1B4C3" w14:textId="058757E0" w:rsidR="005D0DCB" w:rsidRPr="001C6BDD" w:rsidRDefault="005D0DCB" w:rsidP="005D0DCB">
            <w:pPr>
              <w:pStyle w:val="Tabletext"/>
              <w:spacing w:before="0" w:after="0"/>
              <w:jc w:val="center"/>
              <w:rPr>
                <w:color w:val="000000"/>
              </w:rPr>
            </w:pPr>
            <w:r w:rsidRPr="005D0DCB">
              <w:rPr>
                <w:color w:val="000000"/>
              </w:rPr>
              <w:t>$</w:t>
            </w:r>
            <w:r>
              <w:rPr>
                <w:b/>
                <w:color w:val="000000"/>
              </w:rPr>
              <w:t>redacted</w:t>
            </w:r>
          </w:p>
        </w:tc>
        <w:tc>
          <w:tcPr>
            <w:tcW w:w="666" w:type="pct"/>
          </w:tcPr>
          <w:p w14:paraId="3F4061C6" w14:textId="3442D330" w:rsidR="005D0DCB" w:rsidRPr="001C6BDD" w:rsidRDefault="005D0DCB" w:rsidP="005D0DCB">
            <w:pPr>
              <w:pStyle w:val="Tabletext"/>
              <w:spacing w:before="0" w:after="0"/>
              <w:jc w:val="center"/>
              <w:rPr>
                <w:color w:val="000000"/>
              </w:rPr>
            </w:pPr>
            <w:r>
              <w:rPr>
                <w:color w:val="000000"/>
              </w:rPr>
              <w:t>$</w:t>
            </w:r>
            <w:r>
              <w:rPr>
                <w:b/>
                <w:color w:val="000000"/>
              </w:rPr>
              <w:t>redacted</w:t>
            </w:r>
            <w:r w:rsidRPr="001C6BDD">
              <w:rPr>
                <w:color w:val="000000"/>
              </w:rPr>
              <w:t xml:space="preserve"> </w:t>
            </w:r>
          </w:p>
        </w:tc>
        <w:tc>
          <w:tcPr>
            <w:tcW w:w="666" w:type="pct"/>
          </w:tcPr>
          <w:p w14:paraId="23F3C6F7" w14:textId="02ACB5BA" w:rsidR="005D0DCB" w:rsidRPr="001C6BDD" w:rsidRDefault="005D0DCB" w:rsidP="005D0DCB">
            <w:pPr>
              <w:pStyle w:val="Tabletext"/>
              <w:spacing w:before="0" w:after="0"/>
              <w:jc w:val="center"/>
              <w:rPr>
                <w:color w:val="000000"/>
              </w:rPr>
            </w:pPr>
            <w:r>
              <w:rPr>
                <w:color w:val="000000"/>
              </w:rPr>
              <w:t>$</w:t>
            </w:r>
            <w:r>
              <w:rPr>
                <w:b/>
                <w:color w:val="000000"/>
              </w:rPr>
              <w:t>redacted</w:t>
            </w:r>
            <w:r w:rsidRPr="001C6BDD">
              <w:rPr>
                <w:color w:val="000000"/>
              </w:rPr>
              <w:t xml:space="preserve"> </w:t>
            </w:r>
          </w:p>
        </w:tc>
        <w:tc>
          <w:tcPr>
            <w:tcW w:w="627" w:type="pct"/>
          </w:tcPr>
          <w:p w14:paraId="5A24C9FF" w14:textId="36C45984" w:rsidR="005D0DCB" w:rsidRPr="001C6BDD" w:rsidRDefault="005D0DCB" w:rsidP="005D0DCB">
            <w:pPr>
              <w:pStyle w:val="Tabletext"/>
              <w:spacing w:before="0" w:after="0"/>
              <w:jc w:val="center"/>
              <w:rPr>
                <w:color w:val="000000"/>
              </w:rPr>
            </w:pPr>
            <w:r>
              <w:rPr>
                <w:color w:val="000000"/>
              </w:rPr>
              <w:t>$</w:t>
            </w:r>
            <w:r>
              <w:rPr>
                <w:b/>
                <w:color w:val="000000"/>
              </w:rPr>
              <w:t>redacted</w:t>
            </w:r>
            <w:r w:rsidRPr="001C6BDD">
              <w:rPr>
                <w:color w:val="000000"/>
              </w:rPr>
              <w:t xml:space="preserve"> </w:t>
            </w:r>
          </w:p>
        </w:tc>
      </w:tr>
      <w:tr w:rsidR="005D0DCB" w:rsidRPr="001C6BDD" w14:paraId="3402B132" w14:textId="77777777" w:rsidTr="00290FEC">
        <w:trPr>
          <w:trHeight w:val="70"/>
        </w:trPr>
        <w:tc>
          <w:tcPr>
            <w:tcW w:w="5000" w:type="pct"/>
            <w:gridSpan w:val="6"/>
          </w:tcPr>
          <w:p w14:paraId="772A7CCD" w14:textId="77777777" w:rsidR="005D0DCB" w:rsidRPr="001C6BDD" w:rsidRDefault="005D0DCB" w:rsidP="005D0DCB">
            <w:pPr>
              <w:pStyle w:val="Tabletext"/>
              <w:spacing w:before="0" w:after="0"/>
            </w:pPr>
            <w:r w:rsidRPr="001C6BDD">
              <w:rPr>
                <w:b/>
              </w:rPr>
              <w:t>Net cost to NPL</w:t>
            </w:r>
          </w:p>
        </w:tc>
      </w:tr>
      <w:tr w:rsidR="005D0DCB" w:rsidRPr="001C6BDD" w14:paraId="4384D2BF" w14:textId="77777777" w:rsidTr="00290FEC">
        <w:trPr>
          <w:trHeight w:val="315"/>
        </w:trPr>
        <w:tc>
          <w:tcPr>
            <w:tcW w:w="906" w:type="pct"/>
          </w:tcPr>
          <w:p w14:paraId="66549438" w14:textId="77777777" w:rsidR="005D0DCB" w:rsidRPr="00375796" w:rsidRDefault="005D0DCB" w:rsidP="005D0DCB">
            <w:pPr>
              <w:pStyle w:val="Tabletext"/>
              <w:spacing w:before="0" w:after="0"/>
              <w:rPr>
                <w:b/>
              </w:rPr>
            </w:pPr>
            <w:r w:rsidRPr="00375796">
              <w:rPr>
                <w:b/>
              </w:rPr>
              <w:t>Total net cost to NPL</w:t>
            </w:r>
          </w:p>
        </w:tc>
        <w:tc>
          <w:tcPr>
            <w:tcW w:w="1067" w:type="pct"/>
          </w:tcPr>
          <w:p w14:paraId="55C70601" w14:textId="25AAF898" w:rsidR="005D0DCB" w:rsidRPr="00375796" w:rsidRDefault="005D0DCB" w:rsidP="005D0DCB">
            <w:pPr>
              <w:pStyle w:val="Tabletext"/>
              <w:spacing w:before="0" w:after="0"/>
              <w:jc w:val="center"/>
              <w:rPr>
                <w:b/>
              </w:rPr>
            </w:pPr>
            <w:r>
              <w:rPr>
                <w:color w:val="000000"/>
              </w:rPr>
              <w:t>$</w:t>
            </w:r>
            <w:r>
              <w:rPr>
                <w:b/>
                <w:color w:val="000000"/>
              </w:rPr>
              <w:t>redacted</w:t>
            </w:r>
          </w:p>
        </w:tc>
        <w:tc>
          <w:tcPr>
            <w:tcW w:w="1068" w:type="pct"/>
          </w:tcPr>
          <w:p w14:paraId="4F3E3026" w14:textId="2B0FAF52" w:rsidR="005D0DCB" w:rsidRPr="00375796" w:rsidRDefault="005D0DCB" w:rsidP="005D0DCB">
            <w:pPr>
              <w:pStyle w:val="Tabletext"/>
              <w:spacing w:before="0" w:after="0"/>
              <w:jc w:val="center"/>
              <w:rPr>
                <w:b/>
              </w:rPr>
            </w:pPr>
            <w:r w:rsidRPr="005D0DCB">
              <w:rPr>
                <w:color w:val="000000"/>
              </w:rPr>
              <w:t>$</w:t>
            </w:r>
            <w:r>
              <w:rPr>
                <w:b/>
                <w:color w:val="000000"/>
              </w:rPr>
              <w:t>redacted</w:t>
            </w:r>
          </w:p>
        </w:tc>
        <w:tc>
          <w:tcPr>
            <w:tcW w:w="666" w:type="pct"/>
          </w:tcPr>
          <w:p w14:paraId="1FCA0F34" w14:textId="13C596F0" w:rsidR="005D0DCB" w:rsidRPr="00375796" w:rsidRDefault="005D0DCB" w:rsidP="005D0DCB">
            <w:pPr>
              <w:pStyle w:val="Tabletext"/>
              <w:spacing w:before="0" w:after="0"/>
              <w:jc w:val="center"/>
              <w:rPr>
                <w:b/>
              </w:rPr>
            </w:pPr>
            <w:r>
              <w:rPr>
                <w:color w:val="000000"/>
              </w:rPr>
              <w:t>$</w:t>
            </w:r>
            <w:r>
              <w:rPr>
                <w:b/>
                <w:color w:val="000000"/>
              </w:rPr>
              <w:t>redacted</w:t>
            </w:r>
            <w:r w:rsidRPr="001C6BDD">
              <w:rPr>
                <w:color w:val="000000"/>
              </w:rPr>
              <w:t xml:space="preserve"> </w:t>
            </w:r>
          </w:p>
        </w:tc>
        <w:tc>
          <w:tcPr>
            <w:tcW w:w="666" w:type="pct"/>
          </w:tcPr>
          <w:p w14:paraId="25B5F8DC" w14:textId="1E3C26DE" w:rsidR="005D0DCB" w:rsidRPr="00375796" w:rsidRDefault="005D0DCB" w:rsidP="005D0DCB">
            <w:pPr>
              <w:pStyle w:val="Tabletext"/>
              <w:spacing w:before="0" w:after="0"/>
              <w:jc w:val="center"/>
              <w:rPr>
                <w:b/>
              </w:rPr>
            </w:pPr>
            <w:r>
              <w:rPr>
                <w:color w:val="000000"/>
              </w:rPr>
              <w:t>$</w:t>
            </w:r>
            <w:r>
              <w:rPr>
                <w:b/>
                <w:color w:val="000000"/>
              </w:rPr>
              <w:t>redacted</w:t>
            </w:r>
            <w:r w:rsidRPr="001C6BDD">
              <w:rPr>
                <w:color w:val="000000"/>
              </w:rPr>
              <w:t xml:space="preserve"> </w:t>
            </w:r>
          </w:p>
        </w:tc>
        <w:tc>
          <w:tcPr>
            <w:tcW w:w="627" w:type="pct"/>
          </w:tcPr>
          <w:p w14:paraId="5118E7E3" w14:textId="04ABD68A" w:rsidR="005D0DCB" w:rsidRPr="00375796" w:rsidRDefault="005D0DCB" w:rsidP="005D0DCB">
            <w:pPr>
              <w:pStyle w:val="Tabletext"/>
              <w:spacing w:before="0" w:after="0"/>
              <w:jc w:val="center"/>
              <w:rPr>
                <w:b/>
              </w:rPr>
            </w:pPr>
            <w:r>
              <w:rPr>
                <w:color w:val="000000"/>
              </w:rPr>
              <w:t>$</w:t>
            </w:r>
            <w:r>
              <w:rPr>
                <w:b/>
                <w:color w:val="000000"/>
              </w:rPr>
              <w:t>redacted</w:t>
            </w:r>
            <w:r w:rsidRPr="001C6BDD">
              <w:rPr>
                <w:color w:val="000000"/>
              </w:rPr>
              <w:t xml:space="preserve"> </w:t>
            </w:r>
          </w:p>
        </w:tc>
      </w:tr>
    </w:tbl>
    <w:p w14:paraId="5995B6B6" w14:textId="77777777" w:rsidR="00054E4D" w:rsidRDefault="00054E4D" w:rsidP="00BC72A9">
      <w:pPr>
        <w:pStyle w:val="Tablenotes0"/>
        <w:rPr>
          <w:rStyle w:val="TablenotesChar0"/>
          <w:lang w:eastAsia="zh-CN"/>
        </w:rPr>
      </w:pPr>
      <w:r>
        <w:rPr>
          <w:rStyle w:val="TablenotesChar0"/>
          <w:b/>
          <w:lang w:eastAsia="zh-CN"/>
        </w:rPr>
        <w:t>Source</w:t>
      </w:r>
      <w:r>
        <w:rPr>
          <w:rStyle w:val="TablenotesChar0"/>
          <w:lang w:eastAsia="zh-CN"/>
        </w:rPr>
        <w:t xml:space="preserve">: </w:t>
      </w:r>
      <w:r w:rsidRPr="00CF5CD4">
        <w:t>Submission, Section E, Table E.</w:t>
      </w:r>
      <w:r>
        <w:t>15</w:t>
      </w:r>
      <w:r w:rsidRPr="00CF5CD4">
        <w:t xml:space="preserve">, p. </w:t>
      </w:r>
      <w:r>
        <w:t>18</w:t>
      </w:r>
    </w:p>
    <w:p w14:paraId="5F8F4F57" w14:textId="77777777" w:rsidR="00054E4D" w:rsidRPr="00E341A0" w:rsidRDefault="00054E4D" w:rsidP="00BC72A9">
      <w:pPr>
        <w:pStyle w:val="Tablenotes0"/>
      </w:pPr>
      <w:r w:rsidRPr="00F34A6C">
        <w:rPr>
          <w:b/>
        </w:rPr>
        <w:t>Abbreviations</w:t>
      </w:r>
      <w:r w:rsidRPr="00E341A0">
        <w:t>: NPL</w:t>
      </w:r>
      <w:r>
        <w:rPr>
          <w:rFonts w:hint="eastAsia"/>
          <w:lang w:eastAsia="zh-CN"/>
        </w:rPr>
        <w:t>=</w:t>
      </w:r>
      <w:r w:rsidRPr="00E341A0">
        <w:t xml:space="preserve"> National Product List.</w:t>
      </w:r>
    </w:p>
    <w:p w14:paraId="2678886E" w14:textId="3F14E0F9" w:rsidR="00054E4D" w:rsidRDefault="00054E4D" w:rsidP="0010250B">
      <w:pPr>
        <w:spacing w:before="240"/>
      </w:pPr>
      <w:r>
        <w:t xml:space="preserve">The Critique stated that the </w:t>
      </w:r>
      <w:r w:rsidRPr="00F16D23">
        <w:t xml:space="preserve">major uncertainty in the financial analysis relates to estimated uptake </w:t>
      </w:r>
      <w:r>
        <w:t>across</w:t>
      </w:r>
      <w:r w:rsidRPr="00F16D23">
        <w:t xml:space="preserve"> patient sub</w:t>
      </w:r>
      <w:r>
        <w:t>groups</w:t>
      </w:r>
      <w:r w:rsidRPr="00F16D23">
        <w:t xml:space="preserve">. Given the size of the moderate patient </w:t>
      </w:r>
      <w:r>
        <w:t>sub</w:t>
      </w:r>
      <w:r w:rsidRPr="00F16D23">
        <w:t xml:space="preserve">group, even 25% adoption among those availing on-demand FVIII </w:t>
      </w:r>
      <w:r>
        <w:t xml:space="preserve">would have </w:t>
      </w:r>
      <w:r w:rsidRPr="00F16D23">
        <w:t>significant budget impacts. Other uncertainties in the analysis (such as bleed rate and inhibitor background prevalence) had limited impact on estimated net financial costs.</w:t>
      </w:r>
    </w:p>
    <w:p w14:paraId="7916A452" w14:textId="77777777" w:rsidR="00054E4D" w:rsidRDefault="00054E4D" w:rsidP="004347FB">
      <w:pPr>
        <w:pStyle w:val="Heading2"/>
      </w:pPr>
      <w:r>
        <w:lastRenderedPageBreak/>
        <w:t>Critique</w:t>
      </w:r>
      <w:r w:rsidR="004347FB">
        <w:t xml:space="preserve"> Addendum</w:t>
      </w:r>
    </w:p>
    <w:p w14:paraId="5A3E4927" w14:textId="61FF10A5" w:rsidR="00054E4D" w:rsidRDefault="00054E4D" w:rsidP="00BC72A9">
      <w:pPr>
        <w:spacing w:after="240"/>
        <w:rPr>
          <w:u w:val="single"/>
          <w:lang w:eastAsia="zh-CN"/>
        </w:rPr>
      </w:pPr>
      <w:r>
        <w:t>The addendum to the Critique sought</w:t>
      </w:r>
      <w:r>
        <w:rPr>
          <w:lang w:eastAsia="zh-CN"/>
        </w:rPr>
        <w:t xml:space="preserve"> </w:t>
      </w:r>
      <w:r w:rsidRPr="00167CEC">
        <w:rPr>
          <w:lang w:eastAsia="zh-CN"/>
        </w:rPr>
        <w:t xml:space="preserve">to facilitate the </w:t>
      </w:r>
      <w:r>
        <w:rPr>
          <w:lang w:eastAsia="zh-CN"/>
        </w:rPr>
        <w:t>consideration of</w:t>
      </w:r>
      <w:r w:rsidRPr="00167CEC">
        <w:rPr>
          <w:lang w:eastAsia="zh-CN"/>
        </w:rPr>
        <w:t xml:space="preserve"> </w:t>
      </w:r>
      <w:r>
        <w:rPr>
          <w:lang w:eastAsia="zh-CN"/>
        </w:rPr>
        <w:t>Application</w:t>
      </w:r>
      <w:r w:rsidR="00BE13BA">
        <w:rPr>
          <w:lang w:eastAsia="zh-CN"/>
        </w:rPr>
        <w:t xml:space="preserve"> </w:t>
      </w:r>
      <w:r w:rsidRPr="00167CEC">
        <w:rPr>
          <w:lang w:eastAsia="zh-CN"/>
        </w:rPr>
        <w:t>1579</w:t>
      </w:r>
      <w:r>
        <w:rPr>
          <w:lang w:eastAsia="zh-CN"/>
        </w:rPr>
        <w:t xml:space="preserve"> by </w:t>
      </w:r>
      <w:r w:rsidRPr="00167CEC">
        <w:rPr>
          <w:lang w:eastAsia="zh-CN"/>
        </w:rPr>
        <w:t>identif</w:t>
      </w:r>
      <w:r>
        <w:rPr>
          <w:lang w:eastAsia="zh-CN"/>
        </w:rPr>
        <w:t>ying</w:t>
      </w:r>
      <w:r w:rsidRPr="00167CEC">
        <w:rPr>
          <w:lang w:eastAsia="zh-CN"/>
        </w:rPr>
        <w:t xml:space="preserve"> </w:t>
      </w:r>
      <w:r>
        <w:rPr>
          <w:lang w:eastAsia="zh-CN"/>
        </w:rPr>
        <w:t>those</w:t>
      </w:r>
      <w:r w:rsidRPr="00167CEC">
        <w:rPr>
          <w:lang w:eastAsia="zh-CN"/>
        </w:rPr>
        <w:t xml:space="preserve"> budgetary impact analyses in the </w:t>
      </w:r>
      <w:r>
        <w:rPr>
          <w:lang w:eastAsia="zh-CN"/>
        </w:rPr>
        <w:t xml:space="preserve">submission for 1579 and relevant to the non-inhibitor population of 1579, </w:t>
      </w:r>
      <w:r w:rsidRPr="00625BE8">
        <w:rPr>
          <w:lang w:eastAsia="zh-CN"/>
        </w:rPr>
        <w:t>which appear</w:t>
      </w:r>
      <w:r>
        <w:rPr>
          <w:lang w:eastAsia="zh-CN"/>
        </w:rPr>
        <w:t>ed</w:t>
      </w:r>
      <w:r w:rsidRPr="00625BE8">
        <w:rPr>
          <w:lang w:eastAsia="zh-CN"/>
        </w:rPr>
        <w:t xml:space="preserve"> to have been superseded by information presented in </w:t>
      </w:r>
      <w:r>
        <w:rPr>
          <w:lang w:eastAsia="zh-CN"/>
        </w:rPr>
        <w:t xml:space="preserve">the resubmission for Application </w:t>
      </w:r>
      <w:r w:rsidRPr="00625BE8">
        <w:rPr>
          <w:lang w:eastAsia="zh-CN"/>
        </w:rPr>
        <w:t>1510.1</w:t>
      </w:r>
      <w:r>
        <w:rPr>
          <w:lang w:eastAsia="zh-CN"/>
        </w:rPr>
        <w:t>. The differences in</w:t>
      </w:r>
      <w:r w:rsidRPr="00167CEC">
        <w:rPr>
          <w:lang w:eastAsia="zh-CN"/>
        </w:rPr>
        <w:t xml:space="preserve"> the uptake data estimated in 1579 and 1510.1 </w:t>
      </w:r>
      <w:r>
        <w:rPr>
          <w:lang w:eastAsia="zh-CN"/>
        </w:rPr>
        <w:t>have been e</w:t>
      </w:r>
      <w:r w:rsidR="004347FB">
        <w:rPr>
          <w:lang w:eastAsia="zh-CN"/>
        </w:rPr>
        <w:t>xtracted and presented in Table</w:t>
      </w:r>
      <w:r>
        <w:rPr>
          <w:lang w:eastAsia="zh-CN"/>
        </w:rPr>
        <w:t xml:space="preserve"> </w:t>
      </w:r>
      <w:r w:rsidR="00FE478C">
        <w:rPr>
          <w:lang w:eastAsia="zh-CN"/>
        </w:rPr>
        <w:t>10</w:t>
      </w:r>
      <w:r>
        <w:rPr>
          <w:lang w:eastAsia="zh-CN"/>
        </w:rPr>
        <w:t xml:space="preserve"> (adult subgroup) and </w:t>
      </w:r>
      <w:r w:rsidR="004347FB">
        <w:rPr>
          <w:lang w:eastAsia="zh-CN"/>
        </w:rPr>
        <w:t xml:space="preserve">Table </w:t>
      </w:r>
      <w:r w:rsidR="00FE478C">
        <w:rPr>
          <w:lang w:eastAsia="zh-CN"/>
        </w:rPr>
        <w:t>11</w:t>
      </w:r>
      <w:r>
        <w:rPr>
          <w:lang w:eastAsia="zh-CN"/>
        </w:rPr>
        <w:t xml:space="preserve"> (paediatric subgroup). </w:t>
      </w:r>
      <w:r w:rsidRPr="00167CEC">
        <w:rPr>
          <w:lang w:eastAsia="zh-CN"/>
        </w:rPr>
        <w:t>At the end of e</w:t>
      </w:r>
      <w:r>
        <w:rPr>
          <w:lang w:eastAsia="zh-CN"/>
        </w:rPr>
        <w:t>ach</w:t>
      </w:r>
      <w:r w:rsidRPr="00167CEC">
        <w:rPr>
          <w:lang w:eastAsia="zh-CN"/>
        </w:rPr>
        <w:t xml:space="preserve"> table, the estimated number of emicizumab users were also provided to illustrate the overall impact on the reduced uptake</w:t>
      </w:r>
      <w:r>
        <w:rPr>
          <w:lang w:eastAsia="zh-CN"/>
        </w:rPr>
        <w:t>.</w:t>
      </w:r>
    </w:p>
    <w:p w14:paraId="2289537B" w14:textId="2DFA6947" w:rsidR="00054E4D" w:rsidRPr="006F64E6" w:rsidRDefault="00054E4D" w:rsidP="006F64E6">
      <w:pPr>
        <w:rPr>
          <w:rFonts w:ascii="Arial Narrow" w:hAnsi="Arial Narrow"/>
          <w:b/>
          <w:sz w:val="20"/>
        </w:rPr>
      </w:pPr>
      <w:r w:rsidRPr="006F64E6">
        <w:rPr>
          <w:rFonts w:ascii="Arial Narrow" w:hAnsi="Arial Narrow"/>
          <w:b/>
          <w:sz w:val="20"/>
        </w:rPr>
        <w:t xml:space="preserve">Table </w:t>
      </w:r>
      <w:r w:rsidR="00FE478C" w:rsidRPr="006F64E6">
        <w:rPr>
          <w:rFonts w:ascii="Arial Narrow" w:hAnsi="Arial Narrow"/>
          <w:b/>
          <w:sz w:val="20"/>
        </w:rPr>
        <w:t>10</w:t>
      </w:r>
      <w:r w:rsidRPr="006F64E6">
        <w:rPr>
          <w:rFonts w:ascii="Arial Narrow" w:hAnsi="Arial Narrow"/>
          <w:b/>
          <w:sz w:val="20"/>
        </w:rPr>
        <w:tab/>
        <w:t>Comparison of emicizumab uptake between 1579 and 1510.1, adult subgroup</w:t>
      </w:r>
    </w:p>
    <w:tbl>
      <w:tblPr>
        <w:tblStyle w:val="TableGrid"/>
        <w:tblW w:w="0" w:type="auto"/>
        <w:tblCellMar>
          <w:top w:w="28" w:type="dxa"/>
          <w:left w:w="28" w:type="dxa"/>
          <w:bottom w:w="28" w:type="dxa"/>
          <w:right w:w="28" w:type="dxa"/>
        </w:tblCellMar>
        <w:tblLook w:val="04A0" w:firstRow="1" w:lastRow="0" w:firstColumn="1" w:lastColumn="0" w:noHBand="0" w:noVBand="1"/>
        <w:tblCaption w:val="Comparison of emicizumab uptake between 1579 and 1510.1, adult subgroup"/>
      </w:tblPr>
      <w:tblGrid>
        <w:gridCol w:w="3112"/>
        <w:gridCol w:w="850"/>
        <w:gridCol w:w="851"/>
        <w:gridCol w:w="850"/>
        <w:gridCol w:w="851"/>
        <w:gridCol w:w="850"/>
        <w:gridCol w:w="1652"/>
      </w:tblGrid>
      <w:tr w:rsidR="00054E4D" w:rsidRPr="00167CEC" w14:paraId="50E6DB82" w14:textId="77777777" w:rsidTr="005D0DCB">
        <w:trPr>
          <w:tblHeader/>
        </w:trPr>
        <w:tc>
          <w:tcPr>
            <w:tcW w:w="3112" w:type="dxa"/>
            <w:tcBorders>
              <w:bottom w:val="single" w:sz="4" w:space="0" w:color="auto"/>
            </w:tcBorders>
          </w:tcPr>
          <w:p w14:paraId="09546842" w14:textId="77777777" w:rsidR="00054E4D" w:rsidRPr="00167CEC" w:rsidRDefault="00054E4D" w:rsidP="0010250B">
            <w:pPr>
              <w:pStyle w:val="Tabletext"/>
              <w:spacing w:before="0" w:after="0"/>
              <w:rPr>
                <w:b/>
                <w:lang w:eastAsia="zh-CN"/>
              </w:rPr>
            </w:pPr>
            <w:r w:rsidRPr="00167CEC">
              <w:rPr>
                <w:b/>
                <w:lang w:eastAsia="zh-CN"/>
              </w:rPr>
              <w:t>Emicizumab uptake estimates and sources</w:t>
            </w:r>
          </w:p>
        </w:tc>
        <w:tc>
          <w:tcPr>
            <w:tcW w:w="850" w:type="dxa"/>
            <w:tcBorders>
              <w:bottom w:val="single" w:sz="4" w:space="0" w:color="auto"/>
            </w:tcBorders>
          </w:tcPr>
          <w:p w14:paraId="063065E6" w14:textId="77777777" w:rsidR="00054E4D" w:rsidRPr="00167CEC" w:rsidRDefault="00054E4D" w:rsidP="0010250B">
            <w:pPr>
              <w:pStyle w:val="Tabletext"/>
              <w:spacing w:before="0" w:after="0"/>
              <w:jc w:val="center"/>
              <w:rPr>
                <w:b/>
                <w:lang w:eastAsia="zh-CN"/>
              </w:rPr>
            </w:pPr>
            <w:r w:rsidRPr="00167CEC">
              <w:rPr>
                <w:b/>
                <w:lang w:eastAsia="zh-CN"/>
              </w:rPr>
              <w:t>Year 1</w:t>
            </w:r>
          </w:p>
        </w:tc>
        <w:tc>
          <w:tcPr>
            <w:tcW w:w="851" w:type="dxa"/>
            <w:tcBorders>
              <w:bottom w:val="single" w:sz="4" w:space="0" w:color="auto"/>
            </w:tcBorders>
          </w:tcPr>
          <w:p w14:paraId="09C1EBB2" w14:textId="77777777" w:rsidR="00054E4D" w:rsidRPr="00167CEC" w:rsidRDefault="00054E4D" w:rsidP="0010250B">
            <w:pPr>
              <w:pStyle w:val="Tabletext"/>
              <w:spacing w:before="0" w:after="0"/>
              <w:jc w:val="center"/>
              <w:rPr>
                <w:b/>
                <w:lang w:eastAsia="zh-CN"/>
              </w:rPr>
            </w:pPr>
            <w:r w:rsidRPr="00167CEC">
              <w:rPr>
                <w:b/>
                <w:lang w:eastAsia="zh-CN"/>
              </w:rPr>
              <w:t>Year 2</w:t>
            </w:r>
          </w:p>
        </w:tc>
        <w:tc>
          <w:tcPr>
            <w:tcW w:w="850" w:type="dxa"/>
            <w:tcBorders>
              <w:bottom w:val="single" w:sz="4" w:space="0" w:color="auto"/>
            </w:tcBorders>
          </w:tcPr>
          <w:p w14:paraId="6F7BB58C" w14:textId="77777777" w:rsidR="00054E4D" w:rsidRPr="00167CEC" w:rsidRDefault="00054E4D" w:rsidP="0010250B">
            <w:pPr>
              <w:pStyle w:val="Tabletext"/>
              <w:spacing w:before="0" w:after="0"/>
              <w:jc w:val="center"/>
              <w:rPr>
                <w:b/>
                <w:lang w:eastAsia="zh-CN"/>
              </w:rPr>
            </w:pPr>
            <w:r w:rsidRPr="00167CEC">
              <w:rPr>
                <w:b/>
                <w:lang w:eastAsia="zh-CN"/>
              </w:rPr>
              <w:t>Year 3</w:t>
            </w:r>
          </w:p>
        </w:tc>
        <w:tc>
          <w:tcPr>
            <w:tcW w:w="851" w:type="dxa"/>
            <w:tcBorders>
              <w:bottom w:val="single" w:sz="4" w:space="0" w:color="auto"/>
            </w:tcBorders>
          </w:tcPr>
          <w:p w14:paraId="77F0AA4D" w14:textId="77777777" w:rsidR="00054E4D" w:rsidRPr="00167CEC" w:rsidRDefault="00054E4D" w:rsidP="0010250B">
            <w:pPr>
              <w:pStyle w:val="Tabletext"/>
              <w:spacing w:before="0" w:after="0"/>
              <w:jc w:val="center"/>
              <w:rPr>
                <w:b/>
                <w:lang w:eastAsia="zh-CN"/>
              </w:rPr>
            </w:pPr>
            <w:r w:rsidRPr="00167CEC">
              <w:rPr>
                <w:b/>
                <w:lang w:eastAsia="zh-CN"/>
              </w:rPr>
              <w:t>Year 4</w:t>
            </w:r>
          </w:p>
        </w:tc>
        <w:tc>
          <w:tcPr>
            <w:tcW w:w="850" w:type="dxa"/>
            <w:tcBorders>
              <w:bottom w:val="single" w:sz="4" w:space="0" w:color="auto"/>
            </w:tcBorders>
          </w:tcPr>
          <w:p w14:paraId="66C24248" w14:textId="77777777" w:rsidR="00054E4D" w:rsidRPr="00167CEC" w:rsidRDefault="00054E4D" w:rsidP="0010250B">
            <w:pPr>
              <w:pStyle w:val="Tabletext"/>
              <w:spacing w:before="0" w:after="0"/>
              <w:jc w:val="center"/>
              <w:rPr>
                <w:b/>
                <w:lang w:eastAsia="zh-CN"/>
              </w:rPr>
            </w:pPr>
            <w:r w:rsidRPr="00167CEC">
              <w:rPr>
                <w:b/>
                <w:lang w:eastAsia="zh-CN"/>
              </w:rPr>
              <w:t>Year 5</w:t>
            </w:r>
          </w:p>
        </w:tc>
        <w:tc>
          <w:tcPr>
            <w:tcW w:w="1652" w:type="dxa"/>
            <w:tcBorders>
              <w:bottom w:val="single" w:sz="4" w:space="0" w:color="auto"/>
            </w:tcBorders>
          </w:tcPr>
          <w:p w14:paraId="4575BD2A" w14:textId="77777777" w:rsidR="00054E4D" w:rsidRPr="00167CEC" w:rsidRDefault="00054E4D" w:rsidP="0010250B">
            <w:pPr>
              <w:pStyle w:val="Tabletext"/>
              <w:spacing w:before="0" w:after="0"/>
              <w:rPr>
                <w:b/>
                <w:lang w:eastAsia="zh-CN"/>
              </w:rPr>
            </w:pPr>
            <w:r w:rsidRPr="00167CEC">
              <w:rPr>
                <w:b/>
                <w:lang w:eastAsia="zh-CN"/>
              </w:rPr>
              <w:t>Impact to BIA</w:t>
            </w:r>
          </w:p>
        </w:tc>
      </w:tr>
      <w:tr w:rsidR="00054E4D" w:rsidRPr="00167CEC" w14:paraId="43BD27F5" w14:textId="77777777" w:rsidTr="005D0DCB">
        <w:tc>
          <w:tcPr>
            <w:tcW w:w="3112" w:type="dxa"/>
            <w:tcBorders>
              <w:right w:val="nil"/>
            </w:tcBorders>
            <w:shd w:val="clear" w:color="auto" w:fill="D9D9D9" w:themeFill="background1" w:themeFillShade="D9"/>
            <w:vAlign w:val="center"/>
          </w:tcPr>
          <w:p w14:paraId="437FEF9B" w14:textId="77777777" w:rsidR="00054E4D" w:rsidRPr="00167CEC" w:rsidRDefault="00054E4D" w:rsidP="0010250B">
            <w:pPr>
              <w:pStyle w:val="Tabletext"/>
              <w:spacing w:before="0" w:after="0"/>
              <w:rPr>
                <w:lang w:eastAsia="zh-CN"/>
              </w:rPr>
            </w:pPr>
            <w:r w:rsidRPr="00167CEC">
              <w:rPr>
                <w:u w:val="single"/>
                <w:lang w:eastAsia="zh-CN"/>
              </w:rPr>
              <w:t xml:space="preserve">Prophylaxis </w:t>
            </w:r>
            <w:r w:rsidRPr="00167CEC">
              <w:rPr>
                <w:lang w:eastAsia="zh-CN"/>
              </w:rPr>
              <w:t xml:space="preserve">uptake among </w:t>
            </w:r>
            <w:r w:rsidRPr="006D54A1">
              <w:rPr>
                <w:b/>
                <w:lang w:eastAsia="zh-CN"/>
              </w:rPr>
              <w:t>adult</w:t>
            </w:r>
            <w:r w:rsidRPr="00167CEC">
              <w:rPr>
                <w:lang w:eastAsia="zh-CN"/>
              </w:rPr>
              <w:t xml:space="preserve"> patients with </w:t>
            </w:r>
            <w:r w:rsidRPr="00167CEC">
              <w:rPr>
                <w:b/>
                <w:lang w:eastAsia="zh-CN"/>
              </w:rPr>
              <w:t>moderate</w:t>
            </w:r>
            <w:r w:rsidRPr="00167CEC">
              <w:rPr>
                <w:lang w:eastAsia="zh-CN"/>
              </w:rPr>
              <w:t xml:space="preserve"> haemophilia</w:t>
            </w:r>
          </w:p>
        </w:tc>
        <w:tc>
          <w:tcPr>
            <w:tcW w:w="850" w:type="dxa"/>
            <w:tcBorders>
              <w:left w:val="nil"/>
              <w:right w:val="nil"/>
            </w:tcBorders>
            <w:shd w:val="clear" w:color="auto" w:fill="D9D9D9" w:themeFill="background1" w:themeFillShade="D9"/>
            <w:vAlign w:val="center"/>
          </w:tcPr>
          <w:p w14:paraId="1E17DDEF" w14:textId="77777777" w:rsidR="00054E4D" w:rsidRPr="00167CEC" w:rsidRDefault="00054E4D" w:rsidP="0010250B">
            <w:pPr>
              <w:pStyle w:val="Tabletext"/>
              <w:spacing w:before="0" w:after="0"/>
              <w:jc w:val="center"/>
              <w:rPr>
                <w:lang w:eastAsia="zh-CN"/>
              </w:rPr>
            </w:pPr>
          </w:p>
        </w:tc>
        <w:tc>
          <w:tcPr>
            <w:tcW w:w="851" w:type="dxa"/>
            <w:tcBorders>
              <w:left w:val="nil"/>
              <w:right w:val="nil"/>
            </w:tcBorders>
            <w:shd w:val="clear" w:color="auto" w:fill="D9D9D9" w:themeFill="background1" w:themeFillShade="D9"/>
            <w:vAlign w:val="center"/>
          </w:tcPr>
          <w:p w14:paraId="14A9DE63" w14:textId="77777777" w:rsidR="00054E4D" w:rsidRPr="00167CEC" w:rsidRDefault="00054E4D" w:rsidP="0010250B">
            <w:pPr>
              <w:pStyle w:val="Tabletext"/>
              <w:spacing w:before="0" w:after="0"/>
              <w:jc w:val="center"/>
              <w:rPr>
                <w:lang w:eastAsia="zh-CN"/>
              </w:rPr>
            </w:pPr>
          </w:p>
        </w:tc>
        <w:tc>
          <w:tcPr>
            <w:tcW w:w="850" w:type="dxa"/>
            <w:tcBorders>
              <w:left w:val="nil"/>
              <w:right w:val="nil"/>
            </w:tcBorders>
            <w:shd w:val="clear" w:color="auto" w:fill="D9D9D9" w:themeFill="background1" w:themeFillShade="D9"/>
            <w:vAlign w:val="center"/>
          </w:tcPr>
          <w:p w14:paraId="53C53728" w14:textId="77777777" w:rsidR="00054E4D" w:rsidRPr="00167CEC" w:rsidRDefault="00054E4D" w:rsidP="0010250B">
            <w:pPr>
              <w:pStyle w:val="Tabletext"/>
              <w:spacing w:before="0" w:after="0"/>
              <w:jc w:val="center"/>
              <w:rPr>
                <w:lang w:eastAsia="zh-CN"/>
              </w:rPr>
            </w:pPr>
          </w:p>
        </w:tc>
        <w:tc>
          <w:tcPr>
            <w:tcW w:w="851" w:type="dxa"/>
            <w:tcBorders>
              <w:left w:val="nil"/>
              <w:right w:val="nil"/>
            </w:tcBorders>
            <w:shd w:val="clear" w:color="auto" w:fill="D9D9D9" w:themeFill="background1" w:themeFillShade="D9"/>
            <w:vAlign w:val="center"/>
          </w:tcPr>
          <w:p w14:paraId="4FE1E667" w14:textId="77777777" w:rsidR="00054E4D" w:rsidRPr="00167CEC" w:rsidRDefault="00054E4D" w:rsidP="0010250B">
            <w:pPr>
              <w:pStyle w:val="Tabletext"/>
              <w:spacing w:before="0" w:after="0"/>
              <w:jc w:val="center"/>
              <w:rPr>
                <w:lang w:eastAsia="zh-CN"/>
              </w:rPr>
            </w:pPr>
          </w:p>
        </w:tc>
        <w:tc>
          <w:tcPr>
            <w:tcW w:w="850" w:type="dxa"/>
            <w:tcBorders>
              <w:left w:val="nil"/>
              <w:right w:val="nil"/>
            </w:tcBorders>
            <w:shd w:val="clear" w:color="auto" w:fill="D9D9D9" w:themeFill="background1" w:themeFillShade="D9"/>
            <w:vAlign w:val="center"/>
          </w:tcPr>
          <w:p w14:paraId="2850D456" w14:textId="77777777" w:rsidR="00054E4D" w:rsidRPr="00167CEC" w:rsidRDefault="00054E4D" w:rsidP="0010250B">
            <w:pPr>
              <w:pStyle w:val="Tabletext"/>
              <w:spacing w:before="0" w:after="0"/>
              <w:jc w:val="center"/>
              <w:rPr>
                <w:lang w:eastAsia="zh-CN"/>
              </w:rPr>
            </w:pPr>
          </w:p>
        </w:tc>
        <w:tc>
          <w:tcPr>
            <w:tcW w:w="1652" w:type="dxa"/>
            <w:tcBorders>
              <w:left w:val="nil"/>
            </w:tcBorders>
            <w:shd w:val="clear" w:color="auto" w:fill="D9D9D9" w:themeFill="background1" w:themeFillShade="D9"/>
            <w:vAlign w:val="center"/>
          </w:tcPr>
          <w:p w14:paraId="3FEEB5B1" w14:textId="77777777" w:rsidR="00054E4D" w:rsidRPr="00167CEC" w:rsidRDefault="00054E4D" w:rsidP="0010250B">
            <w:pPr>
              <w:pStyle w:val="Tabletext"/>
              <w:spacing w:before="0" w:after="0"/>
              <w:rPr>
                <w:lang w:eastAsia="zh-CN"/>
              </w:rPr>
            </w:pPr>
          </w:p>
        </w:tc>
      </w:tr>
      <w:tr w:rsidR="00054E4D" w:rsidRPr="00167CEC" w14:paraId="14C31590" w14:textId="77777777" w:rsidTr="005D0DCB">
        <w:tc>
          <w:tcPr>
            <w:tcW w:w="3112" w:type="dxa"/>
            <w:vAlign w:val="center"/>
          </w:tcPr>
          <w:p w14:paraId="4AB2C7FB" w14:textId="77777777" w:rsidR="00054E4D" w:rsidRPr="00167CEC" w:rsidRDefault="00054E4D" w:rsidP="0010250B">
            <w:pPr>
              <w:pStyle w:val="Tabletext"/>
              <w:spacing w:before="0" w:after="0"/>
              <w:rPr>
                <w:lang w:eastAsia="zh-CN"/>
              </w:rPr>
            </w:pPr>
            <w:r w:rsidRPr="00167CEC">
              <w:rPr>
                <w:lang w:eastAsia="zh-CN"/>
              </w:rPr>
              <w:t>Estimates in 1579</w:t>
            </w:r>
          </w:p>
        </w:tc>
        <w:tc>
          <w:tcPr>
            <w:tcW w:w="850" w:type="dxa"/>
            <w:vAlign w:val="center"/>
          </w:tcPr>
          <w:p w14:paraId="47AECA31" w14:textId="77777777" w:rsidR="00054E4D" w:rsidRPr="00167CEC" w:rsidRDefault="00054E4D" w:rsidP="0010250B">
            <w:pPr>
              <w:pStyle w:val="Tabletext"/>
              <w:spacing w:before="0" w:after="0"/>
              <w:jc w:val="center"/>
              <w:rPr>
                <w:lang w:eastAsia="zh-CN"/>
              </w:rPr>
            </w:pPr>
            <w:r w:rsidRPr="00167CEC">
              <w:t>50.0%</w:t>
            </w:r>
          </w:p>
        </w:tc>
        <w:tc>
          <w:tcPr>
            <w:tcW w:w="851" w:type="dxa"/>
            <w:vAlign w:val="center"/>
          </w:tcPr>
          <w:p w14:paraId="178F83C2" w14:textId="77777777" w:rsidR="00054E4D" w:rsidRPr="00167CEC" w:rsidRDefault="00054E4D" w:rsidP="0010250B">
            <w:pPr>
              <w:pStyle w:val="Tabletext"/>
              <w:spacing w:before="0" w:after="0"/>
              <w:jc w:val="center"/>
              <w:rPr>
                <w:lang w:eastAsia="zh-CN"/>
              </w:rPr>
            </w:pPr>
            <w:r w:rsidRPr="00167CEC">
              <w:t>100.0%</w:t>
            </w:r>
          </w:p>
        </w:tc>
        <w:tc>
          <w:tcPr>
            <w:tcW w:w="850" w:type="dxa"/>
            <w:vAlign w:val="center"/>
          </w:tcPr>
          <w:p w14:paraId="77BE67AA" w14:textId="77777777" w:rsidR="00054E4D" w:rsidRPr="00167CEC" w:rsidRDefault="00054E4D" w:rsidP="0010250B">
            <w:pPr>
              <w:pStyle w:val="Tabletext"/>
              <w:spacing w:before="0" w:after="0"/>
              <w:jc w:val="center"/>
              <w:rPr>
                <w:lang w:eastAsia="zh-CN"/>
              </w:rPr>
            </w:pPr>
            <w:r w:rsidRPr="00167CEC">
              <w:t>100.0%</w:t>
            </w:r>
          </w:p>
        </w:tc>
        <w:tc>
          <w:tcPr>
            <w:tcW w:w="851" w:type="dxa"/>
            <w:vAlign w:val="center"/>
          </w:tcPr>
          <w:p w14:paraId="5E9BDBD1" w14:textId="77777777" w:rsidR="00054E4D" w:rsidRPr="00167CEC" w:rsidRDefault="00054E4D" w:rsidP="0010250B">
            <w:pPr>
              <w:pStyle w:val="Tabletext"/>
              <w:spacing w:before="0" w:after="0"/>
              <w:jc w:val="center"/>
              <w:rPr>
                <w:lang w:eastAsia="zh-CN"/>
              </w:rPr>
            </w:pPr>
            <w:r w:rsidRPr="00167CEC">
              <w:t>100.0%</w:t>
            </w:r>
          </w:p>
        </w:tc>
        <w:tc>
          <w:tcPr>
            <w:tcW w:w="850" w:type="dxa"/>
            <w:vAlign w:val="center"/>
          </w:tcPr>
          <w:p w14:paraId="1C4CD2E5" w14:textId="77777777" w:rsidR="00054E4D" w:rsidRPr="00167CEC" w:rsidRDefault="00054E4D" w:rsidP="0010250B">
            <w:pPr>
              <w:pStyle w:val="Tabletext"/>
              <w:spacing w:before="0" w:after="0"/>
              <w:jc w:val="center"/>
              <w:rPr>
                <w:lang w:eastAsia="zh-CN"/>
              </w:rPr>
            </w:pPr>
            <w:r w:rsidRPr="00167CEC">
              <w:t>100.0%</w:t>
            </w:r>
          </w:p>
        </w:tc>
        <w:tc>
          <w:tcPr>
            <w:tcW w:w="1652" w:type="dxa"/>
            <w:vAlign w:val="center"/>
          </w:tcPr>
          <w:p w14:paraId="4A43593B" w14:textId="77777777" w:rsidR="00054E4D" w:rsidRPr="00167CEC" w:rsidRDefault="00054E4D" w:rsidP="0010250B">
            <w:pPr>
              <w:pStyle w:val="Tabletext"/>
              <w:spacing w:before="0" w:after="0"/>
              <w:rPr>
                <w:lang w:eastAsia="zh-CN"/>
              </w:rPr>
            </w:pPr>
            <w:r w:rsidRPr="00167CEC">
              <w:rPr>
                <w:lang w:eastAsia="zh-CN"/>
              </w:rPr>
              <w:t>Claimed to be the worst case</w:t>
            </w:r>
          </w:p>
        </w:tc>
      </w:tr>
      <w:tr w:rsidR="00054E4D" w:rsidRPr="00167CEC" w14:paraId="1C59E535" w14:textId="77777777" w:rsidTr="005D0DCB">
        <w:tc>
          <w:tcPr>
            <w:tcW w:w="3112" w:type="dxa"/>
            <w:tcBorders>
              <w:bottom w:val="single" w:sz="4" w:space="0" w:color="auto"/>
            </w:tcBorders>
            <w:vAlign w:val="center"/>
          </w:tcPr>
          <w:p w14:paraId="1B1EE2B9" w14:textId="77777777" w:rsidR="00054E4D" w:rsidRPr="00167CEC" w:rsidRDefault="00054E4D" w:rsidP="0010250B">
            <w:pPr>
              <w:pStyle w:val="Tabletext"/>
              <w:spacing w:before="0" w:after="0"/>
            </w:pPr>
            <w:r w:rsidRPr="00167CEC">
              <w:t>Updated figure in 1510.1</w:t>
            </w:r>
          </w:p>
        </w:tc>
        <w:tc>
          <w:tcPr>
            <w:tcW w:w="850" w:type="dxa"/>
            <w:tcBorders>
              <w:bottom w:val="single" w:sz="4" w:space="0" w:color="auto"/>
            </w:tcBorders>
            <w:vAlign w:val="center"/>
          </w:tcPr>
          <w:p w14:paraId="0AEC8989" w14:textId="77777777" w:rsidR="00054E4D" w:rsidRPr="00167CEC" w:rsidRDefault="00054E4D" w:rsidP="0010250B">
            <w:pPr>
              <w:pStyle w:val="Tabletext"/>
              <w:spacing w:before="0" w:after="0"/>
              <w:jc w:val="center"/>
            </w:pPr>
            <w:r w:rsidRPr="00167CEC">
              <w:t>16.3%</w:t>
            </w:r>
          </w:p>
        </w:tc>
        <w:tc>
          <w:tcPr>
            <w:tcW w:w="851" w:type="dxa"/>
            <w:tcBorders>
              <w:bottom w:val="single" w:sz="4" w:space="0" w:color="auto"/>
            </w:tcBorders>
            <w:vAlign w:val="center"/>
          </w:tcPr>
          <w:p w14:paraId="2F64F455" w14:textId="77777777" w:rsidR="00054E4D" w:rsidRPr="00167CEC" w:rsidRDefault="00054E4D" w:rsidP="0010250B">
            <w:pPr>
              <w:pStyle w:val="Tabletext"/>
              <w:spacing w:before="0" w:after="0"/>
              <w:jc w:val="center"/>
            </w:pPr>
            <w:r w:rsidRPr="00167CEC">
              <w:t>46.3%</w:t>
            </w:r>
          </w:p>
        </w:tc>
        <w:tc>
          <w:tcPr>
            <w:tcW w:w="850" w:type="dxa"/>
            <w:tcBorders>
              <w:bottom w:val="single" w:sz="4" w:space="0" w:color="auto"/>
            </w:tcBorders>
            <w:vAlign w:val="center"/>
          </w:tcPr>
          <w:p w14:paraId="4EFE371F" w14:textId="77777777" w:rsidR="00054E4D" w:rsidRPr="00167CEC" w:rsidRDefault="00054E4D" w:rsidP="0010250B">
            <w:pPr>
              <w:pStyle w:val="Tabletext"/>
              <w:spacing w:before="0" w:after="0"/>
              <w:jc w:val="center"/>
            </w:pPr>
            <w:r w:rsidRPr="00167CEC">
              <w:t>60.0%</w:t>
            </w:r>
          </w:p>
        </w:tc>
        <w:tc>
          <w:tcPr>
            <w:tcW w:w="851" w:type="dxa"/>
            <w:tcBorders>
              <w:bottom w:val="single" w:sz="4" w:space="0" w:color="auto"/>
            </w:tcBorders>
            <w:vAlign w:val="center"/>
          </w:tcPr>
          <w:p w14:paraId="09957CBA" w14:textId="77777777" w:rsidR="00054E4D" w:rsidRPr="00167CEC" w:rsidRDefault="00054E4D" w:rsidP="0010250B">
            <w:pPr>
              <w:pStyle w:val="Tabletext"/>
              <w:spacing w:before="0" w:after="0"/>
              <w:jc w:val="center"/>
            </w:pPr>
            <w:r w:rsidRPr="00167CEC">
              <w:t>60.0%</w:t>
            </w:r>
          </w:p>
        </w:tc>
        <w:tc>
          <w:tcPr>
            <w:tcW w:w="850" w:type="dxa"/>
            <w:tcBorders>
              <w:bottom w:val="single" w:sz="4" w:space="0" w:color="auto"/>
            </w:tcBorders>
            <w:vAlign w:val="center"/>
          </w:tcPr>
          <w:p w14:paraId="46DEA497" w14:textId="77777777" w:rsidR="00054E4D" w:rsidRPr="00167CEC" w:rsidRDefault="00054E4D" w:rsidP="0010250B">
            <w:pPr>
              <w:pStyle w:val="Tabletext"/>
              <w:spacing w:before="0" w:after="0"/>
              <w:jc w:val="center"/>
            </w:pPr>
            <w:r w:rsidRPr="00167CEC">
              <w:t>60.0%</w:t>
            </w:r>
          </w:p>
        </w:tc>
        <w:tc>
          <w:tcPr>
            <w:tcW w:w="1652" w:type="dxa"/>
            <w:tcBorders>
              <w:bottom w:val="single" w:sz="4" w:space="0" w:color="auto"/>
            </w:tcBorders>
            <w:vAlign w:val="center"/>
          </w:tcPr>
          <w:p w14:paraId="665D1776" w14:textId="77777777" w:rsidR="00054E4D" w:rsidRPr="00167CEC" w:rsidRDefault="00054E4D" w:rsidP="0010250B">
            <w:pPr>
              <w:pStyle w:val="Tabletext"/>
              <w:spacing w:before="0" w:after="0"/>
            </w:pPr>
            <w:r w:rsidRPr="00167CEC">
              <w:rPr>
                <w:lang w:eastAsia="zh-CN"/>
              </w:rPr>
              <w:t>Overall cost reduction to NPL</w:t>
            </w:r>
          </w:p>
        </w:tc>
      </w:tr>
      <w:tr w:rsidR="00054E4D" w:rsidRPr="00167CEC" w14:paraId="74653AB2" w14:textId="77777777" w:rsidTr="005D0DCB">
        <w:tc>
          <w:tcPr>
            <w:tcW w:w="3112" w:type="dxa"/>
            <w:tcBorders>
              <w:right w:val="nil"/>
            </w:tcBorders>
            <w:shd w:val="clear" w:color="auto" w:fill="D9D9D9" w:themeFill="background1" w:themeFillShade="D9"/>
            <w:vAlign w:val="center"/>
          </w:tcPr>
          <w:p w14:paraId="3FBAE5D7" w14:textId="77777777" w:rsidR="00054E4D" w:rsidRPr="00167CEC" w:rsidRDefault="00054E4D" w:rsidP="0010250B">
            <w:pPr>
              <w:pStyle w:val="Tabletext"/>
              <w:spacing w:before="0" w:after="0"/>
            </w:pPr>
            <w:r w:rsidRPr="00167CEC">
              <w:rPr>
                <w:u w:val="single"/>
                <w:lang w:eastAsia="zh-CN"/>
              </w:rPr>
              <w:t>On-demand</w:t>
            </w:r>
            <w:r w:rsidRPr="00167CEC">
              <w:rPr>
                <w:lang w:eastAsia="zh-CN"/>
              </w:rPr>
              <w:t xml:space="preserve"> uptake among </w:t>
            </w:r>
            <w:r w:rsidRPr="006D54A1">
              <w:rPr>
                <w:b/>
                <w:lang w:eastAsia="zh-CN"/>
              </w:rPr>
              <w:t>adult</w:t>
            </w:r>
            <w:r w:rsidRPr="00167CEC">
              <w:rPr>
                <w:lang w:eastAsia="zh-CN"/>
              </w:rPr>
              <w:t xml:space="preserve"> patients with </w:t>
            </w:r>
            <w:r w:rsidRPr="00167CEC">
              <w:rPr>
                <w:b/>
                <w:lang w:eastAsia="zh-CN"/>
              </w:rPr>
              <w:t>severe</w:t>
            </w:r>
            <w:r w:rsidRPr="00167CEC">
              <w:rPr>
                <w:lang w:eastAsia="zh-CN"/>
              </w:rPr>
              <w:t xml:space="preserve"> haemophilia</w:t>
            </w:r>
          </w:p>
        </w:tc>
        <w:tc>
          <w:tcPr>
            <w:tcW w:w="850" w:type="dxa"/>
            <w:tcBorders>
              <w:left w:val="nil"/>
              <w:right w:val="nil"/>
            </w:tcBorders>
            <w:shd w:val="clear" w:color="auto" w:fill="D9D9D9" w:themeFill="background1" w:themeFillShade="D9"/>
            <w:vAlign w:val="center"/>
          </w:tcPr>
          <w:p w14:paraId="00103CCE" w14:textId="77777777" w:rsidR="00054E4D" w:rsidRPr="00167CEC" w:rsidRDefault="00054E4D" w:rsidP="0010250B">
            <w:pPr>
              <w:pStyle w:val="Tabletext"/>
              <w:spacing w:before="0" w:after="0"/>
              <w:jc w:val="center"/>
            </w:pPr>
          </w:p>
        </w:tc>
        <w:tc>
          <w:tcPr>
            <w:tcW w:w="851" w:type="dxa"/>
            <w:tcBorders>
              <w:left w:val="nil"/>
              <w:right w:val="nil"/>
            </w:tcBorders>
            <w:shd w:val="clear" w:color="auto" w:fill="D9D9D9" w:themeFill="background1" w:themeFillShade="D9"/>
            <w:vAlign w:val="center"/>
          </w:tcPr>
          <w:p w14:paraId="09F95A32" w14:textId="77777777" w:rsidR="00054E4D" w:rsidRPr="00167CEC" w:rsidRDefault="00054E4D" w:rsidP="0010250B">
            <w:pPr>
              <w:pStyle w:val="Tabletext"/>
              <w:spacing w:before="0" w:after="0"/>
              <w:jc w:val="center"/>
            </w:pPr>
          </w:p>
        </w:tc>
        <w:tc>
          <w:tcPr>
            <w:tcW w:w="850" w:type="dxa"/>
            <w:tcBorders>
              <w:left w:val="nil"/>
              <w:right w:val="nil"/>
            </w:tcBorders>
            <w:shd w:val="clear" w:color="auto" w:fill="D9D9D9" w:themeFill="background1" w:themeFillShade="D9"/>
            <w:vAlign w:val="center"/>
          </w:tcPr>
          <w:p w14:paraId="3E05DBD9" w14:textId="77777777" w:rsidR="00054E4D" w:rsidRPr="00167CEC" w:rsidRDefault="00054E4D" w:rsidP="0010250B">
            <w:pPr>
              <w:pStyle w:val="Tabletext"/>
              <w:spacing w:before="0" w:after="0"/>
              <w:jc w:val="center"/>
            </w:pPr>
          </w:p>
        </w:tc>
        <w:tc>
          <w:tcPr>
            <w:tcW w:w="851" w:type="dxa"/>
            <w:tcBorders>
              <w:left w:val="nil"/>
              <w:right w:val="nil"/>
            </w:tcBorders>
            <w:shd w:val="clear" w:color="auto" w:fill="D9D9D9" w:themeFill="background1" w:themeFillShade="D9"/>
            <w:vAlign w:val="center"/>
          </w:tcPr>
          <w:p w14:paraId="01CFF75C" w14:textId="77777777" w:rsidR="00054E4D" w:rsidRPr="00167CEC" w:rsidRDefault="00054E4D" w:rsidP="0010250B">
            <w:pPr>
              <w:pStyle w:val="Tabletext"/>
              <w:spacing w:before="0" w:after="0"/>
              <w:jc w:val="center"/>
            </w:pPr>
          </w:p>
        </w:tc>
        <w:tc>
          <w:tcPr>
            <w:tcW w:w="850" w:type="dxa"/>
            <w:tcBorders>
              <w:left w:val="nil"/>
              <w:right w:val="nil"/>
            </w:tcBorders>
            <w:shd w:val="clear" w:color="auto" w:fill="D9D9D9" w:themeFill="background1" w:themeFillShade="D9"/>
            <w:vAlign w:val="center"/>
          </w:tcPr>
          <w:p w14:paraId="2251386D" w14:textId="77777777" w:rsidR="00054E4D" w:rsidRPr="00167CEC" w:rsidRDefault="00054E4D" w:rsidP="0010250B">
            <w:pPr>
              <w:pStyle w:val="Tabletext"/>
              <w:spacing w:before="0" w:after="0"/>
              <w:jc w:val="center"/>
            </w:pPr>
          </w:p>
        </w:tc>
        <w:tc>
          <w:tcPr>
            <w:tcW w:w="1652" w:type="dxa"/>
            <w:tcBorders>
              <w:left w:val="nil"/>
            </w:tcBorders>
            <w:shd w:val="clear" w:color="auto" w:fill="D9D9D9" w:themeFill="background1" w:themeFillShade="D9"/>
            <w:vAlign w:val="center"/>
          </w:tcPr>
          <w:p w14:paraId="20EE6353" w14:textId="77777777" w:rsidR="00054E4D" w:rsidRPr="00167CEC" w:rsidRDefault="00054E4D" w:rsidP="0010250B">
            <w:pPr>
              <w:pStyle w:val="Tabletext"/>
              <w:spacing w:before="0" w:after="0"/>
            </w:pPr>
          </w:p>
        </w:tc>
      </w:tr>
      <w:tr w:rsidR="00054E4D" w:rsidRPr="00167CEC" w14:paraId="65FD85C1" w14:textId="77777777" w:rsidTr="005D0DCB">
        <w:tc>
          <w:tcPr>
            <w:tcW w:w="3112" w:type="dxa"/>
            <w:vAlign w:val="center"/>
          </w:tcPr>
          <w:p w14:paraId="6A89ACCE" w14:textId="77777777" w:rsidR="00054E4D" w:rsidRPr="00167CEC" w:rsidRDefault="00054E4D" w:rsidP="0010250B">
            <w:pPr>
              <w:pStyle w:val="Tabletext"/>
              <w:spacing w:before="0" w:after="0"/>
            </w:pPr>
            <w:r w:rsidRPr="00167CEC">
              <w:rPr>
                <w:lang w:eastAsia="zh-CN"/>
              </w:rPr>
              <w:t>Estimates in 1579</w:t>
            </w:r>
          </w:p>
        </w:tc>
        <w:tc>
          <w:tcPr>
            <w:tcW w:w="850" w:type="dxa"/>
            <w:vAlign w:val="center"/>
          </w:tcPr>
          <w:p w14:paraId="3EB75BA3" w14:textId="77777777" w:rsidR="00054E4D" w:rsidRPr="00167CEC" w:rsidRDefault="00054E4D" w:rsidP="0010250B">
            <w:pPr>
              <w:pStyle w:val="Tabletext"/>
              <w:spacing w:before="0" w:after="0"/>
              <w:jc w:val="center"/>
            </w:pPr>
            <w:r w:rsidRPr="00167CEC">
              <w:t>12.5%</w:t>
            </w:r>
          </w:p>
        </w:tc>
        <w:tc>
          <w:tcPr>
            <w:tcW w:w="851" w:type="dxa"/>
            <w:vAlign w:val="center"/>
          </w:tcPr>
          <w:p w14:paraId="1B435F46" w14:textId="77777777" w:rsidR="00054E4D" w:rsidRPr="00167CEC" w:rsidRDefault="00054E4D" w:rsidP="0010250B">
            <w:pPr>
              <w:pStyle w:val="Tabletext"/>
              <w:spacing w:before="0" w:after="0"/>
              <w:jc w:val="center"/>
            </w:pPr>
            <w:r w:rsidRPr="00167CEC">
              <w:t>25.0%</w:t>
            </w:r>
          </w:p>
        </w:tc>
        <w:tc>
          <w:tcPr>
            <w:tcW w:w="850" w:type="dxa"/>
            <w:vAlign w:val="center"/>
          </w:tcPr>
          <w:p w14:paraId="02AAB8DB" w14:textId="77777777" w:rsidR="00054E4D" w:rsidRPr="00167CEC" w:rsidRDefault="00054E4D" w:rsidP="0010250B">
            <w:pPr>
              <w:pStyle w:val="Tabletext"/>
              <w:spacing w:before="0" w:after="0"/>
              <w:jc w:val="center"/>
            </w:pPr>
            <w:r w:rsidRPr="00167CEC">
              <w:t>25.0%</w:t>
            </w:r>
          </w:p>
        </w:tc>
        <w:tc>
          <w:tcPr>
            <w:tcW w:w="851" w:type="dxa"/>
            <w:vAlign w:val="center"/>
          </w:tcPr>
          <w:p w14:paraId="6A82546A" w14:textId="77777777" w:rsidR="00054E4D" w:rsidRPr="00167CEC" w:rsidRDefault="00054E4D" w:rsidP="0010250B">
            <w:pPr>
              <w:pStyle w:val="Tabletext"/>
              <w:spacing w:before="0" w:after="0"/>
              <w:jc w:val="center"/>
            </w:pPr>
            <w:r w:rsidRPr="00167CEC">
              <w:t>25.0%</w:t>
            </w:r>
          </w:p>
        </w:tc>
        <w:tc>
          <w:tcPr>
            <w:tcW w:w="850" w:type="dxa"/>
            <w:vAlign w:val="center"/>
          </w:tcPr>
          <w:p w14:paraId="24ED62D1" w14:textId="77777777" w:rsidR="00054E4D" w:rsidRPr="00167CEC" w:rsidRDefault="00054E4D" w:rsidP="0010250B">
            <w:pPr>
              <w:pStyle w:val="Tabletext"/>
              <w:spacing w:before="0" w:after="0"/>
              <w:jc w:val="center"/>
            </w:pPr>
            <w:r w:rsidRPr="00167CEC">
              <w:t>25.0%</w:t>
            </w:r>
          </w:p>
        </w:tc>
        <w:tc>
          <w:tcPr>
            <w:tcW w:w="1652" w:type="dxa"/>
          </w:tcPr>
          <w:p w14:paraId="41F4C384" w14:textId="77777777" w:rsidR="00054E4D" w:rsidRPr="00167CEC" w:rsidRDefault="00054E4D" w:rsidP="0010250B">
            <w:pPr>
              <w:pStyle w:val="Tabletext"/>
              <w:spacing w:before="0" w:after="0"/>
            </w:pPr>
            <w:r w:rsidRPr="00167CEC">
              <w:t>Stabilised in the second year</w:t>
            </w:r>
          </w:p>
        </w:tc>
      </w:tr>
      <w:tr w:rsidR="00054E4D" w:rsidRPr="00167CEC" w14:paraId="7ABF0EDB" w14:textId="77777777" w:rsidTr="005D0DCB">
        <w:tc>
          <w:tcPr>
            <w:tcW w:w="3112" w:type="dxa"/>
            <w:vAlign w:val="center"/>
          </w:tcPr>
          <w:p w14:paraId="4A011F0B" w14:textId="77777777" w:rsidR="00054E4D" w:rsidRPr="00167CEC" w:rsidRDefault="00054E4D" w:rsidP="0010250B">
            <w:pPr>
              <w:pStyle w:val="Tabletext"/>
              <w:spacing w:before="0" w:after="0"/>
            </w:pPr>
            <w:r w:rsidRPr="00167CEC">
              <w:t>Updated figure in 1510.1</w:t>
            </w:r>
          </w:p>
        </w:tc>
        <w:tc>
          <w:tcPr>
            <w:tcW w:w="850" w:type="dxa"/>
            <w:vAlign w:val="center"/>
          </w:tcPr>
          <w:p w14:paraId="2810D259" w14:textId="77777777" w:rsidR="00054E4D" w:rsidRPr="00167CEC" w:rsidRDefault="00054E4D" w:rsidP="0010250B">
            <w:pPr>
              <w:pStyle w:val="Tabletext"/>
              <w:spacing w:before="0" w:after="0"/>
              <w:jc w:val="center"/>
            </w:pPr>
            <w:r w:rsidRPr="00167CEC">
              <w:t>6.8%</w:t>
            </w:r>
          </w:p>
        </w:tc>
        <w:tc>
          <w:tcPr>
            <w:tcW w:w="851" w:type="dxa"/>
            <w:vAlign w:val="center"/>
          </w:tcPr>
          <w:p w14:paraId="286262A5" w14:textId="77777777" w:rsidR="00054E4D" w:rsidRPr="00167CEC" w:rsidRDefault="00054E4D" w:rsidP="0010250B">
            <w:pPr>
              <w:pStyle w:val="Tabletext"/>
              <w:spacing w:before="0" w:after="0"/>
              <w:jc w:val="center"/>
            </w:pPr>
            <w:r w:rsidRPr="00167CEC">
              <w:t>19.3%</w:t>
            </w:r>
          </w:p>
        </w:tc>
        <w:tc>
          <w:tcPr>
            <w:tcW w:w="850" w:type="dxa"/>
            <w:vAlign w:val="center"/>
          </w:tcPr>
          <w:p w14:paraId="616F2443" w14:textId="77777777" w:rsidR="00054E4D" w:rsidRPr="00167CEC" w:rsidRDefault="00054E4D" w:rsidP="0010250B">
            <w:pPr>
              <w:pStyle w:val="Tabletext"/>
              <w:spacing w:before="0" w:after="0"/>
              <w:jc w:val="center"/>
            </w:pPr>
            <w:r w:rsidRPr="00167CEC">
              <w:t>25.0%</w:t>
            </w:r>
          </w:p>
        </w:tc>
        <w:tc>
          <w:tcPr>
            <w:tcW w:w="851" w:type="dxa"/>
            <w:vAlign w:val="center"/>
          </w:tcPr>
          <w:p w14:paraId="7FCF13C0" w14:textId="77777777" w:rsidR="00054E4D" w:rsidRPr="00167CEC" w:rsidRDefault="00054E4D" w:rsidP="0010250B">
            <w:pPr>
              <w:pStyle w:val="Tabletext"/>
              <w:spacing w:before="0" w:after="0"/>
              <w:jc w:val="center"/>
            </w:pPr>
            <w:r w:rsidRPr="00167CEC">
              <w:t>25.0%</w:t>
            </w:r>
          </w:p>
        </w:tc>
        <w:tc>
          <w:tcPr>
            <w:tcW w:w="850" w:type="dxa"/>
            <w:vAlign w:val="center"/>
          </w:tcPr>
          <w:p w14:paraId="46359ECA" w14:textId="77777777" w:rsidR="00054E4D" w:rsidRPr="00167CEC" w:rsidRDefault="00054E4D" w:rsidP="0010250B">
            <w:pPr>
              <w:pStyle w:val="Tabletext"/>
              <w:spacing w:before="0" w:after="0"/>
              <w:jc w:val="center"/>
            </w:pPr>
            <w:r w:rsidRPr="00167CEC">
              <w:t>25.0%</w:t>
            </w:r>
          </w:p>
        </w:tc>
        <w:tc>
          <w:tcPr>
            <w:tcW w:w="1652" w:type="dxa"/>
          </w:tcPr>
          <w:p w14:paraId="121996E8" w14:textId="77777777" w:rsidR="00054E4D" w:rsidRPr="00167CEC" w:rsidRDefault="00054E4D" w:rsidP="0010250B">
            <w:pPr>
              <w:pStyle w:val="Tabletext"/>
              <w:spacing w:before="0" w:after="0"/>
            </w:pPr>
            <w:r w:rsidRPr="00167CEC">
              <w:t>Gentler up-ramp, lower costs</w:t>
            </w:r>
          </w:p>
        </w:tc>
      </w:tr>
      <w:tr w:rsidR="00054E4D" w:rsidRPr="00167CEC" w14:paraId="0A9679DD" w14:textId="77777777" w:rsidTr="005D0DCB">
        <w:tc>
          <w:tcPr>
            <w:tcW w:w="3112" w:type="dxa"/>
            <w:tcBorders>
              <w:right w:val="nil"/>
            </w:tcBorders>
            <w:shd w:val="clear" w:color="auto" w:fill="D9D9D9" w:themeFill="background1" w:themeFillShade="D9"/>
            <w:vAlign w:val="center"/>
          </w:tcPr>
          <w:p w14:paraId="0EA9D9D4" w14:textId="77777777" w:rsidR="00054E4D" w:rsidRPr="00167CEC" w:rsidRDefault="00054E4D" w:rsidP="0010250B">
            <w:pPr>
              <w:pStyle w:val="Tabletext"/>
              <w:spacing w:before="0" w:after="0"/>
            </w:pPr>
            <w:r w:rsidRPr="00167CEC">
              <w:rPr>
                <w:u w:val="single"/>
                <w:lang w:eastAsia="zh-CN"/>
              </w:rPr>
              <w:t>Prophylaxis</w:t>
            </w:r>
            <w:r w:rsidRPr="00167CEC">
              <w:rPr>
                <w:lang w:eastAsia="zh-CN"/>
              </w:rPr>
              <w:t xml:space="preserve"> uptake among </w:t>
            </w:r>
            <w:r w:rsidRPr="006D54A1">
              <w:rPr>
                <w:b/>
                <w:lang w:eastAsia="zh-CN"/>
              </w:rPr>
              <w:t>adult</w:t>
            </w:r>
            <w:r w:rsidRPr="00167CEC">
              <w:rPr>
                <w:lang w:eastAsia="zh-CN"/>
              </w:rPr>
              <w:t xml:space="preserve"> patients with </w:t>
            </w:r>
            <w:r w:rsidRPr="00167CEC">
              <w:rPr>
                <w:b/>
                <w:lang w:eastAsia="zh-CN"/>
              </w:rPr>
              <w:t>severe</w:t>
            </w:r>
            <w:r w:rsidRPr="00167CEC">
              <w:rPr>
                <w:lang w:eastAsia="zh-CN"/>
              </w:rPr>
              <w:t xml:space="preserve"> haemophilia</w:t>
            </w:r>
          </w:p>
        </w:tc>
        <w:tc>
          <w:tcPr>
            <w:tcW w:w="850" w:type="dxa"/>
            <w:tcBorders>
              <w:left w:val="nil"/>
              <w:right w:val="nil"/>
            </w:tcBorders>
            <w:shd w:val="clear" w:color="auto" w:fill="D9D9D9" w:themeFill="background1" w:themeFillShade="D9"/>
            <w:vAlign w:val="center"/>
          </w:tcPr>
          <w:p w14:paraId="25164DA5" w14:textId="77777777" w:rsidR="00054E4D" w:rsidRPr="00167CEC" w:rsidRDefault="00054E4D" w:rsidP="0010250B">
            <w:pPr>
              <w:pStyle w:val="Tabletext"/>
              <w:spacing w:before="0" w:after="0"/>
              <w:jc w:val="center"/>
            </w:pPr>
          </w:p>
        </w:tc>
        <w:tc>
          <w:tcPr>
            <w:tcW w:w="851" w:type="dxa"/>
            <w:tcBorders>
              <w:left w:val="nil"/>
              <w:right w:val="nil"/>
            </w:tcBorders>
            <w:shd w:val="clear" w:color="auto" w:fill="D9D9D9" w:themeFill="background1" w:themeFillShade="D9"/>
            <w:vAlign w:val="center"/>
          </w:tcPr>
          <w:p w14:paraId="63AD6C2F" w14:textId="77777777" w:rsidR="00054E4D" w:rsidRPr="00167CEC" w:rsidRDefault="00054E4D" w:rsidP="0010250B">
            <w:pPr>
              <w:pStyle w:val="Tabletext"/>
              <w:spacing w:before="0" w:after="0"/>
              <w:jc w:val="center"/>
            </w:pPr>
          </w:p>
        </w:tc>
        <w:tc>
          <w:tcPr>
            <w:tcW w:w="850" w:type="dxa"/>
            <w:tcBorders>
              <w:left w:val="nil"/>
              <w:right w:val="nil"/>
            </w:tcBorders>
            <w:shd w:val="clear" w:color="auto" w:fill="D9D9D9" w:themeFill="background1" w:themeFillShade="D9"/>
            <w:vAlign w:val="center"/>
          </w:tcPr>
          <w:p w14:paraId="0F1C3E97" w14:textId="77777777" w:rsidR="00054E4D" w:rsidRPr="00167CEC" w:rsidRDefault="00054E4D" w:rsidP="0010250B">
            <w:pPr>
              <w:pStyle w:val="Tabletext"/>
              <w:spacing w:before="0" w:after="0"/>
              <w:jc w:val="center"/>
            </w:pPr>
          </w:p>
        </w:tc>
        <w:tc>
          <w:tcPr>
            <w:tcW w:w="851" w:type="dxa"/>
            <w:tcBorders>
              <w:left w:val="nil"/>
              <w:right w:val="nil"/>
            </w:tcBorders>
            <w:shd w:val="clear" w:color="auto" w:fill="D9D9D9" w:themeFill="background1" w:themeFillShade="D9"/>
            <w:vAlign w:val="center"/>
          </w:tcPr>
          <w:p w14:paraId="4999CF77" w14:textId="77777777" w:rsidR="00054E4D" w:rsidRPr="00167CEC" w:rsidRDefault="00054E4D" w:rsidP="0010250B">
            <w:pPr>
              <w:pStyle w:val="Tabletext"/>
              <w:spacing w:before="0" w:after="0"/>
              <w:jc w:val="center"/>
            </w:pPr>
          </w:p>
        </w:tc>
        <w:tc>
          <w:tcPr>
            <w:tcW w:w="850" w:type="dxa"/>
            <w:tcBorders>
              <w:left w:val="nil"/>
              <w:right w:val="nil"/>
            </w:tcBorders>
            <w:shd w:val="clear" w:color="auto" w:fill="D9D9D9" w:themeFill="background1" w:themeFillShade="D9"/>
            <w:vAlign w:val="center"/>
          </w:tcPr>
          <w:p w14:paraId="2CB8F34E" w14:textId="77777777" w:rsidR="00054E4D" w:rsidRPr="00167CEC" w:rsidRDefault="00054E4D" w:rsidP="0010250B">
            <w:pPr>
              <w:pStyle w:val="Tabletext"/>
              <w:spacing w:before="0" w:after="0"/>
              <w:jc w:val="center"/>
            </w:pPr>
          </w:p>
        </w:tc>
        <w:tc>
          <w:tcPr>
            <w:tcW w:w="1652" w:type="dxa"/>
            <w:tcBorders>
              <w:left w:val="nil"/>
            </w:tcBorders>
            <w:shd w:val="clear" w:color="auto" w:fill="D9D9D9" w:themeFill="background1" w:themeFillShade="D9"/>
            <w:vAlign w:val="center"/>
          </w:tcPr>
          <w:p w14:paraId="4E5AC077" w14:textId="77777777" w:rsidR="00054E4D" w:rsidRPr="00167CEC" w:rsidRDefault="00054E4D" w:rsidP="0010250B">
            <w:pPr>
              <w:pStyle w:val="Tabletext"/>
              <w:spacing w:before="0" w:after="0"/>
            </w:pPr>
          </w:p>
        </w:tc>
      </w:tr>
      <w:tr w:rsidR="00054E4D" w:rsidRPr="00167CEC" w14:paraId="03E3F182" w14:textId="77777777" w:rsidTr="005D0DCB">
        <w:tc>
          <w:tcPr>
            <w:tcW w:w="3112" w:type="dxa"/>
            <w:vAlign w:val="center"/>
          </w:tcPr>
          <w:p w14:paraId="49CDC496" w14:textId="77777777" w:rsidR="00054E4D" w:rsidRPr="00167CEC" w:rsidRDefault="00054E4D" w:rsidP="0010250B">
            <w:pPr>
              <w:pStyle w:val="Tabletext"/>
              <w:spacing w:before="0" w:after="0"/>
            </w:pPr>
            <w:r w:rsidRPr="00167CEC">
              <w:rPr>
                <w:lang w:eastAsia="zh-CN"/>
              </w:rPr>
              <w:t>Estimates in 1579</w:t>
            </w:r>
          </w:p>
        </w:tc>
        <w:tc>
          <w:tcPr>
            <w:tcW w:w="850" w:type="dxa"/>
            <w:vAlign w:val="center"/>
          </w:tcPr>
          <w:p w14:paraId="75FB9C42" w14:textId="77777777" w:rsidR="00054E4D" w:rsidRPr="00167CEC" w:rsidRDefault="00054E4D" w:rsidP="0010250B">
            <w:pPr>
              <w:pStyle w:val="Tabletext"/>
              <w:spacing w:before="0" w:after="0"/>
              <w:jc w:val="center"/>
            </w:pPr>
            <w:r w:rsidRPr="00167CEC">
              <w:t>50.0%</w:t>
            </w:r>
          </w:p>
        </w:tc>
        <w:tc>
          <w:tcPr>
            <w:tcW w:w="851" w:type="dxa"/>
            <w:vAlign w:val="center"/>
          </w:tcPr>
          <w:p w14:paraId="50A69426" w14:textId="77777777" w:rsidR="00054E4D" w:rsidRPr="00167CEC" w:rsidRDefault="00054E4D" w:rsidP="0010250B">
            <w:pPr>
              <w:pStyle w:val="Tabletext"/>
              <w:spacing w:before="0" w:after="0"/>
              <w:jc w:val="center"/>
            </w:pPr>
            <w:r w:rsidRPr="00167CEC">
              <w:t>100.0%</w:t>
            </w:r>
          </w:p>
        </w:tc>
        <w:tc>
          <w:tcPr>
            <w:tcW w:w="850" w:type="dxa"/>
            <w:vAlign w:val="center"/>
          </w:tcPr>
          <w:p w14:paraId="218E5F88" w14:textId="77777777" w:rsidR="00054E4D" w:rsidRPr="00167CEC" w:rsidRDefault="00054E4D" w:rsidP="0010250B">
            <w:pPr>
              <w:pStyle w:val="Tabletext"/>
              <w:spacing w:before="0" w:after="0"/>
              <w:jc w:val="center"/>
            </w:pPr>
            <w:r w:rsidRPr="00167CEC">
              <w:t>100.0%</w:t>
            </w:r>
          </w:p>
        </w:tc>
        <w:tc>
          <w:tcPr>
            <w:tcW w:w="851" w:type="dxa"/>
            <w:vAlign w:val="center"/>
          </w:tcPr>
          <w:p w14:paraId="6DF3A332" w14:textId="77777777" w:rsidR="00054E4D" w:rsidRPr="00167CEC" w:rsidRDefault="00054E4D" w:rsidP="0010250B">
            <w:pPr>
              <w:pStyle w:val="Tabletext"/>
              <w:spacing w:before="0" w:after="0"/>
              <w:jc w:val="center"/>
            </w:pPr>
            <w:r w:rsidRPr="00167CEC">
              <w:t>100.0%</w:t>
            </w:r>
          </w:p>
        </w:tc>
        <w:tc>
          <w:tcPr>
            <w:tcW w:w="850" w:type="dxa"/>
            <w:vAlign w:val="center"/>
          </w:tcPr>
          <w:p w14:paraId="36C8973F" w14:textId="77777777" w:rsidR="00054E4D" w:rsidRPr="00167CEC" w:rsidRDefault="00054E4D" w:rsidP="0010250B">
            <w:pPr>
              <w:pStyle w:val="Tabletext"/>
              <w:spacing w:before="0" w:after="0"/>
              <w:jc w:val="center"/>
            </w:pPr>
            <w:r w:rsidRPr="00167CEC">
              <w:t>100.0%</w:t>
            </w:r>
          </w:p>
        </w:tc>
        <w:tc>
          <w:tcPr>
            <w:tcW w:w="1652" w:type="dxa"/>
            <w:vAlign w:val="center"/>
          </w:tcPr>
          <w:p w14:paraId="485F1CE2" w14:textId="77777777" w:rsidR="00054E4D" w:rsidRPr="00167CEC" w:rsidRDefault="00054E4D" w:rsidP="0010250B">
            <w:pPr>
              <w:pStyle w:val="Tabletext"/>
              <w:spacing w:before="0" w:after="0"/>
            </w:pPr>
            <w:r w:rsidRPr="00167CEC">
              <w:rPr>
                <w:lang w:eastAsia="zh-CN"/>
              </w:rPr>
              <w:t>Claimed to be the worst case</w:t>
            </w:r>
          </w:p>
        </w:tc>
      </w:tr>
      <w:tr w:rsidR="00054E4D" w:rsidRPr="00167CEC" w14:paraId="5027F066" w14:textId="77777777" w:rsidTr="005D0DCB">
        <w:tc>
          <w:tcPr>
            <w:tcW w:w="3112" w:type="dxa"/>
            <w:vAlign w:val="center"/>
          </w:tcPr>
          <w:p w14:paraId="5AB4AED0" w14:textId="77777777" w:rsidR="00054E4D" w:rsidRPr="00167CEC" w:rsidRDefault="00054E4D" w:rsidP="0010250B">
            <w:pPr>
              <w:pStyle w:val="Tabletext"/>
              <w:spacing w:before="0" w:after="0"/>
            </w:pPr>
            <w:r w:rsidRPr="00167CEC">
              <w:t>Updated figure in 1510.1</w:t>
            </w:r>
          </w:p>
        </w:tc>
        <w:tc>
          <w:tcPr>
            <w:tcW w:w="850" w:type="dxa"/>
            <w:vAlign w:val="center"/>
          </w:tcPr>
          <w:p w14:paraId="60A3504E" w14:textId="77777777" w:rsidR="00054E4D" w:rsidRPr="00167CEC" w:rsidRDefault="00054E4D" w:rsidP="0010250B">
            <w:pPr>
              <w:pStyle w:val="Tabletext"/>
              <w:spacing w:before="0" w:after="0"/>
              <w:jc w:val="center"/>
            </w:pPr>
            <w:r w:rsidRPr="00167CEC">
              <w:t>21.7%</w:t>
            </w:r>
          </w:p>
        </w:tc>
        <w:tc>
          <w:tcPr>
            <w:tcW w:w="851" w:type="dxa"/>
            <w:vAlign w:val="center"/>
          </w:tcPr>
          <w:p w14:paraId="744CAC01" w14:textId="77777777" w:rsidR="00054E4D" w:rsidRPr="00167CEC" w:rsidRDefault="00054E4D" w:rsidP="0010250B">
            <w:pPr>
              <w:pStyle w:val="Tabletext"/>
              <w:spacing w:before="0" w:after="0"/>
              <w:jc w:val="center"/>
            </w:pPr>
            <w:r w:rsidRPr="00167CEC">
              <w:t>55.8%</w:t>
            </w:r>
          </w:p>
        </w:tc>
        <w:tc>
          <w:tcPr>
            <w:tcW w:w="850" w:type="dxa"/>
            <w:vAlign w:val="center"/>
          </w:tcPr>
          <w:p w14:paraId="3C6FA33E" w14:textId="77777777" w:rsidR="00054E4D" w:rsidRPr="00167CEC" w:rsidRDefault="00054E4D" w:rsidP="0010250B">
            <w:pPr>
              <w:pStyle w:val="Tabletext"/>
              <w:spacing w:before="0" w:after="0"/>
              <w:jc w:val="center"/>
            </w:pPr>
            <w:r w:rsidRPr="00167CEC">
              <w:t>60.0%</w:t>
            </w:r>
          </w:p>
        </w:tc>
        <w:tc>
          <w:tcPr>
            <w:tcW w:w="851" w:type="dxa"/>
            <w:vAlign w:val="center"/>
          </w:tcPr>
          <w:p w14:paraId="21D64530" w14:textId="77777777" w:rsidR="00054E4D" w:rsidRPr="00167CEC" w:rsidRDefault="00054E4D" w:rsidP="0010250B">
            <w:pPr>
              <w:pStyle w:val="Tabletext"/>
              <w:spacing w:before="0" w:after="0"/>
              <w:jc w:val="center"/>
            </w:pPr>
            <w:r w:rsidRPr="00167CEC">
              <w:t>60.0%</w:t>
            </w:r>
          </w:p>
        </w:tc>
        <w:tc>
          <w:tcPr>
            <w:tcW w:w="850" w:type="dxa"/>
            <w:vAlign w:val="center"/>
          </w:tcPr>
          <w:p w14:paraId="3428F6BD" w14:textId="77777777" w:rsidR="00054E4D" w:rsidRPr="00167CEC" w:rsidRDefault="00054E4D" w:rsidP="0010250B">
            <w:pPr>
              <w:pStyle w:val="Tabletext"/>
              <w:spacing w:before="0" w:after="0"/>
              <w:jc w:val="center"/>
            </w:pPr>
            <w:r w:rsidRPr="00167CEC">
              <w:t>60.0%</w:t>
            </w:r>
          </w:p>
        </w:tc>
        <w:tc>
          <w:tcPr>
            <w:tcW w:w="1652" w:type="dxa"/>
            <w:vAlign w:val="center"/>
          </w:tcPr>
          <w:p w14:paraId="228E8242" w14:textId="77777777" w:rsidR="00054E4D" w:rsidRPr="00167CEC" w:rsidRDefault="00054E4D" w:rsidP="0010250B">
            <w:pPr>
              <w:pStyle w:val="Tabletext"/>
              <w:spacing w:before="0" w:after="0"/>
            </w:pPr>
            <w:r w:rsidRPr="00167CEC">
              <w:rPr>
                <w:lang w:eastAsia="zh-CN"/>
              </w:rPr>
              <w:t>Overall cost reduction to NPL</w:t>
            </w:r>
          </w:p>
        </w:tc>
      </w:tr>
      <w:tr w:rsidR="00054E4D" w:rsidRPr="00167CEC" w14:paraId="1B07D8A0" w14:textId="77777777" w:rsidTr="005D0DCB">
        <w:tc>
          <w:tcPr>
            <w:tcW w:w="3112" w:type="dxa"/>
            <w:tcBorders>
              <w:right w:val="nil"/>
            </w:tcBorders>
            <w:shd w:val="clear" w:color="auto" w:fill="D9D9D9" w:themeFill="background1" w:themeFillShade="D9"/>
            <w:vAlign w:val="center"/>
          </w:tcPr>
          <w:p w14:paraId="273E4B67" w14:textId="2C639158" w:rsidR="00054E4D" w:rsidRPr="00167CEC" w:rsidRDefault="00054E4D" w:rsidP="0010250B">
            <w:pPr>
              <w:pStyle w:val="Tabletext"/>
              <w:spacing w:before="0" w:after="0"/>
              <w:rPr>
                <w:b/>
              </w:rPr>
            </w:pPr>
            <w:r w:rsidRPr="00167CEC">
              <w:rPr>
                <w:b/>
              </w:rPr>
              <w:t>Estimated patie</w:t>
            </w:r>
            <w:r w:rsidR="00FC4293">
              <w:rPr>
                <w:b/>
              </w:rPr>
              <w:t>nt numbers receiving emicizumab</w:t>
            </w:r>
          </w:p>
        </w:tc>
        <w:tc>
          <w:tcPr>
            <w:tcW w:w="850" w:type="dxa"/>
            <w:tcBorders>
              <w:left w:val="nil"/>
              <w:right w:val="nil"/>
            </w:tcBorders>
            <w:shd w:val="clear" w:color="auto" w:fill="D9D9D9" w:themeFill="background1" w:themeFillShade="D9"/>
            <w:vAlign w:val="center"/>
          </w:tcPr>
          <w:p w14:paraId="1BDF79CC" w14:textId="77777777" w:rsidR="00054E4D" w:rsidRPr="00167CEC" w:rsidRDefault="00054E4D" w:rsidP="0010250B">
            <w:pPr>
              <w:pStyle w:val="Tabletext"/>
              <w:spacing w:before="0" w:after="0"/>
              <w:jc w:val="center"/>
              <w:rPr>
                <w:b/>
              </w:rPr>
            </w:pPr>
          </w:p>
        </w:tc>
        <w:tc>
          <w:tcPr>
            <w:tcW w:w="851" w:type="dxa"/>
            <w:tcBorders>
              <w:left w:val="nil"/>
              <w:right w:val="nil"/>
            </w:tcBorders>
            <w:shd w:val="clear" w:color="auto" w:fill="D9D9D9" w:themeFill="background1" w:themeFillShade="D9"/>
            <w:vAlign w:val="center"/>
          </w:tcPr>
          <w:p w14:paraId="6750569B" w14:textId="77777777" w:rsidR="00054E4D" w:rsidRPr="00167CEC" w:rsidRDefault="00054E4D" w:rsidP="0010250B">
            <w:pPr>
              <w:pStyle w:val="Tabletext"/>
              <w:spacing w:before="0" w:after="0"/>
              <w:jc w:val="center"/>
              <w:rPr>
                <w:b/>
              </w:rPr>
            </w:pPr>
          </w:p>
        </w:tc>
        <w:tc>
          <w:tcPr>
            <w:tcW w:w="850" w:type="dxa"/>
            <w:tcBorders>
              <w:left w:val="nil"/>
              <w:right w:val="nil"/>
            </w:tcBorders>
            <w:shd w:val="clear" w:color="auto" w:fill="D9D9D9" w:themeFill="background1" w:themeFillShade="D9"/>
            <w:vAlign w:val="center"/>
          </w:tcPr>
          <w:p w14:paraId="10176DCD" w14:textId="77777777" w:rsidR="00054E4D" w:rsidRPr="00167CEC" w:rsidRDefault="00054E4D" w:rsidP="0010250B">
            <w:pPr>
              <w:pStyle w:val="Tabletext"/>
              <w:spacing w:before="0" w:after="0"/>
              <w:jc w:val="center"/>
              <w:rPr>
                <w:b/>
              </w:rPr>
            </w:pPr>
          </w:p>
        </w:tc>
        <w:tc>
          <w:tcPr>
            <w:tcW w:w="851" w:type="dxa"/>
            <w:tcBorders>
              <w:left w:val="nil"/>
              <w:right w:val="nil"/>
            </w:tcBorders>
            <w:shd w:val="clear" w:color="auto" w:fill="D9D9D9" w:themeFill="background1" w:themeFillShade="D9"/>
            <w:vAlign w:val="center"/>
          </w:tcPr>
          <w:p w14:paraId="6DDBFDC1" w14:textId="77777777" w:rsidR="00054E4D" w:rsidRPr="00167CEC" w:rsidRDefault="00054E4D" w:rsidP="0010250B">
            <w:pPr>
              <w:pStyle w:val="Tabletext"/>
              <w:spacing w:before="0" w:after="0"/>
              <w:jc w:val="center"/>
              <w:rPr>
                <w:b/>
              </w:rPr>
            </w:pPr>
          </w:p>
        </w:tc>
        <w:tc>
          <w:tcPr>
            <w:tcW w:w="850" w:type="dxa"/>
            <w:tcBorders>
              <w:left w:val="nil"/>
              <w:right w:val="nil"/>
            </w:tcBorders>
            <w:shd w:val="clear" w:color="auto" w:fill="D9D9D9" w:themeFill="background1" w:themeFillShade="D9"/>
            <w:vAlign w:val="center"/>
          </w:tcPr>
          <w:p w14:paraId="2BA2BC5E" w14:textId="77777777" w:rsidR="00054E4D" w:rsidRPr="00167CEC" w:rsidRDefault="00054E4D" w:rsidP="0010250B">
            <w:pPr>
              <w:pStyle w:val="Tabletext"/>
              <w:spacing w:before="0" w:after="0"/>
              <w:jc w:val="center"/>
              <w:rPr>
                <w:b/>
              </w:rPr>
            </w:pPr>
          </w:p>
        </w:tc>
        <w:tc>
          <w:tcPr>
            <w:tcW w:w="1652" w:type="dxa"/>
            <w:tcBorders>
              <w:left w:val="nil"/>
            </w:tcBorders>
            <w:shd w:val="clear" w:color="auto" w:fill="D9D9D9" w:themeFill="background1" w:themeFillShade="D9"/>
            <w:vAlign w:val="center"/>
          </w:tcPr>
          <w:p w14:paraId="1D212151" w14:textId="77777777" w:rsidR="00054E4D" w:rsidRPr="00167CEC" w:rsidRDefault="00054E4D" w:rsidP="0010250B">
            <w:pPr>
              <w:pStyle w:val="Tabletext"/>
              <w:spacing w:before="0" w:after="0"/>
              <w:rPr>
                <w:b/>
              </w:rPr>
            </w:pPr>
          </w:p>
        </w:tc>
      </w:tr>
      <w:tr w:rsidR="00054E4D" w:rsidRPr="00167CEC" w14:paraId="2BED7DF7" w14:textId="77777777" w:rsidTr="005D0DCB">
        <w:tc>
          <w:tcPr>
            <w:tcW w:w="3112" w:type="dxa"/>
            <w:vAlign w:val="center"/>
          </w:tcPr>
          <w:p w14:paraId="170E2E72" w14:textId="77777777" w:rsidR="00054E4D" w:rsidRPr="00167CEC" w:rsidRDefault="00054E4D" w:rsidP="0010250B">
            <w:pPr>
              <w:pStyle w:val="Tabletext"/>
              <w:spacing w:before="0" w:after="0"/>
            </w:pPr>
            <w:r w:rsidRPr="00167CEC">
              <w:rPr>
                <w:lang w:eastAsia="zh-CN"/>
              </w:rPr>
              <w:t>Estimates in 1579</w:t>
            </w:r>
          </w:p>
        </w:tc>
        <w:tc>
          <w:tcPr>
            <w:tcW w:w="850" w:type="dxa"/>
            <w:vAlign w:val="center"/>
          </w:tcPr>
          <w:p w14:paraId="1618875C" w14:textId="14A17959" w:rsidR="00054E4D" w:rsidRPr="005D0DCB" w:rsidRDefault="005D0DCB" w:rsidP="0010250B">
            <w:pPr>
              <w:pStyle w:val="Tabletext"/>
              <w:spacing w:before="0" w:after="0"/>
              <w:jc w:val="center"/>
              <w:rPr>
                <w:b/>
              </w:rPr>
            </w:pPr>
            <w:r w:rsidRPr="005D0DCB">
              <w:rPr>
                <w:b/>
              </w:rPr>
              <w:t>redact</w:t>
            </w:r>
          </w:p>
        </w:tc>
        <w:tc>
          <w:tcPr>
            <w:tcW w:w="851" w:type="dxa"/>
            <w:vAlign w:val="center"/>
          </w:tcPr>
          <w:p w14:paraId="460D93E3" w14:textId="3D7B30A1" w:rsidR="00054E4D" w:rsidRPr="005D0DCB" w:rsidRDefault="005D0DCB" w:rsidP="0010250B">
            <w:pPr>
              <w:pStyle w:val="Tabletext"/>
              <w:spacing w:before="0" w:after="0"/>
              <w:jc w:val="center"/>
              <w:rPr>
                <w:b/>
              </w:rPr>
            </w:pPr>
            <w:r w:rsidRPr="005D0DCB">
              <w:rPr>
                <w:b/>
              </w:rPr>
              <w:t>redact</w:t>
            </w:r>
          </w:p>
        </w:tc>
        <w:tc>
          <w:tcPr>
            <w:tcW w:w="850" w:type="dxa"/>
            <w:vAlign w:val="center"/>
          </w:tcPr>
          <w:p w14:paraId="11EF3F8A" w14:textId="000FFEAC" w:rsidR="00054E4D" w:rsidRPr="005D0DCB" w:rsidRDefault="005D0DCB" w:rsidP="0010250B">
            <w:pPr>
              <w:pStyle w:val="Tabletext"/>
              <w:spacing w:before="0" w:after="0"/>
              <w:jc w:val="center"/>
              <w:rPr>
                <w:b/>
              </w:rPr>
            </w:pPr>
            <w:r w:rsidRPr="005D0DCB">
              <w:rPr>
                <w:b/>
              </w:rPr>
              <w:t>redact</w:t>
            </w:r>
          </w:p>
        </w:tc>
        <w:tc>
          <w:tcPr>
            <w:tcW w:w="851" w:type="dxa"/>
            <w:vAlign w:val="center"/>
          </w:tcPr>
          <w:p w14:paraId="22653CF8" w14:textId="4DEB5777" w:rsidR="00054E4D" w:rsidRPr="005D0DCB" w:rsidRDefault="005D0DCB" w:rsidP="0010250B">
            <w:pPr>
              <w:pStyle w:val="Tabletext"/>
              <w:spacing w:before="0" w:after="0"/>
              <w:jc w:val="center"/>
              <w:rPr>
                <w:b/>
              </w:rPr>
            </w:pPr>
            <w:r w:rsidRPr="005D0DCB">
              <w:rPr>
                <w:b/>
              </w:rPr>
              <w:t>redact</w:t>
            </w:r>
          </w:p>
        </w:tc>
        <w:tc>
          <w:tcPr>
            <w:tcW w:w="850" w:type="dxa"/>
            <w:vAlign w:val="center"/>
          </w:tcPr>
          <w:p w14:paraId="20E0B38A" w14:textId="2C2018EF" w:rsidR="00054E4D" w:rsidRPr="005D0DCB" w:rsidRDefault="005D0DCB" w:rsidP="0010250B">
            <w:pPr>
              <w:pStyle w:val="Tabletext"/>
              <w:spacing w:before="0" w:after="0"/>
              <w:jc w:val="center"/>
              <w:rPr>
                <w:b/>
              </w:rPr>
            </w:pPr>
            <w:r w:rsidRPr="005D0DCB">
              <w:rPr>
                <w:b/>
              </w:rPr>
              <w:t>redact</w:t>
            </w:r>
          </w:p>
        </w:tc>
        <w:tc>
          <w:tcPr>
            <w:tcW w:w="1652" w:type="dxa"/>
          </w:tcPr>
          <w:p w14:paraId="67546682" w14:textId="77777777" w:rsidR="00054E4D" w:rsidRPr="00167CEC" w:rsidRDefault="00054E4D" w:rsidP="0010250B">
            <w:pPr>
              <w:pStyle w:val="Tabletext"/>
              <w:spacing w:before="0" w:after="0"/>
            </w:pPr>
          </w:p>
        </w:tc>
      </w:tr>
      <w:tr w:rsidR="005D0DCB" w:rsidRPr="00167CEC" w14:paraId="0ABC82E9" w14:textId="77777777" w:rsidTr="005D0DCB">
        <w:tc>
          <w:tcPr>
            <w:tcW w:w="3112" w:type="dxa"/>
            <w:vAlign w:val="center"/>
          </w:tcPr>
          <w:p w14:paraId="5106466B" w14:textId="77777777" w:rsidR="005D0DCB" w:rsidRPr="00167CEC" w:rsidRDefault="005D0DCB" w:rsidP="005D0DCB">
            <w:pPr>
              <w:pStyle w:val="Tabletext"/>
              <w:spacing w:before="0" w:after="0"/>
            </w:pPr>
            <w:r w:rsidRPr="00167CEC">
              <w:t>Updated figure in 1510.1</w:t>
            </w:r>
          </w:p>
        </w:tc>
        <w:tc>
          <w:tcPr>
            <w:tcW w:w="850" w:type="dxa"/>
            <w:vAlign w:val="center"/>
          </w:tcPr>
          <w:p w14:paraId="78C860F7" w14:textId="495F5CB4" w:rsidR="005D0DCB" w:rsidRPr="00167CEC" w:rsidRDefault="005D0DCB" w:rsidP="005D0DCB">
            <w:pPr>
              <w:pStyle w:val="Tabletext"/>
              <w:spacing w:before="0" w:after="0"/>
              <w:jc w:val="center"/>
            </w:pPr>
            <w:r w:rsidRPr="005D0DCB">
              <w:rPr>
                <w:b/>
              </w:rPr>
              <w:t>redact</w:t>
            </w:r>
          </w:p>
        </w:tc>
        <w:tc>
          <w:tcPr>
            <w:tcW w:w="851" w:type="dxa"/>
            <w:vAlign w:val="center"/>
          </w:tcPr>
          <w:p w14:paraId="3A3CEBBA" w14:textId="52A691E8" w:rsidR="005D0DCB" w:rsidRPr="00167CEC" w:rsidRDefault="005D0DCB" w:rsidP="005D0DCB">
            <w:pPr>
              <w:pStyle w:val="Tabletext"/>
              <w:spacing w:before="0" w:after="0"/>
              <w:jc w:val="center"/>
            </w:pPr>
            <w:r w:rsidRPr="005D0DCB">
              <w:rPr>
                <w:b/>
              </w:rPr>
              <w:t>redact</w:t>
            </w:r>
          </w:p>
        </w:tc>
        <w:tc>
          <w:tcPr>
            <w:tcW w:w="850" w:type="dxa"/>
            <w:vAlign w:val="center"/>
          </w:tcPr>
          <w:p w14:paraId="4E2C0C1F" w14:textId="229173F1" w:rsidR="005D0DCB" w:rsidRPr="00167CEC" w:rsidRDefault="005D0DCB" w:rsidP="005D0DCB">
            <w:pPr>
              <w:pStyle w:val="Tabletext"/>
              <w:spacing w:before="0" w:after="0"/>
              <w:jc w:val="center"/>
            </w:pPr>
            <w:r w:rsidRPr="005D0DCB">
              <w:rPr>
                <w:b/>
              </w:rPr>
              <w:t>redact</w:t>
            </w:r>
          </w:p>
        </w:tc>
        <w:tc>
          <w:tcPr>
            <w:tcW w:w="851" w:type="dxa"/>
            <w:vAlign w:val="center"/>
          </w:tcPr>
          <w:p w14:paraId="0AD9DB08" w14:textId="70EED991" w:rsidR="005D0DCB" w:rsidRPr="00167CEC" w:rsidRDefault="005D0DCB" w:rsidP="005D0DCB">
            <w:pPr>
              <w:pStyle w:val="Tabletext"/>
              <w:spacing w:before="0" w:after="0"/>
              <w:jc w:val="center"/>
            </w:pPr>
            <w:r w:rsidRPr="005D0DCB">
              <w:rPr>
                <w:b/>
              </w:rPr>
              <w:t>redact</w:t>
            </w:r>
          </w:p>
        </w:tc>
        <w:tc>
          <w:tcPr>
            <w:tcW w:w="850" w:type="dxa"/>
            <w:vAlign w:val="center"/>
          </w:tcPr>
          <w:p w14:paraId="62B4663F" w14:textId="73CF3DFB" w:rsidR="005D0DCB" w:rsidRPr="00167CEC" w:rsidRDefault="005D0DCB" w:rsidP="005D0DCB">
            <w:pPr>
              <w:pStyle w:val="Tabletext"/>
              <w:spacing w:before="0" w:after="0"/>
              <w:jc w:val="center"/>
            </w:pPr>
            <w:r w:rsidRPr="005D0DCB">
              <w:rPr>
                <w:b/>
              </w:rPr>
              <w:t>redact</w:t>
            </w:r>
          </w:p>
        </w:tc>
        <w:tc>
          <w:tcPr>
            <w:tcW w:w="1652" w:type="dxa"/>
          </w:tcPr>
          <w:p w14:paraId="3DC35C66" w14:textId="77777777" w:rsidR="005D0DCB" w:rsidRPr="00167CEC" w:rsidRDefault="005D0DCB" w:rsidP="005D0DCB">
            <w:pPr>
              <w:pStyle w:val="Tabletext"/>
              <w:spacing w:before="0" w:after="0"/>
            </w:pPr>
          </w:p>
        </w:tc>
      </w:tr>
      <w:tr w:rsidR="00054E4D" w:rsidRPr="00167CEC" w14:paraId="3E257DB3" w14:textId="77777777" w:rsidTr="005D0DCB">
        <w:tc>
          <w:tcPr>
            <w:tcW w:w="3112" w:type="dxa"/>
            <w:vAlign w:val="center"/>
          </w:tcPr>
          <w:p w14:paraId="7CF6CD8D" w14:textId="77777777" w:rsidR="00054E4D" w:rsidRPr="00167CEC" w:rsidRDefault="00054E4D" w:rsidP="0010250B">
            <w:pPr>
              <w:pStyle w:val="Tabletext"/>
              <w:spacing w:before="0" w:after="0"/>
              <w:rPr>
                <w:b/>
              </w:rPr>
            </w:pPr>
            <w:r w:rsidRPr="00167CEC">
              <w:rPr>
                <w:b/>
              </w:rPr>
              <w:t>Number of patients reduced</w:t>
            </w:r>
          </w:p>
        </w:tc>
        <w:tc>
          <w:tcPr>
            <w:tcW w:w="850" w:type="dxa"/>
            <w:vAlign w:val="center"/>
          </w:tcPr>
          <w:p w14:paraId="2338A12C" w14:textId="77777777" w:rsidR="00054E4D" w:rsidRPr="00167CEC" w:rsidRDefault="00054E4D" w:rsidP="0010250B">
            <w:pPr>
              <w:pStyle w:val="Tabletext"/>
              <w:spacing w:before="0" w:after="0"/>
              <w:jc w:val="center"/>
              <w:rPr>
                <w:b/>
              </w:rPr>
            </w:pPr>
            <w:r w:rsidRPr="00167CEC">
              <w:rPr>
                <w:b/>
              </w:rPr>
              <w:t>109</w:t>
            </w:r>
          </w:p>
        </w:tc>
        <w:tc>
          <w:tcPr>
            <w:tcW w:w="851" w:type="dxa"/>
            <w:vAlign w:val="center"/>
          </w:tcPr>
          <w:p w14:paraId="4E8BCDB4" w14:textId="77777777" w:rsidR="00054E4D" w:rsidRPr="00167CEC" w:rsidRDefault="00054E4D" w:rsidP="0010250B">
            <w:pPr>
              <w:pStyle w:val="Tabletext"/>
              <w:spacing w:before="0" w:after="0"/>
              <w:jc w:val="center"/>
              <w:rPr>
                <w:b/>
              </w:rPr>
            </w:pPr>
            <w:r w:rsidRPr="00167CEC">
              <w:rPr>
                <w:b/>
              </w:rPr>
              <w:t>171</w:t>
            </w:r>
          </w:p>
        </w:tc>
        <w:tc>
          <w:tcPr>
            <w:tcW w:w="850" w:type="dxa"/>
            <w:vAlign w:val="center"/>
          </w:tcPr>
          <w:p w14:paraId="645F5F7C" w14:textId="77777777" w:rsidR="00054E4D" w:rsidRPr="00167CEC" w:rsidRDefault="00054E4D" w:rsidP="0010250B">
            <w:pPr>
              <w:pStyle w:val="Tabletext"/>
              <w:spacing w:before="0" w:after="0"/>
              <w:jc w:val="center"/>
              <w:rPr>
                <w:b/>
              </w:rPr>
            </w:pPr>
            <w:r w:rsidRPr="00167CEC">
              <w:rPr>
                <w:b/>
              </w:rPr>
              <w:t>150</w:t>
            </w:r>
          </w:p>
        </w:tc>
        <w:tc>
          <w:tcPr>
            <w:tcW w:w="851" w:type="dxa"/>
            <w:vAlign w:val="center"/>
          </w:tcPr>
          <w:p w14:paraId="39DF03DF" w14:textId="77777777" w:rsidR="00054E4D" w:rsidRPr="00167CEC" w:rsidRDefault="00054E4D" w:rsidP="0010250B">
            <w:pPr>
              <w:pStyle w:val="Tabletext"/>
              <w:spacing w:before="0" w:after="0"/>
              <w:jc w:val="center"/>
              <w:rPr>
                <w:b/>
              </w:rPr>
            </w:pPr>
            <w:r w:rsidRPr="00167CEC">
              <w:rPr>
                <w:b/>
              </w:rPr>
              <w:t>154</w:t>
            </w:r>
          </w:p>
        </w:tc>
        <w:tc>
          <w:tcPr>
            <w:tcW w:w="850" w:type="dxa"/>
            <w:vAlign w:val="center"/>
          </w:tcPr>
          <w:p w14:paraId="3BA44419" w14:textId="77777777" w:rsidR="00054E4D" w:rsidRPr="00167CEC" w:rsidRDefault="00054E4D" w:rsidP="0010250B">
            <w:pPr>
              <w:pStyle w:val="Tabletext"/>
              <w:spacing w:before="0" w:after="0"/>
              <w:jc w:val="center"/>
              <w:rPr>
                <w:b/>
              </w:rPr>
            </w:pPr>
            <w:r w:rsidRPr="00167CEC">
              <w:rPr>
                <w:b/>
              </w:rPr>
              <w:t>157</w:t>
            </w:r>
          </w:p>
        </w:tc>
        <w:tc>
          <w:tcPr>
            <w:tcW w:w="1652" w:type="dxa"/>
          </w:tcPr>
          <w:p w14:paraId="27D554DE" w14:textId="77777777" w:rsidR="00054E4D" w:rsidRPr="00167CEC" w:rsidRDefault="00054E4D" w:rsidP="0010250B">
            <w:pPr>
              <w:pStyle w:val="Tabletext"/>
              <w:spacing w:before="0" w:after="0"/>
              <w:rPr>
                <w:b/>
              </w:rPr>
            </w:pPr>
            <w:r w:rsidRPr="00167CEC">
              <w:rPr>
                <w:b/>
              </w:rPr>
              <w:t>Over 30% reduction</w:t>
            </w:r>
          </w:p>
        </w:tc>
      </w:tr>
    </w:tbl>
    <w:p w14:paraId="7A4A2D94" w14:textId="50529724" w:rsidR="00E604CD" w:rsidRDefault="00E604CD">
      <w:pPr>
        <w:rPr>
          <w:rFonts w:ascii="Arial Narrow" w:hAnsi="Arial Narrow" w:cs="Arial"/>
          <w:b/>
          <w:bCs/>
          <w:iCs/>
          <w:sz w:val="20"/>
          <w:lang w:eastAsia="en-US"/>
        </w:rPr>
      </w:pPr>
      <w:r>
        <w:br w:type="page"/>
      </w:r>
    </w:p>
    <w:p w14:paraId="158D51B5" w14:textId="1F7F8626" w:rsidR="00054E4D" w:rsidRPr="006F64E6" w:rsidRDefault="00054E4D" w:rsidP="006F64E6">
      <w:pPr>
        <w:rPr>
          <w:rFonts w:ascii="Arial Narrow" w:hAnsi="Arial Narrow"/>
          <w:b/>
          <w:sz w:val="20"/>
        </w:rPr>
      </w:pPr>
      <w:r w:rsidRPr="006F64E6">
        <w:rPr>
          <w:rFonts w:ascii="Arial Narrow" w:hAnsi="Arial Narrow"/>
          <w:b/>
          <w:sz w:val="20"/>
        </w:rPr>
        <w:lastRenderedPageBreak/>
        <w:t xml:space="preserve">Table </w:t>
      </w:r>
      <w:r w:rsidR="00FE478C" w:rsidRPr="006F64E6">
        <w:rPr>
          <w:rFonts w:ascii="Arial Narrow" w:hAnsi="Arial Narrow"/>
          <w:b/>
          <w:sz w:val="20"/>
        </w:rPr>
        <w:t>11</w:t>
      </w:r>
      <w:r w:rsidRPr="006F64E6">
        <w:rPr>
          <w:rFonts w:ascii="Arial Narrow" w:hAnsi="Arial Narrow"/>
          <w:b/>
          <w:sz w:val="20"/>
        </w:rPr>
        <w:tab/>
        <w:t>Comparison of emicizumab uptake between 1579 and 1510.1, paediatric subgroup</w:t>
      </w:r>
    </w:p>
    <w:tbl>
      <w:tblPr>
        <w:tblStyle w:val="TableGrid"/>
        <w:tblW w:w="0" w:type="auto"/>
        <w:tblCellMar>
          <w:top w:w="28" w:type="dxa"/>
          <w:left w:w="28" w:type="dxa"/>
          <w:bottom w:w="28" w:type="dxa"/>
          <w:right w:w="28" w:type="dxa"/>
        </w:tblCellMar>
        <w:tblLook w:val="04A0" w:firstRow="1" w:lastRow="0" w:firstColumn="1" w:lastColumn="0" w:noHBand="0" w:noVBand="1"/>
        <w:tblCaption w:val="Comparison of emicizumab uptake between 1579 and 1510.1, paediatric subgroup"/>
      </w:tblPr>
      <w:tblGrid>
        <w:gridCol w:w="3112"/>
        <w:gridCol w:w="850"/>
        <w:gridCol w:w="851"/>
        <w:gridCol w:w="850"/>
        <w:gridCol w:w="851"/>
        <w:gridCol w:w="850"/>
        <w:gridCol w:w="1652"/>
      </w:tblGrid>
      <w:tr w:rsidR="00054E4D" w:rsidRPr="00167CEC" w14:paraId="390BE117" w14:textId="77777777" w:rsidTr="00F229C3">
        <w:trPr>
          <w:tblHeader/>
        </w:trPr>
        <w:tc>
          <w:tcPr>
            <w:tcW w:w="3112" w:type="dxa"/>
            <w:tcBorders>
              <w:bottom w:val="single" w:sz="4" w:space="0" w:color="auto"/>
            </w:tcBorders>
          </w:tcPr>
          <w:p w14:paraId="69843C7B" w14:textId="77777777" w:rsidR="00054E4D" w:rsidRPr="00167CEC" w:rsidRDefault="00054E4D" w:rsidP="0010250B">
            <w:pPr>
              <w:pStyle w:val="Tabletext"/>
              <w:spacing w:before="0" w:after="0"/>
              <w:rPr>
                <w:b/>
                <w:lang w:eastAsia="zh-CN"/>
              </w:rPr>
            </w:pPr>
            <w:r w:rsidRPr="00167CEC">
              <w:rPr>
                <w:b/>
                <w:lang w:eastAsia="zh-CN"/>
              </w:rPr>
              <w:t>Emicizumab uptake estimates and sources</w:t>
            </w:r>
          </w:p>
        </w:tc>
        <w:tc>
          <w:tcPr>
            <w:tcW w:w="850" w:type="dxa"/>
            <w:tcBorders>
              <w:bottom w:val="single" w:sz="4" w:space="0" w:color="auto"/>
            </w:tcBorders>
          </w:tcPr>
          <w:p w14:paraId="11112F93" w14:textId="77777777" w:rsidR="00054E4D" w:rsidRPr="00167CEC" w:rsidRDefault="00054E4D" w:rsidP="0010250B">
            <w:pPr>
              <w:pStyle w:val="Tabletext"/>
              <w:spacing w:before="0" w:after="0"/>
              <w:jc w:val="center"/>
              <w:rPr>
                <w:b/>
                <w:lang w:eastAsia="zh-CN"/>
              </w:rPr>
            </w:pPr>
            <w:r w:rsidRPr="00167CEC">
              <w:rPr>
                <w:b/>
                <w:lang w:eastAsia="zh-CN"/>
              </w:rPr>
              <w:t>Year 1</w:t>
            </w:r>
          </w:p>
        </w:tc>
        <w:tc>
          <w:tcPr>
            <w:tcW w:w="851" w:type="dxa"/>
            <w:tcBorders>
              <w:bottom w:val="single" w:sz="4" w:space="0" w:color="auto"/>
            </w:tcBorders>
          </w:tcPr>
          <w:p w14:paraId="5B5ADBAA" w14:textId="77777777" w:rsidR="00054E4D" w:rsidRPr="00167CEC" w:rsidRDefault="00054E4D" w:rsidP="0010250B">
            <w:pPr>
              <w:pStyle w:val="Tabletext"/>
              <w:spacing w:before="0" w:after="0"/>
              <w:jc w:val="center"/>
              <w:rPr>
                <w:b/>
                <w:lang w:eastAsia="zh-CN"/>
              </w:rPr>
            </w:pPr>
            <w:r w:rsidRPr="00167CEC">
              <w:rPr>
                <w:b/>
                <w:lang w:eastAsia="zh-CN"/>
              </w:rPr>
              <w:t>Year 2</w:t>
            </w:r>
          </w:p>
        </w:tc>
        <w:tc>
          <w:tcPr>
            <w:tcW w:w="850" w:type="dxa"/>
            <w:tcBorders>
              <w:bottom w:val="single" w:sz="4" w:space="0" w:color="auto"/>
            </w:tcBorders>
          </w:tcPr>
          <w:p w14:paraId="47A9EA9D" w14:textId="77777777" w:rsidR="00054E4D" w:rsidRPr="00167CEC" w:rsidRDefault="00054E4D" w:rsidP="0010250B">
            <w:pPr>
              <w:pStyle w:val="Tabletext"/>
              <w:spacing w:before="0" w:after="0"/>
              <w:jc w:val="center"/>
              <w:rPr>
                <w:b/>
                <w:lang w:eastAsia="zh-CN"/>
              </w:rPr>
            </w:pPr>
            <w:r w:rsidRPr="00167CEC">
              <w:rPr>
                <w:b/>
                <w:lang w:eastAsia="zh-CN"/>
              </w:rPr>
              <w:t>Year 3</w:t>
            </w:r>
          </w:p>
        </w:tc>
        <w:tc>
          <w:tcPr>
            <w:tcW w:w="851" w:type="dxa"/>
            <w:tcBorders>
              <w:bottom w:val="single" w:sz="4" w:space="0" w:color="auto"/>
            </w:tcBorders>
          </w:tcPr>
          <w:p w14:paraId="5C9A6B6A" w14:textId="77777777" w:rsidR="00054E4D" w:rsidRPr="00167CEC" w:rsidRDefault="00054E4D" w:rsidP="0010250B">
            <w:pPr>
              <w:pStyle w:val="Tabletext"/>
              <w:spacing w:before="0" w:after="0"/>
              <w:jc w:val="center"/>
              <w:rPr>
                <w:b/>
                <w:lang w:eastAsia="zh-CN"/>
              </w:rPr>
            </w:pPr>
            <w:r w:rsidRPr="00167CEC">
              <w:rPr>
                <w:b/>
                <w:lang w:eastAsia="zh-CN"/>
              </w:rPr>
              <w:t>Year 4</w:t>
            </w:r>
          </w:p>
        </w:tc>
        <w:tc>
          <w:tcPr>
            <w:tcW w:w="850" w:type="dxa"/>
            <w:tcBorders>
              <w:bottom w:val="single" w:sz="4" w:space="0" w:color="auto"/>
            </w:tcBorders>
          </w:tcPr>
          <w:p w14:paraId="2B17AE4E" w14:textId="77777777" w:rsidR="00054E4D" w:rsidRPr="00167CEC" w:rsidRDefault="00054E4D" w:rsidP="0010250B">
            <w:pPr>
              <w:pStyle w:val="Tabletext"/>
              <w:spacing w:before="0" w:after="0"/>
              <w:jc w:val="center"/>
              <w:rPr>
                <w:b/>
                <w:lang w:eastAsia="zh-CN"/>
              </w:rPr>
            </w:pPr>
            <w:r w:rsidRPr="00167CEC">
              <w:rPr>
                <w:b/>
                <w:lang w:eastAsia="zh-CN"/>
              </w:rPr>
              <w:t>Year 5</w:t>
            </w:r>
          </w:p>
        </w:tc>
        <w:tc>
          <w:tcPr>
            <w:tcW w:w="1652" w:type="dxa"/>
            <w:tcBorders>
              <w:bottom w:val="single" w:sz="4" w:space="0" w:color="auto"/>
            </w:tcBorders>
          </w:tcPr>
          <w:p w14:paraId="4686B649" w14:textId="77777777" w:rsidR="00054E4D" w:rsidRPr="00167CEC" w:rsidRDefault="00054E4D" w:rsidP="0010250B">
            <w:pPr>
              <w:pStyle w:val="Tabletext"/>
              <w:spacing w:before="0" w:after="0"/>
              <w:rPr>
                <w:b/>
                <w:lang w:eastAsia="zh-CN"/>
              </w:rPr>
            </w:pPr>
            <w:r w:rsidRPr="00167CEC">
              <w:rPr>
                <w:b/>
                <w:lang w:eastAsia="zh-CN"/>
              </w:rPr>
              <w:t>Impact to BIA</w:t>
            </w:r>
          </w:p>
        </w:tc>
      </w:tr>
      <w:tr w:rsidR="00054E4D" w:rsidRPr="00167CEC" w14:paraId="0B5E73E6" w14:textId="77777777" w:rsidTr="00F229C3">
        <w:tc>
          <w:tcPr>
            <w:tcW w:w="3112" w:type="dxa"/>
            <w:tcBorders>
              <w:right w:val="nil"/>
            </w:tcBorders>
            <w:shd w:val="clear" w:color="auto" w:fill="D9D9D9" w:themeFill="background1" w:themeFillShade="D9"/>
            <w:vAlign w:val="center"/>
          </w:tcPr>
          <w:p w14:paraId="17C70FA4" w14:textId="37E879F2" w:rsidR="00054E4D" w:rsidRPr="00167CEC" w:rsidRDefault="00054E4D" w:rsidP="0010250B">
            <w:pPr>
              <w:pStyle w:val="Tabletext"/>
              <w:spacing w:before="0" w:after="0"/>
              <w:rPr>
                <w:lang w:eastAsia="zh-CN"/>
              </w:rPr>
            </w:pPr>
            <w:r w:rsidRPr="00167CEC">
              <w:rPr>
                <w:u w:val="single"/>
                <w:lang w:eastAsia="zh-CN"/>
              </w:rPr>
              <w:t xml:space="preserve">Prophylaxis </w:t>
            </w:r>
            <w:r w:rsidRPr="00167CEC">
              <w:rPr>
                <w:lang w:eastAsia="zh-CN"/>
              </w:rPr>
              <w:t xml:space="preserve">uptake among </w:t>
            </w:r>
            <w:r w:rsidRPr="006D54A1">
              <w:rPr>
                <w:b/>
                <w:lang w:eastAsia="zh-CN"/>
              </w:rPr>
              <w:t>paed</w:t>
            </w:r>
            <w:r w:rsidR="00CB1295" w:rsidRPr="006D54A1">
              <w:rPr>
                <w:b/>
                <w:lang w:eastAsia="zh-CN"/>
              </w:rPr>
              <w:t>iatric</w:t>
            </w:r>
            <w:r w:rsidRPr="00167CEC">
              <w:rPr>
                <w:lang w:eastAsia="zh-CN"/>
              </w:rPr>
              <w:t xml:space="preserve"> patients with </w:t>
            </w:r>
            <w:r w:rsidRPr="00167CEC">
              <w:rPr>
                <w:b/>
                <w:lang w:eastAsia="zh-CN"/>
              </w:rPr>
              <w:t>moderate</w:t>
            </w:r>
            <w:r w:rsidRPr="00167CEC">
              <w:rPr>
                <w:lang w:eastAsia="zh-CN"/>
              </w:rPr>
              <w:t xml:space="preserve"> haemophilia</w:t>
            </w:r>
          </w:p>
        </w:tc>
        <w:tc>
          <w:tcPr>
            <w:tcW w:w="850" w:type="dxa"/>
            <w:tcBorders>
              <w:left w:val="nil"/>
              <w:right w:val="nil"/>
            </w:tcBorders>
            <w:shd w:val="clear" w:color="auto" w:fill="D9D9D9" w:themeFill="background1" w:themeFillShade="D9"/>
            <w:vAlign w:val="center"/>
          </w:tcPr>
          <w:p w14:paraId="4AAFC9B7" w14:textId="77777777" w:rsidR="00054E4D" w:rsidRPr="00167CEC" w:rsidRDefault="00054E4D" w:rsidP="0010250B">
            <w:pPr>
              <w:pStyle w:val="Tabletext"/>
              <w:spacing w:before="0" w:after="0"/>
              <w:jc w:val="center"/>
              <w:rPr>
                <w:lang w:eastAsia="zh-CN"/>
              </w:rPr>
            </w:pPr>
          </w:p>
        </w:tc>
        <w:tc>
          <w:tcPr>
            <w:tcW w:w="851" w:type="dxa"/>
            <w:tcBorders>
              <w:left w:val="nil"/>
              <w:right w:val="nil"/>
            </w:tcBorders>
            <w:shd w:val="clear" w:color="auto" w:fill="D9D9D9" w:themeFill="background1" w:themeFillShade="D9"/>
            <w:vAlign w:val="center"/>
          </w:tcPr>
          <w:p w14:paraId="54DA41BA" w14:textId="77777777" w:rsidR="00054E4D" w:rsidRPr="00167CEC" w:rsidRDefault="00054E4D" w:rsidP="0010250B">
            <w:pPr>
              <w:pStyle w:val="Tabletext"/>
              <w:spacing w:before="0" w:after="0"/>
              <w:jc w:val="center"/>
              <w:rPr>
                <w:lang w:eastAsia="zh-CN"/>
              </w:rPr>
            </w:pPr>
          </w:p>
        </w:tc>
        <w:tc>
          <w:tcPr>
            <w:tcW w:w="850" w:type="dxa"/>
            <w:tcBorders>
              <w:left w:val="nil"/>
              <w:right w:val="nil"/>
            </w:tcBorders>
            <w:shd w:val="clear" w:color="auto" w:fill="D9D9D9" w:themeFill="background1" w:themeFillShade="D9"/>
            <w:vAlign w:val="center"/>
          </w:tcPr>
          <w:p w14:paraId="54186B04" w14:textId="77777777" w:rsidR="00054E4D" w:rsidRPr="00167CEC" w:rsidRDefault="00054E4D" w:rsidP="0010250B">
            <w:pPr>
              <w:pStyle w:val="Tabletext"/>
              <w:spacing w:before="0" w:after="0"/>
              <w:jc w:val="center"/>
              <w:rPr>
                <w:lang w:eastAsia="zh-CN"/>
              </w:rPr>
            </w:pPr>
          </w:p>
        </w:tc>
        <w:tc>
          <w:tcPr>
            <w:tcW w:w="851" w:type="dxa"/>
            <w:tcBorders>
              <w:left w:val="nil"/>
              <w:right w:val="nil"/>
            </w:tcBorders>
            <w:shd w:val="clear" w:color="auto" w:fill="D9D9D9" w:themeFill="background1" w:themeFillShade="D9"/>
            <w:vAlign w:val="center"/>
          </w:tcPr>
          <w:p w14:paraId="47CE4840" w14:textId="77777777" w:rsidR="00054E4D" w:rsidRPr="00167CEC" w:rsidRDefault="00054E4D" w:rsidP="0010250B">
            <w:pPr>
              <w:pStyle w:val="Tabletext"/>
              <w:spacing w:before="0" w:after="0"/>
              <w:jc w:val="center"/>
              <w:rPr>
                <w:lang w:eastAsia="zh-CN"/>
              </w:rPr>
            </w:pPr>
          </w:p>
        </w:tc>
        <w:tc>
          <w:tcPr>
            <w:tcW w:w="850" w:type="dxa"/>
            <w:tcBorders>
              <w:left w:val="nil"/>
              <w:right w:val="nil"/>
            </w:tcBorders>
            <w:shd w:val="clear" w:color="auto" w:fill="D9D9D9" w:themeFill="background1" w:themeFillShade="D9"/>
            <w:vAlign w:val="center"/>
          </w:tcPr>
          <w:p w14:paraId="4FB6AA3F" w14:textId="77777777" w:rsidR="00054E4D" w:rsidRPr="00167CEC" w:rsidRDefault="00054E4D" w:rsidP="0010250B">
            <w:pPr>
              <w:pStyle w:val="Tabletext"/>
              <w:spacing w:before="0" w:after="0"/>
              <w:jc w:val="center"/>
              <w:rPr>
                <w:lang w:eastAsia="zh-CN"/>
              </w:rPr>
            </w:pPr>
          </w:p>
        </w:tc>
        <w:tc>
          <w:tcPr>
            <w:tcW w:w="1652" w:type="dxa"/>
            <w:tcBorders>
              <w:left w:val="nil"/>
            </w:tcBorders>
            <w:shd w:val="clear" w:color="auto" w:fill="D9D9D9" w:themeFill="background1" w:themeFillShade="D9"/>
            <w:vAlign w:val="center"/>
          </w:tcPr>
          <w:p w14:paraId="2DAE1B6A" w14:textId="77777777" w:rsidR="00054E4D" w:rsidRPr="00167CEC" w:rsidRDefault="00054E4D" w:rsidP="0010250B">
            <w:pPr>
              <w:pStyle w:val="Tabletext"/>
              <w:spacing w:before="0" w:after="0"/>
              <w:rPr>
                <w:lang w:eastAsia="zh-CN"/>
              </w:rPr>
            </w:pPr>
          </w:p>
        </w:tc>
      </w:tr>
      <w:tr w:rsidR="00054E4D" w:rsidRPr="00167CEC" w14:paraId="5010600B" w14:textId="77777777" w:rsidTr="00F229C3">
        <w:tc>
          <w:tcPr>
            <w:tcW w:w="3112" w:type="dxa"/>
            <w:vAlign w:val="center"/>
          </w:tcPr>
          <w:p w14:paraId="4190EF7C" w14:textId="77777777" w:rsidR="00054E4D" w:rsidRPr="00167CEC" w:rsidRDefault="00054E4D" w:rsidP="0010250B">
            <w:pPr>
              <w:pStyle w:val="Tabletext"/>
              <w:spacing w:before="0" w:after="0"/>
              <w:rPr>
                <w:lang w:eastAsia="zh-CN"/>
              </w:rPr>
            </w:pPr>
            <w:r w:rsidRPr="00167CEC">
              <w:rPr>
                <w:lang w:eastAsia="zh-CN"/>
              </w:rPr>
              <w:t>Estimates in 1579</w:t>
            </w:r>
          </w:p>
        </w:tc>
        <w:tc>
          <w:tcPr>
            <w:tcW w:w="850" w:type="dxa"/>
            <w:vAlign w:val="center"/>
          </w:tcPr>
          <w:p w14:paraId="704032F9" w14:textId="77777777" w:rsidR="00054E4D" w:rsidRPr="00167CEC" w:rsidRDefault="00054E4D" w:rsidP="0010250B">
            <w:pPr>
              <w:pStyle w:val="Tabletext"/>
              <w:spacing w:before="0" w:after="0"/>
              <w:jc w:val="center"/>
              <w:rPr>
                <w:lang w:eastAsia="zh-CN"/>
              </w:rPr>
            </w:pPr>
            <w:r w:rsidRPr="00167CEC">
              <w:t>50.0%</w:t>
            </w:r>
          </w:p>
        </w:tc>
        <w:tc>
          <w:tcPr>
            <w:tcW w:w="851" w:type="dxa"/>
            <w:vAlign w:val="center"/>
          </w:tcPr>
          <w:p w14:paraId="69F06CDF" w14:textId="77777777" w:rsidR="00054E4D" w:rsidRPr="00167CEC" w:rsidRDefault="00054E4D" w:rsidP="0010250B">
            <w:pPr>
              <w:pStyle w:val="Tabletext"/>
              <w:spacing w:before="0" w:after="0"/>
              <w:jc w:val="center"/>
              <w:rPr>
                <w:lang w:eastAsia="zh-CN"/>
              </w:rPr>
            </w:pPr>
            <w:r w:rsidRPr="00167CEC">
              <w:t>100.0%</w:t>
            </w:r>
          </w:p>
        </w:tc>
        <w:tc>
          <w:tcPr>
            <w:tcW w:w="850" w:type="dxa"/>
            <w:vAlign w:val="center"/>
          </w:tcPr>
          <w:p w14:paraId="478D8EF0" w14:textId="77777777" w:rsidR="00054E4D" w:rsidRPr="00167CEC" w:rsidRDefault="00054E4D" w:rsidP="0010250B">
            <w:pPr>
              <w:pStyle w:val="Tabletext"/>
              <w:spacing w:before="0" w:after="0"/>
              <w:jc w:val="center"/>
              <w:rPr>
                <w:lang w:eastAsia="zh-CN"/>
              </w:rPr>
            </w:pPr>
            <w:r w:rsidRPr="00167CEC">
              <w:t>100.0%</w:t>
            </w:r>
          </w:p>
        </w:tc>
        <w:tc>
          <w:tcPr>
            <w:tcW w:w="851" w:type="dxa"/>
            <w:vAlign w:val="center"/>
          </w:tcPr>
          <w:p w14:paraId="1CB1648E" w14:textId="77777777" w:rsidR="00054E4D" w:rsidRPr="00167CEC" w:rsidRDefault="00054E4D" w:rsidP="0010250B">
            <w:pPr>
              <w:pStyle w:val="Tabletext"/>
              <w:spacing w:before="0" w:after="0"/>
              <w:jc w:val="center"/>
              <w:rPr>
                <w:lang w:eastAsia="zh-CN"/>
              </w:rPr>
            </w:pPr>
            <w:r w:rsidRPr="00167CEC">
              <w:t>100.0%</w:t>
            </w:r>
          </w:p>
        </w:tc>
        <w:tc>
          <w:tcPr>
            <w:tcW w:w="850" w:type="dxa"/>
            <w:vAlign w:val="center"/>
          </w:tcPr>
          <w:p w14:paraId="5C6B6D7B" w14:textId="77777777" w:rsidR="00054E4D" w:rsidRPr="00167CEC" w:rsidRDefault="00054E4D" w:rsidP="0010250B">
            <w:pPr>
              <w:pStyle w:val="Tabletext"/>
              <w:spacing w:before="0" w:after="0"/>
              <w:jc w:val="center"/>
              <w:rPr>
                <w:lang w:eastAsia="zh-CN"/>
              </w:rPr>
            </w:pPr>
            <w:r w:rsidRPr="00167CEC">
              <w:t>100.0%</w:t>
            </w:r>
          </w:p>
        </w:tc>
        <w:tc>
          <w:tcPr>
            <w:tcW w:w="1652" w:type="dxa"/>
            <w:vAlign w:val="center"/>
          </w:tcPr>
          <w:p w14:paraId="2053F5FB" w14:textId="77777777" w:rsidR="00054E4D" w:rsidRPr="00167CEC" w:rsidRDefault="00054E4D" w:rsidP="0010250B">
            <w:pPr>
              <w:pStyle w:val="Tabletext"/>
              <w:spacing w:before="0" w:after="0"/>
              <w:rPr>
                <w:lang w:eastAsia="zh-CN"/>
              </w:rPr>
            </w:pPr>
            <w:r w:rsidRPr="00167CEC">
              <w:rPr>
                <w:lang w:eastAsia="zh-CN"/>
              </w:rPr>
              <w:t>Claimed to be the worst case</w:t>
            </w:r>
          </w:p>
        </w:tc>
      </w:tr>
      <w:tr w:rsidR="00054E4D" w:rsidRPr="00167CEC" w14:paraId="2DA210E5" w14:textId="77777777" w:rsidTr="00F229C3">
        <w:tc>
          <w:tcPr>
            <w:tcW w:w="3112" w:type="dxa"/>
            <w:tcBorders>
              <w:bottom w:val="single" w:sz="4" w:space="0" w:color="auto"/>
            </w:tcBorders>
            <w:vAlign w:val="center"/>
          </w:tcPr>
          <w:p w14:paraId="1F41793D" w14:textId="77777777" w:rsidR="00054E4D" w:rsidRPr="00167CEC" w:rsidRDefault="00054E4D" w:rsidP="0010250B">
            <w:pPr>
              <w:pStyle w:val="Tabletext"/>
              <w:spacing w:before="0" w:after="0"/>
            </w:pPr>
            <w:r w:rsidRPr="00167CEC">
              <w:t>Updated figure in 1510.1</w:t>
            </w:r>
          </w:p>
        </w:tc>
        <w:tc>
          <w:tcPr>
            <w:tcW w:w="850" w:type="dxa"/>
            <w:tcBorders>
              <w:bottom w:val="single" w:sz="4" w:space="0" w:color="auto"/>
            </w:tcBorders>
            <w:vAlign w:val="center"/>
          </w:tcPr>
          <w:p w14:paraId="2DD4DA93" w14:textId="77777777" w:rsidR="00054E4D" w:rsidRPr="00167CEC" w:rsidRDefault="00054E4D" w:rsidP="0010250B">
            <w:pPr>
              <w:pStyle w:val="Tabletext"/>
              <w:spacing w:before="0" w:after="0"/>
              <w:jc w:val="center"/>
            </w:pPr>
            <w:r w:rsidRPr="00167CEC">
              <w:t>28.9%</w:t>
            </w:r>
          </w:p>
        </w:tc>
        <w:tc>
          <w:tcPr>
            <w:tcW w:w="851" w:type="dxa"/>
            <w:tcBorders>
              <w:bottom w:val="single" w:sz="4" w:space="0" w:color="auto"/>
            </w:tcBorders>
            <w:vAlign w:val="center"/>
          </w:tcPr>
          <w:p w14:paraId="59D202D5" w14:textId="77777777" w:rsidR="00054E4D" w:rsidRPr="00167CEC" w:rsidRDefault="00054E4D" w:rsidP="0010250B">
            <w:pPr>
              <w:pStyle w:val="Tabletext"/>
              <w:spacing w:before="0" w:after="0"/>
              <w:jc w:val="center"/>
            </w:pPr>
            <w:r w:rsidRPr="00167CEC">
              <w:t>74.4%</w:t>
            </w:r>
          </w:p>
        </w:tc>
        <w:tc>
          <w:tcPr>
            <w:tcW w:w="850" w:type="dxa"/>
            <w:tcBorders>
              <w:bottom w:val="single" w:sz="4" w:space="0" w:color="auto"/>
            </w:tcBorders>
            <w:vAlign w:val="center"/>
          </w:tcPr>
          <w:p w14:paraId="68C37F84" w14:textId="77777777" w:rsidR="00054E4D" w:rsidRPr="00167CEC" w:rsidRDefault="00054E4D" w:rsidP="0010250B">
            <w:pPr>
              <w:pStyle w:val="Tabletext"/>
              <w:spacing w:before="0" w:after="0"/>
              <w:jc w:val="center"/>
            </w:pPr>
            <w:r w:rsidRPr="00167CEC">
              <w:t>80.0%</w:t>
            </w:r>
          </w:p>
        </w:tc>
        <w:tc>
          <w:tcPr>
            <w:tcW w:w="851" w:type="dxa"/>
            <w:tcBorders>
              <w:bottom w:val="single" w:sz="4" w:space="0" w:color="auto"/>
            </w:tcBorders>
            <w:vAlign w:val="center"/>
          </w:tcPr>
          <w:p w14:paraId="2EFFD880" w14:textId="77777777" w:rsidR="00054E4D" w:rsidRPr="00167CEC" w:rsidRDefault="00054E4D" w:rsidP="0010250B">
            <w:pPr>
              <w:pStyle w:val="Tabletext"/>
              <w:spacing w:before="0" w:after="0"/>
              <w:jc w:val="center"/>
            </w:pPr>
            <w:r w:rsidRPr="00167CEC">
              <w:t>80.0%</w:t>
            </w:r>
          </w:p>
        </w:tc>
        <w:tc>
          <w:tcPr>
            <w:tcW w:w="850" w:type="dxa"/>
            <w:tcBorders>
              <w:bottom w:val="single" w:sz="4" w:space="0" w:color="auto"/>
            </w:tcBorders>
            <w:vAlign w:val="center"/>
          </w:tcPr>
          <w:p w14:paraId="28216F68" w14:textId="77777777" w:rsidR="00054E4D" w:rsidRPr="00167CEC" w:rsidRDefault="00054E4D" w:rsidP="0010250B">
            <w:pPr>
              <w:pStyle w:val="Tabletext"/>
              <w:spacing w:before="0" w:after="0"/>
              <w:jc w:val="center"/>
            </w:pPr>
            <w:r w:rsidRPr="00167CEC">
              <w:t>80.0%</w:t>
            </w:r>
          </w:p>
        </w:tc>
        <w:tc>
          <w:tcPr>
            <w:tcW w:w="1652" w:type="dxa"/>
            <w:tcBorders>
              <w:bottom w:val="single" w:sz="4" w:space="0" w:color="auto"/>
            </w:tcBorders>
            <w:vAlign w:val="center"/>
          </w:tcPr>
          <w:p w14:paraId="25BBB882" w14:textId="77777777" w:rsidR="00054E4D" w:rsidRPr="00167CEC" w:rsidRDefault="00054E4D" w:rsidP="0010250B">
            <w:pPr>
              <w:pStyle w:val="Tabletext"/>
              <w:spacing w:before="0" w:after="0"/>
            </w:pPr>
            <w:r w:rsidRPr="00167CEC">
              <w:rPr>
                <w:lang w:eastAsia="zh-CN"/>
              </w:rPr>
              <w:t>Overall cost reduction to NPL</w:t>
            </w:r>
          </w:p>
        </w:tc>
      </w:tr>
      <w:tr w:rsidR="00054E4D" w:rsidRPr="00167CEC" w14:paraId="6886F021" w14:textId="77777777" w:rsidTr="00F229C3">
        <w:tc>
          <w:tcPr>
            <w:tcW w:w="3112" w:type="dxa"/>
            <w:tcBorders>
              <w:right w:val="nil"/>
            </w:tcBorders>
            <w:shd w:val="clear" w:color="auto" w:fill="D9D9D9" w:themeFill="background1" w:themeFillShade="D9"/>
            <w:vAlign w:val="center"/>
          </w:tcPr>
          <w:p w14:paraId="3D6EE77A" w14:textId="15650790" w:rsidR="00054E4D" w:rsidRPr="00167CEC" w:rsidRDefault="00054E4D" w:rsidP="0010250B">
            <w:pPr>
              <w:pStyle w:val="Tabletext"/>
              <w:spacing w:before="0" w:after="0"/>
            </w:pPr>
            <w:r w:rsidRPr="00167CEC">
              <w:rPr>
                <w:u w:val="single"/>
                <w:lang w:eastAsia="zh-CN"/>
              </w:rPr>
              <w:t>On-demand</w:t>
            </w:r>
            <w:r w:rsidRPr="00167CEC">
              <w:rPr>
                <w:lang w:eastAsia="zh-CN"/>
              </w:rPr>
              <w:t xml:space="preserve"> uptake among </w:t>
            </w:r>
            <w:r w:rsidRPr="006D54A1">
              <w:rPr>
                <w:b/>
                <w:lang w:eastAsia="zh-CN"/>
              </w:rPr>
              <w:t>paed</w:t>
            </w:r>
            <w:r w:rsidR="00CB1295" w:rsidRPr="006D54A1">
              <w:rPr>
                <w:b/>
                <w:lang w:eastAsia="zh-CN"/>
              </w:rPr>
              <w:t>iatric</w:t>
            </w:r>
            <w:r w:rsidRPr="00167CEC">
              <w:rPr>
                <w:lang w:eastAsia="zh-CN"/>
              </w:rPr>
              <w:t xml:space="preserve"> patients with </w:t>
            </w:r>
            <w:r w:rsidRPr="00167CEC">
              <w:rPr>
                <w:b/>
                <w:lang w:eastAsia="zh-CN"/>
              </w:rPr>
              <w:t>severe</w:t>
            </w:r>
            <w:r w:rsidRPr="00167CEC">
              <w:rPr>
                <w:lang w:eastAsia="zh-CN"/>
              </w:rPr>
              <w:t xml:space="preserve"> haemophilia</w:t>
            </w:r>
          </w:p>
        </w:tc>
        <w:tc>
          <w:tcPr>
            <w:tcW w:w="850" w:type="dxa"/>
            <w:tcBorders>
              <w:left w:val="nil"/>
              <w:right w:val="nil"/>
            </w:tcBorders>
            <w:shd w:val="clear" w:color="auto" w:fill="D9D9D9" w:themeFill="background1" w:themeFillShade="D9"/>
            <w:vAlign w:val="center"/>
          </w:tcPr>
          <w:p w14:paraId="62B2F555" w14:textId="77777777" w:rsidR="00054E4D" w:rsidRPr="00167CEC" w:rsidRDefault="00054E4D" w:rsidP="0010250B">
            <w:pPr>
              <w:pStyle w:val="Tabletext"/>
              <w:spacing w:before="0" w:after="0"/>
              <w:jc w:val="center"/>
            </w:pPr>
          </w:p>
        </w:tc>
        <w:tc>
          <w:tcPr>
            <w:tcW w:w="851" w:type="dxa"/>
            <w:tcBorders>
              <w:left w:val="nil"/>
              <w:right w:val="nil"/>
            </w:tcBorders>
            <w:shd w:val="clear" w:color="auto" w:fill="D9D9D9" w:themeFill="background1" w:themeFillShade="D9"/>
            <w:vAlign w:val="center"/>
          </w:tcPr>
          <w:p w14:paraId="067A98B2" w14:textId="77777777" w:rsidR="00054E4D" w:rsidRPr="00167CEC" w:rsidRDefault="00054E4D" w:rsidP="0010250B">
            <w:pPr>
              <w:pStyle w:val="Tabletext"/>
              <w:spacing w:before="0" w:after="0"/>
              <w:jc w:val="center"/>
            </w:pPr>
          </w:p>
        </w:tc>
        <w:tc>
          <w:tcPr>
            <w:tcW w:w="850" w:type="dxa"/>
            <w:tcBorders>
              <w:left w:val="nil"/>
              <w:right w:val="nil"/>
            </w:tcBorders>
            <w:shd w:val="clear" w:color="auto" w:fill="D9D9D9" w:themeFill="background1" w:themeFillShade="D9"/>
            <w:vAlign w:val="center"/>
          </w:tcPr>
          <w:p w14:paraId="28409DD6" w14:textId="77777777" w:rsidR="00054E4D" w:rsidRPr="00167CEC" w:rsidRDefault="00054E4D" w:rsidP="0010250B">
            <w:pPr>
              <w:pStyle w:val="Tabletext"/>
              <w:spacing w:before="0" w:after="0"/>
              <w:jc w:val="center"/>
            </w:pPr>
          </w:p>
        </w:tc>
        <w:tc>
          <w:tcPr>
            <w:tcW w:w="851" w:type="dxa"/>
            <w:tcBorders>
              <w:left w:val="nil"/>
              <w:right w:val="nil"/>
            </w:tcBorders>
            <w:shd w:val="clear" w:color="auto" w:fill="D9D9D9" w:themeFill="background1" w:themeFillShade="D9"/>
            <w:vAlign w:val="center"/>
          </w:tcPr>
          <w:p w14:paraId="51F3E4EC" w14:textId="77777777" w:rsidR="00054E4D" w:rsidRPr="00167CEC" w:rsidRDefault="00054E4D" w:rsidP="0010250B">
            <w:pPr>
              <w:pStyle w:val="Tabletext"/>
              <w:spacing w:before="0" w:after="0"/>
              <w:jc w:val="center"/>
            </w:pPr>
          </w:p>
        </w:tc>
        <w:tc>
          <w:tcPr>
            <w:tcW w:w="850" w:type="dxa"/>
            <w:tcBorders>
              <w:left w:val="nil"/>
              <w:right w:val="nil"/>
            </w:tcBorders>
            <w:shd w:val="clear" w:color="auto" w:fill="D9D9D9" w:themeFill="background1" w:themeFillShade="D9"/>
            <w:vAlign w:val="center"/>
          </w:tcPr>
          <w:p w14:paraId="14A204D5" w14:textId="77777777" w:rsidR="00054E4D" w:rsidRPr="00167CEC" w:rsidRDefault="00054E4D" w:rsidP="0010250B">
            <w:pPr>
              <w:pStyle w:val="Tabletext"/>
              <w:spacing w:before="0" w:after="0"/>
              <w:jc w:val="center"/>
            </w:pPr>
          </w:p>
        </w:tc>
        <w:tc>
          <w:tcPr>
            <w:tcW w:w="1652" w:type="dxa"/>
            <w:tcBorders>
              <w:left w:val="nil"/>
            </w:tcBorders>
            <w:shd w:val="clear" w:color="auto" w:fill="D9D9D9" w:themeFill="background1" w:themeFillShade="D9"/>
            <w:vAlign w:val="center"/>
          </w:tcPr>
          <w:p w14:paraId="26A023B7" w14:textId="77777777" w:rsidR="00054E4D" w:rsidRPr="00167CEC" w:rsidRDefault="00054E4D" w:rsidP="0010250B">
            <w:pPr>
              <w:pStyle w:val="Tabletext"/>
              <w:spacing w:before="0" w:after="0"/>
            </w:pPr>
          </w:p>
        </w:tc>
      </w:tr>
      <w:tr w:rsidR="00054E4D" w:rsidRPr="00167CEC" w14:paraId="50542872" w14:textId="77777777" w:rsidTr="00F229C3">
        <w:tc>
          <w:tcPr>
            <w:tcW w:w="3112" w:type="dxa"/>
            <w:vAlign w:val="center"/>
          </w:tcPr>
          <w:p w14:paraId="1BB71B3A" w14:textId="77777777" w:rsidR="00054E4D" w:rsidRPr="00167CEC" w:rsidRDefault="00054E4D" w:rsidP="0010250B">
            <w:pPr>
              <w:pStyle w:val="Tabletext"/>
              <w:spacing w:before="0" w:after="0"/>
            </w:pPr>
            <w:r w:rsidRPr="00167CEC">
              <w:rPr>
                <w:lang w:eastAsia="zh-CN"/>
              </w:rPr>
              <w:t>Estimates in 1579</w:t>
            </w:r>
          </w:p>
        </w:tc>
        <w:tc>
          <w:tcPr>
            <w:tcW w:w="850" w:type="dxa"/>
            <w:vAlign w:val="center"/>
          </w:tcPr>
          <w:p w14:paraId="5A9C2F80" w14:textId="77777777" w:rsidR="00054E4D" w:rsidRPr="00167CEC" w:rsidRDefault="00054E4D" w:rsidP="0010250B">
            <w:pPr>
              <w:pStyle w:val="Tabletext"/>
              <w:spacing w:before="0" w:after="0"/>
              <w:jc w:val="center"/>
            </w:pPr>
            <w:r w:rsidRPr="00167CEC">
              <w:t>12.5%</w:t>
            </w:r>
          </w:p>
        </w:tc>
        <w:tc>
          <w:tcPr>
            <w:tcW w:w="851" w:type="dxa"/>
            <w:vAlign w:val="center"/>
          </w:tcPr>
          <w:p w14:paraId="34D71A84" w14:textId="77777777" w:rsidR="00054E4D" w:rsidRPr="00167CEC" w:rsidRDefault="00054E4D" w:rsidP="0010250B">
            <w:pPr>
              <w:pStyle w:val="Tabletext"/>
              <w:spacing w:before="0" w:after="0"/>
              <w:jc w:val="center"/>
            </w:pPr>
            <w:r w:rsidRPr="00167CEC">
              <w:t>25.0%</w:t>
            </w:r>
          </w:p>
        </w:tc>
        <w:tc>
          <w:tcPr>
            <w:tcW w:w="850" w:type="dxa"/>
            <w:vAlign w:val="center"/>
          </w:tcPr>
          <w:p w14:paraId="3B210BB3" w14:textId="77777777" w:rsidR="00054E4D" w:rsidRPr="00167CEC" w:rsidRDefault="00054E4D" w:rsidP="0010250B">
            <w:pPr>
              <w:pStyle w:val="Tabletext"/>
              <w:spacing w:before="0" w:after="0"/>
              <w:jc w:val="center"/>
            </w:pPr>
            <w:r w:rsidRPr="00167CEC">
              <w:t>25.0%</w:t>
            </w:r>
          </w:p>
        </w:tc>
        <w:tc>
          <w:tcPr>
            <w:tcW w:w="851" w:type="dxa"/>
            <w:vAlign w:val="center"/>
          </w:tcPr>
          <w:p w14:paraId="7DCAB262" w14:textId="77777777" w:rsidR="00054E4D" w:rsidRPr="00167CEC" w:rsidRDefault="00054E4D" w:rsidP="0010250B">
            <w:pPr>
              <w:pStyle w:val="Tabletext"/>
              <w:spacing w:before="0" w:after="0"/>
              <w:jc w:val="center"/>
            </w:pPr>
            <w:r w:rsidRPr="00167CEC">
              <w:t>25.0%</w:t>
            </w:r>
          </w:p>
        </w:tc>
        <w:tc>
          <w:tcPr>
            <w:tcW w:w="850" w:type="dxa"/>
            <w:vAlign w:val="center"/>
          </w:tcPr>
          <w:p w14:paraId="642A4A11" w14:textId="77777777" w:rsidR="00054E4D" w:rsidRPr="00167CEC" w:rsidRDefault="00054E4D" w:rsidP="0010250B">
            <w:pPr>
              <w:pStyle w:val="Tabletext"/>
              <w:spacing w:before="0" w:after="0"/>
              <w:jc w:val="center"/>
            </w:pPr>
            <w:r w:rsidRPr="00167CEC">
              <w:t>25.0%</w:t>
            </w:r>
          </w:p>
        </w:tc>
        <w:tc>
          <w:tcPr>
            <w:tcW w:w="1652" w:type="dxa"/>
          </w:tcPr>
          <w:p w14:paraId="456860BE" w14:textId="77777777" w:rsidR="00054E4D" w:rsidRPr="00167CEC" w:rsidRDefault="00054E4D" w:rsidP="0010250B">
            <w:pPr>
              <w:pStyle w:val="Tabletext"/>
              <w:spacing w:before="0" w:after="0"/>
            </w:pPr>
            <w:r w:rsidRPr="00167CEC">
              <w:t>Stabilised in the second year</w:t>
            </w:r>
          </w:p>
        </w:tc>
      </w:tr>
      <w:tr w:rsidR="00054E4D" w:rsidRPr="00167CEC" w14:paraId="3BF12AC1" w14:textId="77777777" w:rsidTr="00F229C3">
        <w:tc>
          <w:tcPr>
            <w:tcW w:w="3112" w:type="dxa"/>
            <w:vAlign w:val="center"/>
          </w:tcPr>
          <w:p w14:paraId="47A08BEF" w14:textId="77777777" w:rsidR="00054E4D" w:rsidRPr="00167CEC" w:rsidRDefault="00054E4D" w:rsidP="0010250B">
            <w:pPr>
              <w:pStyle w:val="Tabletext"/>
              <w:spacing w:before="0" w:after="0"/>
            </w:pPr>
            <w:r w:rsidRPr="00167CEC">
              <w:t>Updated figure in 1510.1</w:t>
            </w:r>
          </w:p>
        </w:tc>
        <w:tc>
          <w:tcPr>
            <w:tcW w:w="850" w:type="dxa"/>
            <w:vAlign w:val="center"/>
          </w:tcPr>
          <w:p w14:paraId="75252697" w14:textId="77777777" w:rsidR="00054E4D" w:rsidRPr="00167CEC" w:rsidRDefault="00054E4D" w:rsidP="0010250B">
            <w:pPr>
              <w:pStyle w:val="Tabletext"/>
              <w:spacing w:before="0" w:after="0"/>
              <w:jc w:val="center"/>
            </w:pPr>
            <w:r w:rsidRPr="00167CEC">
              <w:t>9.0%</w:t>
            </w:r>
          </w:p>
        </w:tc>
        <w:tc>
          <w:tcPr>
            <w:tcW w:w="851" w:type="dxa"/>
            <w:vAlign w:val="center"/>
          </w:tcPr>
          <w:p w14:paraId="2D4655BC" w14:textId="77777777" w:rsidR="00054E4D" w:rsidRPr="00167CEC" w:rsidRDefault="00054E4D" w:rsidP="0010250B">
            <w:pPr>
              <w:pStyle w:val="Tabletext"/>
              <w:spacing w:before="0" w:after="0"/>
              <w:jc w:val="center"/>
            </w:pPr>
            <w:r w:rsidRPr="00167CEC">
              <w:t>23.2%</w:t>
            </w:r>
          </w:p>
        </w:tc>
        <w:tc>
          <w:tcPr>
            <w:tcW w:w="850" w:type="dxa"/>
            <w:vAlign w:val="center"/>
          </w:tcPr>
          <w:p w14:paraId="7E53CFE8" w14:textId="77777777" w:rsidR="00054E4D" w:rsidRPr="00167CEC" w:rsidRDefault="00054E4D" w:rsidP="0010250B">
            <w:pPr>
              <w:pStyle w:val="Tabletext"/>
              <w:spacing w:before="0" w:after="0"/>
              <w:jc w:val="center"/>
            </w:pPr>
            <w:r w:rsidRPr="00167CEC">
              <w:t>25.0%</w:t>
            </w:r>
          </w:p>
        </w:tc>
        <w:tc>
          <w:tcPr>
            <w:tcW w:w="851" w:type="dxa"/>
            <w:vAlign w:val="center"/>
          </w:tcPr>
          <w:p w14:paraId="705BE37A" w14:textId="77777777" w:rsidR="00054E4D" w:rsidRPr="00167CEC" w:rsidRDefault="00054E4D" w:rsidP="0010250B">
            <w:pPr>
              <w:pStyle w:val="Tabletext"/>
              <w:spacing w:before="0" w:after="0"/>
              <w:jc w:val="center"/>
            </w:pPr>
            <w:r w:rsidRPr="00167CEC">
              <w:t>25.0%</w:t>
            </w:r>
          </w:p>
        </w:tc>
        <w:tc>
          <w:tcPr>
            <w:tcW w:w="850" w:type="dxa"/>
            <w:vAlign w:val="center"/>
          </w:tcPr>
          <w:p w14:paraId="1032A441" w14:textId="77777777" w:rsidR="00054E4D" w:rsidRPr="00167CEC" w:rsidRDefault="00054E4D" w:rsidP="0010250B">
            <w:pPr>
              <w:pStyle w:val="Tabletext"/>
              <w:spacing w:before="0" w:after="0"/>
              <w:jc w:val="center"/>
            </w:pPr>
            <w:r w:rsidRPr="00167CEC">
              <w:t>25.0%</w:t>
            </w:r>
          </w:p>
        </w:tc>
        <w:tc>
          <w:tcPr>
            <w:tcW w:w="1652" w:type="dxa"/>
          </w:tcPr>
          <w:p w14:paraId="01D3F881" w14:textId="77777777" w:rsidR="00054E4D" w:rsidRPr="00167CEC" w:rsidRDefault="00054E4D" w:rsidP="0010250B">
            <w:pPr>
              <w:pStyle w:val="Tabletext"/>
              <w:spacing w:before="0" w:after="0"/>
            </w:pPr>
            <w:r w:rsidRPr="00167CEC">
              <w:t>Gentler up-ramp, lower costs</w:t>
            </w:r>
          </w:p>
        </w:tc>
      </w:tr>
      <w:tr w:rsidR="00054E4D" w:rsidRPr="00167CEC" w14:paraId="32D808A9" w14:textId="77777777" w:rsidTr="00F229C3">
        <w:tc>
          <w:tcPr>
            <w:tcW w:w="3112" w:type="dxa"/>
            <w:tcBorders>
              <w:right w:val="nil"/>
            </w:tcBorders>
            <w:shd w:val="clear" w:color="auto" w:fill="D9D9D9" w:themeFill="background1" w:themeFillShade="D9"/>
            <w:vAlign w:val="center"/>
          </w:tcPr>
          <w:p w14:paraId="2E02094E" w14:textId="058969AC" w:rsidR="00054E4D" w:rsidRPr="00167CEC" w:rsidRDefault="00054E4D" w:rsidP="0010250B">
            <w:pPr>
              <w:pStyle w:val="Tabletext"/>
              <w:spacing w:before="0" w:after="0"/>
            </w:pPr>
            <w:r w:rsidRPr="00167CEC">
              <w:rPr>
                <w:u w:val="single"/>
                <w:lang w:eastAsia="zh-CN"/>
              </w:rPr>
              <w:t>Prophylaxis</w:t>
            </w:r>
            <w:r w:rsidRPr="00167CEC">
              <w:rPr>
                <w:lang w:eastAsia="zh-CN"/>
              </w:rPr>
              <w:t xml:space="preserve"> uptake among </w:t>
            </w:r>
            <w:r w:rsidRPr="006D54A1">
              <w:rPr>
                <w:b/>
                <w:lang w:eastAsia="zh-CN"/>
              </w:rPr>
              <w:t>paed</w:t>
            </w:r>
            <w:r w:rsidR="00CB1295" w:rsidRPr="006D54A1">
              <w:rPr>
                <w:b/>
                <w:lang w:eastAsia="zh-CN"/>
              </w:rPr>
              <w:t>iatric</w:t>
            </w:r>
            <w:r w:rsidRPr="00167CEC">
              <w:rPr>
                <w:lang w:eastAsia="zh-CN"/>
              </w:rPr>
              <w:t xml:space="preserve"> patients with </w:t>
            </w:r>
            <w:r w:rsidRPr="00167CEC">
              <w:rPr>
                <w:b/>
                <w:lang w:eastAsia="zh-CN"/>
              </w:rPr>
              <w:t>severe</w:t>
            </w:r>
            <w:r w:rsidRPr="00167CEC">
              <w:rPr>
                <w:lang w:eastAsia="zh-CN"/>
              </w:rPr>
              <w:t xml:space="preserve"> haemophilia</w:t>
            </w:r>
          </w:p>
        </w:tc>
        <w:tc>
          <w:tcPr>
            <w:tcW w:w="850" w:type="dxa"/>
            <w:tcBorders>
              <w:left w:val="nil"/>
              <w:right w:val="nil"/>
            </w:tcBorders>
            <w:shd w:val="clear" w:color="auto" w:fill="D9D9D9" w:themeFill="background1" w:themeFillShade="D9"/>
            <w:vAlign w:val="center"/>
          </w:tcPr>
          <w:p w14:paraId="1F2BC1FD" w14:textId="77777777" w:rsidR="00054E4D" w:rsidRPr="00167CEC" w:rsidRDefault="00054E4D" w:rsidP="0010250B">
            <w:pPr>
              <w:pStyle w:val="Tabletext"/>
              <w:spacing w:before="0" w:after="0"/>
              <w:jc w:val="center"/>
            </w:pPr>
          </w:p>
        </w:tc>
        <w:tc>
          <w:tcPr>
            <w:tcW w:w="851" w:type="dxa"/>
            <w:tcBorders>
              <w:left w:val="nil"/>
              <w:right w:val="nil"/>
            </w:tcBorders>
            <w:shd w:val="clear" w:color="auto" w:fill="D9D9D9" w:themeFill="background1" w:themeFillShade="D9"/>
            <w:vAlign w:val="center"/>
          </w:tcPr>
          <w:p w14:paraId="6CBDD9C7" w14:textId="77777777" w:rsidR="00054E4D" w:rsidRPr="00167CEC" w:rsidRDefault="00054E4D" w:rsidP="0010250B">
            <w:pPr>
              <w:pStyle w:val="Tabletext"/>
              <w:spacing w:before="0" w:after="0"/>
              <w:jc w:val="center"/>
            </w:pPr>
          </w:p>
        </w:tc>
        <w:tc>
          <w:tcPr>
            <w:tcW w:w="850" w:type="dxa"/>
            <w:tcBorders>
              <w:left w:val="nil"/>
              <w:right w:val="nil"/>
            </w:tcBorders>
            <w:shd w:val="clear" w:color="auto" w:fill="D9D9D9" w:themeFill="background1" w:themeFillShade="D9"/>
            <w:vAlign w:val="center"/>
          </w:tcPr>
          <w:p w14:paraId="4A58A373" w14:textId="77777777" w:rsidR="00054E4D" w:rsidRPr="00167CEC" w:rsidRDefault="00054E4D" w:rsidP="0010250B">
            <w:pPr>
              <w:pStyle w:val="Tabletext"/>
              <w:spacing w:before="0" w:after="0"/>
              <w:jc w:val="center"/>
            </w:pPr>
          </w:p>
        </w:tc>
        <w:tc>
          <w:tcPr>
            <w:tcW w:w="851" w:type="dxa"/>
            <w:tcBorders>
              <w:left w:val="nil"/>
              <w:right w:val="nil"/>
            </w:tcBorders>
            <w:shd w:val="clear" w:color="auto" w:fill="D9D9D9" w:themeFill="background1" w:themeFillShade="D9"/>
            <w:vAlign w:val="center"/>
          </w:tcPr>
          <w:p w14:paraId="45834BDE" w14:textId="77777777" w:rsidR="00054E4D" w:rsidRPr="00167CEC" w:rsidRDefault="00054E4D" w:rsidP="0010250B">
            <w:pPr>
              <w:pStyle w:val="Tabletext"/>
              <w:spacing w:before="0" w:after="0"/>
              <w:jc w:val="center"/>
            </w:pPr>
          </w:p>
        </w:tc>
        <w:tc>
          <w:tcPr>
            <w:tcW w:w="850" w:type="dxa"/>
            <w:tcBorders>
              <w:left w:val="nil"/>
              <w:right w:val="nil"/>
            </w:tcBorders>
            <w:shd w:val="clear" w:color="auto" w:fill="D9D9D9" w:themeFill="background1" w:themeFillShade="D9"/>
            <w:vAlign w:val="center"/>
          </w:tcPr>
          <w:p w14:paraId="59025C5D" w14:textId="77777777" w:rsidR="00054E4D" w:rsidRPr="00167CEC" w:rsidRDefault="00054E4D" w:rsidP="0010250B">
            <w:pPr>
              <w:pStyle w:val="Tabletext"/>
              <w:spacing w:before="0" w:after="0"/>
              <w:jc w:val="center"/>
            </w:pPr>
          </w:p>
        </w:tc>
        <w:tc>
          <w:tcPr>
            <w:tcW w:w="1652" w:type="dxa"/>
            <w:tcBorders>
              <w:left w:val="nil"/>
            </w:tcBorders>
            <w:shd w:val="clear" w:color="auto" w:fill="D9D9D9" w:themeFill="background1" w:themeFillShade="D9"/>
            <w:vAlign w:val="center"/>
          </w:tcPr>
          <w:p w14:paraId="4A9E3806" w14:textId="77777777" w:rsidR="00054E4D" w:rsidRPr="00167CEC" w:rsidRDefault="00054E4D" w:rsidP="0010250B">
            <w:pPr>
              <w:pStyle w:val="Tabletext"/>
              <w:spacing w:before="0" w:after="0"/>
            </w:pPr>
          </w:p>
        </w:tc>
      </w:tr>
      <w:tr w:rsidR="00054E4D" w:rsidRPr="00167CEC" w14:paraId="1FF45F16" w14:textId="77777777" w:rsidTr="00F229C3">
        <w:tc>
          <w:tcPr>
            <w:tcW w:w="3112" w:type="dxa"/>
            <w:vAlign w:val="center"/>
          </w:tcPr>
          <w:p w14:paraId="24D10401" w14:textId="77777777" w:rsidR="00054E4D" w:rsidRPr="00167CEC" w:rsidRDefault="00054E4D" w:rsidP="0010250B">
            <w:pPr>
              <w:pStyle w:val="Tabletext"/>
              <w:spacing w:before="0" w:after="0"/>
            </w:pPr>
            <w:r w:rsidRPr="00167CEC">
              <w:rPr>
                <w:lang w:eastAsia="zh-CN"/>
              </w:rPr>
              <w:t>Estimates in 1579</w:t>
            </w:r>
          </w:p>
        </w:tc>
        <w:tc>
          <w:tcPr>
            <w:tcW w:w="850" w:type="dxa"/>
            <w:vAlign w:val="center"/>
          </w:tcPr>
          <w:p w14:paraId="01934E38" w14:textId="1E6C9E69" w:rsidR="00054E4D" w:rsidRPr="00167CEC" w:rsidRDefault="006F6968" w:rsidP="0010250B">
            <w:pPr>
              <w:pStyle w:val="Tabletext"/>
              <w:spacing w:before="0" w:after="0"/>
              <w:jc w:val="center"/>
            </w:pPr>
            <w:r>
              <w:t>50</w:t>
            </w:r>
            <w:r w:rsidR="00054E4D" w:rsidRPr="00167CEC">
              <w:t>%</w:t>
            </w:r>
          </w:p>
        </w:tc>
        <w:tc>
          <w:tcPr>
            <w:tcW w:w="851" w:type="dxa"/>
            <w:vAlign w:val="center"/>
          </w:tcPr>
          <w:p w14:paraId="0B2C6222" w14:textId="4805F2C4" w:rsidR="00054E4D" w:rsidRPr="00167CEC" w:rsidRDefault="006F6968" w:rsidP="0010250B">
            <w:pPr>
              <w:pStyle w:val="Tabletext"/>
              <w:spacing w:before="0" w:after="0"/>
              <w:jc w:val="center"/>
            </w:pPr>
            <w:r>
              <w:t>100.0</w:t>
            </w:r>
            <w:r w:rsidR="00054E4D" w:rsidRPr="00167CEC">
              <w:t>%</w:t>
            </w:r>
          </w:p>
        </w:tc>
        <w:tc>
          <w:tcPr>
            <w:tcW w:w="850" w:type="dxa"/>
            <w:vAlign w:val="center"/>
          </w:tcPr>
          <w:p w14:paraId="40BD7723" w14:textId="273F3421" w:rsidR="00054E4D" w:rsidRPr="00167CEC" w:rsidRDefault="006F6968" w:rsidP="0010250B">
            <w:pPr>
              <w:pStyle w:val="Tabletext"/>
              <w:spacing w:before="0" w:after="0"/>
              <w:jc w:val="center"/>
            </w:pPr>
            <w:r>
              <w:t>100.0</w:t>
            </w:r>
            <w:r w:rsidR="00054E4D" w:rsidRPr="00167CEC">
              <w:t>%</w:t>
            </w:r>
          </w:p>
        </w:tc>
        <w:tc>
          <w:tcPr>
            <w:tcW w:w="851" w:type="dxa"/>
            <w:vAlign w:val="center"/>
          </w:tcPr>
          <w:p w14:paraId="3F905551" w14:textId="3EBF912F" w:rsidR="00054E4D" w:rsidRPr="00167CEC" w:rsidRDefault="006F6968" w:rsidP="0010250B">
            <w:pPr>
              <w:pStyle w:val="Tabletext"/>
              <w:spacing w:before="0" w:after="0"/>
              <w:jc w:val="center"/>
            </w:pPr>
            <w:r>
              <w:t>100.0</w:t>
            </w:r>
            <w:r w:rsidR="00054E4D" w:rsidRPr="00167CEC">
              <w:t>%</w:t>
            </w:r>
          </w:p>
        </w:tc>
        <w:tc>
          <w:tcPr>
            <w:tcW w:w="850" w:type="dxa"/>
            <w:vAlign w:val="center"/>
          </w:tcPr>
          <w:p w14:paraId="1F25CD42" w14:textId="56317E95" w:rsidR="00054E4D" w:rsidRPr="00167CEC" w:rsidRDefault="006F6968" w:rsidP="0010250B">
            <w:pPr>
              <w:pStyle w:val="Tabletext"/>
              <w:spacing w:before="0" w:after="0"/>
              <w:jc w:val="center"/>
            </w:pPr>
            <w:r>
              <w:t>100.0</w:t>
            </w:r>
            <w:r w:rsidR="00054E4D" w:rsidRPr="00167CEC">
              <w:t>%</w:t>
            </w:r>
          </w:p>
        </w:tc>
        <w:tc>
          <w:tcPr>
            <w:tcW w:w="1652" w:type="dxa"/>
            <w:vAlign w:val="center"/>
          </w:tcPr>
          <w:p w14:paraId="084025BC" w14:textId="77777777" w:rsidR="00054E4D" w:rsidRPr="00167CEC" w:rsidRDefault="00054E4D" w:rsidP="0010250B">
            <w:pPr>
              <w:pStyle w:val="Tabletext"/>
              <w:spacing w:before="0" w:after="0"/>
            </w:pPr>
            <w:r w:rsidRPr="00167CEC">
              <w:rPr>
                <w:lang w:eastAsia="zh-CN"/>
              </w:rPr>
              <w:t>Claimed to be the worst case</w:t>
            </w:r>
          </w:p>
        </w:tc>
      </w:tr>
      <w:tr w:rsidR="00054E4D" w:rsidRPr="00167CEC" w14:paraId="68B75084" w14:textId="77777777" w:rsidTr="00F229C3">
        <w:tc>
          <w:tcPr>
            <w:tcW w:w="3112" w:type="dxa"/>
            <w:vAlign w:val="center"/>
          </w:tcPr>
          <w:p w14:paraId="7CF094E6" w14:textId="77777777" w:rsidR="00054E4D" w:rsidRPr="00167CEC" w:rsidRDefault="00054E4D" w:rsidP="0010250B">
            <w:pPr>
              <w:pStyle w:val="Tabletext"/>
              <w:spacing w:before="0" w:after="0"/>
            </w:pPr>
            <w:r w:rsidRPr="00167CEC">
              <w:t>Updated figure in 1510.1</w:t>
            </w:r>
          </w:p>
        </w:tc>
        <w:tc>
          <w:tcPr>
            <w:tcW w:w="850" w:type="dxa"/>
            <w:vAlign w:val="center"/>
          </w:tcPr>
          <w:p w14:paraId="348D2774" w14:textId="77777777" w:rsidR="00054E4D" w:rsidRPr="00167CEC" w:rsidRDefault="00054E4D" w:rsidP="0010250B">
            <w:pPr>
              <w:pStyle w:val="Tabletext"/>
              <w:spacing w:before="0" w:after="0"/>
              <w:jc w:val="center"/>
            </w:pPr>
            <w:r w:rsidRPr="00167CEC">
              <w:t>43.3%</w:t>
            </w:r>
          </w:p>
        </w:tc>
        <w:tc>
          <w:tcPr>
            <w:tcW w:w="851" w:type="dxa"/>
            <w:vAlign w:val="center"/>
          </w:tcPr>
          <w:p w14:paraId="262F5633" w14:textId="77777777" w:rsidR="00054E4D" w:rsidRPr="00167CEC" w:rsidRDefault="00054E4D" w:rsidP="0010250B">
            <w:pPr>
              <w:pStyle w:val="Tabletext"/>
              <w:spacing w:before="0" w:after="0"/>
              <w:jc w:val="center"/>
            </w:pPr>
            <w:r w:rsidRPr="00167CEC">
              <w:t>80.0%</w:t>
            </w:r>
          </w:p>
        </w:tc>
        <w:tc>
          <w:tcPr>
            <w:tcW w:w="850" w:type="dxa"/>
            <w:vAlign w:val="center"/>
          </w:tcPr>
          <w:p w14:paraId="010A99D4" w14:textId="77777777" w:rsidR="00054E4D" w:rsidRPr="00167CEC" w:rsidRDefault="00054E4D" w:rsidP="0010250B">
            <w:pPr>
              <w:pStyle w:val="Tabletext"/>
              <w:spacing w:before="0" w:after="0"/>
              <w:jc w:val="center"/>
            </w:pPr>
            <w:r w:rsidRPr="00167CEC">
              <w:t>80.0%</w:t>
            </w:r>
          </w:p>
        </w:tc>
        <w:tc>
          <w:tcPr>
            <w:tcW w:w="851" w:type="dxa"/>
            <w:vAlign w:val="center"/>
          </w:tcPr>
          <w:p w14:paraId="0EBC0F71" w14:textId="77777777" w:rsidR="00054E4D" w:rsidRPr="00167CEC" w:rsidRDefault="00054E4D" w:rsidP="0010250B">
            <w:pPr>
              <w:pStyle w:val="Tabletext"/>
              <w:spacing w:before="0" w:after="0"/>
              <w:jc w:val="center"/>
            </w:pPr>
            <w:r w:rsidRPr="00167CEC">
              <w:t>80.0%</w:t>
            </w:r>
          </w:p>
        </w:tc>
        <w:tc>
          <w:tcPr>
            <w:tcW w:w="850" w:type="dxa"/>
            <w:vAlign w:val="center"/>
          </w:tcPr>
          <w:p w14:paraId="5FA92915" w14:textId="77777777" w:rsidR="00054E4D" w:rsidRPr="00167CEC" w:rsidRDefault="00054E4D" w:rsidP="0010250B">
            <w:pPr>
              <w:pStyle w:val="Tabletext"/>
              <w:spacing w:before="0" w:after="0"/>
              <w:jc w:val="center"/>
            </w:pPr>
            <w:r w:rsidRPr="00167CEC">
              <w:t>80.0%</w:t>
            </w:r>
          </w:p>
        </w:tc>
        <w:tc>
          <w:tcPr>
            <w:tcW w:w="1652" w:type="dxa"/>
            <w:vAlign w:val="center"/>
          </w:tcPr>
          <w:p w14:paraId="7799F776" w14:textId="77777777" w:rsidR="00054E4D" w:rsidRPr="00167CEC" w:rsidRDefault="00054E4D" w:rsidP="0010250B">
            <w:pPr>
              <w:pStyle w:val="Tabletext"/>
              <w:spacing w:before="0" w:after="0"/>
            </w:pPr>
            <w:r w:rsidRPr="00167CEC">
              <w:rPr>
                <w:lang w:eastAsia="zh-CN"/>
              </w:rPr>
              <w:t>Overall cost reduction to NPL</w:t>
            </w:r>
          </w:p>
        </w:tc>
      </w:tr>
      <w:tr w:rsidR="00054E4D" w:rsidRPr="00167CEC" w14:paraId="3B86EA9B" w14:textId="77777777" w:rsidTr="00F229C3">
        <w:tc>
          <w:tcPr>
            <w:tcW w:w="3112" w:type="dxa"/>
            <w:tcBorders>
              <w:right w:val="nil"/>
            </w:tcBorders>
            <w:shd w:val="clear" w:color="auto" w:fill="D9D9D9" w:themeFill="background1" w:themeFillShade="D9"/>
            <w:vAlign w:val="center"/>
          </w:tcPr>
          <w:p w14:paraId="5B98D276" w14:textId="1A32369C" w:rsidR="00054E4D" w:rsidRPr="00167CEC" w:rsidRDefault="00054E4D" w:rsidP="0010250B">
            <w:pPr>
              <w:pStyle w:val="Tabletext"/>
              <w:spacing w:before="0" w:after="0"/>
              <w:rPr>
                <w:b/>
              </w:rPr>
            </w:pPr>
            <w:r w:rsidRPr="00167CEC">
              <w:rPr>
                <w:b/>
              </w:rPr>
              <w:t>Estimated patie</w:t>
            </w:r>
            <w:r w:rsidR="00FC4293">
              <w:rPr>
                <w:b/>
              </w:rPr>
              <w:t>nt numbers receiving emicizumab</w:t>
            </w:r>
          </w:p>
        </w:tc>
        <w:tc>
          <w:tcPr>
            <w:tcW w:w="850" w:type="dxa"/>
            <w:tcBorders>
              <w:left w:val="nil"/>
              <w:right w:val="nil"/>
            </w:tcBorders>
            <w:shd w:val="clear" w:color="auto" w:fill="D9D9D9" w:themeFill="background1" w:themeFillShade="D9"/>
            <w:vAlign w:val="center"/>
          </w:tcPr>
          <w:p w14:paraId="10CED209" w14:textId="77777777" w:rsidR="00054E4D" w:rsidRPr="00167CEC" w:rsidRDefault="00054E4D" w:rsidP="0010250B">
            <w:pPr>
              <w:pStyle w:val="Tabletext"/>
              <w:spacing w:before="0" w:after="0"/>
              <w:jc w:val="center"/>
              <w:rPr>
                <w:b/>
              </w:rPr>
            </w:pPr>
          </w:p>
        </w:tc>
        <w:tc>
          <w:tcPr>
            <w:tcW w:w="851" w:type="dxa"/>
            <w:tcBorders>
              <w:left w:val="nil"/>
              <w:right w:val="nil"/>
            </w:tcBorders>
            <w:shd w:val="clear" w:color="auto" w:fill="D9D9D9" w:themeFill="background1" w:themeFillShade="D9"/>
            <w:vAlign w:val="center"/>
          </w:tcPr>
          <w:p w14:paraId="695C5C96" w14:textId="77777777" w:rsidR="00054E4D" w:rsidRPr="00167CEC" w:rsidRDefault="00054E4D" w:rsidP="0010250B">
            <w:pPr>
              <w:pStyle w:val="Tabletext"/>
              <w:spacing w:before="0" w:after="0"/>
              <w:jc w:val="center"/>
              <w:rPr>
                <w:b/>
              </w:rPr>
            </w:pPr>
          </w:p>
        </w:tc>
        <w:tc>
          <w:tcPr>
            <w:tcW w:w="850" w:type="dxa"/>
            <w:tcBorders>
              <w:left w:val="nil"/>
              <w:right w:val="nil"/>
            </w:tcBorders>
            <w:shd w:val="clear" w:color="auto" w:fill="D9D9D9" w:themeFill="background1" w:themeFillShade="D9"/>
            <w:vAlign w:val="center"/>
          </w:tcPr>
          <w:p w14:paraId="1758E4F9" w14:textId="77777777" w:rsidR="00054E4D" w:rsidRPr="00167CEC" w:rsidRDefault="00054E4D" w:rsidP="0010250B">
            <w:pPr>
              <w:pStyle w:val="Tabletext"/>
              <w:spacing w:before="0" w:after="0"/>
              <w:jc w:val="center"/>
              <w:rPr>
                <w:b/>
              </w:rPr>
            </w:pPr>
          </w:p>
        </w:tc>
        <w:tc>
          <w:tcPr>
            <w:tcW w:w="851" w:type="dxa"/>
            <w:tcBorders>
              <w:left w:val="nil"/>
              <w:right w:val="nil"/>
            </w:tcBorders>
            <w:shd w:val="clear" w:color="auto" w:fill="D9D9D9" w:themeFill="background1" w:themeFillShade="D9"/>
            <w:vAlign w:val="center"/>
          </w:tcPr>
          <w:p w14:paraId="4854EF4F" w14:textId="77777777" w:rsidR="00054E4D" w:rsidRPr="00167CEC" w:rsidRDefault="00054E4D" w:rsidP="0010250B">
            <w:pPr>
              <w:pStyle w:val="Tabletext"/>
              <w:spacing w:before="0" w:after="0"/>
              <w:jc w:val="center"/>
              <w:rPr>
                <w:b/>
              </w:rPr>
            </w:pPr>
          </w:p>
        </w:tc>
        <w:tc>
          <w:tcPr>
            <w:tcW w:w="850" w:type="dxa"/>
            <w:tcBorders>
              <w:left w:val="nil"/>
              <w:right w:val="nil"/>
            </w:tcBorders>
            <w:shd w:val="clear" w:color="auto" w:fill="D9D9D9" w:themeFill="background1" w:themeFillShade="D9"/>
            <w:vAlign w:val="center"/>
          </w:tcPr>
          <w:p w14:paraId="7D6D9525" w14:textId="77777777" w:rsidR="00054E4D" w:rsidRPr="00167CEC" w:rsidRDefault="00054E4D" w:rsidP="0010250B">
            <w:pPr>
              <w:pStyle w:val="Tabletext"/>
              <w:spacing w:before="0" w:after="0"/>
              <w:jc w:val="center"/>
              <w:rPr>
                <w:b/>
              </w:rPr>
            </w:pPr>
          </w:p>
        </w:tc>
        <w:tc>
          <w:tcPr>
            <w:tcW w:w="1652" w:type="dxa"/>
            <w:tcBorders>
              <w:left w:val="nil"/>
            </w:tcBorders>
            <w:shd w:val="clear" w:color="auto" w:fill="D9D9D9" w:themeFill="background1" w:themeFillShade="D9"/>
            <w:vAlign w:val="center"/>
          </w:tcPr>
          <w:p w14:paraId="6FFF9869" w14:textId="77777777" w:rsidR="00054E4D" w:rsidRPr="00167CEC" w:rsidRDefault="00054E4D" w:rsidP="0010250B">
            <w:pPr>
              <w:pStyle w:val="Tabletext"/>
              <w:spacing w:before="0" w:after="0"/>
              <w:rPr>
                <w:b/>
              </w:rPr>
            </w:pPr>
          </w:p>
        </w:tc>
      </w:tr>
      <w:tr w:rsidR="00F229C3" w:rsidRPr="00167CEC" w14:paraId="61E9839A" w14:textId="77777777" w:rsidTr="00F229C3">
        <w:tc>
          <w:tcPr>
            <w:tcW w:w="3112" w:type="dxa"/>
            <w:vAlign w:val="center"/>
          </w:tcPr>
          <w:p w14:paraId="41E31CE4" w14:textId="77777777" w:rsidR="00F229C3" w:rsidRPr="00167CEC" w:rsidRDefault="00F229C3" w:rsidP="00F229C3">
            <w:pPr>
              <w:pStyle w:val="Tabletext"/>
              <w:spacing w:before="0" w:after="0"/>
              <w:rPr>
                <w:b/>
              </w:rPr>
            </w:pPr>
            <w:r w:rsidRPr="00167CEC">
              <w:rPr>
                <w:b/>
                <w:lang w:eastAsia="zh-CN"/>
              </w:rPr>
              <w:t>Estimates in 1579</w:t>
            </w:r>
          </w:p>
        </w:tc>
        <w:tc>
          <w:tcPr>
            <w:tcW w:w="850" w:type="dxa"/>
            <w:vAlign w:val="center"/>
          </w:tcPr>
          <w:p w14:paraId="40D835D6" w14:textId="529A8B7E" w:rsidR="00F229C3" w:rsidRPr="00167CEC" w:rsidRDefault="00F229C3" w:rsidP="00F229C3">
            <w:pPr>
              <w:pStyle w:val="Tabletext"/>
              <w:spacing w:before="0" w:after="0"/>
              <w:jc w:val="center"/>
            </w:pPr>
            <w:r w:rsidRPr="005D0DCB">
              <w:rPr>
                <w:b/>
              </w:rPr>
              <w:t>redact</w:t>
            </w:r>
          </w:p>
        </w:tc>
        <w:tc>
          <w:tcPr>
            <w:tcW w:w="851" w:type="dxa"/>
            <w:vAlign w:val="center"/>
          </w:tcPr>
          <w:p w14:paraId="419638DF" w14:textId="0DE8B532" w:rsidR="00F229C3" w:rsidRPr="00167CEC" w:rsidRDefault="00F229C3" w:rsidP="00F229C3">
            <w:pPr>
              <w:pStyle w:val="Tabletext"/>
              <w:spacing w:before="0" w:after="0"/>
              <w:jc w:val="center"/>
            </w:pPr>
            <w:r w:rsidRPr="005D0DCB">
              <w:rPr>
                <w:b/>
              </w:rPr>
              <w:t>redact</w:t>
            </w:r>
          </w:p>
        </w:tc>
        <w:tc>
          <w:tcPr>
            <w:tcW w:w="850" w:type="dxa"/>
            <w:vAlign w:val="center"/>
          </w:tcPr>
          <w:p w14:paraId="3B108C98" w14:textId="74F48662" w:rsidR="00F229C3" w:rsidRPr="00167CEC" w:rsidRDefault="00F229C3" w:rsidP="00F229C3">
            <w:pPr>
              <w:pStyle w:val="Tabletext"/>
              <w:spacing w:before="0" w:after="0"/>
              <w:jc w:val="center"/>
            </w:pPr>
            <w:r w:rsidRPr="005D0DCB">
              <w:rPr>
                <w:b/>
              </w:rPr>
              <w:t>redact</w:t>
            </w:r>
          </w:p>
        </w:tc>
        <w:tc>
          <w:tcPr>
            <w:tcW w:w="851" w:type="dxa"/>
            <w:vAlign w:val="center"/>
          </w:tcPr>
          <w:p w14:paraId="04EE64EF" w14:textId="1765ED85" w:rsidR="00F229C3" w:rsidRPr="00167CEC" w:rsidRDefault="00F229C3" w:rsidP="00F229C3">
            <w:pPr>
              <w:pStyle w:val="Tabletext"/>
              <w:spacing w:before="0" w:after="0"/>
              <w:jc w:val="center"/>
            </w:pPr>
            <w:r w:rsidRPr="005D0DCB">
              <w:rPr>
                <w:b/>
              </w:rPr>
              <w:t>redact</w:t>
            </w:r>
          </w:p>
        </w:tc>
        <w:tc>
          <w:tcPr>
            <w:tcW w:w="850" w:type="dxa"/>
            <w:vAlign w:val="center"/>
          </w:tcPr>
          <w:p w14:paraId="48A2E3C4" w14:textId="2B6EBA21" w:rsidR="00F229C3" w:rsidRPr="00167CEC" w:rsidRDefault="00F229C3" w:rsidP="00F229C3">
            <w:pPr>
              <w:pStyle w:val="Tabletext"/>
              <w:spacing w:before="0" w:after="0"/>
              <w:jc w:val="center"/>
            </w:pPr>
            <w:r w:rsidRPr="005D0DCB">
              <w:rPr>
                <w:b/>
              </w:rPr>
              <w:t>redact</w:t>
            </w:r>
          </w:p>
        </w:tc>
        <w:tc>
          <w:tcPr>
            <w:tcW w:w="1652" w:type="dxa"/>
          </w:tcPr>
          <w:p w14:paraId="2C089FDC" w14:textId="77777777" w:rsidR="00F229C3" w:rsidRPr="00167CEC" w:rsidRDefault="00F229C3" w:rsidP="00F229C3">
            <w:pPr>
              <w:pStyle w:val="Tabletext"/>
              <w:spacing w:before="0" w:after="0"/>
            </w:pPr>
          </w:p>
        </w:tc>
      </w:tr>
      <w:tr w:rsidR="00F229C3" w:rsidRPr="00167CEC" w14:paraId="21274B5C" w14:textId="77777777" w:rsidTr="00F229C3">
        <w:tc>
          <w:tcPr>
            <w:tcW w:w="3112" w:type="dxa"/>
            <w:vAlign w:val="center"/>
          </w:tcPr>
          <w:p w14:paraId="566A8C20" w14:textId="77777777" w:rsidR="00F229C3" w:rsidRPr="00167CEC" w:rsidRDefault="00F229C3" w:rsidP="00F229C3">
            <w:pPr>
              <w:pStyle w:val="Tabletext"/>
              <w:spacing w:before="0" w:after="0"/>
              <w:rPr>
                <w:b/>
              </w:rPr>
            </w:pPr>
            <w:r w:rsidRPr="00167CEC">
              <w:rPr>
                <w:b/>
              </w:rPr>
              <w:t>Updated figure in 1510.1</w:t>
            </w:r>
          </w:p>
        </w:tc>
        <w:tc>
          <w:tcPr>
            <w:tcW w:w="850" w:type="dxa"/>
            <w:vAlign w:val="center"/>
          </w:tcPr>
          <w:p w14:paraId="508E9804" w14:textId="305045D8" w:rsidR="00F229C3" w:rsidRPr="00167CEC" w:rsidRDefault="00F229C3" w:rsidP="00F229C3">
            <w:pPr>
              <w:pStyle w:val="Tabletext"/>
              <w:spacing w:before="0" w:after="0"/>
              <w:jc w:val="center"/>
            </w:pPr>
            <w:r w:rsidRPr="005D0DCB">
              <w:rPr>
                <w:b/>
              </w:rPr>
              <w:t>redact</w:t>
            </w:r>
          </w:p>
        </w:tc>
        <w:tc>
          <w:tcPr>
            <w:tcW w:w="851" w:type="dxa"/>
            <w:vAlign w:val="center"/>
          </w:tcPr>
          <w:p w14:paraId="096ABCFB" w14:textId="50EEF72B" w:rsidR="00F229C3" w:rsidRPr="00167CEC" w:rsidRDefault="00F229C3" w:rsidP="00F229C3">
            <w:pPr>
              <w:pStyle w:val="Tabletext"/>
              <w:spacing w:before="0" w:after="0"/>
              <w:jc w:val="center"/>
            </w:pPr>
            <w:r w:rsidRPr="005D0DCB">
              <w:rPr>
                <w:b/>
              </w:rPr>
              <w:t>redact</w:t>
            </w:r>
          </w:p>
        </w:tc>
        <w:tc>
          <w:tcPr>
            <w:tcW w:w="850" w:type="dxa"/>
            <w:vAlign w:val="center"/>
          </w:tcPr>
          <w:p w14:paraId="5EE08F65" w14:textId="40D5C671" w:rsidR="00F229C3" w:rsidRPr="00167CEC" w:rsidRDefault="00F229C3" w:rsidP="00F229C3">
            <w:pPr>
              <w:pStyle w:val="Tabletext"/>
              <w:spacing w:before="0" w:after="0"/>
              <w:jc w:val="center"/>
            </w:pPr>
            <w:r w:rsidRPr="005D0DCB">
              <w:rPr>
                <w:b/>
              </w:rPr>
              <w:t>redact</w:t>
            </w:r>
          </w:p>
        </w:tc>
        <w:tc>
          <w:tcPr>
            <w:tcW w:w="851" w:type="dxa"/>
            <w:vAlign w:val="center"/>
          </w:tcPr>
          <w:p w14:paraId="67EA07F4" w14:textId="272A8455" w:rsidR="00F229C3" w:rsidRPr="00167CEC" w:rsidRDefault="00F229C3" w:rsidP="00F229C3">
            <w:pPr>
              <w:pStyle w:val="Tabletext"/>
              <w:spacing w:before="0" w:after="0"/>
              <w:jc w:val="center"/>
            </w:pPr>
            <w:r w:rsidRPr="005D0DCB">
              <w:rPr>
                <w:b/>
              </w:rPr>
              <w:t>redact</w:t>
            </w:r>
          </w:p>
        </w:tc>
        <w:tc>
          <w:tcPr>
            <w:tcW w:w="850" w:type="dxa"/>
            <w:vAlign w:val="center"/>
          </w:tcPr>
          <w:p w14:paraId="18401BEC" w14:textId="3CB7015C" w:rsidR="00F229C3" w:rsidRPr="00167CEC" w:rsidRDefault="00F229C3" w:rsidP="00F229C3">
            <w:pPr>
              <w:pStyle w:val="Tabletext"/>
              <w:spacing w:before="0" w:after="0"/>
              <w:jc w:val="center"/>
            </w:pPr>
            <w:r w:rsidRPr="005D0DCB">
              <w:rPr>
                <w:b/>
              </w:rPr>
              <w:t>redact</w:t>
            </w:r>
          </w:p>
        </w:tc>
        <w:tc>
          <w:tcPr>
            <w:tcW w:w="1652" w:type="dxa"/>
          </w:tcPr>
          <w:p w14:paraId="6E7BDF02" w14:textId="77777777" w:rsidR="00F229C3" w:rsidRPr="00167CEC" w:rsidRDefault="00F229C3" w:rsidP="00F229C3">
            <w:pPr>
              <w:pStyle w:val="Tabletext"/>
              <w:spacing w:before="0" w:after="0"/>
            </w:pPr>
          </w:p>
        </w:tc>
      </w:tr>
      <w:tr w:rsidR="00054E4D" w:rsidRPr="00167CEC" w14:paraId="67BBF718" w14:textId="77777777" w:rsidTr="00F229C3">
        <w:tc>
          <w:tcPr>
            <w:tcW w:w="3112" w:type="dxa"/>
            <w:vAlign w:val="center"/>
          </w:tcPr>
          <w:p w14:paraId="7B82D72B" w14:textId="77777777" w:rsidR="00054E4D" w:rsidRPr="00167CEC" w:rsidRDefault="00054E4D" w:rsidP="0010250B">
            <w:pPr>
              <w:pStyle w:val="Tabletext"/>
              <w:spacing w:before="0" w:after="0"/>
              <w:rPr>
                <w:b/>
              </w:rPr>
            </w:pPr>
            <w:r w:rsidRPr="00167CEC">
              <w:rPr>
                <w:b/>
              </w:rPr>
              <w:t>Number of patients reduced</w:t>
            </w:r>
          </w:p>
        </w:tc>
        <w:tc>
          <w:tcPr>
            <w:tcW w:w="850" w:type="dxa"/>
            <w:vAlign w:val="center"/>
          </w:tcPr>
          <w:p w14:paraId="65858926" w14:textId="77777777" w:rsidR="00054E4D" w:rsidRPr="002C39F7" w:rsidRDefault="00054E4D" w:rsidP="0010250B">
            <w:pPr>
              <w:pStyle w:val="Tabletext"/>
              <w:spacing w:before="0" w:after="0"/>
              <w:jc w:val="center"/>
              <w:rPr>
                <w:b/>
              </w:rPr>
            </w:pPr>
            <w:r w:rsidRPr="002C39F7">
              <w:rPr>
                <w:b/>
              </w:rPr>
              <w:t>14</w:t>
            </w:r>
          </w:p>
        </w:tc>
        <w:tc>
          <w:tcPr>
            <w:tcW w:w="851" w:type="dxa"/>
            <w:vAlign w:val="center"/>
          </w:tcPr>
          <w:p w14:paraId="4EEB72CF" w14:textId="77777777" w:rsidR="00054E4D" w:rsidRPr="002C39F7" w:rsidRDefault="00054E4D" w:rsidP="0010250B">
            <w:pPr>
              <w:pStyle w:val="Tabletext"/>
              <w:spacing w:before="0" w:after="0"/>
              <w:jc w:val="center"/>
              <w:rPr>
                <w:b/>
              </w:rPr>
            </w:pPr>
            <w:r w:rsidRPr="002C39F7">
              <w:rPr>
                <w:b/>
              </w:rPr>
              <w:t>36</w:t>
            </w:r>
          </w:p>
        </w:tc>
        <w:tc>
          <w:tcPr>
            <w:tcW w:w="850" w:type="dxa"/>
            <w:vAlign w:val="center"/>
          </w:tcPr>
          <w:p w14:paraId="39A060A4" w14:textId="77777777" w:rsidR="00054E4D" w:rsidRPr="002C39F7" w:rsidRDefault="00054E4D" w:rsidP="0010250B">
            <w:pPr>
              <w:pStyle w:val="Tabletext"/>
              <w:spacing w:before="0" w:after="0"/>
              <w:jc w:val="center"/>
              <w:rPr>
                <w:b/>
              </w:rPr>
            </w:pPr>
            <w:r w:rsidRPr="002C39F7">
              <w:rPr>
                <w:b/>
              </w:rPr>
              <w:t>36</w:t>
            </w:r>
          </w:p>
        </w:tc>
        <w:tc>
          <w:tcPr>
            <w:tcW w:w="851" w:type="dxa"/>
            <w:vAlign w:val="center"/>
          </w:tcPr>
          <w:p w14:paraId="58A84D91" w14:textId="77777777" w:rsidR="00054E4D" w:rsidRPr="002C39F7" w:rsidRDefault="00054E4D" w:rsidP="0010250B">
            <w:pPr>
              <w:pStyle w:val="Tabletext"/>
              <w:spacing w:before="0" w:after="0"/>
              <w:jc w:val="center"/>
              <w:rPr>
                <w:b/>
              </w:rPr>
            </w:pPr>
            <w:r w:rsidRPr="002C39F7">
              <w:rPr>
                <w:b/>
              </w:rPr>
              <w:t>37</w:t>
            </w:r>
          </w:p>
        </w:tc>
        <w:tc>
          <w:tcPr>
            <w:tcW w:w="850" w:type="dxa"/>
            <w:vAlign w:val="center"/>
          </w:tcPr>
          <w:p w14:paraId="4BB49349" w14:textId="77777777" w:rsidR="00054E4D" w:rsidRPr="002C39F7" w:rsidRDefault="00054E4D" w:rsidP="0010250B">
            <w:pPr>
              <w:pStyle w:val="Tabletext"/>
              <w:spacing w:before="0" w:after="0"/>
              <w:jc w:val="center"/>
              <w:rPr>
                <w:b/>
              </w:rPr>
            </w:pPr>
            <w:r w:rsidRPr="002C39F7">
              <w:rPr>
                <w:b/>
              </w:rPr>
              <w:t>37</w:t>
            </w:r>
          </w:p>
        </w:tc>
        <w:tc>
          <w:tcPr>
            <w:tcW w:w="1652" w:type="dxa"/>
          </w:tcPr>
          <w:p w14:paraId="698328AA" w14:textId="77777777" w:rsidR="00054E4D" w:rsidRPr="002C39F7" w:rsidRDefault="00054E4D" w:rsidP="0010250B">
            <w:pPr>
              <w:pStyle w:val="Tabletext"/>
              <w:spacing w:before="0" w:after="0"/>
              <w:rPr>
                <w:b/>
              </w:rPr>
            </w:pPr>
            <w:r w:rsidRPr="002C39F7">
              <w:rPr>
                <w:b/>
              </w:rPr>
              <w:t>Up to 20% reduction</w:t>
            </w:r>
          </w:p>
        </w:tc>
      </w:tr>
    </w:tbl>
    <w:p w14:paraId="01263262" w14:textId="3A88344A" w:rsidR="00E604CD" w:rsidRPr="00BC72A9" w:rsidRDefault="00054E4D" w:rsidP="00BC72A9">
      <w:pPr>
        <w:spacing w:before="240"/>
      </w:pPr>
      <w:r>
        <w:t>The addendum to the Critique identified that the new uptake rates were</w:t>
      </w:r>
      <w:r w:rsidRPr="00625BE8">
        <w:t xml:space="preserve"> </w:t>
      </w:r>
      <w:r w:rsidRPr="00167CEC">
        <w:t>not supported by clinical evidence.</w:t>
      </w:r>
      <w:r>
        <w:t xml:space="preserve"> Specifically, the</w:t>
      </w:r>
      <w:r w:rsidRPr="00167CEC">
        <w:t xml:space="preserve"> “reduced uptake” as rationalised in 1510.1 </w:t>
      </w:r>
      <w:r>
        <w:t xml:space="preserve">did </w:t>
      </w:r>
      <w:r w:rsidRPr="00167CEC">
        <w:t xml:space="preserve">not </w:t>
      </w:r>
      <w:r>
        <w:t xml:space="preserve">represent </w:t>
      </w:r>
      <w:r w:rsidRPr="00167CEC">
        <w:t xml:space="preserve">explicit estimates on the magnitude of the reduction, but qualitative indications on how emicizumab </w:t>
      </w:r>
      <w:r>
        <w:t>may</w:t>
      </w:r>
      <w:r w:rsidRPr="00167CEC">
        <w:t xml:space="preserve"> be used if funded.</w:t>
      </w:r>
      <w:r>
        <w:t xml:space="preserve"> The addendum to the Critique summarised by saying </w:t>
      </w:r>
      <w:r w:rsidRPr="00167CEC">
        <w:rPr>
          <w:lang w:eastAsia="zh-CN"/>
        </w:rPr>
        <w:t xml:space="preserve">uptake data should be supported by evidence, and </w:t>
      </w:r>
      <w:r>
        <w:rPr>
          <w:lang w:eastAsia="zh-CN"/>
        </w:rPr>
        <w:t>robust sensitivity analyses should assess their associated uncertainti</w:t>
      </w:r>
      <w:r w:rsidRPr="00167CEC">
        <w:rPr>
          <w:lang w:eastAsia="zh-CN"/>
        </w:rPr>
        <w:t>es.</w:t>
      </w:r>
      <w:r w:rsidR="004347FB">
        <w:rPr>
          <w:lang w:eastAsia="zh-CN"/>
        </w:rPr>
        <w:t xml:space="preserve"> The Pre-ESC response to the Critique Addendum stated that as emicizumab is new innovative product with unique mode of action (compared with current blood products available to treat HMA) that uptake of this product in the community is inherently uncertain.</w:t>
      </w:r>
      <w:r w:rsidR="00E604CD">
        <w:br w:type="page"/>
      </w:r>
    </w:p>
    <w:p w14:paraId="05EA0802" w14:textId="7B51834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Caption w:val="Key issues from ESC for MSAC"/>
        <w:tblDescription w:val="Summary of key ESC issues"/>
      </w:tblPr>
      <w:tblGrid>
        <w:gridCol w:w="4345"/>
        <w:gridCol w:w="4671"/>
      </w:tblGrid>
      <w:tr w:rsidR="00233958" w:rsidRPr="00C56AC9" w14:paraId="64D442F2" w14:textId="77777777" w:rsidTr="00054E4D">
        <w:trPr>
          <w:trHeight w:val="556"/>
          <w:tblHeader/>
        </w:trPr>
        <w:tc>
          <w:tcPr>
            <w:tcW w:w="4503" w:type="dxa"/>
            <w:tcBorders>
              <w:top w:val="single" w:sz="4" w:space="0" w:color="auto"/>
              <w:left w:val="single" w:sz="4" w:space="0" w:color="auto"/>
              <w:bottom w:val="single" w:sz="4" w:space="0" w:color="auto"/>
              <w:right w:val="single" w:sz="4" w:space="0" w:color="auto"/>
            </w:tcBorders>
            <w:vAlign w:val="center"/>
            <w:hideMark/>
          </w:tcPr>
          <w:p w14:paraId="7E41E607" w14:textId="77777777" w:rsidR="00233958" w:rsidRPr="00C56AC9" w:rsidRDefault="00233958" w:rsidP="00054E4D">
            <w:pPr>
              <w:rPr>
                <w:rFonts w:ascii="Arial" w:hAnsi="Arial" w:cs="Arial"/>
                <w:b/>
                <w:sz w:val="20"/>
                <w:szCs w:val="22"/>
              </w:rPr>
            </w:pPr>
            <w:r w:rsidRPr="00C56AC9">
              <w:rPr>
                <w:rFonts w:ascii="Arial" w:hAnsi="Arial" w:cs="Arial"/>
                <w:b/>
                <w:sz w:val="20"/>
                <w:szCs w:val="22"/>
              </w:rPr>
              <w:t>ESC key issue</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1228850" w14:textId="77777777" w:rsidR="00233958" w:rsidRPr="00C56AC9" w:rsidRDefault="00233958" w:rsidP="00054E4D">
            <w:pPr>
              <w:rPr>
                <w:rFonts w:ascii="Arial" w:hAnsi="Arial" w:cs="Arial"/>
                <w:b/>
                <w:sz w:val="20"/>
                <w:szCs w:val="22"/>
              </w:rPr>
            </w:pPr>
            <w:r w:rsidRPr="00C56AC9">
              <w:rPr>
                <w:rFonts w:ascii="Arial" w:hAnsi="Arial" w:cs="Arial"/>
                <w:b/>
                <w:sz w:val="20"/>
                <w:szCs w:val="22"/>
              </w:rPr>
              <w:t>ESC advice to MSAC</w:t>
            </w:r>
          </w:p>
        </w:tc>
      </w:tr>
      <w:tr w:rsidR="00233958" w:rsidRPr="00C56AC9" w14:paraId="300F4504" w14:textId="77777777" w:rsidTr="00054E4D">
        <w:tc>
          <w:tcPr>
            <w:tcW w:w="4503" w:type="dxa"/>
            <w:tcBorders>
              <w:top w:val="single" w:sz="4" w:space="0" w:color="auto"/>
              <w:left w:val="single" w:sz="4" w:space="0" w:color="auto"/>
              <w:bottom w:val="single" w:sz="4" w:space="0" w:color="auto"/>
              <w:right w:val="single" w:sz="4" w:space="0" w:color="auto"/>
            </w:tcBorders>
          </w:tcPr>
          <w:p w14:paraId="3E192E9B" w14:textId="77777777" w:rsidR="00233958" w:rsidRPr="00C56AC9" w:rsidRDefault="00233958" w:rsidP="00054E4D">
            <w:pPr>
              <w:rPr>
                <w:rFonts w:ascii="Arial" w:hAnsi="Arial" w:cs="Arial"/>
                <w:sz w:val="20"/>
                <w:szCs w:val="22"/>
              </w:rPr>
            </w:pPr>
            <w:r w:rsidRPr="00C56AC9">
              <w:rPr>
                <w:rFonts w:ascii="Arial" w:hAnsi="Arial" w:cs="Arial"/>
                <w:sz w:val="20"/>
                <w:szCs w:val="22"/>
              </w:rPr>
              <w:t>Does the trial evidence from adults with severe haemophilia A (HMA) without factor VIII (FVIII) inhibitors reliably extrapolate to:</w:t>
            </w:r>
          </w:p>
          <w:p w14:paraId="671DD157" w14:textId="77777777" w:rsidR="00233958" w:rsidRPr="00C56AC9" w:rsidRDefault="00233958" w:rsidP="00233958">
            <w:pPr>
              <w:pStyle w:val="ListParagraph"/>
              <w:numPr>
                <w:ilvl w:val="0"/>
                <w:numId w:val="28"/>
              </w:numPr>
              <w:spacing w:after="240"/>
              <w:rPr>
                <w:rFonts w:ascii="Arial" w:hAnsi="Arial" w:cs="Arial"/>
                <w:sz w:val="20"/>
                <w:szCs w:val="22"/>
              </w:rPr>
            </w:pPr>
            <w:r w:rsidRPr="00C56AC9">
              <w:rPr>
                <w:rFonts w:ascii="Arial" w:hAnsi="Arial" w:cs="Arial"/>
                <w:sz w:val="20"/>
                <w:szCs w:val="22"/>
              </w:rPr>
              <w:t>adults with moderate HMA without FVIII inhibitors</w:t>
            </w:r>
          </w:p>
          <w:p w14:paraId="7DF4D90F" w14:textId="77777777" w:rsidR="00233958" w:rsidRPr="00C56AC9" w:rsidRDefault="00233958" w:rsidP="00233958">
            <w:pPr>
              <w:pStyle w:val="ListParagraph"/>
              <w:numPr>
                <w:ilvl w:val="0"/>
                <w:numId w:val="28"/>
              </w:numPr>
              <w:spacing w:after="240"/>
              <w:rPr>
                <w:rFonts w:ascii="Arial" w:hAnsi="Arial" w:cs="Arial"/>
                <w:sz w:val="20"/>
                <w:szCs w:val="22"/>
              </w:rPr>
            </w:pPr>
            <w:r w:rsidRPr="00C56AC9">
              <w:rPr>
                <w:rFonts w:ascii="Arial" w:hAnsi="Arial" w:cs="Arial"/>
                <w:sz w:val="20"/>
                <w:szCs w:val="22"/>
              </w:rPr>
              <w:t>paediatric patients with severe HMA without FVIII inhibitors</w:t>
            </w:r>
          </w:p>
          <w:p w14:paraId="35380837" w14:textId="77777777" w:rsidR="00233958" w:rsidRPr="00C56AC9" w:rsidRDefault="00233958" w:rsidP="00233958">
            <w:pPr>
              <w:pStyle w:val="ListParagraph"/>
              <w:numPr>
                <w:ilvl w:val="0"/>
                <w:numId w:val="28"/>
              </w:numPr>
              <w:spacing w:after="120"/>
              <w:ind w:left="357" w:hanging="357"/>
              <w:contextualSpacing w:val="0"/>
              <w:rPr>
                <w:rFonts w:ascii="Arial" w:hAnsi="Arial" w:cs="Arial"/>
                <w:sz w:val="20"/>
                <w:szCs w:val="22"/>
              </w:rPr>
            </w:pPr>
            <w:r w:rsidRPr="00C56AC9">
              <w:rPr>
                <w:rFonts w:ascii="Arial" w:hAnsi="Arial" w:cs="Arial"/>
                <w:sz w:val="20"/>
                <w:szCs w:val="22"/>
              </w:rPr>
              <w:t>paediatric patients with moderate HMA without FVIII inhibitors?</w:t>
            </w:r>
          </w:p>
        </w:tc>
        <w:tc>
          <w:tcPr>
            <w:tcW w:w="4819" w:type="dxa"/>
            <w:tcBorders>
              <w:top w:val="single" w:sz="4" w:space="0" w:color="auto"/>
              <w:left w:val="single" w:sz="4" w:space="0" w:color="auto"/>
              <w:bottom w:val="single" w:sz="4" w:space="0" w:color="auto"/>
              <w:right w:val="single" w:sz="4" w:space="0" w:color="auto"/>
            </w:tcBorders>
          </w:tcPr>
          <w:p w14:paraId="419FF1E2" w14:textId="77777777" w:rsidR="00233958" w:rsidRPr="00C56AC9" w:rsidRDefault="00233958" w:rsidP="00054E4D">
            <w:pPr>
              <w:spacing w:after="120"/>
              <w:rPr>
                <w:rFonts w:ascii="Arial" w:hAnsi="Arial" w:cs="Arial"/>
                <w:sz w:val="20"/>
                <w:szCs w:val="22"/>
              </w:rPr>
            </w:pPr>
            <w:r w:rsidRPr="00C56AC9">
              <w:rPr>
                <w:rFonts w:ascii="Arial" w:hAnsi="Arial" w:cs="Arial"/>
                <w:sz w:val="20"/>
                <w:szCs w:val="22"/>
              </w:rPr>
              <w:t>Given the nature of the condition and the low likelihood of additional randomised trial data being forthcoming, extrapolating is necessary; perhaps there should be a requirement for future data collection via the Australian Bleeding Disorders Registry?</w:t>
            </w:r>
          </w:p>
        </w:tc>
      </w:tr>
      <w:tr w:rsidR="00233958" w:rsidRPr="00C56AC9" w14:paraId="56452C82" w14:textId="77777777" w:rsidTr="00054E4D">
        <w:trPr>
          <w:trHeight w:val="925"/>
        </w:trPr>
        <w:tc>
          <w:tcPr>
            <w:tcW w:w="4503" w:type="dxa"/>
            <w:tcBorders>
              <w:top w:val="single" w:sz="4" w:space="0" w:color="auto"/>
              <w:left w:val="single" w:sz="4" w:space="0" w:color="auto"/>
              <w:bottom w:val="single" w:sz="4" w:space="0" w:color="auto"/>
              <w:right w:val="single" w:sz="4" w:space="0" w:color="auto"/>
            </w:tcBorders>
          </w:tcPr>
          <w:p w14:paraId="54D78318" w14:textId="77777777" w:rsidR="00233958" w:rsidRPr="00C56AC9" w:rsidRDefault="00233958" w:rsidP="00054E4D">
            <w:pPr>
              <w:rPr>
                <w:rFonts w:ascii="Arial" w:hAnsi="Arial" w:cs="Arial"/>
                <w:sz w:val="20"/>
                <w:szCs w:val="22"/>
              </w:rPr>
            </w:pPr>
            <w:r w:rsidRPr="00C56AC9">
              <w:rPr>
                <w:rFonts w:ascii="Arial" w:hAnsi="Arial" w:cs="Arial"/>
                <w:sz w:val="20"/>
                <w:szCs w:val="22"/>
              </w:rPr>
              <w:t>Is the reliance on evidence with a minor comparator (on-demand FVIII rather than FVIII prophylaxis) offset by the cost-minimisation approach to the economic evaluation for the subgroup without inhibitors?</w:t>
            </w:r>
          </w:p>
        </w:tc>
        <w:tc>
          <w:tcPr>
            <w:tcW w:w="4819" w:type="dxa"/>
            <w:tcBorders>
              <w:top w:val="single" w:sz="4" w:space="0" w:color="auto"/>
              <w:left w:val="single" w:sz="4" w:space="0" w:color="auto"/>
              <w:bottom w:val="single" w:sz="4" w:space="0" w:color="auto"/>
              <w:right w:val="single" w:sz="4" w:space="0" w:color="auto"/>
            </w:tcBorders>
          </w:tcPr>
          <w:p w14:paraId="6ACD04FC" w14:textId="77777777" w:rsidR="00233958" w:rsidRPr="00C56AC9" w:rsidRDefault="00233958" w:rsidP="00054E4D">
            <w:pPr>
              <w:spacing w:after="120"/>
              <w:rPr>
                <w:rFonts w:ascii="Arial" w:hAnsi="Arial" w:cs="Arial"/>
                <w:sz w:val="20"/>
                <w:szCs w:val="22"/>
              </w:rPr>
            </w:pPr>
            <w:r w:rsidRPr="00C56AC9">
              <w:rPr>
                <w:rFonts w:ascii="Arial" w:hAnsi="Arial" w:cs="Arial"/>
                <w:sz w:val="20"/>
                <w:szCs w:val="22"/>
              </w:rPr>
              <w:t>The claim of superior efficacy for emicizumab in reducing the frequency of bleeding episodes (which is also based on the before-and-after intra-patient and indirect comparisons) is not used to justify any price advantage for the non-inhibitor subgroup receiving FVIII prophylaxis – at face value this seems conservative, against emicizumab.</w:t>
            </w:r>
          </w:p>
        </w:tc>
      </w:tr>
      <w:tr w:rsidR="00233958" w:rsidRPr="00C56AC9" w14:paraId="0BE4BDD4" w14:textId="77777777" w:rsidTr="00054E4D">
        <w:trPr>
          <w:trHeight w:val="733"/>
        </w:trPr>
        <w:tc>
          <w:tcPr>
            <w:tcW w:w="4503" w:type="dxa"/>
            <w:tcBorders>
              <w:top w:val="single" w:sz="4" w:space="0" w:color="auto"/>
              <w:left w:val="single" w:sz="4" w:space="0" w:color="auto"/>
              <w:bottom w:val="single" w:sz="4" w:space="0" w:color="auto"/>
              <w:right w:val="single" w:sz="4" w:space="0" w:color="auto"/>
            </w:tcBorders>
          </w:tcPr>
          <w:p w14:paraId="36C965E6" w14:textId="49066BE3" w:rsidR="00233958" w:rsidRPr="00C56AC9" w:rsidRDefault="00233958" w:rsidP="00652E2F">
            <w:pPr>
              <w:spacing w:after="120"/>
              <w:rPr>
                <w:rFonts w:ascii="Arial" w:hAnsi="Arial" w:cs="Arial"/>
                <w:sz w:val="20"/>
                <w:szCs w:val="22"/>
              </w:rPr>
            </w:pPr>
            <w:r w:rsidRPr="00C56AC9">
              <w:rPr>
                <w:rFonts w:ascii="Arial" w:hAnsi="Arial" w:cs="Arial"/>
                <w:sz w:val="20"/>
                <w:szCs w:val="22"/>
              </w:rPr>
              <w:t>Does the applicant’s confidential risk</w:t>
            </w:r>
            <w:r w:rsidR="00652E2F" w:rsidRPr="00C56AC9">
              <w:rPr>
                <w:rFonts w:ascii="Arial" w:hAnsi="Arial" w:cs="Arial"/>
                <w:sz w:val="20"/>
                <w:szCs w:val="22"/>
              </w:rPr>
              <w:t xml:space="preserve"> </w:t>
            </w:r>
            <w:r w:rsidRPr="00C56AC9">
              <w:rPr>
                <w:rFonts w:ascii="Arial" w:hAnsi="Arial" w:cs="Arial"/>
                <w:sz w:val="20"/>
                <w:szCs w:val="22"/>
              </w:rPr>
              <w:t>shar</w:t>
            </w:r>
            <w:r w:rsidR="00652E2F" w:rsidRPr="00C56AC9">
              <w:rPr>
                <w:rFonts w:ascii="Arial" w:hAnsi="Arial" w:cs="Arial"/>
                <w:sz w:val="20"/>
                <w:szCs w:val="22"/>
              </w:rPr>
              <w:t>ing</w:t>
            </w:r>
            <w:r w:rsidRPr="00C56AC9">
              <w:rPr>
                <w:rFonts w:ascii="Arial" w:hAnsi="Arial" w:cs="Arial"/>
                <w:sz w:val="20"/>
                <w:szCs w:val="22"/>
              </w:rPr>
              <w:t xml:space="preserve"> agreement address the clinical, economic and financial uncertainties (including potential use in mild HMA without inhibitors)?</w:t>
            </w:r>
          </w:p>
        </w:tc>
        <w:tc>
          <w:tcPr>
            <w:tcW w:w="4819" w:type="dxa"/>
            <w:tcBorders>
              <w:top w:val="single" w:sz="4" w:space="0" w:color="auto"/>
              <w:left w:val="single" w:sz="4" w:space="0" w:color="auto"/>
              <w:bottom w:val="single" w:sz="4" w:space="0" w:color="auto"/>
              <w:right w:val="single" w:sz="4" w:space="0" w:color="auto"/>
            </w:tcBorders>
          </w:tcPr>
          <w:p w14:paraId="6756E6E5" w14:textId="77777777" w:rsidR="00233958" w:rsidRPr="00C56AC9" w:rsidDel="00CF461C" w:rsidRDefault="00233958" w:rsidP="00054E4D">
            <w:pPr>
              <w:spacing w:after="120"/>
              <w:rPr>
                <w:rFonts w:ascii="Arial" w:hAnsi="Arial" w:cs="Arial"/>
                <w:sz w:val="20"/>
                <w:szCs w:val="22"/>
              </w:rPr>
            </w:pPr>
            <w:r w:rsidRPr="00C56AC9">
              <w:rPr>
                <w:rFonts w:ascii="Arial" w:hAnsi="Arial" w:cs="Arial"/>
                <w:sz w:val="20"/>
                <w:szCs w:val="22"/>
              </w:rPr>
              <w:t>The inclusion of ‘for routine prophylaxis’ for emicizumab in the requested listing may discourage use in most mild HMA patients.</w:t>
            </w:r>
          </w:p>
        </w:tc>
      </w:tr>
      <w:tr w:rsidR="00233958" w:rsidRPr="00C56AC9" w14:paraId="76DF25BB" w14:textId="77777777" w:rsidTr="00054E4D">
        <w:tc>
          <w:tcPr>
            <w:tcW w:w="4503" w:type="dxa"/>
            <w:tcBorders>
              <w:top w:val="single" w:sz="4" w:space="0" w:color="auto"/>
              <w:left w:val="single" w:sz="4" w:space="0" w:color="auto"/>
              <w:bottom w:val="single" w:sz="4" w:space="0" w:color="auto"/>
              <w:right w:val="single" w:sz="4" w:space="0" w:color="auto"/>
            </w:tcBorders>
          </w:tcPr>
          <w:p w14:paraId="6153314D" w14:textId="77777777" w:rsidR="00233958" w:rsidRPr="00C56AC9" w:rsidRDefault="00233958" w:rsidP="00054E4D">
            <w:pPr>
              <w:spacing w:after="120"/>
              <w:rPr>
                <w:rFonts w:ascii="Arial" w:hAnsi="Arial" w:cs="Arial"/>
                <w:sz w:val="20"/>
                <w:szCs w:val="22"/>
              </w:rPr>
            </w:pPr>
            <w:r w:rsidRPr="00C56AC9">
              <w:rPr>
                <w:rFonts w:ascii="Arial" w:hAnsi="Arial" w:cs="Arial"/>
                <w:sz w:val="20"/>
                <w:szCs w:val="22"/>
              </w:rPr>
              <w:t>What advice can ESC give regarding the approach used by the applicant to derive a weighted price across the two subgroups? Is there sufficient information from 1510.1 to inform this advice?</w:t>
            </w:r>
          </w:p>
        </w:tc>
        <w:tc>
          <w:tcPr>
            <w:tcW w:w="4819" w:type="dxa"/>
            <w:tcBorders>
              <w:top w:val="single" w:sz="4" w:space="0" w:color="auto"/>
              <w:left w:val="single" w:sz="4" w:space="0" w:color="auto"/>
              <w:bottom w:val="single" w:sz="4" w:space="0" w:color="auto"/>
              <w:right w:val="single" w:sz="4" w:space="0" w:color="auto"/>
            </w:tcBorders>
          </w:tcPr>
          <w:p w14:paraId="4F973528" w14:textId="77777777" w:rsidR="00233958" w:rsidRPr="00C56AC9" w:rsidRDefault="00233958" w:rsidP="00054E4D">
            <w:pPr>
              <w:spacing w:after="120"/>
              <w:rPr>
                <w:rFonts w:ascii="Arial" w:hAnsi="Arial" w:cs="Arial"/>
                <w:sz w:val="20"/>
                <w:szCs w:val="22"/>
              </w:rPr>
            </w:pPr>
            <w:r w:rsidRPr="00C56AC9">
              <w:rPr>
                <w:rFonts w:ascii="Arial" w:hAnsi="Arial" w:cs="Arial"/>
                <w:sz w:val="20"/>
                <w:szCs w:val="22"/>
              </w:rPr>
              <w:t>There is limited information to support the approach used by the applicant and so ESC can provide only limited advice regarding the proposal for weighted pricing (see also ESC advice to MSAC on the resubmission for Application 1510.1).</w:t>
            </w:r>
          </w:p>
        </w:tc>
      </w:tr>
    </w:tbl>
    <w:p w14:paraId="71DA83C8" w14:textId="17046C9E" w:rsidR="00233958" w:rsidRPr="00E604CD" w:rsidRDefault="00233958" w:rsidP="00BC72A9">
      <w:pPr>
        <w:tabs>
          <w:tab w:val="left" w:pos="2265"/>
          <w:tab w:val="left" w:pos="3420"/>
          <w:tab w:val="left" w:pos="4320"/>
        </w:tabs>
        <w:spacing w:before="240" w:after="120"/>
        <w:rPr>
          <w:b/>
        </w:rPr>
      </w:pPr>
      <w:r w:rsidRPr="00E604CD">
        <w:rPr>
          <w:b/>
        </w:rPr>
        <w:t>ESC discussion</w:t>
      </w:r>
    </w:p>
    <w:p w14:paraId="4B4FA5CB" w14:textId="2D4F4CB0" w:rsidR="00233958" w:rsidRDefault="00233958" w:rsidP="00BC72A9">
      <w:pPr>
        <w:spacing w:after="240"/>
      </w:pPr>
      <w:r>
        <w:t xml:space="preserve">Application 1579 is for </w:t>
      </w:r>
      <w:r w:rsidRPr="0018107F">
        <w:t xml:space="preserve">National Product Listing </w:t>
      </w:r>
      <w:r>
        <w:t xml:space="preserve">of </w:t>
      </w:r>
      <w:r w:rsidRPr="0018107F">
        <w:t>emicizumab for use</w:t>
      </w:r>
      <w:r>
        <w:t xml:space="preserve"> in</w:t>
      </w:r>
      <w:r w:rsidRPr="0018107F">
        <w:t xml:space="preserve"> </w:t>
      </w:r>
      <w:r w:rsidRPr="004F208F">
        <w:t>patients with moderate to severe haemophilia A (</w:t>
      </w:r>
      <w:r>
        <w:t xml:space="preserve">HMA; also called </w:t>
      </w:r>
      <w:r w:rsidRPr="004F208F">
        <w:t xml:space="preserve">congenital factor VIII deficiency) </w:t>
      </w:r>
      <w:r w:rsidRPr="0074235A">
        <w:rPr>
          <w:u w:val="single"/>
        </w:rPr>
        <w:t>without</w:t>
      </w:r>
      <w:r w:rsidRPr="004F208F">
        <w:t xml:space="preserve"> factor VIII </w:t>
      </w:r>
      <w:r>
        <w:t xml:space="preserve">(FVIII) </w:t>
      </w:r>
      <w:r w:rsidRPr="004F208F">
        <w:t>inhibitors</w:t>
      </w:r>
      <w:r>
        <w:t>. There is a separate application for patients with FVIII inhibitors (see related Application 1510.1).</w:t>
      </w:r>
    </w:p>
    <w:p w14:paraId="7158B44E" w14:textId="64F10DCC" w:rsidR="00233958" w:rsidRDefault="00233958" w:rsidP="00BC72A9">
      <w:pPr>
        <w:spacing w:after="240"/>
      </w:pPr>
      <w:r>
        <w:t>ESC noted that patients can develop and lose inhibitors, so patients can be in flux between the two subgroups throughout their life.</w:t>
      </w:r>
    </w:p>
    <w:p w14:paraId="63CE6EF2" w14:textId="19079B88" w:rsidR="00233958" w:rsidRDefault="00233958" w:rsidP="00BC72A9">
      <w:pPr>
        <w:spacing w:after="240"/>
      </w:pPr>
      <w:r>
        <w:t>ESC noted that the main trial used for evidence was HAVEN 3 (N=152), an open-label randomised controlled trial in adult patients with severe HMA without inhibitors. Treatment with emicizumab showed reduced bleeding rates and acceptable safety. However, due to the open-label nature of HAVEN 3, patients may have underreported adverse events (AEs).</w:t>
      </w:r>
    </w:p>
    <w:p w14:paraId="1F6284B7" w14:textId="68DA0E6C" w:rsidR="00233958" w:rsidRDefault="00233958" w:rsidP="00BC72A9">
      <w:pPr>
        <w:spacing w:after="240"/>
      </w:pPr>
      <w:r>
        <w:t>ESC considered that a major advantage of emicizumab compared with FVIII is that emicizumab treatment does not lead to the development of FVIII inhibitors. However, across HAVEN trials 1-4, 3/398 patients developed anti-emicizumab antibodies (0.75%), not all of which were neutralising.</w:t>
      </w:r>
    </w:p>
    <w:p w14:paraId="218A214C" w14:textId="77777777" w:rsidR="00233958" w:rsidRDefault="00233958" w:rsidP="00233958">
      <w:r w:rsidRPr="00812911">
        <w:t xml:space="preserve">ESC noted that the trial data do not support modelling of </w:t>
      </w:r>
      <w:r>
        <w:t xml:space="preserve">any </w:t>
      </w:r>
      <w:r w:rsidRPr="00812911">
        <w:t xml:space="preserve">gains in survival or quality of life (QoL). ESC </w:t>
      </w:r>
      <w:r>
        <w:t xml:space="preserve">considered </w:t>
      </w:r>
      <w:r w:rsidRPr="00812911">
        <w:t xml:space="preserve">that the clinical evidence </w:t>
      </w:r>
      <w:r>
        <w:t xml:space="preserve">presented in the application conservatively </w:t>
      </w:r>
      <w:r w:rsidRPr="00812911">
        <w:t xml:space="preserve">suggests non-inferiority </w:t>
      </w:r>
      <w:r>
        <w:t xml:space="preserve">of emicizumab versus FVIII prophylaxis </w:t>
      </w:r>
      <w:r w:rsidRPr="00812911">
        <w:t xml:space="preserve">in </w:t>
      </w:r>
      <w:r>
        <w:t>severe HMA without inhibitors</w:t>
      </w:r>
      <w:r w:rsidRPr="00812911">
        <w:t>.</w:t>
      </w:r>
    </w:p>
    <w:p w14:paraId="7773F5EC" w14:textId="77777777" w:rsidR="00233958" w:rsidRDefault="00233958" w:rsidP="00233958">
      <w:pPr>
        <w:pStyle w:val="NormalBeforeBullet"/>
      </w:pPr>
      <w:r>
        <w:lastRenderedPageBreak/>
        <w:t>ESC considered the following translation issues from HAVEN 3:</w:t>
      </w:r>
    </w:p>
    <w:p w14:paraId="36AE49BC" w14:textId="77777777" w:rsidR="00233958" w:rsidRPr="001051C4" w:rsidRDefault="00233958" w:rsidP="00233958">
      <w:pPr>
        <w:pStyle w:val="Bullet"/>
        <w:numPr>
          <w:ilvl w:val="0"/>
          <w:numId w:val="29"/>
        </w:numPr>
        <w:spacing w:line="240" w:lineRule="auto"/>
        <w:jc w:val="left"/>
        <w:rPr>
          <w:rFonts w:ascii="Times New Roman" w:hAnsi="Times New Roman" w:cs="Times New Roman"/>
          <w:sz w:val="24"/>
          <w:szCs w:val="24"/>
        </w:rPr>
      </w:pPr>
      <w:r>
        <w:rPr>
          <w:rFonts w:ascii="Times New Roman" w:hAnsi="Times New Roman" w:cs="Times New Roman"/>
          <w:sz w:val="24"/>
          <w:szCs w:val="24"/>
        </w:rPr>
        <w:t>whether population characteristics are likely to be similar for non-disease related demographics</w:t>
      </w:r>
    </w:p>
    <w:p w14:paraId="574F7375" w14:textId="77777777" w:rsidR="00233958" w:rsidRPr="001051C4" w:rsidRDefault="00233958" w:rsidP="00233958">
      <w:pPr>
        <w:pStyle w:val="Bullet"/>
        <w:numPr>
          <w:ilvl w:val="0"/>
          <w:numId w:val="29"/>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whether results in adolescents and adults </w:t>
      </w:r>
      <w:r w:rsidRPr="001051C4">
        <w:rPr>
          <w:rFonts w:ascii="Times New Roman" w:hAnsi="Times New Roman" w:cs="Times New Roman"/>
          <w:sz w:val="24"/>
          <w:szCs w:val="24"/>
        </w:rPr>
        <w:t>can be extrapolated to paediatric patients</w:t>
      </w:r>
      <w:r>
        <w:rPr>
          <w:rFonts w:ascii="Times New Roman" w:hAnsi="Times New Roman" w:cs="Times New Roman"/>
          <w:sz w:val="24"/>
          <w:szCs w:val="24"/>
        </w:rPr>
        <w:t>, and results for severe HMA can be extrapolated to moderate HMA</w:t>
      </w:r>
    </w:p>
    <w:p w14:paraId="1E0D3842" w14:textId="77777777" w:rsidR="00233958" w:rsidRPr="001051C4" w:rsidRDefault="00233958" w:rsidP="00233958">
      <w:pPr>
        <w:pStyle w:val="Bullet"/>
        <w:numPr>
          <w:ilvl w:val="0"/>
          <w:numId w:val="29"/>
        </w:numPr>
        <w:spacing w:line="240" w:lineRule="auto"/>
        <w:jc w:val="left"/>
        <w:rPr>
          <w:rFonts w:ascii="Times New Roman" w:hAnsi="Times New Roman" w:cs="Times New Roman"/>
          <w:sz w:val="24"/>
          <w:szCs w:val="24"/>
        </w:rPr>
      </w:pPr>
      <w:r>
        <w:rPr>
          <w:rFonts w:ascii="Times New Roman" w:hAnsi="Times New Roman" w:cs="Times New Roman"/>
          <w:sz w:val="24"/>
          <w:szCs w:val="24"/>
        </w:rPr>
        <w:t>whether compliance rates are likely to be similar across disease subgroups</w:t>
      </w:r>
    </w:p>
    <w:p w14:paraId="7C33ECE7" w14:textId="77777777" w:rsidR="00233958" w:rsidRPr="001051C4" w:rsidRDefault="00233958" w:rsidP="00233958">
      <w:pPr>
        <w:pStyle w:val="Bullet"/>
        <w:numPr>
          <w:ilvl w:val="0"/>
          <w:numId w:val="29"/>
        </w:numPr>
        <w:spacing w:line="240" w:lineRule="auto"/>
        <w:jc w:val="left"/>
        <w:rPr>
          <w:rFonts w:ascii="Times New Roman" w:hAnsi="Times New Roman" w:cs="Times New Roman"/>
          <w:sz w:val="24"/>
          <w:szCs w:val="24"/>
        </w:rPr>
      </w:pPr>
      <w:r>
        <w:rPr>
          <w:rFonts w:ascii="Times New Roman" w:hAnsi="Times New Roman" w:cs="Times New Roman"/>
          <w:sz w:val="24"/>
          <w:szCs w:val="24"/>
        </w:rPr>
        <w:t>whether results against FVIII prophylaxis in patients with severe HMA without inhibitors from the before-and-after study (from Arm D) are broadly consistent with results against on-demand FVIII in this type of patient from the randomised trial (Arms A, B and C)</w:t>
      </w:r>
    </w:p>
    <w:p w14:paraId="6F144B35" w14:textId="77777777" w:rsidR="00233958" w:rsidRPr="001051C4" w:rsidRDefault="00233958" w:rsidP="00233958">
      <w:pPr>
        <w:pStyle w:val="Bullet"/>
        <w:numPr>
          <w:ilvl w:val="0"/>
          <w:numId w:val="29"/>
        </w:numPr>
        <w:spacing w:line="240" w:lineRule="auto"/>
        <w:jc w:val="left"/>
        <w:rPr>
          <w:rFonts w:ascii="Times New Roman" w:hAnsi="Times New Roman" w:cs="Times New Roman"/>
          <w:sz w:val="24"/>
          <w:szCs w:val="24"/>
        </w:rPr>
      </w:pPr>
      <w:r>
        <w:rPr>
          <w:rFonts w:ascii="Times New Roman" w:hAnsi="Times New Roman" w:cs="Times New Roman"/>
          <w:sz w:val="24"/>
          <w:szCs w:val="24"/>
        </w:rPr>
        <w:t>whether supplementary dosage and pharmacokinetics data are supportive, including the single-arm HAVEN 4 study in support of dosing with emicizumab every 4 weeks</w:t>
      </w:r>
    </w:p>
    <w:p w14:paraId="789622AB" w14:textId="77777777" w:rsidR="00233958" w:rsidRPr="001051C4" w:rsidRDefault="00233958" w:rsidP="00233958">
      <w:pPr>
        <w:pStyle w:val="BulletLast"/>
        <w:numPr>
          <w:ilvl w:val="0"/>
          <w:numId w:val="29"/>
        </w:numPr>
        <w:rPr>
          <w:szCs w:val="24"/>
        </w:rPr>
      </w:pPr>
      <w:r>
        <w:rPr>
          <w:szCs w:val="24"/>
        </w:rPr>
        <w:t xml:space="preserve">whether the </w:t>
      </w:r>
      <w:r w:rsidRPr="001051C4">
        <w:rPr>
          <w:szCs w:val="24"/>
        </w:rPr>
        <w:t xml:space="preserve">annualised </w:t>
      </w:r>
      <w:r>
        <w:rPr>
          <w:szCs w:val="24"/>
        </w:rPr>
        <w:t>bleeding rate</w:t>
      </w:r>
      <w:r w:rsidRPr="001051C4">
        <w:rPr>
          <w:szCs w:val="24"/>
        </w:rPr>
        <w:t xml:space="preserve"> </w:t>
      </w:r>
      <w:r>
        <w:rPr>
          <w:szCs w:val="24"/>
        </w:rPr>
        <w:t xml:space="preserve">calculations </w:t>
      </w:r>
      <w:r w:rsidRPr="001051C4">
        <w:rPr>
          <w:szCs w:val="24"/>
        </w:rPr>
        <w:t>are appropriate.</w:t>
      </w:r>
    </w:p>
    <w:p w14:paraId="1338BDCE" w14:textId="6291DE9A" w:rsidR="00233958" w:rsidRDefault="00233958" w:rsidP="00BC72A9">
      <w:pPr>
        <w:spacing w:after="240"/>
      </w:pPr>
      <w:r>
        <w:t xml:space="preserve">ESC noted the issue of potential leakage from the relatively small population of moderate–severe HMA patients to the relatively large population of mild HMA patients given the broader TGA-approved indication, the comparative effectiveness of emicizumab on bleeding rates, greater convenience of subcutaneous administration, and the desirability of avoiding FVIII inhibitors. </w:t>
      </w:r>
      <w:r w:rsidR="00FE1600">
        <w:t xml:space="preserve">The proportion of mild HMA patients who receive </w:t>
      </w:r>
      <w:r w:rsidR="005E5AC4">
        <w:t xml:space="preserve">any FVIII </w:t>
      </w:r>
      <w:r w:rsidR="00FE1600">
        <w:t xml:space="preserve">treatment is reported to be </w:t>
      </w:r>
      <w:r w:rsidR="005E5AC4">
        <w:t xml:space="preserve">approximately </w:t>
      </w:r>
      <w:r w:rsidR="00FE1600">
        <w:t>20</w:t>
      </w:r>
      <w:r w:rsidR="005E5AC4">
        <w:t>%</w:t>
      </w:r>
      <w:r w:rsidR="00FE1600">
        <w:t xml:space="preserve">per year. </w:t>
      </w:r>
      <w:r>
        <w:t>The application is for emicizumab as prophylaxis, and mild patients are generally treated with FVIII on-demand, not as prophylaxis. ESC considered that haematologists are inherently conservative and are properly self-regulated, which decreases the likelihood of inappropriate emicizumab prescribing. ESC queried the possibility of the National Blood Authority (NBA) restricting patient eligibility for NPL-funded emicizumab. The NBA advised that it does not hold statutory powers to do this, but clinicians do need to make a declaration stating a patient’s requirement for certain treatment. There is also a precedent from the NPL funding of immunoglobulins for the Jurisdictional Blood Committee to establish a framework outlining appropriate usage of blood and blood products.</w:t>
      </w:r>
    </w:p>
    <w:p w14:paraId="6F88DF6A" w14:textId="73F20354" w:rsidR="00233958" w:rsidRDefault="00233958" w:rsidP="00BC72A9">
      <w:pPr>
        <w:spacing w:after="240"/>
      </w:pPr>
      <w:r>
        <w:t xml:space="preserve">ESC noted that the economic evaluation was a cost-consequence analysis in patients with severe </w:t>
      </w:r>
      <w:r w:rsidR="0040698C">
        <w:t xml:space="preserve">and moderate </w:t>
      </w:r>
      <w:r>
        <w:t>HMA comparing prophylaxis with emicizumab and prophylaxis with FVIII estimates of cost offsets from differences in bleeds from the before-and-after study (from Arm D of HAVEN 3). Costs due to adverse events were not included. The applicant used a 1-year time horizon (starting after the tit</w:t>
      </w:r>
      <w:bookmarkStart w:id="22" w:name="Editing"/>
      <w:bookmarkEnd w:id="22"/>
      <w:r>
        <w:t>ration phase) and annual treatment costs are per kilogram of body weight. The evaluation emphasised this scenario where emicizumab prophylaxis was priced to be slightly less than FVIII prophylaxis. The applicant assumed high compliance to emicizumab, which ESC considered to be appropriate, as emicizumab is a highly desirable treatment option for patients.</w:t>
      </w:r>
    </w:p>
    <w:p w14:paraId="3AC2E89B" w14:textId="56DE6C4B" w:rsidR="00233958" w:rsidRDefault="00233958" w:rsidP="00BC72A9">
      <w:pPr>
        <w:spacing w:after="240"/>
      </w:pPr>
      <w:r>
        <w:t xml:space="preserve">ESC noted the net financial costs were estimated to be from $3.95 million in year 1 to $3.59 million in year 5, with a peak in year 2 of $6.15 million (due to a spike in uptake). The costs were sensitive to the proportions of patients with different severity of HMA (mild, moderate, severe), the proportions of FVIII use for prophylaxis and on-demand, and the proportions of emicizumab as weekly, 2-weekly, and 4-weekly treatment. </w:t>
      </w:r>
    </w:p>
    <w:p w14:paraId="71287E7A" w14:textId="49EB3D99" w:rsidR="00233958" w:rsidRDefault="00233958" w:rsidP="00BC72A9">
      <w:pPr>
        <w:spacing w:after="240"/>
      </w:pPr>
      <w:r>
        <w:t>The combined sensitivity analysis, which ESC considered to be the most appropriate, had the lowest budget impact.</w:t>
      </w:r>
    </w:p>
    <w:p w14:paraId="56D460E5" w14:textId="445C88B6" w:rsidR="00233958" w:rsidRDefault="00233958" w:rsidP="00BC72A9">
      <w:pPr>
        <w:spacing w:after="240"/>
      </w:pPr>
      <w:r>
        <w:lastRenderedPageBreak/>
        <w:t>ESC noted the weighted costs for the non-inhibitor subgroup were varied in the resubmission for Application 1510.1, and queried whether the information provided in both applications was enough to determine which approach was most appropriate.</w:t>
      </w:r>
    </w:p>
    <w:p w14:paraId="2C961CCA" w14:textId="77777777" w:rsidR="00233958" w:rsidRDefault="00233958" w:rsidP="00233958">
      <w:r>
        <w:t>ESC accepted the high clinical need for emicizumab. ESC noted the high consumer support for this application, and noted the request for compassionate access.</w:t>
      </w:r>
    </w:p>
    <w:p w14:paraId="17F0263F" w14:textId="59762179" w:rsidR="00233958" w:rsidRPr="004F208F" w:rsidRDefault="00233958" w:rsidP="00BC72A9">
      <w:pPr>
        <w:spacing w:before="240"/>
      </w:pPr>
      <w:r>
        <w:t>ESC advised that a risk</w:t>
      </w:r>
      <w:r w:rsidR="00652E2F">
        <w:t xml:space="preserve"> </w:t>
      </w:r>
      <w:r>
        <w:t>sharing arrangement should be further explored, and that measures should be considered to minimise the likelihood of leakage to the mild HMA subgroup. To provide more confidence in the basis of this arrangement, ESC requested more information on the numbers and proportions of mild HMA patients who currently receive FVIII</w:t>
      </w:r>
      <w:r w:rsidRPr="007C2E1C">
        <w:t xml:space="preserve"> </w:t>
      </w:r>
      <w:r>
        <w:t>as on-demand and as prophylaxis. ESC noted that this risk</w:t>
      </w:r>
      <w:r w:rsidR="00652E2F">
        <w:t xml:space="preserve"> </w:t>
      </w:r>
      <w:r>
        <w:t>sharing arrangement would need to be considered in the context of the broader arrangement offered in the resubmission for Application 1510.1 encompassing both with and without inhibitor subgroups.</w:t>
      </w:r>
    </w:p>
    <w:p w14:paraId="72F7F2CF" w14:textId="77777777" w:rsidR="00D90A38" w:rsidRPr="00F715D1" w:rsidRDefault="00BC1364" w:rsidP="00F715D1">
      <w:pPr>
        <w:pStyle w:val="Heading1"/>
      </w:pPr>
      <w:r w:rsidRPr="00F715D1">
        <w:t>Other significant factors</w:t>
      </w:r>
    </w:p>
    <w:p w14:paraId="2D2AEAAF" w14:textId="3EA4FACD" w:rsidR="00BC1364" w:rsidRPr="005A4362" w:rsidRDefault="00BC1364" w:rsidP="00F715D1">
      <w:pPr>
        <w:spacing w:after="240"/>
        <w:rPr>
          <w:i/>
          <w:szCs w:val="24"/>
        </w:rPr>
      </w:pPr>
      <w:r w:rsidRPr="007C4940">
        <w:rPr>
          <w:szCs w:val="24"/>
        </w:rPr>
        <w:t>Nil</w:t>
      </w:r>
      <w:r w:rsidR="007C4940">
        <w:rPr>
          <w:szCs w:val="24"/>
        </w:rPr>
        <w:t>.</w:t>
      </w:r>
    </w:p>
    <w:p w14:paraId="6279FC3C" w14:textId="77777777" w:rsidR="00BC1364" w:rsidRPr="00F715D1" w:rsidRDefault="00BC1364" w:rsidP="00F715D1">
      <w:pPr>
        <w:pStyle w:val="Heading1"/>
      </w:pPr>
      <w:r w:rsidRPr="00F715D1">
        <w:t xml:space="preserve">Applicant’s comments on MSAC’s </w:t>
      </w:r>
      <w:r w:rsidR="00DA56AA" w:rsidRPr="00F715D1">
        <w:t>Public Summary Document</w:t>
      </w:r>
    </w:p>
    <w:p w14:paraId="0A026334" w14:textId="77777777" w:rsidR="00F60597" w:rsidRDefault="000B7682" w:rsidP="00F715D1">
      <w:pPr>
        <w:spacing w:after="240"/>
        <w:rPr>
          <w:szCs w:val="24"/>
        </w:rPr>
      </w:pPr>
      <w:r w:rsidRPr="00F229C3">
        <w:rPr>
          <w:szCs w:val="24"/>
        </w:rPr>
        <w:t xml:space="preserve">While Roche welcomes MSAC’s </w:t>
      </w:r>
      <w:r w:rsidR="002C2E4F" w:rsidRPr="00F229C3">
        <w:rPr>
          <w:szCs w:val="24"/>
        </w:rPr>
        <w:t>support for funding</w:t>
      </w:r>
      <w:r w:rsidRPr="00F229C3">
        <w:rPr>
          <w:szCs w:val="24"/>
        </w:rPr>
        <w:t xml:space="preserve"> of emicizumab, </w:t>
      </w:r>
      <w:r w:rsidR="002C2E4F" w:rsidRPr="00F229C3">
        <w:rPr>
          <w:szCs w:val="24"/>
        </w:rPr>
        <w:t xml:space="preserve">Roche contends </w:t>
      </w:r>
      <w:r w:rsidRPr="00F229C3">
        <w:rPr>
          <w:szCs w:val="24"/>
        </w:rPr>
        <w:t xml:space="preserve">the alternative pricing methodology </w:t>
      </w:r>
      <w:r w:rsidR="00E63A42" w:rsidRPr="00F229C3">
        <w:rPr>
          <w:szCs w:val="24"/>
        </w:rPr>
        <w:t xml:space="preserve">advised by MSAC </w:t>
      </w:r>
      <w:r w:rsidRPr="00F229C3">
        <w:rPr>
          <w:szCs w:val="24"/>
        </w:rPr>
        <w:t xml:space="preserve">is inappropriate and contains multiple inaccuracies and erroneous assumptions. Roche has worked for several years with the haemophilia community to validate the assumptions and inputs used in our pricing approach. </w:t>
      </w:r>
      <w:r w:rsidRPr="004E1C12">
        <w:rPr>
          <w:szCs w:val="24"/>
        </w:rPr>
        <w:t>Roche will continue to work with the Department to enable access to emicizumab as a matter of priority, and is confident that agreement on fair pricing can be reached. This will ensure that all eligible Australian patients are able to realise the benefits associated with emicizumab treatment and that the government does not forego the savings offered by listing emicizumab across the inhibitor and non-inhibitor populations</w:t>
      </w:r>
    </w:p>
    <w:p w14:paraId="1929A3D7" w14:textId="77777777" w:rsidR="00BC1364" w:rsidRPr="00F715D1" w:rsidRDefault="00271F18" w:rsidP="00F715D1">
      <w:pPr>
        <w:pStyle w:val="Heading1"/>
      </w:pPr>
      <w:r w:rsidRPr="00F715D1">
        <w:t>Further information on MSAC</w:t>
      </w:r>
    </w:p>
    <w:p w14:paraId="6D7F329D"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8D3B7" w16cid:durableId="212370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4DE26" w14:textId="77777777" w:rsidR="006F64E6" w:rsidRDefault="006F64E6" w:rsidP="00065623">
      <w:r>
        <w:separator/>
      </w:r>
    </w:p>
  </w:endnote>
  <w:endnote w:type="continuationSeparator" w:id="0">
    <w:p w14:paraId="41BB3A7F" w14:textId="77777777" w:rsidR="006F64E6" w:rsidRDefault="006F64E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EDFC" w14:textId="77777777" w:rsidR="009F37F1" w:rsidRDefault="009F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AA81642" w14:textId="45AF5308" w:rsidR="006F64E6" w:rsidRDefault="006F64E6">
        <w:pPr>
          <w:pStyle w:val="Footer"/>
          <w:jc w:val="right"/>
        </w:pPr>
        <w:r>
          <w:fldChar w:fldCharType="begin"/>
        </w:r>
        <w:r>
          <w:instrText xml:space="preserve"> PAGE   \* MERGEFORMAT </w:instrText>
        </w:r>
        <w:r>
          <w:fldChar w:fldCharType="separate"/>
        </w:r>
        <w:r w:rsidR="009F37F1">
          <w:rPr>
            <w:noProof/>
          </w:rPr>
          <w:t>14</w:t>
        </w:r>
        <w:r>
          <w:rPr>
            <w:noProof/>
          </w:rPr>
          <w:fldChar w:fldCharType="end"/>
        </w:r>
      </w:p>
    </w:sdtContent>
  </w:sdt>
  <w:p w14:paraId="4D6AE51A" w14:textId="77777777" w:rsidR="006F64E6" w:rsidRDefault="006F6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821B" w14:textId="77777777" w:rsidR="009F37F1" w:rsidRDefault="009F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0D84E" w14:textId="77777777" w:rsidR="006F64E6" w:rsidRDefault="006F64E6" w:rsidP="00065623">
      <w:r>
        <w:separator/>
      </w:r>
    </w:p>
  </w:footnote>
  <w:footnote w:type="continuationSeparator" w:id="0">
    <w:p w14:paraId="3FB2D1AB" w14:textId="77777777" w:rsidR="006F64E6" w:rsidRDefault="006F64E6" w:rsidP="00065623">
      <w:r>
        <w:continuationSeparator/>
      </w:r>
    </w:p>
  </w:footnote>
  <w:footnote w:id="1">
    <w:p w14:paraId="4173F881" w14:textId="77777777" w:rsidR="006F64E6" w:rsidRDefault="006F64E6" w:rsidP="00877B35">
      <w:pPr>
        <w:pStyle w:val="FootnoteText"/>
      </w:pPr>
      <w:r>
        <w:rPr>
          <w:rStyle w:val="FootnoteReference"/>
        </w:rPr>
        <w:footnoteRef/>
      </w:r>
      <w:r>
        <w:t xml:space="preserve"> Mean 3.5, range 1.0 to 9.0, from </w:t>
      </w:r>
      <w:r w:rsidRPr="00E26A4C">
        <w:t>Berntorp. E et al. European retrospective study of real life haemophilia treatment. Haemophilia 2017; 23:105-114</w:t>
      </w:r>
    </w:p>
  </w:footnote>
  <w:footnote w:id="2">
    <w:p w14:paraId="19114D26" w14:textId="77777777" w:rsidR="006F64E6" w:rsidRDefault="006F64E6" w:rsidP="00877B35">
      <w:pPr>
        <w:pStyle w:val="FootnoteText"/>
      </w:pPr>
      <w:r>
        <w:rPr>
          <w:rStyle w:val="FootnoteReference"/>
        </w:rPr>
        <w:footnoteRef/>
      </w:r>
      <w:r w:rsidRPr="00730D5D">
        <w:t xml:space="preserve"> Peyvandi F, Tavakkoli F, Frame D, et al. </w:t>
      </w:r>
      <w:r w:rsidRPr="00042903">
        <w:t>Burden of mild haemophilia A: Systematic literature review. Haemophilia. 2019;00:1–9. https://doi.org/10.1111/hae.13777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F1FC" w14:textId="77777777" w:rsidR="009F37F1" w:rsidRDefault="009F3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0B9EF" w14:textId="77777777" w:rsidR="009F37F1" w:rsidRDefault="009F3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CF885" w14:textId="77777777" w:rsidR="009F37F1" w:rsidRDefault="009F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B14"/>
    <w:multiLevelType w:val="hybridMultilevel"/>
    <w:tmpl w:val="481CB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83324"/>
    <w:multiLevelType w:val="hybridMultilevel"/>
    <w:tmpl w:val="6D7A49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45509"/>
    <w:multiLevelType w:val="hybridMultilevel"/>
    <w:tmpl w:val="0FA46DEC"/>
    <w:lvl w:ilvl="0" w:tplc="CDE0BB1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1C46B6"/>
    <w:multiLevelType w:val="hybridMultilevel"/>
    <w:tmpl w:val="E6C266D8"/>
    <w:lvl w:ilvl="0" w:tplc="0C090001">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7C7D88"/>
    <w:multiLevelType w:val="hybridMultilevel"/>
    <w:tmpl w:val="26AC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5222EE"/>
    <w:multiLevelType w:val="hybridMultilevel"/>
    <w:tmpl w:val="895C1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24"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2DF16D4"/>
    <w:multiLevelType w:val="hybridMultilevel"/>
    <w:tmpl w:val="FC586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D30612"/>
    <w:multiLevelType w:val="hybridMultilevel"/>
    <w:tmpl w:val="33C8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3"/>
  </w:num>
  <w:num w:numId="4">
    <w:abstractNumId w:val="21"/>
  </w:num>
  <w:num w:numId="5">
    <w:abstractNumId w:val="15"/>
  </w:num>
  <w:num w:numId="6">
    <w:abstractNumId w:val="20"/>
  </w:num>
  <w:num w:numId="7">
    <w:abstractNumId w:val="25"/>
  </w:num>
  <w:num w:numId="8">
    <w:abstractNumId w:val="16"/>
  </w:num>
  <w:num w:numId="9">
    <w:abstractNumId w:val="34"/>
  </w:num>
  <w:num w:numId="10">
    <w:abstractNumId w:val="2"/>
  </w:num>
  <w:num w:numId="11">
    <w:abstractNumId w:val="24"/>
  </w:num>
  <w:num w:numId="12">
    <w:abstractNumId w:val="26"/>
  </w:num>
  <w:num w:numId="13">
    <w:abstractNumId w:val="6"/>
  </w:num>
  <w:num w:numId="14">
    <w:abstractNumId w:val="30"/>
  </w:num>
  <w:num w:numId="15">
    <w:abstractNumId w:val="22"/>
  </w:num>
  <w:num w:numId="16">
    <w:abstractNumId w:val="27"/>
  </w:num>
  <w:num w:numId="17">
    <w:abstractNumId w:val="17"/>
  </w:num>
  <w:num w:numId="18">
    <w:abstractNumId w:val="18"/>
  </w:num>
  <w:num w:numId="19">
    <w:abstractNumId w:val="29"/>
  </w:num>
  <w:num w:numId="20">
    <w:abstractNumId w:val="28"/>
  </w:num>
  <w:num w:numId="21">
    <w:abstractNumId w:val="5"/>
  </w:num>
  <w:num w:numId="22">
    <w:abstractNumId w:val="13"/>
  </w:num>
  <w:num w:numId="23">
    <w:abstractNumId w:val="4"/>
  </w:num>
  <w:num w:numId="24">
    <w:abstractNumId w:val="12"/>
  </w:num>
  <w:num w:numId="25">
    <w:abstractNumId w:val="7"/>
  </w:num>
  <w:num w:numId="26">
    <w:abstractNumId w:val="10"/>
  </w:num>
  <w:num w:numId="27">
    <w:abstractNumId w:val="23"/>
  </w:num>
  <w:num w:numId="28">
    <w:abstractNumId w:val="31"/>
  </w:num>
  <w:num w:numId="29">
    <w:abstractNumId w:val="33"/>
  </w:num>
  <w:num w:numId="30">
    <w:abstractNumId w:val="14"/>
  </w:num>
  <w:num w:numId="31">
    <w:abstractNumId w:val="0"/>
  </w:num>
  <w:num w:numId="32">
    <w:abstractNumId w:val="11"/>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1"/>
  </w:num>
  <w:num w:numId="43">
    <w:abstractNumId w:val="23"/>
  </w:num>
  <w:num w:numId="44">
    <w:abstractNumId w:val="23"/>
  </w:num>
  <w:num w:numId="45">
    <w:abstractNumId w:val="32"/>
  </w:num>
  <w:num w:numId="46">
    <w:abstractNumId w:val="23"/>
  </w:num>
  <w:num w:numId="47">
    <w:abstractNumId w:val="23"/>
  </w:num>
  <w:num w:numId="48">
    <w:abstractNumId w:val="23"/>
  </w:num>
  <w:num w:numId="49">
    <w:abstractNumId w:val="2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264D"/>
    <w:rsid w:val="00007312"/>
    <w:rsid w:val="00010C5A"/>
    <w:rsid w:val="00011A36"/>
    <w:rsid w:val="000149F9"/>
    <w:rsid w:val="000205BF"/>
    <w:rsid w:val="00027E5C"/>
    <w:rsid w:val="000423F2"/>
    <w:rsid w:val="00042903"/>
    <w:rsid w:val="00043FC1"/>
    <w:rsid w:val="00044872"/>
    <w:rsid w:val="00045502"/>
    <w:rsid w:val="00046164"/>
    <w:rsid w:val="00047606"/>
    <w:rsid w:val="00054E4D"/>
    <w:rsid w:val="00065623"/>
    <w:rsid w:val="000756B9"/>
    <w:rsid w:val="0007728A"/>
    <w:rsid w:val="00096B67"/>
    <w:rsid w:val="00096DAF"/>
    <w:rsid w:val="000A189E"/>
    <w:rsid w:val="000B7682"/>
    <w:rsid w:val="000C2F47"/>
    <w:rsid w:val="000D05F9"/>
    <w:rsid w:val="000D2B9A"/>
    <w:rsid w:val="000D6C00"/>
    <w:rsid w:val="000E4E04"/>
    <w:rsid w:val="000E6E34"/>
    <w:rsid w:val="000F14B4"/>
    <w:rsid w:val="000F75DF"/>
    <w:rsid w:val="0010075C"/>
    <w:rsid w:val="001023DC"/>
    <w:rsid w:val="0010250B"/>
    <w:rsid w:val="0012193B"/>
    <w:rsid w:val="001328FA"/>
    <w:rsid w:val="00145955"/>
    <w:rsid w:val="00147AAF"/>
    <w:rsid w:val="001552C0"/>
    <w:rsid w:val="001640B1"/>
    <w:rsid w:val="00173D89"/>
    <w:rsid w:val="0018287C"/>
    <w:rsid w:val="0018435E"/>
    <w:rsid w:val="00186953"/>
    <w:rsid w:val="001B6F9B"/>
    <w:rsid w:val="001C3987"/>
    <w:rsid w:val="001E3A00"/>
    <w:rsid w:val="001F3ABE"/>
    <w:rsid w:val="002041A1"/>
    <w:rsid w:val="002054F0"/>
    <w:rsid w:val="00211121"/>
    <w:rsid w:val="00230D6B"/>
    <w:rsid w:val="00232068"/>
    <w:rsid w:val="002328AA"/>
    <w:rsid w:val="002330F2"/>
    <w:rsid w:val="00233958"/>
    <w:rsid w:val="00235455"/>
    <w:rsid w:val="002373BB"/>
    <w:rsid w:val="00243392"/>
    <w:rsid w:val="00243D9E"/>
    <w:rsid w:val="00253B66"/>
    <w:rsid w:val="00261DF1"/>
    <w:rsid w:val="00271F18"/>
    <w:rsid w:val="00282779"/>
    <w:rsid w:val="0028334D"/>
    <w:rsid w:val="00290FEC"/>
    <w:rsid w:val="00296FBA"/>
    <w:rsid w:val="002A3B4E"/>
    <w:rsid w:val="002B30DF"/>
    <w:rsid w:val="002B3883"/>
    <w:rsid w:val="002B7FFA"/>
    <w:rsid w:val="002C2BCF"/>
    <w:rsid w:val="002C2E4F"/>
    <w:rsid w:val="002E23E0"/>
    <w:rsid w:val="002F279D"/>
    <w:rsid w:val="002F43B8"/>
    <w:rsid w:val="00336856"/>
    <w:rsid w:val="00341F37"/>
    <w:rsid w:val="0034517D"/>
    <w:rsid w:val="0034554D"/>
    <w:rsid w:val="00352224"/>
    <w:rsid w:val="00352BA0"/>
    <w:rsid w:val="003671E6"/>
    <w:rsid w:val="003751BF"/>
    <w:rsid w:val="003775C8"/>
    <w:rsid w:val="00384272"/>
    <w:rsid w:val="00386D67"/>
    <w:rsid w:val="003945B8"/>
    <w:rsid w:val="00397F4E"/>
    <w:rsid w:val="003A0AC2"/>
    <w:rsid w:val="003B5B43"/>
    <w:rsid w:val="003B6064"/>
    <w:rsid w:val="003D7F29"/>
    <w:rsid w:val="003E05EE"/>
    <w:rsid w:val="003E1FF3"/>
    <w:rsid w:val="003F4145"/>
    <w:rsid w:val="00403BCC"/>
    <w:rsid w:val="00405A6B"/>
    <w:rsid w:val="0040698C"/>
    <w:rsid w:val="00407B1F"/>
    <w:rsid w:val="0041184F"/>
    <w:rsid w:val="00414C57"/>
    <w:rsid w:val="0041616A"/>
    <w:rsid w:val="0041758C"/>
    <w:rsid w:val="00422F28"/>
    <w:rsid w:val="004347FB"/>
    <w:rsid w:val="00441BF5"/>
    <w:rsid w:val="00442154"/>
    <w:rsid w:val="004539DE"/>
    <w:rsid w:val="0047039F"/>
    <w:rsid w:val="004A2CF1"/>
    <w:rsid w:val="004B16CA"/>
    <w:rsid w:val="004B623B"/>
    <w:rsid w:val="004C2AD8"/>
    <w:rsid w:val="004C3035"/>
    <w:rsid w:val="004C307F"/>
    <w:rsid w:val="004C39F5"/>
    <w:rsid w:val="004C5ABD"/>
    <w:rsid w:val="004C6D51"/>
    <w:rsid w:val="004E1C12"/>
    <w:rsid w:val="004E4BA8"/>
    <w:rsid w:val="004E4C79"/>
    <w:rsid w:val="004F1498"/>
    <w:rsid w:val="004F340F"/>
    <w:rsid w:val="004F7B7C"/>
    <w:rsid w:val="00510069"/>
    <w:rsid w:val="00516305"/>
    <w:rsid w:val="0052243D"/>
    <w:rsid w:val="005232C0"/>
    <w:rsid w:val="00531972"/>
    <w:rsid w:val="00532435"/>
    <w:rsid w:val="00550354"/>
    <w:rsid w:val="00560510"/>
    <w:rsid w:val="00561BA0"/>
    <w:rsid w:val="00571236"/>
    <w:rsid w:val="00581FC3"/>
    <w:rsid w:val="00583A79"/>
    <w:rsid w:val="00591503"/>
    <w:rsid w:val="005953A1"/>
    <w:rsid w:val="005A4362"/>
    <w:rsid w:val="005A7D42"/>
    <w:rsid w:val="005B5434"/>
    <w:rsid w:val="005B6159"/>
    <w:rsid w:val="005D0332"/>
    <w:rsid w:val="005D0D8C"/>
    <w:rsid w:val="005D0DCB"/>
    <w:rsid w:val="005E50D2"/>
    <w:rsid w:val="005E5AC4"/>
    <w:rsid w:val="005F2124"/>
    <w:rsid w:val="005F4105"/>
    <w:rsid w:val="00602106"/>
    <w:rsid w:val="0061083D"/>
    <w:rsid w:val="006408FE"/>
    <w:rsid w:val="00642BB9"/>
    <w:rsid w:val="00652E2F"/>
    <w:rsid w:val="00672F72"/>
    <w:rsid w:val="00673498"/>
    <w:rsid w:val="006770A7"/>
    <w:rsid w:val="006776AE"/>
    <w:rsid w:val="006A0D97"/>
    <w:rsid w:val="006B05DE"/>
    <w:rsid w:val="006B0BC1"/>
    <w:rsid w:val="006B1F86"/>
    <w:rsid w:val="006C0A91"/>
    <w:rsid w:val="006C1F43"/>
    <w:rsid w:val="006C6834"/>
    <w:rsid w:val="006D54A1"/>
    <w:rsid w:val="006D6602"/>
    <w:rsid w:val="006F64E6"/>
    <w:rsid w:val="006F6968"/>
    <w:rsid w:val="007054BB"/>
    <w:rsid w:val="007055A3"/>
    <w:rsid w:val="00707064"/>
    <w:rsid w:val="0071480B"/>
    <w:rsid w:val="00717FDF"/>
    <w:rsid w:val="00730683"/>
    <w:rsid w:val="00730D5D"/>
    <w:rsid w:val="00731763"/>
    <w:rsid w:val="0074174D"/>
    <w:rsid w:val="007435ED"/>
    <w:rsid w:val="00743D80"/>
    <w:rsid w:val="007509A9"/>
    <w:rsid w:val="0075261F"/>
    <w:rsid w:val="0075468E"/>
    <w:rsid w:val="007553C4"/>
    <w:rsid w:val="00761FD1"/>
    <w:rsid w:val="007665D8"/>
    <w:rsid w:val="00766CD6"/>
    <w:rsid w:val="00766E36"/>
    <w:rsid w:val="00773BE1"/>
    <w:rsid w:val="007765F4"/>
    <w:rsid w:val="00776633"/>
    <w:rsid w:val="00784D53"/>
    <w:rsid w:val="00797797"/>
    <w:rsid w:val="007A63C9"/>
    <w:rsid w:val="007B32D1"/>
    <w:rsid w:val="007B5006"/>
    <w:rsid w:val="007B7095"/>
    <w:rsid w:val="007C4940"/>
    <w:rsid w:val="007D24E1"/>
    <w:rsid w:val="007D29D9"/>
    <w:rsid w:val="007D6288"/>
    <w:rsid w:val="007E18BF"/>
    <w:rsid w:val="007F4CE9"/>
    <w:rsid w:val="007F4E20"/>
    <w:rsid w:val="00802F7A"/>
    <w:rsid w:val="00805AAB"/>
    <w:rsid w:val="00822046"/>
    <w:rsid w:val="00822C7E"/>
    <w:rsid w:val="008274EA"/>
    <w:rsid w:val="00832D14"/>
    <w:rsid w:val="00843AA5"/>
    <w:rsid w:val="00847060"/>
    <w:rsid w:val="00847A36"/>
    <w:rsid w:val="008501A0"/>
    <w:rsid w:val="00856A33"/>
    <w:rsid w:val="00867FD5"/>
    <w:rsid w:val="00877B35"/>
    <w:rsid w:val="0088167C"/>
    <w:rsid w:val="008817EF"/>
    <w:rsid w:val="008903A1"/>
    <w:rsid w:val="00890AC1"/>
    <w:rsid w:val="00892620"/>
    <w:rsid w:val="00892646"/>
    <w:rsid w:val="008A1FB0"/>
    <w:rsid w:val="008A5B1E"/>
    <w:rsid w:val="008A6635"/>
    <w:rsid w:val="008C05AF"/>
    <w:rsid w:val="008C7D37"/>
    <w:rsid w:val="008D5885"/>
    <w:rsid w:val="008E7160"/>
    <w:rsid w:val="008F1ABA"/>
    <w:rsid w:val="00923FA2"/>
    <w:rsid w:val="00932CD5"/>
    <w:rsid w:val="009452B5"/>
    <w:rsid w:val="0096060D"/>
    <w:rsid w:val="00974A50"/>
    <w:rsid w:val="0097585A"/>
    <w:rsid w:val="009801C0"/>
    <w:rsid w:val="00980818"/>
    <w:rsid w:val="009816D3"/>
    <w:rsid w:val="00990C9C"/>
    <w:rsid w:val="009924B0"/>
    <w:rsid w:val="00993A2A"/>
    <w:rsid w:val="009942C9"/>
    <w:rsid w:val="009B28FF"/>
    <w:rsid w:val="009B35C4"/>
    <w:rsid w:val="009C630A"/>
    <w:rsid w:val="009E0D98"/>
    <w:rsid w:val="009E3DFC"/>
    <w:rsid w:val="009F37F1"/>
    <w:rsid w:val="00A01340"/>
    <w:rsid w:val="00A040E4"/>
    <w:rsid w:val="00A04564"/>
    <w:rsid w:val="00A068A1"/>
    <w:rsid w:val="00A1207D"/>
    <w:rsid w:val="00A12FD8"/>
    <w:rsid w:val="00A24252"/>
    <w:rsid w:val="00A346FC"/>
    <w:rsid w:val="00A55325"/>
    <w:rsid w:val="00A558B5"/>
    <w:rsid w:val="00A700A1"/>
    <w:rsid w:val="00A74474"/>
    <w:rsid w:val="00A846F2"/>
    <w:rsid w:val="00A84F93"/>
    <w:rsid w:val="00AB089A"/>
    <w:rsid w:val="00AB1AC5"/>
    <w:rsid w:val="00AB27BC"/>
    <w:rsid w:val="00AB3BFC"/>
    <w:rsid w:val="00AB5307"/>
    <w:rsid w:val="00AC4F2E"/>
    <w:rsid w:val="00AD0C37"/>
    <w:rsid w:val="00AD385F"/>
    <w:rsid w:val="00AE6E2A"/>
    <w:rsid w:val="00AF2BA1"/>
    <w:rsid w:val="00B03EAB"/>
    <w:rsid w:val="00B11C0B"/>
    <w:rsid w:val="00B12FBF"/>
    <w:rsid w:val="00B31E9C"/>
    <w:rsid w:val="00B35595"/>
    <w:rsid w:val="00B51C6D"/>
    <w:rsid w:val="00B71F10"/>
    <w:rsid w:val="00B82646"/>
    <w:rsid w:val="00B83DD2"/>
    <w:rsid w:val="00B86D64"/>
    <w:rsid w:val="00B930F4"/>
    <w:rsid w:val="00B94C75"/>
    <w:rsid w:val="00B96BDF"/>
    <w:rsid w:val="00BA1928"/>
    <w:rsid w:val="00BA4AC5"/>
    <w:rsid w:val="00BA6B71"/>
    <w:rsid w:val="00BB749C"/>
    <w:rsid w:val="00BC1364"/>
    <w:rsid w:val="00BC2667"/>
    <w:rsid w:val="00BC72A9"/>
    <w:rsid w:val="00BC7DE9"/>
    <w:rsid w:val="00BE13BA"/>
    <w:rsid w:val="00BF1A64"/>
    <w:rsid w:val="00BF479B"/>
    <w:rsid w:val="00BF629A"/>
    <w:rsid w:val="00BF7EDB"/>
    <w:rsid w:val="00C02577"/>
    <w:rsid w:val="00C02BC3"/>
    <w:rsid w:val="00C12534"/>
    <w:rsid w:val="00C204FB"/>
    <w:rsid w:val="00C20BEE"/>
    <w:rsid w:val="00C2158D"/>
    <w:rsid w:val="00C32664"/>
    <w:rsid w:val="00C439E5"/>
    <w:rsid w:val="00C56AC9"/>
    <w:rsid w:val="00C67DD2"/>
    <w:rsid w:val="00C725CB"/>
    <w:rsid w:val="00C72A90"/>
    <w:rsid w:val="00C76F5C"/>
    <w:rsid w:val="00C96BAD"/>
    <w:rsid w:val="00CA09EE"/>
    <w:rsid w:val="00CA0A27"/>
    <w:rsid w:val="00CA6944"/>
    <w:rsid w:val="00CB0F8E"/>
    <w:rsid w:val="00CB1295"/>
    <w:rsid w:val="00CB613B"/>
    <w:rsid w:val="00CB7E7D"/>
    <w:rsid w:val="00CC2911"/>
    <w:rsid w:val="00CD0BD5"/>
    <w:rsid w:val="00CF0C6D"/>
    <w:rsid w:val="00CF7307"/>
    <w:rsid w:val="00CF7C68"/>
    <w:rsid w:val="00D00DDB"/>
    <w:rsid w:val="00D03B44"/>
    <w:rsid w:val="00D10A29"/>
    <w:rsid w:val="00D124FA"/>
    <w:rsid w:val="00D13436"/>
    <w:rsid w:val="00D2304D"/>
    <w:rsid w:val="00D238BC"/>
    <w:rsid w:val="00D340DE"/>
    <w:rsid w:val="00D47974"/>
    <w:rsid w:val="00D55723"/>
    <w:rsid w:val="00D62FAD"/>
    <w:rsid w:val="00D64355"/>
    <w:rsid w:val="00D70450"/>
    <w:rsid w:val="00D83BFD"/>
    <w:rsid w:val="00D908FF"/>
    <w:rsid w:val="00D90A38"/>
    <w:rsid w:val="00DA0515"/>
    <w:rsid w:val="00DA171E"/>
    <w:rsid w:val="00DA2256"/>
    <w:rsid w:val="00DA4AAF"/>
    <w:rsid w:val="00DA56AA"/>
    <w:rsid w:val="00DB5833"/>
    <w:rsid w:val="00DD05A9"/>
    <w:rsid w:val="00DD2858"/>
    <w:rsid w:val="00DF2F71"/>
    <w:rsid w:val="00DF3ED3"/>
    <w:rsid w:val="00DF4F00"/>
    <w:rsid w:val="00E03562"/>
    <w:rsid w:val="00E03E33"/>
    <w:rsid w:val="00E05696"/>
    <w:rsid w:val="00E059E0"/>
    <w:rsid w:val="00E13000"/>
    <w:rsid w:val="00E22EAE"/>
    <w:rsid w:val="00E26A4C"/>
    <w:rsid w:val="00E3642A"/>
    <w:rsid w:val="00E415C4"/>
    <w:rsid w:val="00E50016"/>
    <w:rsid w:val="00E506C3"/>
    <w:rsid w:val="00E50EAA"/>
    <w:rsid w:val="00E604CD"/>
    <w:rsid w:val="00E63A42"/>
    <w:rsid w:val="00E656D6"/>
    <w:rsid w:val="00E977EE"/>
    <w:rsid w:val="00EA2F24"/>
    <w:rsid w:val="00EA3095"/>
    <w:rsid w:val="00EA3568"/>
    <w:rsid w:val="00EA67A2"/>
    <w:rsid w:val="00EB1E62"/>
    <w:rsid w:val="00EB630F"/>
    <w:rsid w:val="00EB677F"/>
    <w:rsid w:val="00EB6945"/>
    <w:rsid w:val="00EB6B6F"/>
    <w:rsid w:val="00EB6E76"/>
    <w:rsid w:val="00EB7BEF"/>
    <w:rsid w:val="00EC4F98"/>
    <w:rsid w:val="00ED2C04"/>
    <w:rsid w:val="00F02A4E"/>
    <w:rsid w:val="00F03AEE"/>
    <w:rsid w:val="00F07FA4"/>
    <w:rsid w:val="00F12F02"/>
    <w:rsid w:val="00F229C3"/>
    <w:rsid w:val="00F31240"/>
    <w:rsid w:val="00F32E0D"/>
    <w:rsid w:val="00F35134"/>
    <w:rsid w:val="00F37B9C"/>
    <w:rsid w:val="00F412F2"/>
    <w:rsid w:val="00F41812"/>
    <w:rsid w:val="00F5336B"/>
    <w:rsid w:val="00F60597"/>
    <w:rsid w:val="00F67AB5"/>
    <w:rsid w:val="00F715D1"/>
    <w:rsid w:val="00F72715"/>
    <w:rsid w:val="00F73333"/>
    <w:rsid w:val="00F83FF9"/>
    <w:rsid w:val="00F903D0"/>
    <w:rsid w:val="00F95D8F"/>
    <w:rsid w:val="00FA11CE"/>
    <w:rsid w:val="00FB350A"/>
    <w:rsid w:val="00FB4C5D"/>
    <w:rsid w:val="00FC2D86"/>
    <w:rsid w:val="00FC4293"/>
    <w:rsid w:val="00FD7184"/>
    <w:rsid w:val="00FE01A9"/>
    <w:rsid w:val="00FE1600"/>
    <w:rsid w:val="00FE1C3F"/>
    <w:rsid w:val="00FE478C"/>
    <w:rsid w:val="00FE73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D8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980818"/>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980818"/>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Centered text"/>
    <w:basedOn w:val="TableNormal"/>
    <w:uiPriority w:val="59"/>
    <w:locked/>
    <w:rsid w:val="0023395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233958"/>
    <w:rPr>
      <w:rFonts w:eastAsia="Times New Roman"/>
      <w:sz w:val="24"/>
      <w:szCs w:val="20"/>
    </w:rPr>
  </w:style>
  <w:style w:type="paragraph" w:customStyle="1" w:styleId="Bullet">
    <w:name w:val="Bullet"/>
    <w:basedOn w:val="Normal"/>
    <w:qFormat/>
    <w:rsid w:val="00233958"/>
    <w:pPr>
      <w:numPr>
        <w:numId w:val="27"/>
      </w:numPr>
      <w:spacing w:after="120" w:line="312" w:lineRule="auto"/>
      <w:jc w:val="both"/>
    </w:pPr>
    <w:rPr>
      <w:rFonts w:ascii="Calibri" w:eastAsiaTheme="minorEastAsia" w:hAnsi="Calibri" w:cs="Tahoma"/>
      <w:sz w:val="22"/>
      <w:szCs w:val="22"/>
    </w:rPr>
  </w:style>
  <w:style w:type="paragraph" w:customStyle="1" w:styleId="BulletBeforeDash">
    <w:name w:val="BulletBeforeDash"/>
    <w:basedOn w:val="Normal"/>
    <w:rsid w:val="00233958"/>
    <w:pPr>
      <w:numPr>
        <w:numId w:val="29"/>
      </w:numPr>
    </w:pPr>
    <w:rPr>
      <w:color w:val="000000"/>
    </w:rPr>
  </w:style>
  <w:style w:type="paragraph" w:customStyle="1" w:styleId="BulletLast">
    <w:name w:val="BulletLast"/>
    <w:basedOn w:val="Bullet"/>
    <w:qFormat/>
    <w:rsid w:val="00233958"/>
    <w:pPr>
      <w:numPr>
        <w:numId w:val="26"/>
      </w:numPr>
      <w:spacing w:after="240" w:line="240" w:lineRule="auto"/>
      <w:jc w:val="left"/>
    </w:pPr>
    <w:rPr>
      <w:rFonts w:ascii="Times New Roman" w:eastAsia="Times New Roman" w:hAnsi="Times New Roman" w:cs="Times New Roman"/>
      <w:color w:val="000000"/>
      <w:sz w:val="24"/>
      <w:szCs w:val="20"/>
    </w:rPr>
  </w:style>
  <w:style w:type="paragraph" w:customStyle="1" w:styleId="NormalBeforeBullet">
    <w:name w:val="NormalBeforeBullet"/>
    <w:basedOn w:val="Normal"/>
    <w:qFormat/>
    <w:rsid w:val="00233958"/>
    <w:pPr>
      <w:keepNext/>
      <w:spacing w:after="120"/>
    </w:pPr>
    <w:rPr>
      <w:color w:val="000000"/>
    </w:rPr>
  </w:style>
  <w:style w:type="paragraph" w:customStyle="1" w:styleId="Tablenotes1">
    <w:name w:val="Tablenotes 1"/>
    <w:basedOn w:val="Normal"/>
    <w:link w:val="Tablenotes1Char"/>
    <w:qFormat/>
    <w:rsid w:val="00233958"/>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33958"/>
    <w:rPr>
      <w:rFonts w:ascii="Arial Narrow" w:eastAsia="Times New Roman" w:hAnsi="Arial Narrow" w:cs="Arial"/>
      <w:snapToGrid w:val="0"/>
      <w:sz w:val="18"/>
      <w:szCs w:val="20"/>
      <w:lang w:eastAsia="en-US"/>
    </w:rPr>
  </w:style>
  <w:style w:type="paragraph" w:customStyle="1" w:styleId="ComTable">
    <w:name w:val="Com_Table"/>
    <w:basedOn w:val="Normal"/>
    <w:qFormat/>
    <w:rsid w:val="00233958"/>
    <w:pPr>
      <w:tabs>
        <w:tab w:val="num" w:pos="720"/>
      </w:tabs>
      <w:spacing w:before="40" w:after="40"/>
      <w:jc w:val="both"/>
    </w:pPr>
    <w:rPr>
      <w:rFonts w:ascii="Arial Narrow" w:hAnsi="Arial Narrow" w:cs="Tahoma"/>
      <w:i/>
      <w:color w:val="C00000"/>
      <w:sz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980818"/>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980818"/>
    <w:rPr>
      <w:rFonts w:ascii="Arial Narrow" w:eastAsia="Times New Roman" w:hAnsi="Arial Narrow" w:cs="Arial"/>
      <w:b/>
      <w:bCs/>
      <w:iCs/>
      <w:sz w:val="20"/>
      <w:szCs w:val="20"/>
      <w:lang w:eastAsia="en-US"/>
    </w:rPr>
  </w:style>
  <w:style w:type="paragraph" w:customStyle="1" w:styleId="Tabletext1">
    <w:name w:val="Table text 1"/>
    <w:basedOn w:val="Normal"/>
    <w:link w:val="Tabletext1Char"/>
    <w:qFormat/>
    <w:rsid w:val="00980818"/>
    <w:pPr>
      <w:spacing w:before="40" w:after="40"/>
    </w:pPr>
    <w:rPr>
      <w:rFonts w:ascii="Arial Narrow" w:hAnsi="Arial Narrow" w:cs="Tahoma"/>
      <w:sz w:val="20"/>
    </w:rPr>
  </w:style>
  <w:style w:type="character" w:customStyle="1" w:styleId="Tabletext1Char">
    <w:name w:val="Table text 1 Char"/>
    <w:link w:val="Tabletext1"/>
    <w:rsid w:val="00980818"/>
    <w:rPr>
      <w:rFonts w:ascii="Arial Narrow" w:eastAsia="Times New Roman" w:hAnsi="Arial Narrow" w:cs="Tahoma"/>
      <w:sz w:val="20"/>
      <w:szCs w:val="20"/>
    </w:rPr>
  </w:style>
  <w:style w:type="paragraph" w:customStyle="1" w:styleId="TableNotes">
    <w:name w:val="TableNotes"/>
    <w:basedOn w:val="Normal"/>
    <w:next w:val="Normal"/>
    <w:link w:val="TableNotesChar"/>
    <w:uiPriority w:val="3"/>
    <w:qFormat/>
    <w:rsid w:val="00980818"/>
    <w:pPr>
      <w:tabs>
        <w:tab w:val="left" w:pos="1134"/>
      </w:tabs>
      <w:ind w:left="1134" w:hanging="1134"/>
    </w:pPr>
    <w:rPr>
      <w:rFonts w:ascii="Calibri" w:eastAsiaTheme="minorEastAsia" w:hAnsi="Calibri" w:cstheme="minorBidi"/>
      <w:sz w:val="18"/>
      <w:szCs w:val="18"/>
      <w:lang w:eastAsia="en-US"/>
    </w:rPr>
  </w:style>
  <w:style w:type="character" w:customStyle="1" w:styleId="TableNotesChar">
    <w:name w:val="TableNotes Char"/>
    <w:basedOn w:val="DefaultParagraphFont"/>
    <w:link w:val="TableNotes"/>
    <w:uiPriority w:val="3"/>
    <w:rsid w:val="00980818"/>
    <w:rPr>
      <w:rFonts w:ascii="Calibri" w:eastAsiaTheme="minorEastAsia" w:hAnsi="Calibri" w:cstheme="minorBidi"/>
      <w:sz w:val="18"/>
      <w:szCs w:val="18"/>
      <w:lang w:eastAsia="en-US"/>
    </w:rPr>
  </w:style>
  <w:style w:type="table" w:customStyle="1" w:styleId="TableGrid4">
    <w:name w:val="Table Grid4"/>
    <w:basedOn w:val="TableNormal"/>
    <w:next w:val="TableGrid"/>
    <w:uiPriority w:val="59"/>
    <w:rsid w:val="00980818"/>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980818"/>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980818"/>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980818"/>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980818"/>
    <w:rPr>
      <w:rFonts w:ascii="Arial Narrow" w:eastAsia="Times New Roman" w:hAnsi="Arial Narrow" w:cs="Tahoma"/>
      <w:b/>
      <w:noProof/>
      <w:sz w:val="20"/>
      <w:szCs w:val="20"/>
    </w:rPr>
  </w:style>
  <w:style w:type="paragraph" w:customStyle="1" w:styleId="Tablenotes0">
    <w:name w:val="Tablenotes"/>
    <w:basedOn w:val="Normal"/>
    <w:link w:val="TablenotesChar0"/>
    <w:autoRedefine/>
    <w:qFormat/>
    <w:rsid w:val="00BC72A9"/>
    <w:pPr>
      <w:widowControl w:val="0"/>
      <w:spacing w:before="60" w:after="240"/>
      <w:contextualSpacing/>
    </w:pPr>
    <w:rPr>
      <w:rFonts w:ascii="Arial Narrow" w:hAnsi="Arial Narrow" w:cs="Arial"/>
      <w:snapToGrid w:val="0"/>
      <w:sz w:val="18"/>
      <w:lang w:eastAsia="en-US"/>
    </w:rPr>
  </w:style>
  <w:style w:type="character" w:customStyle="1" w:styleId="TablenotesChar0">
    <w:name w:val="Tablenotes Char"/>
    <w:basedOn w:val="DefaultParagraphFont"/>
    <w:link w:val="Tablenotes0"/>
    <w:rsid w:val="00BC72A9"/>
    <w:rPr>
      <w:rFonts w:ascii="Arial Narrow" w:eastAsia="Times New Roman" w:hAnsi="Arial Narrow" w:cs="Arial"/>
      <w:snapToGrid w:val="0"/>
      <w:sz w:val="18"/>
      <w:szCs w:val="20"/>
      <w:lang w:eastAsia="en-US"/>
    </w:rPr>
  </w:style>
  <w:style w:type="paragraph" w:customStyle="1" w:styleId="Tablecaption">
    <w:name w:val="Table caption"/>
    <w:basedOn w:val="Normal"/>
    <w:link w:val="TablecaptionChar"/>
    <w:qFormat/>
    <w:rsid w:val="00054E4D"/>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54E4D"/>
    <w:rPr>
      <w:rFonts w:ascii="Arial Narrow" w:eastAsia="Times New Roman" w:hAnsi="Arial Narrow" w:cs="Arial"/>
      <w:sz w:val="20"/>
      <w:szCs w:val="20"/>
      <w:lang w:eastAsia="en-US"/>
    </w:rPr>
  </w:style>
  <w:style w:type="paragraph" w:customStyle="1" w:styleId="TableHeader1">
    <w:name w:val="Table Header1"/>
    <w:basedOn w:val="Normal"/>
    <w:link w:val="TableHeader1Char"/>
    <w:qFormat/>
    <w:rsid w:val="00054E4D"/>
    <w:pPr>
      <w:spacing w:before="40" w:after="40"/>
    </w:pPr>
    <w:rPr>
      <w:rFonts w:ascii="Arial Narrow" w:hAnsi="Arial Narrow" w:cs="Tahoma"/>
      <w:b/>
      <w:sz w:val="20"/>
      <w:szCs w:val="22"/>
    </w:rPr>
  </w:style>
  <w:style w:type="character" w:customStyle="1" w:styleId="TableHeader1Char">
    <w:name w:val="Table Header1 Char"/>
    <w:basedOn w:val="DefaultParagraphFont"/>
    <w:link w:val="TableHeader1"/>
    <w:rsid w:val="00054E4D"/>
    <w:rPr>
      <w:rFonts w:ascii="Arial Narrow" w:eastAsia="Times New Roman" w:hAnsi="Arial Narrow" w:cs="Tahoma"/>
      <w:b/>
      <w:sz w:val="20"/>
    </w:rPr>
  </w:style>
  <w:style w:type="paragraph" w:customStyle="1" w:styleId="TableText0">
    <w:name w:val="TableText"/>
    <w:basedOn w:val="Normal"/>
    <w:link w:val="TableTextChar0"/>
    <w:uiPriority w:val="3"/>
    <w:qFormat/>
    <w:rsid w:val="00054E4D"/>
    <w:pPr>
      <w:spacing w:before="40" w:after="40"/>
    </w:pPr>
    <w:rPr>
      <w:rFonts w:ascii="Calibri" w:eastAsia="SimSun" w:hAnsi="Calibri" w:cstheme="minorHAnsi"/>
      <w:bCs/>
      <w:sz w:val="20"/>
      <w:lang w:eastAsia="en-US"/>
    </w:rPr>
  </w:style>
  <w:style w:type="character" w:customStyle="1" w:styleId="TableTextChar0">
    <w:name w:val="TableText Char"/>
    <w:basedOn w:val="DefaultParagraphFont"/>
    <w:link w:val="TableText0"/>
    <w:uiPriority w:val="3"/>
    <w:rsid w:val="00054E4D"/>
    <w:rPr>
      <w:rFonts w:ascii="Calibri" w:eastAsia="SimSun" w:hAnsi="Calibri" w:cstheme="minorHAnsi"/>
      <w:bCs/>
      <w:sz w:val="20"/>
      <w:szCs w:val="20"/>
      <w:lang w:eastAsia="en-US"/>
    </w:rPr>
  </w:style>
  <w:style w:type="paragraph" w:customStyle="1" w:styleId="TableHeadingRow">
    <w:name w:val="TableHeadingRow"/>
    <w:basedOn w:val="Normal"/>
    <w:uiPriority w:val="3"/>
    <w:qFormat/>
    <w:rsid w:val="00054E4D"/>
    <w:pPr>
      <w:keepNext/>
      <w:spacing w:before="20" w:after="20"/>
    </w:pPr>
    <w:rPr>
      <w:rFonts w:ascii="Calibri" w:hAnsi="Calibri" w:cstheme="minorHAnsi"/>
      <w:b/>
      <w:sz w:val="20"/>
      <w:lang w:eastAsia="en-US"/>
    </w:rPr>
  </w:style>
  <w:style w:type="paragraph" w:styleId="Revision">
    <w:name w:val="Revision"/>
    <w:hidden/>
    <w:uiPriority w:val="99"/>
    <w:semiHidden/>
    <w:rsid w:val="00731763"/>
    <w:rPr>
      <w:rFonts w:eastAsia="Times New Roman"/>
      <w:sz w:val="24"/>
      <w:szCs w:val="20"/>
    </w:rPr>
  </w:style>
  <w:style w:type="table" w:customStyle="1" w:styleId="Style1">
    <w:name w:val="Style1"/>
    <w:basedOn w:val="TableNormal"/>
    <w:uiPriority w:val="99"/>
    <w:rsid w:val="00290FE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1223-7B19-41FF-9DF2-A93F21D9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7509</Words>
  <Characters>44102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1579 - Final PSD_redacted</dc:title>
  <dc:creator/>
  <cp:lastModifiedBy/>
  <cp:revision>1</cp:revision>
  <dcterms:created xsi:type="dcterms:W3CDTF">2019-11-27T01:05:00Z</dcterms:created>
  <dcterms:modified xsi:type="dcterms:W3CDTF">2019-12-09T21:44:00Z</dcterms:modified>
</cp:coreProperties>
</file>