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365FD" w14:textId="77777777" w:rsidR="00E44B80" w:rsidRPr="005F4560" w:rsidRDefault="00E44B80" w:rsidP="00E44B80">
      <w:pPr>
        <w:jc w:val="center"/>
        <w:rPr>
          <w:b/>
          <w:szCs w:val="20"/>
        </w:rPr>
      </w:pPr>
      <w:r w:rsidRPr="005F4560">
        <w:rPr>
          <w:b/>
          <w:noProof/>
          <w:szCs w:val="20"/>
          <w:lang w:eastAsia="en-AU"/>
        </w:rPr>
        <w:drawing>
          <wp:inline distT="0" distB="0" distL="0" distR="0" wp14:anchorId="264F950C" wp14:editId="5615B25E">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8FCA141" w14:textId="5603DA2B" w:rsidR="008B2610" w:rsidRPr="005F4560" w:rsidRDefault="008B2610" w:rsidP="00F971CC">
      <w:pPr>
        <w:pStyle w:val="Title"/>
        <w:spacing w:before="2600"/>
      </w:pPr>
      <w:r w:rsidRPr="005F4560">
        <w:t xml:space="preserve">Application </w:t>
      </w:r>
    </w:p>
    <w:p w14:paraId="3DECE58E" w14:textId="6CE07DFF" w:rsidR="00EB0182" w:rsidRPr="005F4560" w:rsidRDefault="00C26D85" w:rsidP="00663A09">
      <w:pPr>
        <w:pStyle w:val="Title"/>
      </w:pPr>
      <w:r>
        <w:t xml:space="preserve">1515 - </w:t>
      </w:r>
      <w:r w:rsidR="00663A09" w:rsidRPr="005F4560">
        <w:t xml:space="preserve">Endoscopic placement and </w:t>
      </w:r>
      <w:proofErr w:type="gramStart"/>
      <w:r w:rsidR="00663A09" w:rsidRPr="005F4560">
        <w:t>removal</w:t>
      </w:r>
      <w:proofErr w:type="gramEnd"/>
      <w:r w:rsidR="00663A09" w:rsidRPr="005F4560">
        <w:t xml:space="preserve"> of</w:t>
      </w:r>
      <w:r w:rsidR="00663A09">
        <w:t xml:space="preserve"> an</w:t>
      </w:r>
      <w:r w:rsidR="00663A09" w:rsidRPr="005F4560">
        <w:t xml:space="preserve"> intra-gastric balloon (IGB) for the management of overweight and obesity, in a high-risk patient group who have failed first line treatments</w:t>
      </w:r>
    </w:p>
    <w:p w14:paraId="442F52BA" w14:textId="77777777" w:rsidR="00EB0182" w:rsidRPr="005F4560" w:rsidRDefault="00EB0182" w:rsidP="003F7CB9">
      <w:pPr>
        <w:rPr>
          <w:rFonts w:ascii="Arial" w:hAnsi="Arial" w:cs="Arial"/>
          <w:b/>
          <w:sz w:val="52"/>
          <w:szCs w:val="52"/>
        </w:rPr>
      </w:pPr>
    </w:p>
    <w:p w14:paraId="43087DCD" w14:textId="77777777" w:rsidR="001D77ED" w:rsidRPr="005F4560" w:rsidRDefault="00D73646" w:rsidP="006751A9">
      <w:bookmarkStart w:id="0" w:name="_Toc443555803"/>
      <w:r w:rsidRPr="005F4560">
        <w:rPr>
          <w:rStyle w:val="IntenseReference"/>
        </w:rPr>
        <w:br w:type="page"/>
      </w:r>
      <w:bookmarkEnd w:id="0"/>
    </w:p>
    <w:p w14:paraId="37CEF4B8" w14:textId="77777777" w:rsidR="00E04FB3" w:rsidRPr="005F4560" w:rsidRDefault="00494011" w:rsidP="00A8732C">
      <w:pPr>
        <w:pStyle w:val="Heading1"/>
        <w:rPr>
          <w:color w:val="auto"/>
        </w:rPr>
      </w:pPr>
      <w:r w:rsidRPr="005F4560">
        <w:rPr>
          <w:color w:val="auto"/>
        </w:rPr>
        <w:lastRenderedPageBreak/>
        <w:t>PART 1</w:t>
      </w:r>
      <w:r w:rsidR="00F93784" w:rsidRPr="005F4560">
        <w:rPr>
          <w:color w:val="auto"/>
        </w:rPr>
        <w:t xml:space="preserve"> – </w:t>
      </w:r>
      <w:r w:rsidR="00E04FB3" w:rsidRPr="005F4560">
        <w:rPr>
          <w:color w:val="auto"/>
        </w:rPr>
        <w:t>APPLICANT DETAILS</w:t>
      </w:r>
    </w:p>
    <w:p w14:paraId="198F091E" w14:textId="77777777" w:rsidR="00392F00" w:rsidRPr="005F4560" w:rsidRDefault="00D57F88" w:rsidP="004A0BF4">
      <w:pPr>
        <w:pStyle w:val="Heading2"/>
      </w:pPr>
      <w:r w:rsidRPr="005F4560">
        <w:t>Applicant d</w:t>
      </w:r>
      <w:r w:rsidR="00392F00" w:rsidRPr="005F4560">
        <w:t>etails</w:t>
      </w:r>
      <w:r w:rsidR="000D066E" w:rsidRPr="005F4560">
        <w:t xml:space="preserve"> (primary and alternative contacts)</w:t>
      </w:r>
    </w:p>
    <w:p w14:paraId="1F5D884F" w14:textId="3A692DFC" w:rsidR="00C171FB" w:rsidRPr="005F4560" w:rsidRDefault="00C171FB" w:rsidP="00C171FB">
      <w:pPr>
        <w:pBdr>
          <w:top w:val="single" w:sz="4" w:space="1" w:color="auto"/>
          <w:left w:val="single" w:sz="4" w:space="4" w:color="auto"/>
          <w:bottom w:val="single" w:sz="4" w:space="1" w:color="auto"/>
          <w:right w:val="single" w:sz="4" w:space="4" w:color="auto"/>
        </w:pBdr>
      </w:pPr>
      <w:r w:rsidRPr="005F4560">
        <w:t xml:space="preserve">Corporation / partnership details (where relevant): </w:t>
      </w:r>
    </w:p>
    <w:p w14:paraId="62431251" w14:textId="75DC18E8" w:rsidR="00C171FB" w:rsidRPr="005F4560" w:rsidRDefault="00C171FB" w:rsidP="00C171FB">
      <w:pPr>
        <w:pBdr>
          <w:top w:val="single" w:sz="4" w:space="1" w:color="auto"/>
          <w:left w:val="single" w:sz="4" w:space="4" w:color="auto"/>
          <w:bottom w:val="single" w:sz="4" w:space="1" w:color="auto"/>
          <w:right w:val="single" w:sz="4" w:space="4" w:color="auto"/>
        </w:pBdr>
      </w:pPr>
      <w:r w:rsidRPr="005F4560">
        <w:t xml:space="preserve">Corporation name: </w:t>
      </w:r>
      <w:r w:rsidR="003B4101" w:rsidRPr="003B4101">
        <w:rPr>
          <w:color w:val="FF0000"/>
        </w:rPr>
        <w:t>REDACTED</w:t>
      </w:r>
    </w:p>
    <w:p w14:paraId="4222A28A" w14:textId="02B0CBDE" w:rsidR="00C171FB" w:rsidRPr="005F4560" w:rsidRDefault="00C171FB" w:rsidP="00C171FB">
      <w:pPr>
        <w:pBdr>
          <w:top w:val="single" w:sz="4" w:space="1" w:color="auto"/>
          <w:left w:val="single" w:sz="4" w:space="4" w:color="auto"/>
          <w:bottom w:val="single" w:sz="4" w:space="1" w:color="auto"/>
          <w:right w:val="single" w:sz="4" w:space="4" w:color="auto"/>
        </w:pBdr>
      </w:pPr>
      <w:r w:rsidRPr="005F4560">
        <w:t xml:space="preserve">ABN: </w:t>
      </w:r>
      <w:r w:rsidR="003B4101" w:rsidRPr="003B4101">
        <w:rPr>
          <w:color w:val="FF0000"/>
        </w:rPr>
        <w:t>REDACTED</w:t>
      </w:r>
    </w:p>
    <w:p w14:paraId="45C25E4D" w14:textId="66F524C5" w:rsidR="00C171FB" w:rsidRPr="005F4560" w:rsidRDefault="00C171FB" w:rsidP="00C171FB">
      <w:pPr>
        <w:pBdr>
          <w:top w:val="single" w:sz="4" w:space="1" w:color="auto"/>
          <w:left w:val="single" w:sz="4" w:space="4" w:color="auto"/>
          <w:bottom w:val="single" w:sz="4" w:space="1" w:color="auto"/>
          <w:right w:val="single" w:sz="4" w:space="4" w:color="auto"/>
        </w:pBdr>
      </w:pPr>
      <w:r w:rsidRPr="005F4560">
        <w:t xml:space="preserve">Business trading name: </w:t>
      </w:r>
      <w:r w:rsidR="003B4101" w:rsidRPr="003B4101">
        <w:rPr>
          <w:color w:val="FF0000"/>
        </w:rPr>
        <w:t>REDACTED</w:t>
      </w:r>
    </w:p>
    <w:p w14:paraId="4CA88577" w14:textId="77777777" w:rsidR="00C171FB" w:rsidRPr="005F4560" w:rsidRDefault="00C171FB" w:rsidP="00C171FB"/>
    <w:p w14:paraId="781509BB" w14:textId="73C49623" w:rsidR="00C171FB" w:rsidRPr="005F4560" w:rsidRDefault="00C171FB" w:rsidP="00C171FB">
      <w:pPr>
        <w:rPr>
          <w:b/>
        </w:rPr>
      </w:pPr>
      <w:r w:rsidRPr="005F4560">
        <w:rPr>
          <w:b/>
        </w:rPr>
        <w:t>Primary contact name</w:t>
      </w:r>
      <w:r w:rsidR="0030088B" w:rsidRPr="005F4560">
        <w:rPr>
          <w:b/>
        </w:rPr>
        <w:t xml:space="preserve">: </w:t>
      </w:r>
      <w:r w:rsidR="003B4101" w:rsidRPr="003B4101">
        <w:rPr>
          <w:b/>
          <w:color w:val="FF0000"/>
        </w:rPr>
        <w:t>REDACTED</w:t>
      </w:r>
    </w:p>
    <w:p w14:paraId="5A235387" w14:textId="77777777" w:rsidR="00C171FB" w:rsidRPr="005F4560" w:rsidRDefault="00C171FB" w:rsidP="00C171FB">
      <w:pPr>
        <w:pBdr>
          <w:top w:val="single" w:sz="4" w:space="1" w:color="auto"/>
          <w:left w:val="single" w:sz="4" w:space="4" w:color="auto"/>
          <w:bottom w:val="single" w:sz="4" w:space="1" w:color="auto"/>
          <w:right w:val="single" w:sz="4" w:space="4" w:color="auto"/>
        </w:pBdr>
      </w:pPr>
      <w:r w:rsidRPr="005F4560">
        <w:t>Primary contact numbers</w:t>
      </w:r>
    </w:p>
    <w:p w14:paraId="3314CE31" w14:textId="16EBA2D4" w:rsidR="00D368CA" w:rsidRPr="005F4560" w:rsidRDefault="00D368CA" w:rsidP="00D368CA">
      <w:pPr>
        <w:pBdr>
          <w:top w:val="single" w:sz="4" w:space="1" w:color="auto"/>
          <w:left w:val="single" w:sz="4" w:space="4" w:color="auto"/>
          <w:bottom w:val="single" w:sz="4" w:space="1" w:color="auto"/>
          <w:right w:val="single" w:sz="4" w:space="4" w:color="auto"/>
        </w:pBdr>
      </w:pPr>
      <w:r w:rsidRPr="005F4560">
        <w:t xml:space="preserve">Business: </w:t>
      </w:r>
      <w:r w:rsidR="003B4101" w:rsidRPr="003B4101">
        <w:rPr>
          <w:color w:val="FF0000"/>
        </w:rPr>
        <w:t>REDACTED</w:t>
      </w:r>
    </w:p>
    <w:p w14:paraId="4036F3EF" w14:textId="6AE6B896" w:rsidR="00D368CA" w:rsidRPr="005F4560" w:rsidRDefault="00D368CA" w:rsidP="00D368CA">
      <w:pPr>
        <w:pBdr>
          <w:top w:val="single" w:sz="4" w:space="1" w:color="auto"/>
          <w:left w:val="single" w:sz="4" w:space="4" w:color="auto"/>
          <w:bottom w:val="single" w:sz="4" w:space="1" w:color="auto"/>
          <w:right w:val="single" w:sz="4" w:space="4" w:color="auto"/>
        </w:pBdr>
      </w:pPr>
      <w:r w:rsidRPr="005F4560">
        <w:t xml:space="preserve">Mobile: </w:t>
      </w:r>
      <w:r w:rsidR="003B4101" w:rsidRPr="003B4101">
        <w:rPr>
          <w:color w:val="FF0000"/>
        </w:rPr>
        <w:t>REDACTED</w:t>
      </w:r>
    </w:p>
    <w:p w14:paraId="1738F244" w14:textId="448A9200" w:rsidR="00D368CA" w:rsidRPr="005F4560" w:rsidRDefault="00D368CA" w:rsidP="00D368CA">
      <w:pPr>
        <w:pBdr>
          <w:top w:val="single" w:sz="4" w:space="1" w:color="auto"/>
          <w:left w:val="single" w:sz="4" w:space="4" w:color="auto"/>
          <w:bottom w:val="single" w:sz="4" w:space="1" w:color="auto"/>
          <w:right w:val="single" w:sz="4" w:space="4" w:color="auto"/>
        </w:pBdr>
      </w:pPr>
      <w:r w:rsidRPr="005F4560">
        <w:t xml:space="preserve">Email: </w:t>
      </w:r>
      <w:r w:rsidR="003B4101" w:rsidRPr="003B4101">
        <w:rPr>
          <w:color w:val="FF0000"/>
        </w:rPr>
        <w:t>REDACTED</w:t>
      </w:r>
    </w:p>
    <w:p w14:paraId="11EA44CE" w14:textId="77777777" w:rsidR="00C171FB" w:rsidRPr="005F4560" w:rsidRDefault="00C171FB" w:rsidP="00C171FB">
      <w:pPr>
        <w:rPr>
          <w:b/>
        </w:rPr>
      </w:pPr>
    </w:p>
    <w:p w14:paraId="635E554C" w14:textId="62B02BC5" w:rsidR="00C171FB" w:rsidRPr="005F4560" w:rsidRDefault="00C171FB" w:rsidP="00C171FB">
      <w:pPr>
        <w:rPr>
          <w:b/>
        </w:rPr>
      </w:pPr>
      <w:r w:rsidRPr="005F4560">
        <w:rPr>
          <w:b/>
        </w:rPr>
        <w:t xml:space="preserve">Alternative contact name: </w:t>
      </w:r>
      <w:r w:rsidR="00D368CA" w:rsidRPr="005F4560">
        <w:rPr>
          <w:b/>
        </w:rPr>
        <w:t xml:space="preserve"> </w:t>
      </w:r>
      <w:r w:rsidR="003B4101" w:rsidRPr="003B4101">
        <w:rPr>
          <w:b/>
          <w:color w:val="FF0000"/>
        </w:rPr>
        <w:t>REDACTED</w:t>
      </w:r>
    </w:p>
    <w:p w14:paraId="34FB22DF" w14:textId="7EB2D764" w:rsidR="00C171FB" w:rsidRPr="005F4560" w:rsidRDefault="00C171FB" w:rsidP="00C171FB">
      <w:pPr>
        <w:pBdr>
          <w:top w:val="single" w:sz="4" w:space="1" w:color="auto"/>
          <w:left w:val="single" w:sz="4" w:space="4" w:color="auto"/>
          <w:bottom w:val="single" w:sz="4" w:space="1" w:color="auto"/>
          <w:right w:val="single" w:sz="4" w:space="4" w:color="auto"/>
        </w:pBdr>
      </w:pPr>
      <w:r w:rsidRPr="005F4560">
        <w:t>Alternative contact numbers</w:t>
      </w:r>
      <w:r w:rsidRPr="005F4560">
        <w:tab/>
      </w:r>
    </w:p>
    <w:p w14:paraId="1601134A" w14:textId="655B0590" w:rsidR="00D368CA" w:rsidRPr="005F4560" w:rsidRDefault="00D368CA" w:rsidP="00D368CA">
      <w:pPr>
        <w:pBdr>
          <w:top w:val="single" w:sz="4" w:space="1" w:color="auto"/>
          <w:left w:val="single" w:sz="4" w:space="4" w:color="auto"/>
          <w:bottom w:val="single" w:sz="4" w:space="1" w:color="auto"/>
          <w:right w:val="single" w:sz="4" w:space="4" w:color="auto"/>
        </w:pBdr>
      </w:pPr>
      <w:r w:rsidRPr="005F4560">
        <w:t xml:space="preserve">Business: </w:t>
      </w:r>
      <w:r w:rsidR="003B4101" w:rsidRPr="003B4101">
        <w:rPr>
          <w:color w:val="FF0000"/>
        </w:rPr>
        <w:t>REDACTED</w:t>
      </w:r>
    </w:p>
    <w:p w14:paraId="424DB51B" w14:textId="17919001" w:rsidR="00D368CA" w:rsidRPr="005F4560" w:rsidRDefault="00D368CA" w:rsidP="00D368CA">
      <w:pPr>
        <w:pBdr>
          <w:top w:val="single" w:sz="4" w:space="1" w:color="auto"/>
          <w:left w:val="single" w:sz="4" w:space="4" w:color="auto"/>
          <w:bottom w:val="single" w:sz="4" w:space="1" w:color="auto"/>
          <w:right w:val="single" w:sz="4" w:space="4" w:color="auto"/>
        </w:pBdr>
      </w:pPr>
      <w:r w:rsidRPr="005F4560">
        <w:t>Mobile:</w:t>
      </w:r>
      <w:r w:rsidRPr="005F4560">
        <w:tab/>
      </w:r>
      <w:r w:rsidR="003B4101" w:rsidRPr="003B4101">
        <w:rPr>
          <w:color w:val="FF0000"/>
        </w:rPr>
        <w:t>REDACTED</w:t>
      </w:r>
    </w:p>
    <w:p w14:paraId="3A29A1A1" w14:textId="3FDBAC73" w:rsidR="00D368CA" w:rsidRPr="005F4560" w:rsidRDefault="00D368CA" w:rsidP="00D368CA">
      <w:pPr>
        <w:pBdr>
          <w:top w:val="single" w:sz="4" w:space="1" w:color="auto"/>
          <w:left w:val="single" w:sz="4" w:space="4" w:color="auto"/>
          <w:bottom w:val="single" w:sz="4" w:space="1" w:color="auto"/>
          <w:right w:val="single" w:sz="4" w:space="4" w:color="auto"/>
        </w:pBdr>
      </w:pPr>
      <w:r w:rsidRPr="005F4560">
        <w:t xml:space="preserve">Email: </w:t>
      </w:r>
      <w:r w:rsidR="003B4101" w:rsidRPr="003B4101">
        <w:rPr>
          <w:color w:val="FF0000"/>
        </w:rPr>
        <w:t>REDACTED</w:t>
      </w:r>
    </w:p>
    <w:p w14:paraId="418A125B" w14:textId="77777777" w:rsidR="00C171FB" w:rsidRPr="005F4560" w:rsidRDefault="00C171FB" w:rsidP="00C171FB"/>
    <w:p w14:paraId="68EF04F3" w14:textId="77777777" w:rsidR="00F34AEC" w:rsidRPr="005F4560" w:rsidRDefault="00F34AEC" w:rsidP="00F34AEC">
      <w:pPr>
        <w:pStyle w:val="Heading2"/>
      </w:pPr>
      <w:r w:rsidRPr="005F4560">
        <w:t>(a) Are you a consultant acting on behalf of an Applicant?</w:t>
      </w:r>
    </w:p>
    <w:p w14:paraId="349DBA97" w14:textId="77777777" w:rsidR="00F34AEC" w:rsidRPr="005F4560" w:rsidRDefault="0030088B" w:rsidP="00F34AEC">
      <w:pPr>
        <w:spacing w:before="0" w:after="0"/>
        <w:ind w:left="426"/>
        <w:rPr>
          <w:szCs w:val="20"/>
        </w:rPr>
      </w:pPr>
      <w:r w:rsidRPr="005F4560">
        <w:rPr>
          <w:szCs w:val="20"/>
        </w:rPr>
        <w:fldChar w:fldCharType="begin">
          <w:ffData>
            <w:name w:val="Check2"/>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w:t>
      </w:r>
      <w:r w:rsidR="00F34AEC" w:rsidRPr="005F4560">
        <w:rPr>
          <w:szCs w:val="20"/>
        </w:rPr>
        <w:t>Yes</w:t>
      </w:r>
    </w:p>
    <w:p w14:paraId="220C044E" w14:textId="77777777" w:rsidR="00F34AEC" w:rsidRPr="005F4560" w:rsidRDefault="00610A04" w:rsidP="00F34AEC">
      <w:pPr>
        <w:spacing w:before="0" w:after="0"/>
        <w:ind w:left="426"/>
        <w:rPr>
          <w:szCs w:val="20"/>
        </w:rPr>
      </w:pPr>
      <w:r w:rsidRPr="005F4560">
        <w:rPr>
          <w:szCs w:val="20"/>
        </w:rPr>
        <w:fldChar w:fldCharType="begin">
          <w:ffData>
            <w:name w:val=""/>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F34AEC" w:rsidRPr="005F4560">
        <w:rPr>
          <w:szCs w:val="20"/>
        </w:rPr>
        <w:t xml:space="preserve"> No</w:t>
      </w:r>
      <w:r w:rsidR="00352047" w:rsidRPr="005F4560">
        <w:rPr>
          <w:szCs w:val="20"/>
        </w:rPr>
        <w:t xml:space="preserve"> </w:t>
      </w:r>
    </w:p>
    <w:p w14:paraId="420DE8D2" w14:textId="77777777" w:rsidR="00F34AEC" w:rsidRPr="005F4560" w:rsidRDefault="00F34AEC" w:rsidP="00C171FB"/>
    <w:p w14:paraId="2AA99AE1" w14:textId="77777777" w:rsidR="00F34AEC" w:rsidRPr="005F4560" w:rsidRDefault="00F34AEC" w:rsidP="002F55EF">
      <w:pPr>
        <w:ind w:firstLine="360"/>
        <w:rPr>
          <w:b/>
        </w:rPr>
      </w:pPr>
      <w:r w:rsidRPr="005F4560">
        <w:rPr>
          <w:b/>
        </w:rPr>
        <w:t>(b) If yes, what is the Applicant(s) name that you are acting on behalf of?</w:t>
      </w:r>
    </w:p>
    <w:p w14:paraId="7E2810B0" w14:textId="77777777" w:rsidR="00F34AEC" w:rsidRPr="005F4560" w:rsidRDefault="00F34AEC" w:rsidP="00C171FB"/>
    <w:p w14:paraId="62152845" w14:textId="77777777" w:rsidR="00534C5F" w:rsidRPr="005F4560" w:rsidRDefault="00494011" w:rsidP="004A0BF4">
      <w:pPr>
        <w:pStyle w:val="Heading2"/>
      </w:pPr>
      <w:r w:rsidRPr="005F4560">
        <w:t xml:space="preserve">(a) </w:t>
      </w:r>
      <w:r w:rsidR="00534C5F" w:rsidRPr="005F4560">
        <w:t>Are you a lobbyist acting on behalf of an Applicant?</w:t>
      </w:r>
    </w:p>
    <w:p w14:paraId="60B6D47A" w14:textId="77777777" w:rsidR="00A6491A" w:rsidRPr="005F4560" w:rsidRDefault="00A6491A" w:rsidP="00A6491A">
      <w:pPr>
        <w:spacing w:before="0" w:after="0"/>
        <w:ind w:left="426"/>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Yes</w:t>
      </w:r>
    </w:p>
    <w:p w14:paraId="61023E5C" w14:textId="77777777" w:rsidR="00A6491A" w:rsidRPr="005F4560" w:rsidRDefault="00610A04" w:rsidP="00A6491A">
      <w:pPr>
        <w:spacing w:before="0" w:after="0"/>
        <w:ind w:left="426"/>
        <w:rPr>
          <w:szCs w:val="20"/>
        </w:rPr>
      </w:pPr>
      <w:r w:rsidRPr="005F4560">
        <w:rPr>
          <w:szCs w:val="20"/>
        </w:rPr>
        <w:fldChar w:fldCharType="begin">
          <w:ffData>
            <w:name w:val=""/>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A6491A" w:rsidRPr="005F4560">
        <w:rPr>
          <w:szCs w:val="20"/>
        </w:rPr>
        <w:t xml:space="preserve"> No  </w:t>
      </w:r>
    </w:p>
    <w:p w14:paraId="2E1F3ACC" w14:textId="77777777" w:rsidR="00534C5F" w:rsidRPr="005F4560" w:rsidRDefault="00534C5F" w:rsidP="00555876">
      <w:pPr>
        <w:pStyle w:val="Heading2"/>
        <w:numPr>
          <w:ilvl w:val="0"/>
          <w:numId w:val="2"/>
        </w:numPr>
      </w:pPr>
      <w:r w:rsidRPr="005F4560">
        <w:t>If yes, are you listed on the Register of Lobbyists?</w:t>
      </w:r>
    </w:p>
    <w:p w14:paraId="7F1F62BF" w14:textId="77777777" w:rsidR="00A6491A" w:rsidRPr="005F4560" w:rsidRDefault="0030088B" w:rsidP="00A6491A">
      <w:pPr>
        <w:spacing w:before="0" w:after="0"/>
        <w:ind w:left="426"/>
        <w:rPr>
          <w:szCs w:val="20"/>
        </w:rPr>
      </w:pPr>
      <w:r w:rsidRPr="005F4560">
        <w:rPr>
          <w:szCs w:val="20"/>
        </w:rPr>
        <w:fldChar w:fldCharType="begin">
          <w:ffData>
            <w:name w:val="Check2"/>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w:t>
      </w:r>
      <w:r w:rsidR="00A6491A" w:rsidRPr="005F4560">
        <w:rPr>
          <w:szCs w:val="20"/>
        </w:rPr>
        <w:t xml:space="preserve"> Yes</w:t>
      </w:r>
    </w:p>
    <w:p w14:paraId="721C33E4" w14:textId="77777777" w:rsidR="00A6491A" w:rsidRPr="005F4560" w:rsidRDefault="00A6491A" w:rsidP="00A6491A">
      <w:pPr>
        <w:spacing w:before="0" w:after="0"/>
        <w:ind w:left="426"/>
        <w:rPr>
          <w:szCs w:val="20"/>
        </w:rPr>
      </w:pPr>
      <w:r w:rsidRPr="005F4560">
        <w:rPr>
          <w:szCs w:val="20"/>
        </w:rPr>
        <w:fldChar w:fldCharType="begin">
          <w:ffData>
            <w:name w:val="Check2"/>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No  </w:t>
      </w:r>
    </w:p>
    <w:p w14:paraId="3EFFB16E" w14:textId="77777777" w:rsidR="00E04FB3" w:rsidRPr="005F4560" w:rsidRDefault="00E04FB3" w:rsidP="005C333E">
      <w:pPr>
        <w:spacing w:before="0" w:after="0"/>
        <w:ind w:left="426"/>
        <w:rPr>
          <w:b/>
          <w:szCs w:val="20"/>
        </w:rPr>
      </w:pPr>
      <w:r w:rsidRPr="005F4560">
        <w:rPr>
          <w:b/>
          <w:szCs w:val="20"/>
        </w:rPr>
        <w:br w:type="page"/>
      </w:r>
    </w:p>
    <w:p w14:paraId="7246AFAF" w14:textId="77777777" w:rsidR="00D57F88" w:rsidRPr="005F4560" w:rsidRDefault="00730C04" w:rsidP="00A8732C">
      <w:pPr>
        <w:pStyle w:val="Heading1"/>
        <w:rPr>
          <w:color w:val="auto"/>
        </w:rPr>
      </w:pPr>
      <w:r w:rsidRPr="005F4560">
        <w:rPr>
          <w:color w:val="auto"/>
        </w:rPr>
        <w:lastRenderedPageBreak/>
        <w:t>PART 2</w:t>
      </w:r>
      <w:r w:rsidR="00F93784" w:rsidRPr="005F4560">
        <w:rPr>
          <w:color w:val="auto"/>
        </w:rPr>
        <w:t xml:space="preserve"> – </w:t>
      </w:r>
      <w:r w:rsidR="00E04FB3" w:rsidRPr="005F4560">
        <w:rPr>
          <w:color w:val="auto"/>
        </w:rPr>
        <w:t>INFORMATION ABOUT THE PROPOSED MEDICAL SERVICE</w:t>
      </w:r>
    </w:p>
    <w:p w14:paraId="1CCECDE7" w14:textId="77777777" w:rsidR="000B3CD0" w:rsidRPr="005F4560" w:rsidRDefault="000B3CD0" w:rsidP="00730C04">
      <w:pPr>
        <w:pStyle w:val="Heading2"/>
      </w:pPr>
      <w:r w:rsidRPr="005F4560">
        <w:t>Application title</w:t>
      </w:r>
      <w:r w:rsidR="00A8732C" w:rsidRPr="005F4560">
        <w:t xml:space="preserve"> </w:t>
      </w:r>
    </w:p>
    <w:p w14:paraId="44BDDE2D" w14:textId="36D6A207" w:rsidR="008B5900" w:rsidRPr="005F4560" w:rsidRDefault="008B5900" w:rsidP="00C279CC">
      <w:pPr>
        <w:pStyle w:val="KMC16-Text"/>
        <w:spacing w:line="240" w:lineRule="auto"/>
        <w:rPr>
          <w:rFonts w:asciiTheme="minorHAnsi" w:hAnsiTheme="minorHAnsi" w:cstheme="minorHAnsi"/>
          <w:color w:val="auto"/>
          <w:sz w:val="20"/>
          <w:szCs w:val="20"/>
        </w:rPr>
      </w:pPr>
      <w:r w:rsidRPr="005F4560">
        <w:rPr>
          <w:rFonts w:asciiTheme="minorHAnsi" w:hAnsiTheme="minorHAnsi" w:cstheme="minorHAnsi"/>
          <w:color w:val="auto"/>
          <w:sz w:val="20"/>
          <w:szCs w:val="20"/>
        </w:rPr>
        <w:t>Endoscopic</w:t>
      </w:r>
      <w:r w:rsidR="00C6191D" w:rsidRPr="005F4560">
        <w:rPr>
          <w:rFonts w:asciiTheme="minorHAnsi" w:hAnsiTheme="minorHAnsi" w:cstheme="minorHAnsi"/>
          <w:color w:val="auto"/>
          <w:sz w:val="20"/>
          <w:szCs w:val="20"/>
        </w:rPr>
        <w:t xml:space="preserve"> placement and</w:t>
      </w:r>
      <w:r w:rsidRPr="005F4560">
        <w:rPr>
          <w:rFonts w:asciiTheme="minorHAnsi" w:hAnsiTheme="minorHAnsi" w:cstheme="minorHAnsi"/>
          <w:color w:val="auto"/>
          <w:sz w:val="20"/>
          <w:szCs w:val="20"/>
        </w:rPr>
        <w:t xml:space="preserve"> removal of</w:t>
      </w:r>
      <w:r w:rsidR="005F4560">
        <w:rPr>
          <w:rFonts w:asciiTheme="minorHAnsi" w:hAnsiTheme="minorHAnsi" w:cstheme="minorHAnsi"/>
          <w:color w:val="auto"/>
          <w:sz w:val="20"/>
          <w:szCs w:val="20"/>
        </w:rPr>
        <w:t xml:space="preserve"> an</w:t>
      </w:r>
      <w:r w:rsidRPr="005F4560">
        <w:rPr>
          <w:rFonts w:asciiTheme="minorHAnsi" w:hAnsiTheme="minorHAnsi" w:cstheme="minorHAnsi"/>
          <w:color w:val="auto"/>
          <w:sz w:val="20"/>
          <w:szCs w:val="20"/>
        </w:rPr>
        <w:t xml:space="preserve"> intra</w:t>
      </w:r>
      <w:r w:rsidR="005304F5" w:rsidRPr="005F4560">
        <w:rPr>
          <w:rFonts w:asciiTheme="minorHAnsi" w:hAnsiTheme="minorHAnsi" w:cstheme="minorHAnsi"/>
          <w:color w:val="auto"/>
          <w:sz w:val="20"/>
          <w:szCs w:val="20"/>
        </w:rPr>
        <w:t>-</w:t>
      </w:r>
      <w:r w:rsidRPr="005F4560">
        <w:rPr>
          <w:rFonts w:asciiTheme="minorHAnsi" w:hAnsiTheme="minorHAnsi" w:cstheme="minorHAnsi"/>
          <w:color w:val="auto"/>
          <w:sz w:val="20"/>
          <w:szCs w:val="20"/>
        </w:rPr>
        <w:t>gastric balloon</w:t>
      </w:r>
      <w:r w:rsidR="006A4515" w:rsidRPr="005F4560">
        <w:rPr>
          <w:rFonts w:asciiTheme="minorHAnsi" w:hAnsiTheme="minorHAnsi" w:cstheme="minorHAnsi"/>
          <w:color w:val="auto"/>
          <w:sz w:val="20"/>
          <w:szCs w:val="20"/>
        </w:rPr>
        <w:t xml:space="preserve"> (IGB)</w:t>
      </w:r>
      <w:r w:rsidRPr="005F4560">
        <w:rPr>
          <w:rFonts w:asciiTheme="minorHAnsi" w:hAnsiTheme="minorHAnsi" w:cstheme="minorHAnsi"/>
          <w:color w:val="auto"/>
          <w:sz w:val="20"/>
          <w:szCs w:val="20"/>
        </w:rPr>
        <w:t xml:space="preserve"> </w:t>
      </w:r>
      <w:r w:rsidR="009C7E0B" w:rsidRPr="005F4560">
        <w:rPr>
          <w:rFonts w:asciiTheme="minorHAnsi" w:hAnsiTheme="minorHAnsi" w:cstheme="minorHAnsi"/>
          <w:color w:val="auto"/>
          <w:sz w:val="20"/>
          <w:szCs w:val="20"/>
        </w:rPr>
        <w:t>for</w:t>
      </w:r>
      <w:r w:rsidRPr="005F4560">
        <w:rPr>
          <w:rFonts w:asciiTheme="minorHAnsi" w:hAnsiTheme="minorHAnsi" w:cstheme="minorHAnsi"/>
          <w:color w:val="auto"/>
          <w:sz w:val="20"/>
          <w:szCs w:val="20"/>
        </w:rPr>
        <w:t xml:space="preserve"> the management of overweight and obesity</w:t>
      </w:r>
      <w:r w:rsidR="006912A5" w:rsidRPr="005F4560">
        <w:rPr>
          <w:rFonts w:asciiTheme="minorHAnsi" w:hAnsiTheme="minorHAnsi" w:cstheme="minorHAnsi"/>
          <w:color w:val="auto"/>
          <w:sz w:val="20"/>
          <w:szCs w:val="20"/>
        </w:rPr>
        <w:t xml:space="preserve">, in </w:t>
      </w:r>
      <w:r w:rsidR="005304F5" w:rsidRPr="005F4560">
        <w:rPr>
          <w:rFonts w:asciiTheme="minorHAnsi" w:hAnsiTheme="minorHAnsi" w:cstheme="minorHAnsi"/>
          <w:color w:val="auto"/>
          <w:sz w:val="20"/>
          <w:szCs w:val="20"/>
        </w:rPr>
        <w:t xml:space="preserve">a </w:t>
      </w:r>
      <w:r w:rsidR="00490B47" w:rsidRPr="005F4560">
        <w:rPr>
          <w:rFonts w:asciiTheme="minorHAnsi" w:hAnsiTheme="minorHAnsi" w:cstheme="minorHAnsi"/>
          <w:color w:val="auto"/>
          <w:sz w:val="20"/>
          <w:szCs w:val="20"/>
        </w:rPr>
        <w:t>high-</w:t>
      </w:r>
      <w:r w:rsidR="00B52EBB" w:rsidRPr="005F4560">
        <w:rPr>
          <w:rFonts w:asciiTheme="minorHAnsi" w:hAnsiTheme="minorHAnsi" w:cstheme="minorHAnsi"/>
          <w:color w:val="auto"/>
          <w:sz w:val="20"/>
          <w:szCs w:val="20"/>
        </w:rPr>
        <w:t xml:space="preserve">risk </w:t>
      </w:r>
      <w:r w:rsidR="006912A5" w:rsidRPr="005F4560">
        <w:rPr>
          <w:rFonts w:asciiTheme="minorHAnsi" w:hAnsiTheme="minorHAnsi" w:cstheme="minorHAnsi"/>
          <w:color w:val="auto"/>
          <w:sz w:val="20"/>
          <w:szCs w:val="20"/>
        </w:rPr>
        <w:t>patient group</w:t>
      </w:r>
      <w:r w:rsidR="00490B47" w:rsidRPr="005F4560">
        <w:rPr>
          <w:rFonts w:asciiTheme="minorHAnsi" w:hAnsiTheme="minorHAnsi" w:cstheme="minorHAnsi"/>
          <w:color w:val="auto"/>
          <w:sz w:val="20"/>
          <w:szCs w:val="20"/>
        </w:rPr>
        <w:t xml:space="preserve"> who have failed first line treatments</w:t>
      </w:r>
      <w:r w:rsidRPr="005F4560">
        <w:rPr>
          <w:rFonts w:asciiTheme="minorHAnsi" w:hAnsiTheme="minorHAnsi" w:cstheme="minorHAnsi"/>
          <w:color w:val="auto"/>
          <w:sz w:val="20"/>
          <w:szCs w:val="20"/>
        </w:rPr>
        <w:t>.</w:t>
      </w:r>
    </w:p>
    <w:p w14:paraId="43013439" w14:textId="77777777" w:rsidR="009B4E1E" w:rsidRPr="005F4560" w:rsidRDefault="009B4E1E" w:rsidP="004A0BF4">
      <w:pPr>
        <w:pStyle w:val="Heading2"/>
      </w:pPr>
      <w:r w:rsidRPr="005F4560">
        <w:t>Provide a succinct description of the medical condition relevant to the proposed service</w:t>
      </w:r>
      <w:r w:rsidR="000955E7" w:rsidRPr="005F4560">
        <w:t xml:space="preserve"> (no more than 150 words</w:t>
      </w:r>
      <w:r w:rsidR="00F93784" w:rsidRPr="005F4560">
        <w:t xml:space="preserve"> – </w:t>
      </w:r>
      <w:r w:rsidR="00C847AE" w:rsidRPr="005F4560">
        <w:t>further</w:t>
      </w:r>
      <w:r w:rsidR="00F93784" w:rsidRPr="005F4560">
        <w:t xml:space="preserve"> information will be </w:t>
      </w:r>
      <w:r w:rsidR="00C847AE" w:rsidRPr="005F4560">
        <w:t xml:space="preserve">requested </w:t>
      </w:r>
      <w:r w:rsidR="003F2711" w:rsidRPr="005F4560">
        <w:t>at Part F</w:t>
      </w:r>
      <w:r w:rsidR="00C847AE" w:rsidRPr="005F4560">
        <w:t xml:space="preserve"> of the Application Form</w:t>
      </w:r>
      <w:r w:rsidR="000955E7" w:rsidRPr="005F4560">
        <w:t>)</w:t>
      </w:r>
    </w:p>
    <w:p w14:paraId="203D3A50" w14:textId="4EB24EF9" w:rsidR="00513683" w:rsidRPr="005F4560" w:rsidRDefault="004E6F32" w:rsidP="00555876">
      <w:pPr>
        <w:autoSpaceDE w:val="0"/>
        <w:autoSpaceDN w:val="0"/>
        <w:adjustRightInd w:val="0"/>
        <w:spacing w:before="0" w:after="0"/>
        <w:jc w:val="both"/>
        <w:rPr>
          <w:rFonts w:cstheme="minorHAnsi"/>
          <w:szCs w:val="20"/>
        </w:rPr>
      </w:pPr>
      <w:r w:rsidRPr="005F4560">
        <w:rPr>
          <w:rFonts w:cstheme="minorHAnsi"/>
          <w:szCs w:val="20"/>
        </w:rPr>
        <w:t>Obesity is a worldwide epidemic</w:t>
      </w:r>
      <w:r w:rsidR="00513683" w:rsidRPr="005F4560">
        <w:rPr>
          <w:rFonts w:cstheme="minorHAnsi"/>
          <w:szCs w:val="20"/>
        </w:rPr>
        <w:t xml:space="preserve">; </w:t>
      </w:r>
      <w:r w:rsidRPr="005F4560">
        <w:rPr>
          <w:rFonts w:cstheme="minorHAnsi"/>
          <w:szCs w:val="20"/>
        </w:rPr>
        <w:t xml:space="preserve">obesity is defined as BMI </w:t>
      </w:r>
      <w:r w:rsidR="00FD0376" w:rsidRPr="005F4560">
        <w:rPr>
          <w:rFonts w:cstheme="minorHAnsi"/>
          <w:szCs w:val="20"/>
        </w:rPr>
        <w:t>&gt;</w:t>
      </w:r>
      <w:r w:rsidRPr="005F4560">
        <w:rPr>
          <w:rFonts w:cstheme="minorHAnsi"/>
          <w:szCs w:val="20"/>
        </w:rPr>
        <w:t xml:space="preserve"> </w:t>
      </w:r>
      <w:r w:rsidR="003543EE" w:rsidRPr="005F4560">
        <w:rPr>
          <w:rFonts w:cstheme="minorHAnsi"/>
          <w:szCs w:val="20"/>
        </w:rPr>
        <w:t>3</w:t>
      </w:r>
      <w:r w:rsidR="00FD0376" w:rsidRPr="005F4560">
        <w:rPr>
          <w:rFonts w:cstheme="minorHAnsi"/>
          <w:szCs w:val="20"/>
        </w:rPr>
        <w:t>0</w:t>
      </w:r>
      <w:r w:rsidR="00CA7F24" w:rsidRPr="005F4560">
        <w:rPr>
          <w:rFonts w:cstheme="minorHAnsi"/>
          <w:szCs w:val="20"/>
        </w:rPr>
        <w:t>35 kg/m</w:t>
      </w:r>
      <w:r w:rsidR="00CA7F24" w:rsidRPr="005F4560">
        <w:rPr>
          <w:rFonts w:cstheme="minorHAnsi"/>
          <w:szCs w:val="20"/>
          <w:vertAlign w:val="superscript"/>
        </w:rPr>
        <w:t>2</w:t>
      </w:r>
      <w:r w:rsidR="00FD0376" w:rsidRPr="005F4560">
        <w:rPr>
          <w:rFonts w:cstheme="minorHAnsi"/>
          <w:szCs w:val="20"/>
        </w:rPr>
        <w:t>.  This application focuses on the population with a BMI≥30&lt; 35 kg/m</w:t>
      </w:r>
      <w:r w:rsidR="00FD0376" w:rsidRPr="005F4560">
        <w:rPr>
          <w:rFonts w:cstheme="minorHAnsi"/>
          <w:szCs w:val="20"/>
          <w:vertAlign w:val="superscript"/>
        </w:rPr>
        <w:t>2</w:t>
      </w:r>
      <w:r w:rsidR="00FD0376" w:rsidRPr="005F4560">
        <w:rPr>
          <w:rFonts w:cstheme="minorHAnsi"/>
          <w:szCs w:val="20"/>
        </w:rPr>
        <w:t xml:space="preserve"> accompanied with </w:t>
      </w:r>
      <w:r w:rsidRPr="005F4560">
        <w:rPr>
          <w:rFonts w:cstheme="minorHAnsi"/>
          <w:szCs w:val="20"/>
        </w:rPr>
        <w:t>other major medical conditions such as high blood pressure and diabetes</w:t>
      </w:r>
      <w:r w:rsidR="00FD0376" w:rsidRPr="005F4560">
        <w:rPr>
          <w:rFonts w:cstheme="minorHAnsi"/>
          <w:szCs w:val="20"/>
        </w:rPr>
        <w:t xml:space="preserve"> (</w:t>
      </w:r>
      <w:r w:rsidR="005304F5" w:rsidRPr="005F4560">
        <w:rPr>
          <w:rFonts w:cstheme="minorHAnsi"/>
          <w:szCs w:val="20"/>
        </w:rPr>
        <w:t xml:space="preserve">with </w:t>
      </w:r>
      <w:r w:rsidR="00FD0376" w:rsidRPr="005F4560">
        <w:rPr>
          <w:rFonts w:cstheme="minorHAnsi"/>
          <w:szCs w:val="20"/>
        </w:rPr>
        <w:t>the key focus being on patients with uncontrolled diabetes)</w:t>
      </w:r>
      <w:r w:rsidRPr="005F4560">
        <w:rPr>
          <w:rFonts w:cstheme="minorHAnsi"/>
          <w:szCs w:val="20"/>
        </w:rPr>
        <w:t xml:space="preserve">. </w:t>
      </w:r>
      <w:r w:rsidR="005304F5" w:rsidRPr="005F4560">
        <w:rPr>
          <w:rFonts w:cstheme="minorHAnsi"/>
          <w:szCs w:val="20"/>
        </w:rPr>
        <w:t xml:space="preserve"> </w:t>
      </w:r>
      <w:r w:rsidR="002022CA" w:rsidRPr="005F4560">
        <w:rPr>
          <w:rFonts w:cstheme="minorHAnsi"/>
          <w:szCs w:val="20"/>
        </w:rPr>
        <w:t xml:space="preserve">The life expectancy of </w:t>
      </w:r>
      <w:r w:rsidR="003543EE" w:rsidRPr="005F4560">
        <w:rPr>
          <w:rFonts w:cstheme="minorHAnsi"/>
          <w:szCs w:val="20"/>
        </w:rPr>
        <w:t xml:space="preserve">this group of </w:t>
      </w:r>
      <w:r w:rsidR="002022CA" w:rsidRPr="005F4560">
        <w:rPr>
          <w:rFonts w:cstheme="minorHAnsi"/>
          <w:szCs w:val="20"/>
        </w:rPr>
        <w:t>obese adult is 2</w:t>
      </w:r>
      <w:r w:rsidR="0085388D" w:rsidRPr="005F4560">
        <w:rPr>
          <w:rFonts w:cstheme="minorHAnsi"/>
          <w:szCs w:val="20"/>
        </w:rPr>
        <w:t>-4</w:t>
      </w:r>
      <w:r w:rsidR="002022CA" w:rsidRPr="005F4560">
        <w:rPr>
          <w:rFonts w:cstheme="minorHAnsi"/>
          <w:szCs w:val="20"/>
        </w:rPr>
        <w:t xml:space="preserve"> years </w:t>
      </w:r>
      <w:r w:rsidR="005304F5" w:rsidRPr="005F4560">
        <w:rPr>
          <w:rFonts w:cstheme="minorHAnsi"/>
          <w:szCs w:val="20"/>
        </w:rPr>
        <w:t>lower</w:t>
      </w:r>
      <w:r w:rsidR="002022CA" w:rsidRPr="005F4560">
        <w:rPr>
          <w:rFonts w:cstheme="minorHAnsi"/>
          <w:szCs w:val="20"/>
        </w:rPr>
        <w:t xml:space="preserve"> than those </w:t>
      </w:r>
      <w:r w:rsidR="005304F5" w:rsidRPr="005F4560">
        <w:rPr>
          <w:rFonts w:cstheme="minorHAnsi"/>
          <w:szCs w:val="20"/>
        </w:rPr>
        <w:t>with</w:t>
      </w:r>
      <w:r w:rsidR="002022CA" w:rsidRPr="005F4560">
        <w:rPr>
          <w:rFonts w:cstheme="minorHAnsi"/>
          <w:szCs w:val="20"/>
        </w:rPr>
        <w:t xml:space="preserve"> normal weight</w:t>
      </w:r>
      <w:r w:rsidR="003543EE" w:rsidRPr="005F4560">
        <w:rPr>
          <w:rFonts w:cstheme="minorHAnsi"/>
          <w:szCs w:val="20"/>
        </w:rPr>
        <w:t xml:space="preserve"> (</w:t>
      </w:r>
      <w:hyperlink r:id="rId9" w:history="1">
        <w:r w:rsidR="003543EE" w:rsidRPr="005F4560">
          <w:rPr>
            <w:rStyle w:val="Hyperlink"/>
            <w:rFonts w:cstheme="minorHAnsi"/>
            <w:color w:val="auto"/>
            <w:szCs w:val="20"/>
          </w:rPr>
          <w:t>ANPHA</w:t>
        </w:r>
      </w:hyperlink>
      <w:r w:rsidR="0085388D" w:rsidRPr="005F4560">
        <w:rPr>
          <w:rFonts w:cstheme="minorHAnsi"/>
          <w:szCs w:val="20"/>
        </w:rPr>
        <w:t xml:space="preserve">, </w:t>
      </w:r>
      <w:hyperlink r:id="rId10" w:history="1">
        <w:r w:rsidR="0085388D" w:rsidRPr="005F4560">
          <w:rPr>
            <w:rStyle w:val="Hyperlink"/>
            <w:rFonts w:cstheme="minorHAnsi"/>
            <w:color w:val="auto"/>
            <w:szCs w:val="20"/>
          </w:rPr>
          <w:t>PSC 2009</w:t>
        </w:r>
      </w:hyperlink>
      <w:r w:rsidR="003543EE" w:rsidRPr="005F4560">
        <w:rPr>
          <w:rFonts w:cstheme="minorHAnsi"/>
          <w:szCs w:val="20"/>
        </w:rPr>
        <w:t>)</w:t>
      </w:r>
      <w:r w:rsidR="002022CA" w:rsidRPr="005F4560">
        <w:rPr>
          <w:rFonts w:cstheme="minorHAnsi"/>
          <w:szCs w:val="20"/>
        </w:rPr>
        <w:t>.</w:t>
      </w:r>
    </w:p>
    <w:p w14:paraId="68B34791" w14:textId="5E57AEFF" w:rsidR="008B5900" w:rsidRPr="005F4560" w:rsidRDefault="00513683" w:rsidP="00555876">
      <w:pPr>
        <w:autoSpaceDE w:val="0"/>
        <w:autoSpaceDN w:val="0"/>
        <w:adjustRightInd w:val="0"/>
        <w:spacing w:before="0" w:after="0"/>
        <w:jc w:val="both"/>
        <w:rPr>
          <w:rFonts w:ascii="Arial" w:hAnsi="Arial"/>
          <w:sz w:val="22"/>
        </w:rPr>
      </w:pPr>
      <w:r w:rsidRPr="005F4560">
        <w:rPr>
          <w:rFonts w:cstheme="minorHAnsi"/>
          <w:szCs w:val="20"/>
        </w:rPr>
        <w:t xml:space="preserve">Obesity is a complex chronic disease with genetic, environmental, physiological and behavioural determinants that requires long-term care. </w:t>
      </w:r>
      <w:r w:rsidR="005304F5" w:rsidRPr="005F4560">
        <w:rPr>
          <w:rFonts w:cstheme="minorHAnsi"/>
          <w:szCs w:val="20"/>
        </w:rPr>
        <w:t xml:space="preserve"> </w:t>
      </w:r>
      <w:r w:rsidRPr="005F4560">
        <w:rPr>
          <w:rFonts w:cstheme="minorHAnsi"/>
          <w:szCs w:val="20"/>
        </w:rPr>
        <w:t xml:space="preserve">In 2014-15, 63.4% of Australians aged </w:t>
      </w:r>
      <w:r w:rsidR="00EF05D1" w:rsidRPr="005F4560">
        <w:rPr>
          <w:rFonts w:cstheme="minorHAnsi"/>
          <w:szCs w:val="20"/>
        </w:rPr>
        <w:sym w:font="Symbol" w:char="F0B3"/>
      </w:r>
      <w:r w:rsidRPr="005F4560">
        <w:rPr>
          <w:rFonts w:cstheme="minorHAnsi"/>
          <w:szCs w:val="20"/>
        </w:rPr>
        <w:t>18 years were above normal weight, with 27.9% being obese</w:t>
      </w:r>
      <w:r w:rsidR="0085388D" w:rsidRPr="005F4560">
        <w:rPr>
          <w:rFonts w:cstheme="minorHAnsi"/>
          <w:szCs w:val="20"/>
        </w:rPr>
        <w:t xml:space="preserve"> (</w:t>
      </w:r>
      <w:hyperlink r:id="rId11" w:history="1">
        <w:r w:rsidR="0085388D" w:rsidRPr="005F4560">
          <w:rPr>
            <w:rStyle w:val="Hyperlink"/>
            <w:rFonts w:cstheme="minorHAnsi"/>
            <w:color w:val="auto"/>
            <w:szCs w:val="20"/>
          </w:rPr>
          <w:t>ABS cat 4364.0.55.001</w:t>
        </w:r>
      </w:hyperlink>
      <w:r w:rsidR="0085388D" w:rsidRPr="005F4560">
        <w:rPr>
          <w:rFonts w:cstheme="minorHAnsi"/>
          <w:szCs w:val="20"/>
        </w:rPr>
        <w:t>)</w:t>
      </w:r>
      <w:r w:rsidRPr="005F4560">
        <w:rPr>
          <w:rFonts w:cstheme="minorHAnsi"/>
          <w:szCs w:val="20"/>
        </w:rPr>
        <w:t>.</w:t>
      </w:r>
      <w:r w:rsidR="0085388D" w:rsidRPr="005F4560">
        <w:rPr>
          <w:rFonts w:cstheme="minorHAnsi"/>
          <w:szCs w:val="20"/>
        </w:rPr>
        <w:t xml:space="preserve"> </w:t>
      </w:r>
      <w:r w:rsidRPr="005F4560">
        <w:rPr>
          <w:rFonts w:cstheme="minorHAnsi"/>
          <w:szCs w:val="20"/>
        </w:rPr>
        <w:t xml:space="preserve"> </w:t>
      </w:r>
      <w:r w:rsidR="00FD0376" w:rsidRPr="005F4560">
        <w:rPr>
          <w:rFonts w:cstheme="minorHAnsi"/>
          <w:szCs w:val="20"/>
        </w:rPr>
        <w:t xml:space="preserve">It is estimated that </w:t>
      </w:r>
      <w:r w:rsidR="005304F5" w:rsidRPr="005F4560">
        <w:rPr>
          <w:rFonts w:cstheme="minorHAnsi"/>
          <w:szCs w:val="20"/>
        </w:rPr>
        <w:t>≈</w:t>
      </w:r>
      <w:r w:rsidR="00FD0376" w:rsidRPr="005F4560">
        <w:rPr>
          <w:rFonts w:cstheme="minorHAnsi"/>
          <w:szCs w:val="20"/>
        </w:rPr>
        <w:t>15% of Australians have a BMI≥30&lt; 35 kg/m</w:t>
      </w:r>
      <w:r w:rsidR="00FD0376" w:rsidRPr="005F4560">
        <w:rPr>
          <w:rFonts w:cstheme="minorHAnsi"/>
          <w:szCs w:val="20"/>
          <w:vertAlign w:val="superscript"/>
        </w:rPr>
        <w:t>2</w:t>
      </w:r>
      <w:r w:rsidR="00FD0376" w:rsidRPr="005F4560">
        <w:rPr>
          <w:rFonts w:cstheme="minorHAnsi"/>
          <w:szCs w:val="20"/>
        </w:rPr>
        <w:t xml:space="preserve"> (see </w:t>
      </w:r>
      <w:r w:rsidR="00FD0376" w:rsidRPr="005F4560">
        <w:rPr>
          <w:rFonts w:cstheme="minorHAnsi"/>
          <w:szCs w:val="20"/>
        </w:rPr>
        <w:fldChar w:fldCharType="begin"/>
      </w:r>
      <w:r w:rsidR="00FD0376" w:rsidRPr="005F4560">
        <w:rPr>
          <w:rFonts w:cstheme="minorHAnsi"/>
          <w:szCs w:val="20"/>
        </w:rPr>
        <w:instrText xml:space="preserve"> REF _Ref496963426 \h </w:instrText>
      </w:r>
      <w:r w:rsidR="00017C51" w:rsidRPr="005F4560">
        <w:rPr>
          <w:rFonts w:cstheme="minorHAnsi"/>
          <w:szCs w:val="20"/>
        </w:rPr>
        <w:instrText xml:space="preserve"> \* MERGEFORMAT </w:instrText>
      </w:r>
      <w:r w:rsidR="00FD0376" w:rsidRPr="005F4560">
        <w:rPr>
          <w:rFonts w:cstheme="minorHAnsi"/>
          <w:szCs w:val="20"/>
        </w:rPr>
      </w:r>
      <w:r w:rsidR="00FD0376" w:rsidRPr="005F4560">
        <w:rPr>
          <w:rFonts w:cstheme="minorHAnsi"/>
          <w:szCs w:val="20"/>
        </w:rPr>
        <w:fldChar w:fldCharType="separate"/>
      </w:r>
      <w:r w:rsidR="00FD0376" w:rsidRPr="005F4560">
        <w:t>Table 1</w:t>
      </w:r>
      <w:r w:rsidR="00FD0376" w:rsidRPr="005F4560">
        <w:rPr>
          <w:rFonts w:cstheme="minorHAnsi"/>
          <w:szCs w:val="20"/>
        </w:rPr>
        <w:fldChar w:fldCharType="end"/>
      </w:r>
      <w:r w:rsidR="00FD0376" w:rsidRPr="005F4560">
        <w:rPr>
          <w:rFonts w:cstheme="minorHAnsi"/>
          <w:szCs w:val="20"/>
        </w:rPr>
        <w:t xml:space="preserve">). </w:t>
      </w:r>
      <w:r w:rsidRPr="005F4560">
        <w:rPr>
          <w:rFonts w:cstheme="minorHAnsi"/>
          <w:szCs w:val="20"/>
        </w:rPr>
        <w:t xml:space="preserve">Obesity is </w:t>
      </w:r>
      <w:r w:rsidR="005304F5" w:rsidRPr="005F4560">
        <w:rPr>
          <w:rFonts w:cstheme="minorHAnsi"/>
          <w:szCs w:val="20"/>
        </w:rPr>
        <w:t xml:space="preserve">often </w:t>
      </w:r>
      <w:r w:rsidRPr="005F4560">
        <w:rPr>
          <w:rFonts w:cstheme="minorHAnsi"/>
          <w:szCs w:val="20"/>
        </w:rPr>
        <w:t xml:space="preserve">associated with a broad range of complications including type 2 diabetes, cardiovascular disease, dyslipidaemia, sleep apnoea, osteoarthritis, and </w:t>
      </w:r>
      <w:r w:rsidR="00EF05D1" w:rsidRPr="005F4560">
        <w:rPr>
          <w:rFonts w:cstheme="minorHAnsi"/>
          <w:szCs w:val="20"/>
        </w:rPr>
        <w:t>specific</w:t>
      </w:r>
      <w:r w:rsidRPr="005F4560">
        <w:rPr>
          <w:rFonts w:cstheme="minorHAnsi"/>
          <w:szCs w:val="20"/>
        </w:rPr>
        <w:t xml:space="preserve"> cancers, which significantly impair quality of life. </w:t>
      </w:r>
      <w:r w:rsidR="00D14C65" w:rsidRPr="005F4560">
        <w:rPr>
          <w:rFonts w:cstheme="minorHAnsi"/>
          <w:szCs w:val="20"/>
        </w:rPr>
        <w:t xml:space="preserve"> The total burden of disease</w:t>
      </w:r>
      <w:r w:rsidR="003E616F" w:rsidRPr="005F4560">
        <w:rPr>
          <w:rFonts w:cstheme="minorHAnsi"/>
          <w:szCs w:val="20"/>
        </w:rPr>
        <w:t xml:space="preserve"> due to obesity</w:t>
      </w:r>
      <w:r w:rsidR="00B03C28" w:rsidRPr="005F4560">
        <w:rPr>
          <w:rFonts w:cstheme="minorHAnsi"/>
          <w:szCs w:val="20"/>
        </w:rPr>
        <w:t>,</w:t>
      </w:r>
      <w:r w:rsidR="00D14C65" w:rsidRPr="005F4560">
        <w:rPr>
          <w:rFonts w:cstheme="minorHAnsi"/>
          <w:szCs w:val="20"/>
        </w:rPr>
        <w:t xml:space="preserve"> </w:t>
      </w:r>
      <w:r w:rsidR="00B03C28" w:rsidRPr="005F4560">
        <w:rPr>
          <w:rFonts w:cstheme="minorHAnsi"/>
          <w:szCs w:val="20"/>
        </w:rPr>
        <w:t xml:space="preserve">as reported in the </w:t>
      </w:r>
      <w:hyperlink r:id="rId12" w:history="1">
        <w:r w:rsidR="00B03C28" w:rsidRPr="005F4560">
          <w:rPr>
            <w:rStyle w:val="Hyperlink"/>
            <w:rFonts w:cstheme="minorHAnsi"/>
            <w:color w:val="auto"/>
            <w:szCs w:val="20"/>
          </w:rPr>
          <w:t>Medibank Obesity Report</w:t>
        </w:r>
      </w:hyperlink>
      <w:r w:rsidR="00B03C28" w:rsidRPr="005F4560">
        <w:rPr>
          <w:rFonts w:cstheme="minorHAnsi"/>
          <w:szCs w:val="20"/>
        </w:rPr>
        <w:t xml:space="preserve">, </w:t>
      </w:r>
      <w:r w:rsidR="00D14C65" w:rsidRPr="005F4560">
        <w:rPr>
          <w:rFonts w:cstheme="minorHAnsi"/>
          <w:szCs w:val="20"/>
        </w:rPr>
        <w:t xml:space="preserve">was $37.7 billion in 2008-09.  </w:t>
      </w:r>
      <w:r w:rsidR="00EF05D1" w:rsidRPr="005F4560">
        <w:rPr>
          <w:rFonts w:cstheme="minorHAnsi"/>
          <w:szCs w:val="20"/>
        </w:rPr>
        <w:t xml:space="preserve">The </w:t>
      </w:r>
      <w:r w:rsidR="003A318E" w:rsidRPr="005F4560">
        <w:rPr>
          <w:rFonts w:cstheme="minorHAnsi"/>
          <w:szCs w:val="20"/>
        </w:rPr>
        <w:t xml:space="preserve">latest </w:t>
      </w:r>
      <w:hyperlink r:id="rId13" w:history="1">
        <w:r w:rsidR="003A318E" w:rsidRPr="005F4560">
          <w:rPr>
            <w:rStyle w:val="Hyperlink"/>
            <w:rFonts w:cstheme="minorHAnsi"/>
            <w:color w:val="auto"/>
            <w:szCs w:val="20"/>
          </w:rPr>
          <w:t>Price Waterhouse Coopers report</w:t>
        </w:r>
      </w:hyperlink>
      <w:r w:rsidR="003A318E" w:rsidRPr="005F4560">
        <w:rPr>
          <w:rFonts w:cstheme="minorHAnsi"/>
          <w:szCs w:val="20"/>
        </w:rPr>
        <w:t xml:space="preserve"> estimated the </w:t>
      </w:r>
      <w:r w:rsidR="00EF05D1" w:rsidRPr="005F4560">
        <w:rPr>
          <w:rFonts w:cstheme="minorHAnsi"/>
          <w:szCs w:val="20"/>
        </w:rPr>
        <w:t>downstream effects of obesity on other health care costs, productivity etc., in 20</w:t>
      </w:r>
      <w:r w:rsidR="003A318E" w:rsidRPr="005F4560">
        <w:rPr>
          <w:rFonts w:cstheme="minorHAnsi"/>
          <w:szCs w:val="20"/>
        </w:rPr>
        <w:t>14-15</w:t>
      </w:r>
      <w:r w:rsidR="00EF05D1" w:rsidRPr="005F4560">
        <w:rPr>
          <w:rFonts w:cstheme="minorHAnsi"/>
          <w:szCs w:val="20"/>
        </w:rPr>
        <w:t xml:space="preserve"> </w:t>
      </w:r>
      <w:r w:rsidR="003A318E" w:rsidRPr="005F4560">
        <w:rPr>
          <w:rFonts w:cstheme="minorHAnsi"/>
          <w:szCs w:val="20"/>
        </w:rPr>
        <w:t>to be</w:t>
      </w:r>
      <w:r w:rsidR="00EF05D1" w:rsidRPr="005F4560">
        <w:rPr>
          <w:rFonts w:cstheme="minorHAnsi"/>
          <w:szCs w:val="20"/>
        </w:rPr>
        <w:t xml:space="preserve"> at $8.</w:t>
      </w:r>
      <w:r w:rsidR="003A318E" w:rsidRPr="005F4560">
        <w:rPr>
          <w:rFonts w:cstheme="minorHAnsi"/>
          <w:szCs w:val="20"/>
        </w:rPr>
        <w:t xml:space="preserve">6 </w:t>
      </w:r>
      <w:r w:rsidR="00EF05D1" w:rsidRPr="005F4560">
        <w:rPr>
          <w:rFonts w:cstheme="minorHAnsi"/>
          <w:szCs w:val="20"/>
        </w:rPr>
        <w:t>billion.</w:t>
      </w:r>
      <w:bookmarkStart w:id="1" w:name="_Ref487465543"/>
      <w:r w:rsidR="003A318E" w:rsidRPr="005F4560" w:rsidDel="003A318E">
        <w:rPr>
          <w:rStyle w:val="FootnoteReference"/>
          <w:rFonts w:cstheme="minorHAnsi"/>
          <w:szCs w:val="20"/>
        </w:rPr>
        <w:t xml:space="preserve"> </w:t>
      </w:r>
      <w:bookmarkEnd w:id="1"/>
      <w:r w:rsidR="00D14C65" w:rsidRPr="005F4560">
        <w:rPr>
          <w:rFonts w:cstheme="minorHAnsi"/>
          <w:szCs w:val="20"/>
        </w:rPr>
        <w:t xml:space="preserve"> </w:t>
      </w:r>
    </w:p>
    <w:p w14:paraId="40CD7FCF" w14:textId="50B5F317" w:rsidR="000955E7" w:rsidRPr="005F4560" w:rsidRDefault="000955E7" w:rsidP="004A0BF4">
      <w:pPr>
        <w:pStyle w:val="Heading2"/>
      </w:pPr>
      <w:r w:rsidRPr="005F4560">
        <w:t>Prov</w:t>
      </w:r>
      <w:r w:rsidR="00D11EB1" w:rsidRPr="005F4560">
        <w:t>i</w:t>
      </w:r>
      <w:r w:rsidRPr="005F4560">
        <w:t>de a succinct description of the proposed medical service (no more than 150 words</w:t>
      </w:r>
      <w:r w:rsidR="00C847AE" w:rsidRPr="005F4560">
        <w:t xml:space="preserve"> </w:t>
      </w:r>
      <w:r w:rsidR="00F93784" w:rsidRPr="005F4560">
        <w:t xml:space="preserve">– </w:t>
      </w:r>
      <w:r w:rsidR="00C847AE" w:rsidRPr="005F4560">
        <w:t>further</w:t>
      </w:r>
      <w:r w:rsidR="00F93784" w:rsidRPr="005F4560">
        <w:t xml:space="preserve"> information will be </w:t>
      </w:r>
      <w:r w:rsidR="00C847AE" w:rsidRPr="005F4560">
        <w:t>requested</w:t>
      </w:r>
      <w:r w:rsidR="00F93784" w:rsidRPr="005F4560">
        <w:t xml:space="preserve"> </w:t>
      </w:r>
      <w:r w:rsidR="00883641" w:rsidRPr="005F4560">
        <w:t>at</w:t>
      </w:r>
      <w:r w:rsidR="00C847AE" w:rsidRPr="005F4560">
        <w:t xml:space="preserve"> </w:t>
      </w:r>
      <w:r w:rsidR="00026412" w:rsidRPr="005F4560">
        <w:t>Part 6</w:t>
      </w:r>
      <w:r w:rsidR="00C847AE" w:rsidRPr="005F4560">
        <w:t xml:space="preserve"> of the Application Form</w:t>
      </w:r>
      <w:r w:rsidRPr="005F4560">
        <w:t>)</w:t>
      </w:r>
      <w:r w:rsidR="00D977E1">
        <w:t>.</w:t>
      </w:r>
    </w:p>
    <w:p w14:paraId="0A7956BF" w14:textId="4EA14CD0" w:rsidR="008C4C08" w:rsidRPr="005F4560" w:rsidRDefault="008C4C08" w:rsidP="00062F0B">
      <w:pPr>
        <w:autoSpaceDE w:val="0"/>
        <w:autoSpaceDN w:val="0"/>
        <w:adjustRightInd w:val="0"/>
        <w:spacing w:before="0" w:after="0"/>
        <w:jc w:val="both"/>
        <w:rPr>
          <w:rFonts w:cstheme="minorHAnsi"/>
          <w:szCs w:val="20"/>
        </w:rPr>
      </w:pPr>
      <w:r w:rsidRPr="005F4560">
        <w:rPr>
          <w:rFonts w:cstheme="minorHAnsi"/>
          <w:szCs w:val="20"/>
        </w:rPr>
        <w:t>The intra</w:t>
      </w:r>
      <w:r w:rsidR="00860B2D" w:rsidRPr="005F4560">
        <w:rPr>
          <w:rFonts w:cstheme="minorHAnsi"/>
          <w:szCs w:val="20"/>
        </w:rPr>
        <w:t>-</w:t>
      </w:r>
      <w:r w:rsidRPr="005F4560">
        <w:rPr>
          <w:rFonts w:cstheme="minorHAnsi"/>
          <w:szCs w:val="20"/>
        </w:rPr>
        <w:t>gastric balloon</w:t>
      </w:r>
      <w:r w:rsidR="006A4515" w:rsidRPr="005F4560">
        <w:rPr>
          <w:rFonts w:cstheme="minorHAnsi"/>
          <w:szCs w:val="20"/>
        </w:rPr>
        <w:t xml:space="preserve"> (IGB)</w:t>
      </w:r>
      <w:r w:rsidRPr="005F4560">
        <w:rPr>
          <w:rFonts w:cstheme="minorHAnsi"/>
          <w:szCs w:val="20"/>
        </w:rPr>
        <w:t xml:space="preserve"> system is designed to assist weight loss by partially filling the stomach and inducing satiety. </w:t>
      </w:r>
      <w:r w:rsidR="00860B2D" w:rsidRPr="005F4560">
        <w:rPr>
          <w:rFonts w:cstheme="minorHAnsi"/>
          <w:szCs w:val="20"/>
        </w:rPr>
        <w:t xml:space="preserve"> </w:t>
      </w:r>
      <w:r w:rsidRPr="005F4560">
        <w:rPr>
          <w:rFonts w:cstheme="minorHAnsi"/>
          <w:szCs w:val="20"/>
        </w:rPr>
        <w:t xml:space="preserve">The balloon is placed in the stomach </w:t>
      </w:r>
      <w:proofErr w:type="spellStart"/>
      <w:r w:rsidRPr="005F4560">
        <w:rPr>
          <w:rFonts w:cstheme="minorHAnsi"/>
          <w:szCs w:val="20"/>
        </w:rPr>
        <w:t>endoscopically</w:t>
      </w:r>
      <w:proofErr w:type="spellEnd"/>
      <w:r w:rsidRPr="005F4560">
        <w:rPr>
          <w:rFonts w:cstheme="minorHAnsi"/>
          <w:szCs w:val="20"/>
        </w:rPr>
        <w:t xml:space="preserve"> and then filled with saline, causing it to expand into a spherical shape. </w:t>
      </w:r>
      <w:r w:rsidR="00860B2D" w:rsidRPr="005F4560">
        <w:rPr>
          <w:rFonts w:cstheme="minorHAnsi"/>
          <w:szCs w:val="20"/>
        </w:rPr>
        <w:t xml:space="preserve"> </w:t>
      </w:r>
      <w:r w:rsidRPr="005F4560">
        <w:rPr>
          <w:rFonts w:cstheme="minorHAnsi"/>
          <w:szCs w:val="20"/>
        </w:rPr>
        <w:t>The filled balloon is designed to act as an artificial bezoar and move freely within the stomach. The maximum placement period for the intra</w:t>
      </w:r>
      <w:r w:rsidR="00860B2D" w:rsidRPr="005F4560">
        <w:rPr>
          <w:rFonts w:cstheme="minorHAnsi"/>
          <w:szCs w:val="20"/>
        </w:rPr>
        <w:t>-</w:t>
      </w:r>
      <w:r w:rsidRPr="005F4560">
        <w:rPr>
          <w:rFonts w:cstheme="minorHAnsi"/>
          <w:szCs w:val="20"/>
        </w:rPr>
        <w:t>gastric balloon is 6 months, and it must be removed at that time or earlier.</w:t>
      </w:r>
      <w:r w:rsidR="007A3ACF" w:rsidRPr="005F4560">
        <w:rPr>
          <w:rFonts w:cstheme="minorHAnsi"/>
          <w:szCs w:val="20"/>
        </w:rPr>
        <w:t xml:space="preserve"> This submission is focused on evidence pertaining to </w:t>
      </w:r>
      <w:proofErr w:type="spellStart"/>
      <w:r w:rsidR="00DC685F">
        <w:rPr>
          <w:rFonts w:cstheme="minorHAnsi"/>
          <w:szCs w:val="20"/>
        </w:rPr>
        <w:t>Orbera</w:t>
      </w:r>
      <w:proofErr w:type="spellEnd"/>
      <w:r w:rsidR="00DC685F">
        <w:rPr>
          <w:rFonts w:cstheme="minorHAnsi"/>
          <w:szCs w:val="20"/>
        </w:rPr>
        <w:t>™</w:t>
      </w:r>
      <w:r w:rsidR="007A3ACF" w:rsidRPr="005F4560">
        <w:rPr>
          <w:rFonts w:cstheme="minorHAnsi"/>
          <w:szCs w:val="20"/>
        </w:rPr>
        <w:t>, but the MBS item codes requested are not restricted to a particular IGB device.</w:t>
      </w:r>
    </w:p>
    <w:p w14:paraId="56A14664" w14:textId="18A8E74C" w:rsidR="00D11EB1" w:rsidRPr="005F4560" w:rsidRDefault="008C4C08" w:rsidP="004A0BF4">
      <w:pPr>
        <w:pStyle w:val="Heading2"/>
      </w:pPr>
      <w:r w:rsidRPr="005F4560" w:rsidDel="008C4C08">
        <w:t xml:space="preserve"> </w:t>
      </w:r>
      <w:r w:rsidR="00730C04" w:rsidRPr="005F4560">
        <w:t xml:space="preserve">(a) </w:t>
      </w:r>
      <w:r w:rsidR="00D11EB1" w:rsidRPr="005F4560">
        <w:t>Is this a request for MBS funding?</w:t>
      </w:r>
    </w:p>
    <w:p w14:paraId="04164093" w14:textId="77777777" w:rsidR="00753C44" w:rsidRPr="005F4560" w:rsidRDefault="009C7E0B" w:rsidP="00A6491A">
      <w:pPr>
        <w:spacing w:before="0" w:after="0"/>
        <w:ind w:left="284"/>
        <w:rPr>
          <w:szCs w:val="20"/>
        </w:rPr>
      </w:pPr>
      <w:r w:rsidRPr="005F4560">
        <w:rPr>
          <w:szCs w:val="20"/>
        </w:rPr>
        <w:fldChar w:fldCharType="begin">
          <w:ffData>
            <w:name w:val="Check2"/>
            <w:enabled/>
            <w:calcOnExit w:val="0"/>
            <w:checkBox>
              <w:sizeAuto/>
              <w:default w:val="1"/>
            </w:checkBox>
          </w:ffData>
        </w:fldChar>
      </w:r>
      <w:r w:rsidRPr="005F4560">
        <w:rPr>
          <w:szCs w:val="20"/>
        </w:rPr>
        <w:instrText xml:space="preserve"> </w:instrText>
      </w:r>
      <w:bookmarkStart w:id="2" w:name="Check2"/>
      <w:r w:rsidRPr="005F4560">
        <w:rPr>
          <w:szCs w:val="20"/>
        </w:rPr>
        <w:instrText xml:space="preserve">FORMCHECKBOX </w:instrText>
      </w:r>
      <w:r w:rsidR="009878BB">
        <w:rPr>
          <w:szCs w:val="20"/>
        </w:rPr>
      </w:r>
      <w:r w:rsidR="009878BB">
        <w:rPr>
          <w:szCs w:val="20"/>
        </w:rPr>
        <w:fldChar w:fldCharType="separate"/>
      </w:r>
      <w:r w:rsidRPr="005F4560">
        <w:rPr>
          <w:szCs w:val="20"/>
        </w:rPr>
        <w:fldChar w:fldCharType="end"/>
      </w:r>
      <w:bookmarkEnd w:id="2"/>
      <w:r w:rsidR="006B6390" w:rsidRPr="005F4560">
        <w:rPr>
          <w:szCs w:val="20"/>
        </w:rPr>
        <w:t>Yes</w:t>
      </w:r>
    </w:p>
    <w:p w14:paraId="64B7FD80" w14:textId="77777777" w:rsidR="00753C44" w:rsidRPr="005F4560" w:rsidRDefault="006B6390" w:rsidP="00A6491A">
      <w:pPr>
        <w:spacing w:before="0" w:after="0"/>
        <w:ind w:left="284"/>
        <w:rPr>
          <w:szCs w:val="20"/>
        </w:rPr>
      </w:pPr>
      <w:r w:rsidRPr="005F4560">
        <w:rPr>
          <w:szCs w:val="20"/>
        </w:rPr>
        <w:fldChar w:fldCharType="begin">
          <w:ffData>
            <w:name w:val="Check2"/>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No</w:t>
      </w:r>
      <w:r w:rsidR="00753C44" w:rsidRPr="005F4560">
        <w:rPr>
          <w:szCs w:val="20"/>
        </w:rPr>
        <w:t xml:space="preserve">  </w:t>
      </w:r>
    </w:p>
    <w:p w14:paraId="0184F6E3" w14:textId="77777777" w:rsidR="000B3CD0" w:rsidRPr="005F4560" w:rsidRDefault="000B3CD0" w:rsidP="00555876">
      <w:pPr>
        <w:pStyle w:val="Heading2"/>
        <w:numPr>
          <w:ilvl w:val="0"/>
          <w:numId w:val="3"/>
        </w:numPr>
        <w:rPr>
          <w:rStyle w:val="Strong"/>
          <w:rFonts w:asciiTheme="minorHAnsi" w:eastAsiaTheme="minorHAnsi" w:hAnsiTheme="minorHAnsi" w:cstheme="minorBidi"/>
          <w:b/>
          <w:szCs w:val="22"/>
        </w:rPr>
      </w:pPr>
      <w:r w:rsidRPr="005F4560">
        <w:rPr>
          <w:rStyle w:val="Strong"/>
          <w:rFonts w:asciiTheme="minorHAnsi" w:eastAsiaTheme="minorHAnsi" w:hAnsiTheme="minorHAnsi" w:cstheme="minorBidi"/>
          <w:b/>
        </w:rPr>
        <w:t>I</w:t>
      </w:r>
      <w:r w:rsidR="003020B5" w:rsidRPr="005F4560">
        <w:rPr>
          <w:rStyle w:val="Strong"/>
          <w:rFonts w:asciiTheme="minorHAnsi" w:eastAsiaTheme="minorHAnsi" w:hAnsiTheme="minorHAnsi" w:cstheme="minorBidi"/>
          <w:b/>
        </w:rPr>
        <w:t xml:space="preserve">f </w:t>
      </w:r>
      <w:r w:rsidR="00D11EB1" w:rsidRPr="005F4560">
        <w:rPr>
          <w:rStyle w:val="Strong"/>
          <w:rFonts w:asciiTheme="minorHAnsi" w:eastAsiaTheme="minorHAnsi" w:hAnsiTheme="minorHAnsi" w:cstheme="minorBidi"/>
          <w:b/>
        </w:rPr>
        <w:t xml:space="preserve">yes, is </w:t>
      </w:r>
      <w:r w:rsidRPr="005F4560">
        <w:rPr>
          <w:rStyle w:val="Strong"/>
          <w:rFonts w:asciiTheme="minorHAnsi" w:eastAsiaTheme="minorHAnsi" w:hAnsiTheme="minorHAnsi" w:cstheme="minorBidi"/>
          <w:b/>
        </w:rPr>
        <w:t>the medical service</w:t>
      </w:r>
      <w:r w:rsidR="005D0677" w:rsidRPr="005F4560">
        <w:rPr>
          <w:rStyle w:val="Strong"/>
          <w:rFonts w:asciiTheme="minorHAnsi" w:eastAsiaTheme="minorHAnsi" w:hAnsiTheme="minorHAnsi" w:cstheme="minorBidi"/>
          <w:b/>
        </w:rPr>
        <w:t>(s)</w:t>
      </w:r>
      <w:r w:rsidRPr="005F4560">
        <w:rPr>
          <w:rStyle w:val="Strong"/>
          <w:rFonts w:asciiTheme="minorHAnsi" w:eastAsiaTheme="minorHAnsi" w:hAnsiTheme="minorHAnsi" w:cstheme="minorBidi"/>
          <w:b/>
        </w:rPr>
        <w:t xml:space="preserve"> </w:t>
      </w:r>
      <w:r w:rsidR="00F83566" w:rsidRPr="005F4560">
        <w:rPr>
          <w:rStyle w:val="Strong"/>
          <w:rFonts w:asciiTheme="minorHAnsi" w:eastAsiaTheme="minorHAnsi" w:hAnsiTheme="minorHAnsi" w:cstheme="minorBidi"/>
          <w:b/>
        </w:rPr>
        <w:t xml:space="preserve">proposed to be </w:t>
      </w:r>
      <w:r w:rsidRPr="005F4560">
        <w:rPr>
          <w:rStyle w:val="Strong"/>
          <w:rFonts w:asciiTheme="minorHAnsi" w:eastAsiaTheme="minorHAnsi" w:hAnsiTheme="minorHAnsi" w:cstheme="minorBidi"/>
          <w:b/>
        </w:rPr>
        <w:t xml:space="preserve">covered under an existing </w:t>
      </w:r>
      <w:r w:rsidR="00F83566" w:rsidRPr="005F4560">
        <w:rPr>
          <w:rStyle w:val="Strong"/>
          <w:rFonts w:asciiTheme="minorHAnsi" w:eastAsiaTheme="minorHAnsi" w:hAnsiTheme="minorHAnsi" w:cstheme="minorBidi"/>
          <w:b/>
        </w:rPr>
        <w:t>MBS item number</w:t>
      </w:r>
      <w:r w:rsidR="005D0677" w:rsidRPr="005F4560">
        <w:rPr>
          <w:rStyle w:val="Strong"/>
          <w:rFonts w:asciiTheme="minorHAnsi" w:eastAsiaTheme="minorHAnsi" w:hAnsiTheme="minorHAnsi" w:cstheme="minorBidi"/>
          <w:b/>
        </w:rPr>
        <w:t>(s)</w:t>
      </w:r>
      <w:r w:rsidR="003020B5" w:rsidRPr="005F4560">
        <w:rPr>
          <w:rStyle w:val="Strong"/>
          <w:rFonts w:asciiTheme="minorHAnsi" w:eastAsiaTheme="minorHAnsi" w:hAnsiTheme="minorHAnsi" w:cstheme="minorBidi"/>
          <w:b/>
        </w:rPr>
        <w:t xml:space="preserve"> or is a new MBS item</w:t>
      </w:r>
      <w:r w:rsidR="005D0677" w:rsidRPr="005F4560">
        <w:rPr>
          <w:rStyle w:val="Strong"/>
          <w:rFonts w:asciiTheme="minorHAnsi" w:eastAsiaTheme="minorHAnsi" w:hAnsiTheme="minorHAnsi" w:cstheme="minorBidi"/>
          <w:b/>
        </w:rPr>
        <w:t>(s)</w:t>
      </w:r>
      <w:r w:rsidR="003020B5" w:rsidRPr="005F4560">
        <w:rPr>
          <w:rStyle w:val="Strong"/>
          <w:rFonts w:asciiTheme="minorHAnsi" w:eastAsiaTheme="minorHAnsi" w:hAnsiTheme="minorHAnsi" w:cstheme="minorBidi"/>
          <w:b/>
        </w:rPr>
        <w:t xml:space="preserve"> being sought altogether</w:t>
      </w:r>
      <w:r w:rsidRPr="005F4560">
        <w:rPr>
          <w:rStyle w:val="Strong"/>
          <w:rFonts w:asciiTheme="minorHAnsi" w:eastAsiaTheme="minorHAnsi" w:hAnsiTheme="minorHAnsi" w:cstheme="minorBidi"/>
          <w:b/>
        </w:rPr>
        <w:t>?</w:t>
      </w:r>
    </w:p>
    <w:p w14:paraId="65001EB5" w14:textId="77777777" w:rsidR="00753C44" w:rsidRPr="005F4560" w:rsidRDefault="006B6390" w:rsidP="00A6491A">
      <w:pPr>
        <w:spacing w:before="0" w:after="0"/>
        <w:ind w:left="284"/>
        <w:rPr>
          <w:szCs w:val="20"/>
        </w:rPr>
      </w:pPr>
      <w:r w:rsidRPr="005F4560">
        <w:rPr>
          <w:szCs w:val="20"/>
        </w:rPr>
        <w:fldChar w:fldCharType="begin">
          <w:ffData>
            <w:name w:val="Check2"/>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w:t>
      </w:r>
      <w:r w:rsidR="00753C44" w:rsidRPr="005F4560">
        <w:rPr>
          <w:szCs w:val="20"/>
        </w:rPr>
        <w:t>Amendment to existing MBS item(s)</w:t>
      </w:r>
    </w:p>
    <w:p w14:paraId="50A6E118" w14:textId="731F1E38" w:rsidR="00753C44" w:rsidRPr="005F4560" w:rsidRDefault="009C7E0B" w:rsidP="00A6491A">
      <w:pPr>
        <w:spacing w:before="0" w:after="0"/>
        <w:ind w:left="284"/>
        <w:rPr>
          <w:szCs w:val="20"/>
        </w:rPr>
      </w:pPr>
      <w:r w:rsidRPr="005F4560">
        <w:rPr>
          <w:szCs w:val="20"/>
        </w:rPr>
        <w:fldChar w:fldCharType="begin">
          <w:ffData>
            <w:name w:val=""/>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860B2D" w:rsidRPr="005F4560">
        <w:rPr>
          <w:szCs w:val="20"/>
        </w:rPr>
        <w:t xml:space="preserve"> </w:t>
      </w:r>
      <w:r w:rsidR="00753C44" w:rsidRPr="005F4560">
        <w:rPr>
          <w:szCs w:val="20"/>
        </w:rPr>
        <w:t>New MBS item(s)</w:t>
      </w:r>
    </w:p>
    <w:p w14:paraId="2D1624C5" w14:textId="77777777" w:rsidR="000B3CD0" w:rsidRPr="005F4560" w:rsidRDefault="000B3CD0" w:rsidP="00555876">
      <w:pPr>
        <w:pStyle w:val="Heading2"/>
        <w:numPr>
          <w:ilvl w:val="0"/>
          <w:numId w:val="3"/>
        </w:numPr>
        <w:rPr>
          <w:rStyle w:val="Strong"/>
          <w:rFonts w:asciiTheme="minorHAnsi" w:eastAsiaTheme="minorHAnsi" w:hAnsiTheme="minorHAnsi" w:cstheme="minorBidi"/>
          <w:b/>
          <w:szCs w:val="22"/>
        </w:rPr>
      </w:pPr>
      <w:r w:rsidRPr="005F4560">
        <w:rPr>
          <w:rStyle w:val="Strong"/>
          <w:rFonts w:asciiTheme="minorHAnsi" w:eastAsiaTheme="minorHAnsi" w:hAnsiTheme="minorHAnsi" w:cstheme="minorBidi"/>
          <w:b/>
        </w:rPr>
        <w:t xml:space="preserve">If </w:t>
      </w:r>
      <w:r w:rsidR="00126B33" w:rsidRPr="005F4560">
        <w:rPr>
          <w:rStyle w:val="Strong"/>
          <w:rFonts w:asciiTheme="minorHAnsi" w:eastAsiaTheme="minorHAnsi" w:hAnsiTheme="minorHAnsi" w:cstheme="minorBidi"/>
          <w:b/>
        </w:rPr>
        <w:t xml:space="preserve">an amendment </w:t>
      </w:r>
      <w:r w:rsidR="003020B5" w:rsidRPr="005F4560">
        <w:rPr>
          <w:rStyle w:val="Strong"/>
          <w:rFonts w:asciiTheme="minorHAnsi" w:eastAsiaTheme="minorHAnsi" w:hAnsiTheme="minorHAnsi" w:cstheme="minorBidi"/>
          <w:b/>
        </w:rPr>
        <w:t xml:space="preserve">to </w:t>
      </w:r>
      <w:r w:rsidR="00126B33" w:rsidRPr="005F4560">
        <w:rPr>
          <w:rStyle w:val="Strong"/>
          <w:rFonts w:asciiTheme="minorHAnsi" w:eastAsiaTheme="minorHAnsi" w:hAnsiTheme="minorHAnsi" w:cstheme="minorBidi"/>
          <w:b/>
        </w:rPr>
        <w:t xml:space="preserve">an </w:t>
      </w:r>
      <w:r w:rsidR="003020B5" w:rsidRPr="005F4560">
        <w:rPr>
          <w:rStyle w:val="Strong"/>
          <w:rFonts w:asciiTheme="minorHAnsi" w:eastAsiaTheme="minorHAnsi" w:hAnsiTheme="minorHAnsi" w:cstheme="minorBidi"/>
          <w:b/>
        </w:rPr>
        <w:t>existing item</w:t>
      </w:r>
      <w:r w:rsidR="005D0677" w:rsidRPr="005F4560">
        <w:rPr>
          <w:rStyle w:val="Strong"/>
          <w:rFonts w:asciiTheme="minorHAnsi" w:eastAsiaTheme="minorHAnsi" w:hAnsiTheme="minorHAnsi" w:cstheme="minorBidi"/>
          <w:b/>
        </w:rPr>
        <w:t>(s)</w:t>
      </w:r>
      <w:r w:rsidR="00126B33" w:rsidRPr="005F4560">
        <w:rPr>
          <w:rStyle w:val="Strong"/>
          <w:rFonts w:asciiTheme="minorHAnsi" w:eastAsiaTheme="minorHAnsi" w:hAnsiTheme="minorHAnsi" w:cstheme="minorBidi"/>
          <w:b/>
        </w:rPr>
        <w:t xml:space="preserve"> is being sought</w:t>
      </w:r>
      <w:r w:rsidR="003020B5" w:rsidRPr="005F4560">
        <w:rPr>
          <w:rStyle w:val="Strong"/>
          <w:rFonts w:asciiTheme="minorHAnsi" w:eastAsiaTheme="minorHAnsi" w:hAnsiTheme="minorHAnsi" w:cstheme="minorBidi"/>
          <w:b/>
        </w:rPr>
        <w:t>,</w:t>
      </w:r>
      <w:r w:rsidRPr="005F4560">
        <w:rPr>
          <w:rStyle w:val="Strong"/>
          <w:rFonts w:asciiTheme="minorHAnsi" w:eastAsiaTheme="minorHAnsi" w:hAnsiTheme="minorHAnsi" w:cstheme="minorBidi"/>
          <w:b/>
        </w:rPr>
        <w:t xml:space="preserve"> please </w:t>
      </w:r>
      <w:r w:rsidR="00126B33" w:rsidRPr="005F4560">
        <w:rPr>
          <w:rStyle w:val="Strong"/>
          <w:rFonts w:asciiTheme="minorHAnsi" w:eastAsiaTheme="minorHAnsi" w:hAnsiTheme="minorHAnsi" w:cstheme="minorBidi"/>
          <w:b/>
        </w:rPr>
        <w:t xml:space="preserve">list </w:t>
      </w:r>
      <w:r w:rsidRPr="005F4560">
        <w:rPr>
          <w:rStyle w:val="Strong"/>
          <w:rFonts w:asciiTheme="minorHAnsi" w:eastAsiaTheme="minorHAnsi" w:hAnsiTheme="minorHAnsi" w:cstheme="minorBidi"/>
          <w:b/>
        </w:rPr>
        <w:t xml:space="preserve">the relevant MBS item number(s) </w:t>
      </w:r>
      <w:r w:rsidR="009C03FB" w:rsidRPr="005F4560">
        <w:rPr>
          <w:rStyle w:val="Strong"/>
          <w:rFonts w:asciiTheme="minorHAnsi" w:eastAsiaTheme="minorHAnsi" w:hAnsiTheme="minorHAnsi" w:cstheme="minorBidi"/>
          <w:b/>
        </w:rPr>
        <w:t xml:space="preserve">that </w:t>
      </w:r>
      <w:r w:rsidR="00126B33" w:rsidRPr="005F4560">
        <w:rPr>
          <w:rStyle w:val="Strong"/>
          <w:rFonts w:asciiTheme="minorHAnsi" w:eastAsiaTheme="minorHAnsi" w:hAnsiTheme="minorHAnsi" w:cstheme="minorBidi"/>
          <w:b/>
        </w:rPr>
        <w:t xml:space="preserve">are </w:t>
      </w:r>
      <w:r w:rsidR="005A6AB9" w:rsidRPr="005F4560">
        <w:rPr>
          <w:rStyle w:val="Strong"/>
          <w:rFonts w:asciiTheme="minorHAnsi" w:eastAsiaTheme="minorHAnsi" w:hAnsiTheme="minorHAnsi" w:cstheme="minorBidi"/>
          <w:b/>
        </w:rPr>
        <w:t xml:space="preserve">to be </w:t>
      </w:r>
      <w:r w:rsidR="00126B33" w:rsidRPr="005F4560">
        <w:rPr>
          <w:rStyle w:val="Strong"/>
          <w:rFonts w:asciiTheme="minorHAnsi" w:eastAsiaTheme="minorHAnsi" w:hAnsiTheme="minorHAnsi" w:cstheme="minorBidi"/>
          <w:b/>
        </w:rPr>
        <w:t xml:space="preserve">amended </w:t>
      </w:r>
      <w:r w:rsidR="005A6AB9" w:rsidRPr="005F4560">
        <w:rPr>
          <w:rStyle w:val="Strong"/>
          <w:rFonts w:asciiTheme="minorHAnsi" w:eastAsiaTheme="minorHAnsi" w:hAnsiTheme="minorHAnsi" w:cstheme="minorBidi"/>
          <w:b/>
        </w:rPr>
        <w:t xml:space="preserve">to </w:t>
      </w:r>
      <w:r w:rsidR="00A93F58" w:rsidRPr="005F4560">
        <w:rPr>
          <w:rStyle w:val="Strong"/>
          <w:rFonts w:asciiTheme="minorHAnsi" w:eastAsiaTheme="minorHAnsi" w:hAnsiTheme="minorHAnsi" w:cstheme="minorBidi"/>
          <w:b/>
        </w:rPr>
        <w:t xml:space="preserve">include </w:t>
      </w:r>
      <w:r w:rsidR="005A6AB9" w:rsidRPr="005F4560">
        <w:rPr>
          <w:rStyle w:val="Strong"/>
          <w:rFonts w:asciiTheme="minorHAnsi" w:eastAsiaTheme="minorHAnsi" w:hAnsiTheme="minorHAnsi" w:cstheme="minorBidi"/>
          <w:b/>
        </w:rPr>
        <w:t>the proposed medical service</w:t>
      </w:r>
      <w:r w:rsidR="00802553" w:rsidRPr="005F4560">
        <w:rPr>
          <w:rStyle w:val="Strong"/>
          <w:rFonts w:asciiTheme="minorHAnsi" w:eastAsiaTheme="minorHAnsi" w:hAnsiTheme="minorHAnsi" w:cstheme="minorBidi"/>
          <w:b/>
        </w:rPr>
        <w:t>:</w:t>
      </w:r>
      <w:r w:rsidR="00E06102" w:rsidRPr="005F4560">
        <w:rPr>
          <w:rStyle w:val="Strong"/>
          <w:rFonts w:asciiTheme="minorHAnsi" w:eastAsiaTheme="minorHAnsi" w:hAnsiTheme="minorHAnsi" w:cstheme="minorBidi"/>
          <w:b/>
        </w:rPr>
        <w:t xml:space="preserve"> </w:t>
      </w:r>
    </w:p>
    <w:p w14:paraId="458D653E" w14:textId="392C6120" w:rsidR="003D795C" w:rsidRPr="005F4560" w:rsidRDefault="00062F0B" w:rsidP="00A6491A">
      <w:pPr>
        <w:ind w:left="284"/>
      </w:pPr>
      <w:r w:rsidRPr="005F4560">
        <w:t>NA</w:t>
      </w:r>
    </w:p>
    <w:p w14:paraId="5C71E6E5" w14:textId="77777777" w:rsidR="006C0843" w:rsidRPr="005F4560" w:rsidRDefault="006C0843" w:rsidP="00555876">
      <w:pPr>
        <w:pStyle w:val="Heading2"/>
        <w:numPr>
          <w:ilvl w:val="0"/>
          <w:numId w:val="3"/>
        </w:numPr>
        <w:rPr>
          <w:rStyle w:val="Strong"/>
          <w:rFonts w:asciiTheme="minorHAnsi" w:eastAsiaTheme="minorHAnsi" w:hAnsiTheme="minorHAnsi" w:cstheme="minorBidi"/>
          <w:b/>
          <w:szCs w:val="22"/>
        </w:rPr>
      </w:pPr>
      <w:r w:rsidRPr="005F4560">
        <w:rPr>
          <w:rStyle w:val="Strong"/>
          <w:rFonts w:asciiTheme="minorHAnsi" w:eastAsiaTheme="minorHAnsi" w:hAnsiTheme="minorHAnsi" w:cstheme="minorBidi"/>
          <w:b/>
        </w:rPr>
        <w:t>If an amendment to an existing item</w:t>
      </w:r>
      <w:r w:rsidR="003E30FB" w:rsidRPr="005F4560">
        <w:rPr>
          <w:rStyle w:val="Strong"/>
          <w:rFonts w:asciiTheme="minorHAnsi" w:eastAsiaTheme="minorHAnsi" w:hAnsiTheme="minorHAnsi" w:cstheme="minorBidi"/>
          <w:b/>
        </w:rPr>
        <w:t>(s)</w:t>
      </w:r>
      <w:r w:rsidRPr="005F4560">
        <w:rPr>
          <w:rStyle w:val="Strong"/>
          <w:rFonts w:asciiTheme="minorHAnsi" w:eastAsiaTheme="minorHAnsi" w:hAnsiTheme="minorHAnsi" w:cstheme="minorBidi"/>
          <w:b/>
        </w:rPr>
        <w:t xml:space="preserve"> is being sought, what is the nature of the amendment</w:t>
      </w:r>
      <w:r w:rsidR="00C01121" w:rsidRPr="005F4560">
        <w:rPr>
          <w:rStyle w:val="Strong"/>
          <w:rFonts w:asciiTheme="minorHAnsi" w:eastAsiaTheme="minorHAnsi" w:hAnsiTheme="minorHAnsi" w:cstheme="minorBidi"/>
          <w:b/>
        </w:rPr>
        <w:t>(s)</w:t>
      </w:r>
      <w:r w:rsidR="00E06102" w:rsidRPr="005F4560">
        <w:rPr>
          <w:rStyle w:val="Strong"/>
          <w:rFonts w:asciiTheme="minorHAnsi" w:eastAsiaTheme="minorHAnsi" w:hAnsiTheme="minorHAnsi" w:cstheme="minorBidi"/>
          <w:b/>
        </w:rPr>
        <w:t>?</w:t>
      </w:r>
    </w:p>
    <w:p w14:paraId="18B3C433" w14:textId="77777777" w:rsidR="002A270B" w:rsidRPr="005F4560" w:rsidRDefault="002A270B" w:rsidP="00560B5A">
      <w:pPr>
        <w:pStyle w:val="ListParagraph"/>
        <w:numPr>
          <w:ilvl w:val="0"/>
          <w:numId w:val="12"/>
        </w:numPr>
        <w:spacing w:before="0" w:after="0"/>
        <w:ind w:left="851" w:hanging="425"/>
        <w:rPr>
          <w:rStyle w:val="Strong"/>
          <w:b w:val="0"/>
          <w:szCs w:val="2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An amendment to the way the service is clinically delivered under the existing item(s)</w:t>
      </w:r>
    </w:p>
    <w:p w14:paraId="437A864F" w14:textId="77777777" w:rsidR="002A270B" w:rsidRPr="005F4560" w:rsidRDefault="002A270B" w:rsidP="00560B5A">
      <w:pPr>
        <w:pStyle w:val="ListParagraph"/>
        <w:numPr>
          <w:ilvl w:val="0"/>
          <w:numId w:val="12"/>
        </w:numPr>
        <w:spacing w:before="0" w:after="0"/>
        <w:ind w:left="851" w:hanging="425"/>
        <w:rPr>
          <w:rStyle w:val="Strong"/>
          <w:b w:val="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An amendment to the patient population under the existing item(s)</w:t>
      </w:r>
    </w:p>
    <w:p w14:paraId="4E7F5DDD" w14:textId="77777777" w:rsidR="002A270B" w:rsidRPr="005F4560" w:rsidRDefault="002A270B" w:rsidP="00560B5A">
      <w:pPr>
        <w:pStyle w:val="ListParagraph"/>
        <w:numPr>
          <w:ilvl w:val="0"/>
          <w:numId w:val="12"/>
        </w:numPr>
        <w:spacing w:before="0" w:after="0"/>
        <w:ind w:left="851" w:hanging="425"/>
        <w:rPr>
          <w:rStyle w:val="Strong"/>
          <w:b w:val="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An amendment to the schedule fee of the existing item(s)</w:t>
      </w:r>
    </w:p>
    <w:p w14:paraId="0740C6F9" w14:textId="77777777" w:rsidR="002A270B" w:rsidRPr="005F4560" w:rsidRDefault="002A270B" w:rsidP="00560B5A">
      <w:pPr>
        <w:pStyle w:val="ListParagraph"/>
        <w:numPr>
          <w:ilvl w:val="0"/>
          <w:numId w:val="12"/>
        </w:numPr>
        <w:spacing w:before="0" w:after="0"/>
        <w:ind w:left="851" w:hanging="425"/>
        <w:rPr>
          <w:rStyle w:val="Strong"/>
          <w:b w:val="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An amendment to the time and complexity of an existing item(s)</w:t>
      </w:r>
    </w:p>
    <w:p w14:paraId="5B1DF035" w14:textId="77777777" w:rsidR="002A270B" w:rsidRPr="005F4560" w:rsidRDefault="002A270B" w:rsidP="00560B5A">
      <w:pPr>
        <w:pStyle w:val="ListParagraph"/>
        <w:numPr>
          <w:ilvl w:val="0"/>
          <w:numId w:val="12"/>
        </w:numPr>
        <w:spacing w:before="0" w:after="0"/>
        <w:ind w:left="851" w:hanging="425"/>
        <w:rPr>
          <w:rStyle w:val="Strong"/>
          <w:b w:val="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Access to an existing item(s) by a different health practitioner group</w:t>
      </w:r>
    </w:p>
    <w:p w14:paraId="26951279" w14:textId="77777777" w:rsidR="002A270B" w:rsidRPr="005F4560" w:rsidRDefault="002A270B" w:rsidP="00560B5A">
      <w:pPr>
        <w:pStyle w:val="ListParagraph"/>
        <w:numPr>
          <w:ilvl w:val="0"/>
          <w:numId w:val="12"/>
        </w:numPr>
        <w:spacing w:before="0" w:after="0"/>
        <w:ind w:left="851" w:hanging="425"/>
        <w:rPr>
          <w:rStyle w:val="Strong"/>
          <w:b w:val="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Minor amendments to the item descriptor that does not affect how the service is delivered</w:t>
      </w:r>
    </w:p>
    <w:p w14:paraId="3FF2710B" w14:textId="77777777" w:rsidR="002A270B" w:rsidRPr="005F4560" w:rsidRDefault="002A270B" w:rsidP="00560B5A">
      <w:pPr>
        <w:pStyle w:val="ListParagraph"/>
        <w:numPr>
          <w:ilvl w:val="0"/>
          <w:numId w:val="12"/>
        </w:numPr>
        <w:spacing w:before="0" w:after="0"/>
        <w:ind w:left="851" w:hanging="425"/>
        <w:rPr>
          <w:rStyle w:val="Strong"/>
          <w:b w:val="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An amendment to an existing specific single consultation item</w:t>
      </w:r>
    </w:p>
    <w:p w14:paraId="52E7789B" w14:textId="77777777" w:rsidR="002A270B" w:rsidRPr="005F4560" w:rsidRDefault="002A270B" w:rsidP="00560B5A">
      <w:pPr>
        <w:pStyle w:val="ListParagraph"/>
        <w:numPr>
          <w:ilvl w:val="0"/>
          <w:numId w:val="12"/>
        </w:numPr>
        <w:spacing w:before="0" w:after="0"/>
        <w:ind w:left="851" w:hanging="425"/>
        <w:rPr>
          <w:rStyle w:val="Strong"/>
          <w:b w:val="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An amendment to an existing global consultation item(s)</w:t>
      </w:r>
    </w:p>
    <w:p w14:paraId="150AA256" w14:textId="77777777" w:rsidR="002A270B" w:rsidRPr="005F4560" w:rsidRDefault="004A263B" w:rsidP="00560B5A">
      <w:pPr>
        <w:pStyle w:val="ListParagraph"/>
        <w:numPr>
          <w:ilvl w:val="0"/>
          <w:numId w:val="12"/>
        </w:numPr>
        <w:ind w:left="851" w:hanging="425"/>
        <w:rPr>
          <w:rStyle w:val="Strong"/>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002A270B" w:rsidRPr="005F4560">
        <w:rPr>
          <w:rStyle w:val="Strong"/>
          <w:b w:val="0"/>
        </w:rPr>
        <w:t>Other (please describe below)</w:t>
      </w:r>
      <w:r w:rsidR="00A6491A" w:rsidRPr="005F4560">
        <w:rPr>
          <w:rStyle w:val="Strong"/>
          <w:b w:val="0"/>
        </w:rPr>
        <w:t>:</w:t>
      </w:r>
    </w:p>
    <w:p w14:paraId="5402706B" w14:textId="6091FFA3" w:rsidR="002A270B" w:rsidRPr="005F4560" w:rsidRDefault="00062F0B" w:rsidP="00A6491A">
      <w:pPr>
        <w:ind w:left="284"/>
      </w:pPr>
      <w:r w:rsidRPr="005F4560">
        <w:lastRenderedPageBreak/>
        <w:t>NA</w:t>
      </w:r>
    </w:p>
    <w:p w14:paraId="7C9F9508" w14:textId="77777777" w:rsidR="00534C5F" w:rsidRPr="005F4560" w:rsidRDefault="000770BA" w:rsidP="00555876">
      <w:pPr>
        <w:pStyle w:val="Heading2"/>
        <w:numPr>
          <w:ilvl w:val="0"/>
          <w:numId w:val="3"/>
        </w:numPr>
        <w:rPr>
          <w:rStyle w:val="Strong"/>
          <w:rFonts w:asciiTheme="minorHAnsi" w:eastAsiaTheme="minorHAnsi" w:hAnsiTheme="minorHAnsi" w:cstheme="minorBidi"/>
          <w:b/>
          <w:szCs w:val="22"/>
        </w:rPr>
      </w:pPr>
      <w:r w:rsidRPr="005F4560">
        <w:rPr>
          <w:rStyle w:val="Strong"/>
          <w:rFonts w:asciiTheme="minorHAnsi" w:eastAsiaTheme="minorHAnsi" w:hAnsiTheme="minorHAnsi" w:cstheme="minorBidi"/>
          <w:b/>
        </w:rPr>
        <w:t>If a new item</w:t>
      </w:r>
      <w:r w:rsidR="005D0677" w:rsidRPr="005F4560">
        <w:rPr>
          <w:rStyle w:val="Strong"/>
          <w:rFonts w:asciiTheme="minorHAnsi" w:eastAsiaTheme="minorHAnsi" w:hAnsiTheme="minorHAnsi" w:cstheme="minorBidi"/>
          <w:b/>
        </w:rPr>
        <w:t>(s)</w:t>
      </w:r>
      <w:r w:rsidR="003433D1" w:rsidRPr="005F4560">
        <w:rPr>
          <w:rStyle w:val="Strong"/>
          <w:rFonts w:asciiTheme="minorHAnsi" w:eastAsiaTheme="minorHAnsi" w:hAnsiTheme="minorHAnsi" w:cstheme="minorBidi"/>
          <w:b/>
        </w:rPr>
        <w:t xml:space="preserve"> is being requested</w:t>
      </w:r>
      <w:r w:rsidRPr="005F4560">
        <w:rPr>
          <w:rStyle w:val="Strong"/>
          <w:rFonts w:asciiTheme="minorHAnsi" w:eastAsiaTheme="minorHAnsi" w:hAnsiTheme="minorHAnsi" w:cstheme="minorBidi"/>
          <w:b/>
        </w:rPr>
        <w:t>, what is the nature of the change to the MBS being sought?</w:t>
      </w:r>
    </w:p>
    <w:p w14:paraId="11253DC8" w14:textId="77777777" w:rsidR="006B6390" w:rsidRPr="005F4560" w:rsidRDefault="006B6390" w:rsidP="00560B5A">
      <w:pPr>
        <w:pStyle w:val="ListParagraph"/>
        <w:numPr>
          <w:ilvl w:val="0"/>
          <w:numId w:val="13"/>
        </w:numPr>
        <w:spacing w:before="0" w:after="0"/>
        <w:ind w:left="851" w:hanging="425"/>
        <w:rPr>
          <w:rStyle w:val="Strong"/>
          <w:b w:val="0"/>
          <w:szCs w:val="2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A new item which also seeks to allow access to the MBS for a specific health practitioner group</w:t>
      </w:r>
    </w:p>
    <w:p w14:paraId="5CBFEE75" w14:textId="6F58868F" w:rsidR="006B6390" w:rsidRPr="005F4560" w:rsidRDefault="009C7E0B" w:rsidP="00560B5A">
      <w:pPr>
        <w:pStyle w:val="ListParagraph"/>
        <w:numPr>
          <w:ilvl w:val="0"/>
          <w:numId w:val="13"/>
        </w:numPr>
        <w:spacing w:before="0" w:after="0"/>
        <w:ind w:left="851" w:hanging="425"/>
        <w:rPr>
          <w:rStyle w:val="Strong"/>
          <w:b w:val="0"/>
        </w:rPr>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860B2D" w:rsidRPr="005F4560">
        <w:rPr>
          <w:b/>
          <w:szCs w:val="20"/>
        </w:rPr>
        <w:t xml:space="preserve"> </w:t>
      </w:r>
      <w:r w:rsidR="006B6390" w:rsidRPr="005F4560">
        <w:rPr>
          <w:rStyle w:val="Strong"/>
          <w:b w:val="0"/>
        </w:rPr>
        <w:t>A new item that is proposing a way of clinically delivering a service that is new to the MBS (in terms of new technology and / or population)</w:t>
      </w:r>
    </w:p>
    <w:p w14:paraId="4A2BDF50" w14:textId="2E44C1DC" w:rsidR="006B6390" w:rsidRPr="005F4560" w:rsidRDefault="008F632C" w:rsidP="00560B5A">
      <w:pPr>
        <w:pStyle w:val="ListParagraph"/>
        <w:numPr>
          <w:ilvl w:val="0"/>
          <w:numId w:val="13"/>
        </w:numPr>
        <w:spacing w:before="0" w:after="0"/>
        <w:ind w:left="851" w:hanging="425"/>
        <w:rPr>
          <w:rStyle w:val="Strong"/>
          <w:b w:val="0"/>
        </w:rPr>
      </w:pPr>
      <w:r w:rsidRPr="005F4560">
        <w:rPr>
          <w:b/>
          <w:szCs w:val="20"/>
        </w:rPr>
        <w:fldChar w:fldCharType="begin">
          <w:ffData>
            <w:name w:val=""/>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860B2D" w:rsidRPr="005F4560">
        <w:rPr>
          <w:b/>
          <w:szCs w:val="20"/>
        </w:rPr>
        <w:t xml:space="preserve"> </w:t>
      </w:r>
      <w:r w:rsidR="006B6390" w:rsidRPr="005F4560">
        <w:rPr>
          <w:rStyle w:val="Strong"/>
          <w:b w:val="0"/>
        </w:rPr>
        <w:t>A new item for a specific single consultation item</w:t>
      </w:r>
    </w:p>
    <w:p w14:paraId="1022CD9E" w14:textId="77777777" w:rsidR="006B6390" w:rsidRPr="005F4560" w:rsidRDefault="006B6390" w:rsidP="00560B5A">
      <w:pPr>
        <w:pStyle w:val="ListParagraph"/>
        <w:numPr>
          <w:ilvl w:val="0"/>
          <w:numId w:val="13"/>
        </w:numPr>
        <w:spacing w:before="0" w:after="0"/>
        <w:ind w:left="851" w:hanging="425"/>
        <w:rPr>
          <w:rStyle w:val="Strong"/>
          <w:b w:val="0"/>
        </w:rPr>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rPr>
          <w:rStyle w:val="Strong"/>
          <w:b w:val="0"/>
        </w:rPr>
        <w:t>A new item for a global consultation item(s)</w:t>
      </w:r>
    </w:p>
    <w:p w14:paraId="7E02E304" w14:textId="0D6F7496" w:rsidR="00665A0A" w:rsidRPr="005F4560" w:rsidRDefault="00665A0A" w:rsidP="00665A0A">
      <w:pPr>
        <w:ind w:left="284"/>
        <w:rPr>
          <w:rStyle w:val="Strong"/>
          <w:b w:val="0"/>
        </w:rPr>
      </w:pPr>
      <w:r w:rsidRPr="005F4560">
        <w:rPr>
          <w:rFonts w:cstheme="minorHAnsi"/>
          <w:szCs w:val="20"/>
        </w:rPr>
        <w:t xml:space="preserve">An MSAC review of IGB was undertaken in 2008.  However, the nominated population was different to the one seeking new MBS items numbers in this submission.  The benefits of weight loss in obese people is not novel to Australian clinical practice; but its safety, effectiveness and cost-effectiveness in the proposed patient population have not previously been evaluated by MSAC, nor is there an MBS item (current or former) that specifically describes the proposed service. In this way, the service and therapeutic intervention it describes is new to the MSAC. </w:t>
      </w:r>
    </w:p>
    <w:p w14:paraId="2236D9CD" w14:textId="77777777" w:rsidR="003027BB" w:rsidRPr="005F4560" w:rsidRDefault="00F30C22" w:rsidP="00555876">
      <w:pPr>
        <w:pStyle w:val="Heading2"/>
        <w:numPr>
          <w:ilvl w:val="0"/>
          <w:numId w:val="3"/>
        </w:numPr>
        <w:rPr>
          <w:rStyle w:val="Strong"/>
          <w:rFonts w:asciiTheme="minorHAnsi" w:eastAsiaTheme="minorHAnsi" w:hAnsiTheme="minorHAnsi" w:cstheme="minorBidi"/>
          <w:b/>
          <w:szCs w:val="22"/>
        </w:rPr>
      </w:pPr>
      <w:r w:rsidRPr="005F4560">
        <w:rPr>
          <w:rStyle w:val="Strong"/>
          <w:rFonts w:asciiTheme="minorHAnsi" w:eastAsiaTheme="minorHAnsi" w:hAnsiTheme="minorHAnsi" w:cstheme="minorBidi"/>
          <w:b/>
        </w:rPr>
        <w:t>Is the proposed service seeking public funding other than the MBS?</w:t>
      </w:r>
    </w:p>
    <w:p w14:paraId="2D4E582D" w14:textId="02677AA2" w:rsidR="000A5B32" w:rsidRPr="005F4560" w:rsidRDefault="009D5251" w:rsidP="00A6491A">
      <w:pPr>
        <w:spacing w:before="0" w:after="0"/>
        <w:ind w:left="284"/>
        <w:rPr>
          <w:szCs w:val="20"/>
        </w:rPr>
      </w:pPr>
      <w:r w:rsidRPr="005F4560">
        <w:rPr>
          <w:szCs w:val="20"/>
        </w:rPr>
        <w:fldChar w:fldCharType="begin">
          <w:ffData>
            <w:name w:val=""/>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0A5B32" w:rsidRPr="005F4560">
        <w:rPr>
          <w:szCs w:val="20"/>
        </w:rPr>
        <w:t xml:space="preserve"> Yes</w:t>
      </w:r>
    </w:p>
    <w:p w14:paraId="319993DC" w14:textId="56D8450F" w:rsidR="00626365" w:rsidRPr="005F4560" w:rsidRDefault="009D5251" w:rsidP="00626365">
      <w:pPr>
        <w:spacing w:before="0" w:after="0"/>
        <w:ind w:left="284"/>
        <w:rPr>
          <w:szCs w:val="20"/>
        </w:rPr>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860B2D" w:rsidRPr="005F4560">
        <w:rPr>
          <w:b/>
          <w:szCs w:val="20"/>
        </w:rPr>
        <w:t xml:space="preserve"> </w:t>
      </w:r>
      <w:r w:rsidR="000A5B32" w:rsidRPr="005F4560">
        <w:rPr>
          <w:szCs w:val="20"/>
        </w:rPr>
        <w:t>No</w:t>
      </w:r>
    </w:p>
    <w:p w14:paraId="6BCA2CC5" w14:textId="77777777" w:rsidR="00626365" w:rsidRPr="005F4560" w:rsidRDefault="00626365" w:rsidP="00626365">
      <w:pPr>
        <w:spacing w:before="0" w:after="0"/>
        <w:ind w:left="284"/>
        <w:rPr>
          <w:rStyle w:val="Strong"/>
          <w:rFonts w:asciiTheme="minorHAnsi" w:eastAsiaTheme="minorHAnsi" w:hAnsiTheme="minorHAnsi" w:cstheme="minorBidi"/>
          <w:b w:val="0"/>
          <w:szCs w:val="20"/>
        </w:rPr>
      </w:pPr>
    </w:p>
    <w:p w14:paraId="46247734" w14:textId="77777777" w:rsidR="003027BB" w:rsidRPr="005F4560" w:rsidRDefault="003027BB" w:rsidP="00555876">
      <w:pPr>
        <w:pStyle w:val="Heading2"/>
        <w:numPr>
          <w:ilvl w:val="0"/>
          <w:numId w:val="3"/>
        </w:numPr>
        <w:rPr>
          <w:rStyle w:val="Strong"/>
          <w:rFonts w:asciiTheme="minorHAnsi" w:eastAsiaTheme="minorHAnsi" w:hAnsiTheme="minorHAnsi" w:cstheme="minorBidi"/>
          <w:b/>
          <w:szCs w:val="22"/>
        </w:rPr>
      </w:pPr>
      <w:r w:rsidRPr="005F4560">
        <w:rPr>
          <w:rStyle w:val="Strong"/>
          <w:rFonts w:asciiTheme="minorHAnsi" w:eastAsiaTheme="minorHAnsi" w:hAnsiTheme="minorHAnsi" w:cstheme="minorBidi"/>
          <w:b/>
        </w:rPr>
        <w:t xml:space="preserve">If yes, please </w:t>
      </w:r>
      <w:proofErr w:type="gramStart"/>
      <w:r w:rsidRPr="005F4560">
        <w:rPr>
          <w:rStyle w:val="Strong"/>
          <w:rFonts w:asciiTheme="minorHAnsi" w:eastAsiaTheme="minorHAnsi" w:hAnsiTheme="minorHAnsi" w:cstheme="minorBidi"/>
          <w:b/>
        </w:rPr>
        <w:t>advise</w:t>
      </w:r>
      <w:proofErr w:type="gramEnd"/>
      <w:r w:rsidRPr="005F4560">
        <w:rPr>
          <w:rStyle w:val="Strong"/>
          <w:rFonts w:asciiTheme="minorHAnsi" w:eastAsiaTheme="minorHAnsi" w:hAnsiTheme="minorHAnsi" w:cstheme="minorBidi"/>
          <w:b/>
        </w:rPr>
        <w:t>:</w:t>
      </w:r>
    </w:p>
    <w:p w14:paraId="7FFDE69F" w14:textId="44B6F36D" w:rsidR="000A5B32" w:rsidRPr="005F4560" w:rsidRDefault="00062F0B" w:rsidP="00A6491A">
      <w:pPr>
        <w:ind w:left="284"/>
        <w:rPr>
          <w:rStyle w:val="Strong"/>
        </w:rPr>
      </w:pPr>
      <w:r w:rsidRPr="005F4560">
        <w:t>NA</w:t>
      </w:r>
    </w:p>
    <w:p w14:paraId="4A854EB5" w14:textId="77777777" w:rsidR="000B3CD0" w:rsidRPr="005F4560" w:rsidRDefault="000B3CD0" w:rsidP="00730C04">
      <w:pPr>
        <w:pStyle w:val="Heading2"/>
      </w:pPr>
      <w:r w:rsidRPr="005F4560">
        <w:t xml:space="preserve">What is the type of </w:t>
      </w:r>
      <w:proofErr w:type="gramStart"/>
      <w:r w:rsidRPr="005F4560">
        <w:t>service:</w:t>
      </w:r>
      <w:proofErr w:type="gramEnd"/>
    </w:p>
    <w:p w14:paraId="772953C9" w14:textId="77777777" w:rsidR="00A6594E" w:rsidRPr="005F4560" w:rsidRDefault="009C7E0B" w:rsidP="00A6491A">
      <w:pPr>
        <w:spacing w:before="0" w:after="0"/>
        <w:ind w:left="284"/>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A6594E" w:rsidRPr="005F4560">
        <w:rPr>
          <w:b/>
          <w:szCs w:val="20"/>
        </w:rPr>
        <w:t xml:space="preserve"> </w:t>
      </w:r>
      <w:r w:rsidR="00A6594E" w:rsidRPr="005F4560">
        <w:t>Therapeutic medical service</w:t>
      </w:r>
    </w:p>
    <w:p w14:paraId="078044A7" w14:textId="77777777" w:rsidR="00A6594E" w:rsidRPr="005F4560" w:rsidRDefault="00A6594E" w:rsidP="00A6491A">
      <w:pPr>
        <w:spacing w:before="0" w:after="0"/>
        <w:ind w:left="284"/>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Investigative medical service</w:t>
      </w:r>
    </w:p>
    <w:p w14:paraId="5ED66D3E" w14:textId="77777777" w:rsidR="00A6594E" w:rsidRPr="005F4560" w:rsidRDefault="00DD2CA1" w:rsidP="00A6491A">
      <w:pPr>
        <w:spacing w:before="0" w:after="0"/>
        <w:ind w:left="284"/>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A6594E" w:rsidRPr="005F4560">
        <w:rPr>
          <w:b/>
          <w:szCs w:val="20"/>
        </w:rPr>
        <w:t xml:space="preserve"> </w:t>
      </w:r>
      <w:r w:rsidR="00A6594E" w:rsidRPr="005F4560">
        <w:t>Single consultation medical service</w:t>
      </w:r>
    </w:p>
    <w:p w14:paraId="6329D4AA" w14:textId="77777777" w:rsidR="00A6594E" w:rsidRPr="005F4560" w:rsidRDefault="00A6594E" w:rsidP="00A6491A">
      <w:pPr>
        <w:spacing w:before="0" w:after="0"/>
        <w:ind w:left="284"/>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Global consultation medical service</w:t>
      </w:r>
    </w:p>
    <w:p w14:paraId="56D0623C" w14:textId="77777777" w:rsidR="00A6594E" w:rsidRPr="005F4560" w:rsidRDefault="00A6594E" w:rsidP="00A6491A">
      <w:pPr>
        <w:spacing w:before="0" w:after="0"/>
        <w:ind w:left="284"/>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Allied health service</w:t>
      </w:r>
    </w:p>
    <w:p w14:paraId="135587E5" w14:textId="77777777" w:rsidR="00A6594E" w:rsidRPr="005F4560" w:rsidRDefault="00A6594E" w:rsidP="00A6491A">
      <w:pPr>
        <w:spacing w:before="0" w:after="0"/>
        <w:ind w:left="284"/>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Co-dependent technology</w:t>
      </w:r>
    </w:p>
    <w:p w14:paraId="534B057A" w14:textId="77777777" w:rsidR="00A6594E" w:rsidRPr="005F4560" w:rsidRDefault="00A6594E" w:rsidP="00A6491A">
      <w:pPr>
        <w:spacing w:before="0" w:after="0"/>
        <w:ind w:left="284"/>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Hybrid health technology</w:t>
      </w:r>
    </w:p>
    <w:p w14:paraId="001DF663" w14:textId="77777777" w:rsidR="00124B00" w:rsidRPr="005F4560" w:rsidRDefault="00124B00" w:rsidP="00A6491A">
      <w:pPr>
        <w:spacing w:before="0" w:after="0"/>
        <w:ind w:left="284"/>
      </w:pPr>
    </w:p>
    <w:p w14:paraId="1881D802" w14:textId="77777777" w:rsidR="0054594B" w:rsidRPr="005F4560" w:rsidRDefault="0054594B" w:rsidP="00730C04">
      <w:pPr>
        <w:pStyle w:val="Heading2"/>
      </w:pPr>
      <w:r w:rsidRPr="005F4560">
        <w:t xml:space="preserve">For investigative services, </w:t>
      </w:r>
      <w:r w:rsidR="00154B00" w:rsidRPr="005F4560">
        <w:t>advise</w:t>
      </w:r>
      <w:r w:rsidRPr="005F4560">
        <w:t xml:space="preserve"> the specific purpose of performing the service </w:t>
      </w:r>
      <w:r w:rsidRPr="005F4560">
        <w:rPr>
          <w:i/>
        </w:rPr>
        <w:t>(which could be one or more of the following</w:t>
      </w:r>
      <w:r w:rsidR="00154B00" w:rsidRPr="005F4560">
        <w:rPr>
          <w:i/>
        </w:rPr>
        <w:t>)</w:t>
      </w:r>
      <w:r w:rsidRPr="005F4560">
        <w:t>:</w:t>
      </w:r>
    </w:p>
    <w:p w14:paraId="4848865D" w14:textId="77777777" w:rsidR="00A6594E" w:rsidRPr="005F4560" w:rsidRDefault="00A6594E" w:rsidP="00560B5A">
      <w:pPr>
        <w:pStyle w:val="ListParagraph"/>
        <w:numPr>
          <w:ilvl w:val="0"/>
          <w:numId w:val="14"/>
        </w:numPr>
        <w:spacing w:before="0" w:after="0"/>
        <w:ind w:left="851" w:hanging="425"/>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 xml:space="preserve">To be used as a screening tool in asymptomatic populations </w:t>
      </w:r>
    </w:p>
    <w:p w14:paraId="21578A7D" w14:textId="77777777" w:rsidR="00A6594E" w:rsidRPr="005F4560" w:rsidRDefault="00A6594E" w:rsidP="00560B5A">
      <w:pPr>
        <w:pStyle w:val="ListParagraph"/>
        <w:numPr>
          <w:ilvl w:val="0"/>
          <w:numId w:val="14"/>
        </w:numPr>
        <w:spacing w:before="0" w:after="0"/>
        <w:ind w:left="851" w:hanging="425"/>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Assists in establishing a diagnosis in symptomatic patients</w:t>
      </w:r>
    </w:p>
    <w:p w14:paraId="3668AE42" w14:textId="77777777" w:rsidR="00A6594E" w:rsidRPr="005F4560" w:rsidRDefault="00A6594E" w:rsidP="00560B5A">
      <w:pPr>
        <w:pStyle w:val="ListParagraph"/>
        <w:numPr>
          <w:ilvl w:val="0"/>
          <w:numId w:val="14"/>
        </w:numPr>
        <w:spacing w:before="0" w:after="0"/>
        <w:ind w:left="851" w:hanging="425"/>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Provides information about prognosis</w:t>
      </w:r>
    </w:p>
    <w:p w14:paraId="68F1F370" w14:textId="77777777" w:rsidR="00A6594E" w:rsidRPr="005F4560" w:rsidRDefault="00A6594E" w:rsidP="00560B5A">
      <w:pPr>
        <w:pStyle w:val="ListParagraph"/>
        <w:numPr>
          <w:ilvl w:val="0"/>
          <w:numId w:val="14"/>
        </w:numPr>
        <w:spacing w:before="0" w:after="0"/>
        <w:ind w:left="851" w:hanging="425"/>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Identifies a patient as suitable for therapy by predicting a variation in the effect of the therapy</w:t>
      </w:r>
    </w:p>
    <w:p w14:paraId="25150B3F" w14:textId="77777777" w:rsidR="00F63A62" w:rsidRPr="005F4560" w:rsidRDefault="00A6594E" w:rsidP="00560B5A">
      <w:pPr>
        <w:pStyle w:val="ListParagraph"/>
        <w:numPr>
          <w:ilvl w:val="0"/>
          <w:numId w:val="14"/>
        </w:numPr>
        <w:spacing w:before="0" w:after="0"/>
        <w:ind w:left="851" w:hanging="425"/>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Monitors a patient over time to assess treatment response and guide subsequent treatment decisions</w:t>
      </w:r>
    </w:p>
    <w:p w14:paraId="335D3785" w14:textId="77777777" w:rsidR="00A6594E" w:rsidRPr="005F4560" w:rsidRDefault="00F63A62" w:rsidP="00560B5A">
      <w:pPr>
        <w:pStyle w:val="ListParagraph"/>
        <w:numPr>
          <w:ilvl w:val="0"/>
          <w:numId w:val="14"/>
        </w:numPr>
        <w:spacing w:before="0" w:after="0"/>
        <w:ind w:left="851" w:hanging="425"/>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 xml:space="preserve">Is for genetic testing </w:t>
      </w:r>
      <w:r w:rsidR="0050517E" w:rsidRPr="005F4560">
        <w:t>for</w:t>
      </w:r>
      <w:r w:rsidRPr="005F4560">
        <w:t xml:space="preserve"> heritable mutations </w:t>
      </w:r>
      <w:r w:rsidR="0050517E" w:rsidRPr="005F4560">
        <w:t>in</w:t>
      </w:r>
      <w:r w:rsidRPr="005F4560">
        <w:t xml:space="preserve"> clinically affected individuals and</w:t>
      </w:r>
      <w:r w:rsidR="0050517E" w:rsidRPr="005F4560">
        <w:t>,</w:t>
      </w:r>
      <w:r w:rsidRPr="005F4560">
        <w:t xml:space="preserve"> </w:t>
      </w:r>
      <w:r w:rsidR="0050517E" w:rsidRPr="005F4560">
        <w:t>when also appropriate,</w:t>
      </w:r>
      <w:r w:rsidRPr="005F4560">
        <w:t xml:space="preserve"> </w:t>
      </w:r>
      <w:r w:rsidR="0050517E" w:rsidRPr="005F4560">
        <w:t xml:space="preserve">in </w:t>
      </w:r>
      <w:r w:rsidRPr="005F4560">
        <w:t xml:space="preserve">family members of those individuals who test positive for one or more </w:t>
      </w:r>
      <w:r w:rsidR="0050517E" w:rsidRPr="005F4560">
        <w:t xml:space="preserve">relevant </w:t>
      </w:r>
      <w:r w:rsidRPr="005F4560">
        <w:t xml:space="preserve">mutations (and thus for which the Clinical Utility Card </w:t>
      </w:r>
      <w:proofErr w:type="spellStart"/>
      <w:r w:rsidRPr="005F4560">
        <w:t>proforma</w:t>
      </w:r>
      <w:proofErr w:type="spellEnd"/>
      <w:r w:rsidRPr="005F4560">
        <w:t xml:space="preserve"> might apply)</w:t>
      </w:r>
    </w:p>
    <w:p w14:paraId="1A27B5AC" w14:textId="77777777" w:rsidR="002A40AE" w:rsidRPr="005F4560" w:rsidRDefault="002A40AE" w:rsidP="002F55EF">
      <w:pPr>
        <w:spacing w:before="0" w:after="0"/>
      </w:pPr>
    </w:p>
    <w:p w14:paraId="00713E7C" w14:textId="77777777" w:rsidR="000B3CD0" w:rsidRPr="005F4560" w:rsidRDefault="000B3CD0" w:rsidP="00730C04">
      <w:pPr>
        <w:pStyle w:val="Heading2"/>
      </w:pPr>
      <w:r w:rsidRPr="005F4560">
        <w:t xml:space="preserve">Does </w:t>
      </w:r>
      <w:r w:rsidR="00C209C2" w:rsidRPr="005F4560">
        <w:t>your</w:t>
      </w:r>
      <w:r w:rsidRPr="005F4560">
        <w:t xml:space="preserve"> service rely on another medical </w:t>
      </w:r>
      <w:r w:rsidR="001E1180" w:rsidRPr="005F4560">
        <w:t>product</w:t>
      </w:r>
      <w:r w:rsidRPr="005F4560">
        <w:t xml:space="preserve"> to achieve or to enhance its intended effect?</w:t>
      </w:r>
    </w:p>
    <w:p w14:paraId="1376DAF7" w14:textId="77777777" w:rsidR="00FE16C1" w:rsidRPr="005F4560" w:rsidRDefault="00FE16C1" w:rsidP="00A6491A">
      <w:pPr>
        <w:spacing w:before="0" w:after="0"/>
        <w:ind w:left="284"/>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Pharmaceutical / Biological</w:t>
      </w:r>
    </w:p>
    <w:p w14:paraId="51BAE6E2" w14:textId="77777777" w:rsidR="00FE16C1" w:rsidRPr="005F4560" w:rsidRDefault="009C7E0B" w:rsidP="00A6491A">
      <w:pPr>
        <w:spacing w:before="0" w:after="0"/>
        <w:ind w:left="284"/>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FE16C1" w:rsidRPr="005F4560">
        <w:rPr>
          <w:b/>
          <w:szCs w:val="20"/>
        </w:rPr>
        <w:t xml:space="preserve"> </w:t>
      </w:r>
      <w:r w:rsidR="00FE16C1" w:rsidRPr="005F4560">
        <w:t>Prosthesis or device</w:t>
      </w:r>
    </w:p>
    <w:p w14:paraId="0A385771" w14:textId="77777777" w:rsidR="00FE16C1" w:rsidRPr="005F4560" w:rsidRDefault="00FE16C1" w:rsidP="00A6491A">
      <w:pPr>
        <w:spacing w:before="0" w:after="0"/>
        <w:ind w:left="284"/>
      </w:pPr>
      <w:r w:rsidRPr="005F4560">
        <w:rPr>
          <w:b/>
          <w:szCs w:val="20"/>
        </w:rPr>
        <w:fldChar w:fldCharType="begin">
          <w:ffData>
            <w:name w:val="Check2"/>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Pr="005F4560">
        <w:rPr>
          <w:b/>
          <w:szCs w:val="20"/>
        </w:rPr>
        <w:t xml:space="preserve"> </w:t>
      </w:r>
      <w:r w:rsidRPr="005F4560">
        <w:t>No</w:t>
      </w:r>
    </w:p>
    <w:p w14:paraId="2E7F3210" w14:textId="77777777" w:rsidR="000E5439" w:rsidRPr="005F4560" w:rsidRDefault="00530204" w:rsidP="00730C04">
      <w:pPr>
        <w:pStyle w:val="Heading2"/>
      </w:pPr>
      <w:r w:rsidRPr="005F4560">
        <w:t xml:space="preserve">(a)  </w:t>
      </w:r>
      <w:r w:rsidR="000E5439" w:rsidRPr="005F4560">
        <w:t>If the proposed service has a pharmaceutical component to it, is it already covered under an existing Pharmaceutical Benefits Scheme (PBS) listing?</w:t>
      </w:r>
    </w:p>
    <w:p w14:paraId="60B06980" w14:textId="77777777" w:rsidR="00FE16C1" w:rsidRPr="005F4560" w:rsidRDefault="00FE16C1" w:rsidP="00A6491A">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Yes</w:t>
      </w:r>
    </w:p>
    <w:p w14:paraId="6ACC3D99" w14:textId="0A5FB2CC" w:rsidR="00FE16C1" w:rsidRPr="005F4560" w:rsidRDefault="009C7E0B" w:rsidP="00A6491A">
      <w:pPr>
        <w:spacing w:before="0" w:after="0"/>
        <w:ind w:left="284"/>
        <w:rPr>
          <w:szCs w:val="20"/>
        </w:rPr>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860B2D" w:rsidRPr="005F4560">
        <w:rPr>
          <w:b/>
          <w:szCs w:val="20"/>
        </w:rPr>
        <w:t xml:space="preserve"> </w:t>
      </w:r>
      <w:r w:rsidR="00FE16C1" w:rsidRPr="005F4560">
        <w:rPr>
          <w:szCs w:val="20"/>
        </w:rPr>
        <w:t xml:space="preserve">No  </w:t>
      </w:r>
    </w:p>
    <w:p w14:paraId="3863F837" w14:textId="77777777" w:rsidR="00EC127A" w:rsidRPr="005F4560" w:rsidRDefault="000E5439" w:rsidP="00555876">
      <w:pPr>
        <w:pStyle w:val="Heading2"/>
        <w:numPr>
          <w:ilvl w:val="0"/>
          <w:numId w:val="4"/>
        </w:numPr>
      </w:pPr>
      <w:r w:rsidRPr="005F4560">
        <w:t xml:space="preserve">If yes, </w:t>
      </w:r>
      <w:r w:rsidR="00BB003A" w:rsidRPr="005F4560">
        <w:t>please list</w:t>
      </w:r>
      <w:r w:rsidRPr="005F4560">
        <w:t xml:space="preserve"> the</w:t>
      </w:r>
      <w:r w:rsidR="00BB003A" w:rsidRPr="005F4560">
        <w:t xml:space="preserve"> relevant</w:t>
      </w:r>
      <w:r w:rsidRPr="005F4560">
        <w:t xml:space="preserve"> PBS </w:t>
      </w:r>
      <w:r w:rsidR="001E23EA" w:rsidRPr="005F4560">
        <w:t>item code</w:t>
      </w:r>
      <w:r w:rsidRPr="005F4560">
        <w:t>(s)</w:t>
      </w:r>
      <w:r w:rsidR="007E39E4" w:rsidRPr="005F4560">
        <w:t>:</w:t>
      </w:r>
    </w:p>
    <w:p w14:paraId="2DFDF22C" w14:textId="77777777" w:rsidR="00411735" w:rsidRPr="005F4560" w:rsidRDefault="00411735" w:rsidP="00555876">
      <w:pPr>
        <w:pStyle w:val="Heading2"/>
        <w:numPr>
          <w:ilvl w:val="0"/>
          <w:numId w:val="4"/>
        </w:numPr>
      </w:pPr>
      <w:r w:rsidRPr="005F4560">
        <w:lastRenderedPageBreak/>
        <w:t xml:space="preserve">If no, is an application </w:t>
      </w:r>
      <w:r w:rsidR="001E23EA" w:rsidRPr="005F4560">
        <w:t xml:space="preserve">(submission) </w:t>
      </w:r>
      <w:r w:rsidRPr="005F4560">
        <w:t xml:space="preserve">in the process of being considered by the </w:t>
      </w:r>
      <w:r w:rsidR="00802553" w:rsidRPr="005F4560">
        <w:t>Pharmaceutical Benefits Advisory Committee (</w:t>
      </w:r>
      <w:r w:rsidRPr="005F4560">
        <w:t>PBAC</w:t>
      </w:r>
      <w:r w:rsidR="00802553" w:rsidRPr="005F4560">
        <w:t>)</w:t>
      </w:r>
      <w:r w:rsidRPr="005F4560">
        <w:t>?</w:t>
      </w:r>
    </w:p>
    <w:p w14:paraId="02404CD8" w14:textId="77777777" w:rsidR="007E39E4" w:rsidRPr="005F4560" w:rsidRDefault="007E39E4" w:rsidP="00A6491A">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Yes</w:t>
      </w:r>
      <w:r w:rsidR="001E6919" w:rsidRPr="005F4560">
        <w:rPr>
          <w:szCs w:val="20"/>
        </w:rPr>
        <w:t xml:space="preserve"> (please provide PBAC submission item number below)</w:t>
      </w:r>
    </w:p>
    <w:p w14:paraId="77D09930" w14:textId="5D9FCCEA" w:rsidR="001E6919" w:rsidRPr="005F4560" w:rsidRDefault="00860B2D" w:rsidP="001E6919">
      <w:pPr>
        <w:spacing w:before="0"/>
        <w:ind w:left="284"/>
        <w:rPr>
          <w:szCs w:val="20"/>
        </w:rPr>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1E6919" w:rsidRPr="005F4560">
        <w:rPr>
          <w:szCs w:val="20"/>
        </w:rPr>
        <w:t xml:space="preserve"> No</w:t>
      </w:r>
    </w:p>
    <w:p w14:paraId="28764D2C" w14:textId="77777777" w:rsidR="000E5439" w:rsidRPr="005F4560" w:rsidRDefault="000E5439" w:rsidP="00555876">
      <w:pPr>
        <w:pStyle w:val="Heading2"/>
        <w:numPr>
          <w:ilvl w:val="0"/>
          <w:numId w:val="4"/>
        </w:numPr>
      </w:pPr>
      <w:r w:rsidRPr="005F4560">
        <w:t>If you are seeking both MBS and PBS listing</w:t>
      </w:r>
      <w:r w:rsidR="00B75965" w:rsidRPr="005F4560">
        <w:t>, what is the trade name and generic name of the pharmaceutical?</w:t>
      </w:r>
    </w:p>
    <w:p w14:paraId="5D7B6175" w14:textId="390F6969" w:rsidR="001E6958" w:rsidRPr="005F4560" w:rsidRDefault="001E6958" w:rsidP="00A6491A">
      <w:pPr>
        <w:spacing w:before="0" w:after="0"/>
        <w:ind w:left="284"/>
      </w:pPr>
      <w:r w:rsidRPr="005F4560">
        <w:t xml:space="preserve">Trade name: </w:t>
      </w:r>
      <w:r w:rsidR="005D4058" w:rsidRPr="005F4560">
        <w:t>Not relevant</w:t>
      </w:r>
    </w:p>
    <w:p w14:paraId="6156A27D" w14:textId="7909E3AA" w:rsidR="001E6958" w:rsidRPr="005F4560" w:rsidRDefault="001E6958" w:rsidP="00A6491A">
      <w:pPr>
        <w:spacing w:before="0" w:after="0"/>
        <w:ind w:left="284"/>
      </w:pPr>
      <w:r w:rsidRPr="005F4560">
        <w:t xml:space="preserve">Generic name: </w:t>
      </w:r>
      <w:r w:rsidR="005D4058" w:rsidRPr="005F4560">
        <w:t>Not relevant</w:t>
      </w:r>
    </w:p>
    <w:p w14:paraId="53A47F35" w14:textId="77777777" w:rsidR="00B75965" w:rsidRPr="005F4560" w:rsidRDefault="00530204" w:rsidP="00530204">
      <w:pPr>
        <w:pStyle w:val="Heading2"/>
      </w:pPr>
      <w:r w:rsidRPr="005F4560">
        <w:t xml:space="preserve">(a) </w:t>
      </w:r>
      <w:r w:rsidR="00B75965" w:rsidRPr="005F4560">
        <w:t xml:space="preserve">If the proposed service </w:t>
      </w:r>
      <w:r w:rsidR="00A9062D" w:rsidRPr="005F4560">
        <w:t xml:space="preserve">is </w:t>
      </w:r>
      <w:r w:rsidR="00C73B62" w:rsidRPr="005F4560">
        <w:t>dependent on</w:t>
      </w:r>
      <w:r w:rsidR="00A9062D" w:rsidRPr="005F4560">
        <w:t xml:space="preserve"> </w:t>
      </w:r>
      <w:r w:rsidR="00BB003A" w:rsidRPr="005F4560">
        <w:t xml:space="preserve">the use of </w:t>
      </w:r>
      <w:r w:rsidR="00C05A45" w:rsidRPr="005F4560">
        <w:t>a prosthesis</w:t>
      </w:r>
      <w:r w:rsidR="00CD4E44" w:rsidRPr="005F4560">
        <w:t>,</w:t>
      </w:r>
      <w:r w:rsidR="00C05A45" w:rsidRPr="005F4560">
        <w:t xml:space="preserve"> </w:t>
      </w:r>
      <w:r w:rsidR="00B75965" w:rsidRPr="005F4560">
        <w:t>is it already included on the Prosthes</w:t>
      </w:r>
      <w:r w:rsidR="00BB003A" w:rsidRPr="005F4560">
        <w:t>e</w:t>
      </w:r>
      <w:r w:rsidR="00B75965" w:rsidRPr="005F4560">
        <w:t>s List?</w:t>
      </w:r>
    </w:p>
    <w:p w14:paraId="68B10060" w14:textId="77777777" w:rsidR="001E6958" w:rsidRPr="005F4560" w:rsidRDefault="001E6958" w:rsidP="00A6491A">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Yes</w:t>
      </w:r>
    </w:p>
    <w:p w14:paraId="696840D5" w14:textId="388F6707" w:rsidR="00A96D9C" w:rsidRPr="005F4560" w:rsidRDefault="009C7E0B" w:rsidP="00275D11">
      <w:pPr>
        <w:spacing w:before="0" w:after="0"/>
        <w:ind w:left="284"/>
        <w:rPr>
          <w:szCs w:val="20"/>
        </w:rPr>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860B2D" w:rsidRPr="005F4560">
        <w:rPr>
          <w:b/>
          <w:szCs w:val="20"/>
        </w:rPr>
        <w:t xml:space="preserve"> </w:t>
      </w:r>
      <w:r w:rsidR="001E6958" w:rsidRPr="005F4560">
        <w:rPr>
          <w:szCs w:val="20"/>
        </w:rPr>
        <w:t>No</w:t>
      </w:r>
      <w:r w:rsidR="0068046B">
        <w:rPr>
          <w:szCs w:val="20"/>
        </w:rPr>
        <w:t xml:space="preserve"> </w:t>
      </w:r>
    </w:p>
    <w:p w14:paraId="5F8C230A" w14:textId="77777777" w:rsidR="001E6919" w:rsidRPr="005F4560" w:rsidRDefault="001E6919" w:rsidP="00A6491A">
      <w:pPr>
        <w:spacing w:before="0" w:after="0"/>
        <w:ind w:left="284"/>
        <w:rPr>
          <w:szCs w:val="20"/>
        </w:rPr>
      </w:pPr>
    </w:p>
    <w:p w14:paraId="1E29138C" w14:textId="77777777" w:rsidR="00B75965" w:rsidRPr="005F4560" w:rsidRDefault="00B75965" w:rsidP="00555876">
      <w:pPr>
        <w:pStyle w:val="Heading2"/>
        <w:numPr>
          <w:ilvl w:val="0"/>
          <w:numId w:val="5"/>
        </w:numPr>
      </w:pPr>
      <w:r w:rsidRPr="005F4560">
        <w:t xml:space="preserve">If yes, </w:t>
      </w:r>
      <w:r w:rsidR="00C73B62" w:rsidRPr="005F4560">
        <w:t xml:space="preserve">please provide the following information (where relevant): </w:t>
      </w:r>
    </w:p>
    <w:p w14:paraId="28DF9E54" w14:textId="205D0249" w:rsidR="001E6958" w:rsidRPr="005F4560" w:rsidRDefault="001E6958" w:rsidP="00A6491A">
      <w:pPr>
        <w:spacing w:before="0" w:after="0"/>
        <w:ind w:left="284"/>
      </w:pPr>
      <w:r w:rsidRPr="005F4560">
        <w:t xml:space="preserve">Billing code(s): </w:t>
      </w:r>
      <w:r w:rsidR="00860B2D" w:rsidRPr="005F4560">
        <w:t>NA</w:t>
      </w:r>
    </w:p>
    <w:p w14:paraId="25C9C666" w14:textId="2B2D5EF9" w:rsidR="001E6958" w:rsidRPr="005F4560" w:rsidRDefault="001E6958" w:rsidP="00A6491A">
      <w:pPr>
        <w:spacing w:before="0" w:after="0"/>
        <w:ind w:left="284"/>
      </w:pPr>
      <w:r w:rsidRPr="005F4560">
        <w:t xml:space="preserve">Trade name of prostheses: </w:t>
      </w:r>
      <w:r w:rsidR="00860B2D" w:rsidRPr="005F4560">
        <w:t xml:space="preserve"> NA</w:t>
      </w:r>
    </w:p>
    <w:p w14:paraId="48CCEE47" w14:textId="06A12FA2" w:rsidR="001E6958" w:rsidRPr="005F4560" w:rsidRDefault="001E6958" w:rsidP="00A6491A">
      <w:pPr>
        <w:spacing w:before="0" w:after="0"/>
        <w:ind w:left="284"/>
      </w:pPr>
      <w:r w:rsidRPr="005F4560">
        <w:t xml:space="preserve">Clinical name of prostheses: </w:t>
      </w:r>
      <w:r w:rsidR="00860B2D" w:rsidRPr="005F4560">
        <w:t>NA</w:t>
      </w:r>
      <w:r w:rsidR="00860B2D" w:rsidRPr="005F4560" w:rsidDel="00860B2D">
        <w:t xml:space="preserve"> </w:t>
      </w:r>
    </w:p>
    <w:p w14:paraId="78DDEE9C" w14:textId="70ACFDAA" w:rsidR="001E6958" w:rsidRPr="005F4560" w:rsidRDefault="001E6958" w:rsidP="00A6491A">
      <w:pPr>
        <w:spacing w:before="0" w:after="0"/>
        <w:ind w:left="284"/>
      </w:pPr>
      <w:r w:rsidRPr="005F4560">
        <w:t xml:space="preserve">Other device components delivered as part of the service: </w:t>
      </w:r>
      <w:r w:rsidR="00860B2D" w:rsidRPr="005F4560">
        <w:t>NA</w:t>
      </w:r>
      <w:r w:rsidR="00860B2D" w:rsidRPr="005F4560" w:rsidDel="00860B2D">
        <w:t xml:space="preserve"> </w:t>
      </w:r>
    </w:p>
    <w:p w14:paraId="7517C82F" w14:textId="77777777" w:rsidR="009939DC" w:rsidRPr="005F4560" w:rsidRDefault="009939DC" w:rsidP="009939DC"/>
    <w:p w14:paraId="2C67BA79" w14:textId="77777777" w:rsidR="00411735" w:rsidRPr="005F4560" w:rsidRDefault="00411735" w:rsidP="00555876">
      <w:pPr>
        <w:pStyle w:val="Heading2"/>
        <w:numPr>
          <w:ilvl w:val="0"/>
          <w:numId w:val="5"/>
        </w:numPr>
      </w:pPr>
      <w:r w:rsidRPr="005F4560">
        <w:t xml:space="preserve">If no, is an application in the process of being considered by </w:t>
      </w:r>
      <w:r w:rsidR="003433D1" w:rsidRPr="005F4560">
        <w:t xml:space="preserve">a Clinical Advisory Group or </w:t>
      </w:r>
      <w:r w:rsidRPr="005F4560">
        <w:t>the</w:t>
      </w:r>
      <w:r w:rsidR="00BB003A" w:rsidRPr="005F4560">
        <w:t xml:space="preserve"> Prostheses List Advisory Committee</w:t>
      </w:r>
      <w:r w:rsidRPr="005F4560">
        <w:t xml:space="preserve"> </w:t>
      </w:r>
      <w:r w:rsidR="00BB003A" w:rsidRPr="005F4560">
        <w:t>(</w:t>
      </w:r>
      <w:r w:rsidRPr="005F4560">
        <w:t>PLAC</w:t>
      </w:r>
      <w:r w:rsidR="00BB003A" w:rsidRPr="005F4560">
        <w:t>)</w:t>
      </w:r>
      <w:r w:rsidRPr="005F4560">
        <w:t>?</w:t>
      </w:r>
    </w:p>
    <w:p w14:paraId="22697020" w14:textId="77777777" w:rsidR="009939DC" w:rsidRPr="005F4560" w:rsidRDefault="009939DC" w:rsidP="00A6491A">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Yes</w:t>
      </w:r>
    </w:p>
    <w:p w14:paraId="41FF4FFF" w14:textId="5C7D6B89" w:rsidR="001E6958" w:rsidRPr="005F4560" w:rsidRDefault="009C7E0B" w:rsidP="00A6491A">
      <w:pPr>
        <w:spacing w:before="0" w:after="0"/>
        <w:ind w:left="284"/>
        <w:rPr>
          <w:szCs w:val="20"/>
        </w:rPr>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860B2D" w:rsidRPr="005F4560">
        <w:rPr>
          <w:b/>
          <w:szCs w:val="20"/>
        </w:rPr>
        <w:t xml:space="preserve"> </w:t>
      </w:r>
      <w:r w:rsidR="009939DC" w:rsidRPr="005F4560">
        <w:rPr>
          <w:szCs w:val="20"/>
        </w:rPr>
        <w:t xml:space="preserve">No  </w:t>
      </w:r>
    </w:p>
    <w:p w14:paraId="7AACB157" w14:textId="77777777" w:rsidR="00016B6E" w:rsidRPr="005F4560" w:rsidRDefault="00016B6E" w:rsidP="00555876">
      <w:pPr>
        <w:pStyle w:val="Heading2"/>
        <w:numPr>
          <w:ilvl w:val="0"/>
          <w:numId w:val="5"/>
        </w:numPr>
      </w:pPr>
      <w:r w:rsidRPr="005F4560">
        <w:t>Are there any other sponsor(s) and / or manufacturer(</w:t>
      </w:r>
      <w:r w:rsidR="008B729C" w:rsidRPr="005F4560">
        <w:t>s) that have a similar prosthesi</w:t>
      </w:r>
      <w:r w:rsidRPr="005F4560">
        <w:t>s or device component in the Australian market place which this application is relevant to?</w:t>
      </w:r>
    </w:p>
    <w:p w14:paraId="4E1C504A" w14:textId="77777777" w:rsidR="009939DC" w:rsidRPr="005F4560" w:rsidRDefault="00F30A25" w:rsidP="00A6491A">
      <w:pPr>
        <w:spacing w:before="0" w:after="0"/>
        <w:ind w:left="284"/>
        <w:rPr>
          <w:szCs w:val="20"/>
        </w:rPr>
      </w:pPr>
      <w:r w:rsidRPr="005F4560">
        <w:rPr>
          <w:szCs w:val="20"/>
        </w:rPr>
        <w:fldChar w:fldCharType="begin">
          <w:ffData>
            <w:name w:val=""/>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9939DC" w:rsidRPr="005F4560">
        <w:rPr>
          <w:szCs w:val="20"/>
        </w:rPr>
        <w:t xml:space="preserve"> Yes</w:t>
      </w:r>
    </w:p>
    <w:p w14:paraId="2F410020" w14:textId="381D216B" w:rsidR="009939DC" w:rsidRPr="005F4560" w:rsidRDefault="00BB1978" w:rsidP="00A6491A">
      <w:pPr>
        <w:spacing w:before="0" w:after="0"/>
        <w:ind w:left="284"/>
        <w:rPr>
          <w:szCs w:val="20"/>
        </w:rPr>
      </w:pPr>
      <w:r w:rsidRPr="005F4560">
        <w:rPr>
          <w:b/>
          <w:szCs w:val="20"/>
        </w:rPr>
        <w:fldChar w:fldCharType="begin">
          <w:ffData>
            <w:name w:val=""/>
            <w:enabled/>
            <w:calcOnExit w:val="0"/>
            <w:checkBox>
              <w:sizeAuto/>
              <w:default w:val="0"/>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860B2D" w:rsidRPr="005F4560">
        <w:rPr>
          <w:b/>
          <w:szCs w:val="20"/>
        </w:rPr>
        <w:t xml:space="preserve"> </w:t>
      </w:r>
      <w:r w:rsidR="009939DC" w:rsidRPr="005F4560">
        <w:rPr>
          <w:szCs w:val="20"/>
        </w:rPr>
        <w:t xml:space="preserve">No  </w:t>
      </w:r>
    </w:p>
    <w:p w14:paraId="6BAE8BE9" w14:textId="77777777" w:rsidR="009939DC" w:rsidRPr="005F4560" w:rsidRDefault="00016B6E" w:rsidP="00555876">
      <w:pPr>
        <w:pStyle w:val="Heading2"/>
        <w:numPr>
          <w:ilvl w:val="0"/>
          <w:numId w:val="5"/>
        </w:numPr>
      </w:pPr>
      <w:r w:rsidRPr="005F4560">
        <w:t>If yes, please provide the name(s) of the spon</w:t>
      </w:r>
      <w:r w:rsidR="009939DC" w:rsidRPr="005F4560">
        <w:t>sor(s) and / or manufacturer(s):</w:t>
      </w:r>
    </w:p>
    <w:p w14:paraId="223A6401" w14:textId="77777777" w:rsidR="00016B6E" w:rsidRPr="005F4560" w:rsidRDefault="00F30A25" w:rsidP="00A6491A">
      <w:pPr>
        <w:ind w:left="284"/>
      </w:pPr>
      <w:bookmarkStart w:id="3" w:name="_Hlk488139387"/>
      <w:r w:rsidRPr="005F4560">
        <w:rPr>
          <w:rFonts w:eastAsia="Times New Roman"/>
        </w:rPr>
        <w:t>Spatz3 Balloon: ARTG 174506; Emergo Asia Pacific Pty Ltd – T/</w:t>
      </w:r>
      <w:proofErr w:type="gramStart"/>
      <w:r w:rsidRPr="005F4560">
        <w:rPr>
          <w:rFonts w:eastAsia="Times New Roman"/>
        </w:rPr>
        <w:t>a</w:t>
      </w:r>
      <w:proofErr w:type="gramEnd"/>
      <w:r w:rsidRPr="005F4560">
        <w:rPr>
          <w:rFonts w:eastAsia="Times New Roman"/>
        </w:rPr>
        <w:t xml:space="preserve"> Emergo Australia</w:t>
      </w:r>
    </w:p>
    <w:bookmarkEnd w:id="3"/>
    <w:p w14:paraId="351B45AB" w14:textId="77777777" w:rsidR="0084657B" w:rsidRPr="005F4560" w:rsidRDefault="00A9062D" w:rsidP="00530204">
      <w:pPr>
        <w:pStyle w:val="Heading2"/>
      </w:pPr>
      <w:r w:rsidRPr="005F4560">
        <w:t>P</w:t>
      </w:r>
      <w:r w:rsidR="0084657B" w:rsidRPr="005F4560">
        <w:t xml:space="preserve">lease identify </w:t>
      </w:r>
      <w:r w:rsidR="00E8649B" w:rsidRPr="005F4560">
        <w:t xml:space="preserve">any single </w:t>
      </w:r>
      <w:r w:rsidR="00016B6E" w:rsidRPr="005F4560">
        <w:t>and / or multi-</w:t>
      </w:r>
      <w:r w:rsidR="00E8649B" w:rsidRPr="005F4560">
        <w:t>use consumables</w:t>
      </w:r>
      <w:r w:rsidR="0084657B" w:rsidRPr="005F4560">
        <w:t xml:space="preserve"> </w:t>
      </w:r>
      <w:r w:rsidR="00E8649B" w:rsidRPr="005F4560">
        <w:t>delivered as part of the service?</w:t>
      </w:r>
    </w:p>
    <w:p w14:paraId="724C79A6" w14:textId="5E30EB07" w:rsidR="00F30A25" w:rsidRPr="005F4560" w:rsidRDefault="00F30A25" w:rsidP="00F30A25">
      <w:pPr>
        <w:shd w:val="clear" w:color="auto" w:fill="FFFFFF"/>
        <w:ind w:left="720" w:hanging="360"/>
        <w:rPr>
          <w:rFonts w:ascii="Times New Roman" w:eastAsia="Times New Roman" w:hAnsi="Times New Roman" w:cs="Times New Roman"/>
          <w:sz w:val="24"/>
          <w:szCs w:val="24"/>
        </w:rPr>
      </w:pPr>
      <w:bookmarkStart w:id="4" w:name="_Hlk488139496"/>
      <w:r w:rsidRPr="005F4560">
        <w:rPr>
          <w:rFonts w:ascii="Courier New" w:eastAsia="Times New Roman" w:hAnsi="Courier New" w:cs="Courier New"/>
        </w:rPr>
        <w:t>O</w:t>
      </w:r>
      <w:r w:rsidRPr="005F4560">
        <w:rPr>
          <w:rFonts w:ascii="Times New Roman" w:eastAsia="Times New Roman" w:hAnsi="Times New Roman" w:cs="Times New Roman"/>
          <w:sz w:val="14"/>
          <w:szCs w:val="14"/>
        </w:rPr>
        <w:tab/>
      </w:r>
      <w:r w:rsidRPr="005F4560">
        <w:rPr>
          <w:rFonts w:eastAsia="Times New Roman"/>
        </w:rPr>
        <w:t>Prince Medical Aspirating Needle</w:t>
      </w:r>
      <w:r w:rsidR="00860B2D" w:rsidRPr="005F4560">
        <w:rPr>
          <w:rFonts w:eastAsia="Times New Roman"/>
        </w:rPr>
        <w:t xml:space="preserve"> </w:t>
      </w:r>
      <w:r w:rsidRPr="005F4560">
        <w:rPr>
          <w:rFonts w:eastAsia="Times New Roman"/>
        </w:rPr>
        <w:t>- Product Code AS2640718; ARTG entry 163942</w:t>
      </w:r>
    </w:p>
    <w:p w14:paraId="7AE3CEE9" w14:textId="788E5771" w:rsidR="00F30A25" w:rsidRPr="005F4560" w:rsidRDefault="00F30A25" w:rsidP="00F30A25">
      <w:pPr>
        <w:shd w:val="clear" w:color="auto" w:fill="FFFFFF"/>
        <w:ind w:left="720" w:hanging="360"/>
        <w:rPr>
          <w:rFonts w:ascii="Times New Roman" w:eastAsia="Times New Roman" w:hAnsi="Times New Roman" w:cs="Times New Roman"/>
          <w:sz w:val="24"/>
          <w:szCs w:val="24"/>
        </w:rPr>
      </w:pPr>
      <w:r w:rsidRPr="005F4560">
        <w:rPr>
          <w:rFonts w:ascii="Courier New" w:eastAsia="Times New Roman" w:hAnsi="Courier New" w:cs="Courier New"/>
        </w:rPr>
        <w:t>O</w:t>
      </w:r>
      <w:r w:rsidRPr="005F4560">
        <w:rPr>
          <w:rFonts w:ascii="Times New Roman" w:eastAsia="Times New Roman" w:hAnsi="Times New Roman" w:cs="Times New Roman"/>
          <w:sz w:val="14"/>
          <w:szCs w:val="14"/>
        </w:rPr>
        <w:tab/>
      </w:r>
      <w:r w:rsidRPr="005F4560">
        <w:rPr>
          <w:rFonts w:eastAsia="Times New Roman"/>
        </w:rPr>
        <w:t>Prince Medical Extraction Forceps</w:t>
      </w:r>
      <w:r w:rsidR="00860B2D" w:rsidRPr="005F4560">
        <w:rPr>
          <w:rFonts w:eastAsia="Times New Roman"/>
        </w:rPr>
        <w:t xml:space="preserve"> </w:t>
      </w:r>
      <w:r w:rsidRPr="005F4560">
        <w:rPr>
          <w:rFonts w:eastAsia="Times New Roman"/>
        </w:rPr>
        <w:t>- Product Code AS2290718; ARTG entry 163943</w:t>
      </w:r>
    </w:p>
    <w:bookmarkEnd w:id="4"/>
    <w:p w14:paraId="1085B95B" w14:textId="77777777" w:rsidR="00F301F1" w:rsidRPr="005F4560" w:rsidRDefault="00F301F1" w:rsidP="00027035">
      <w:pPr>
        <w:spacing w:before="0" w:after="0"/>
        <w:ind w:left="284"/>
      </w:pPr>
      <w:r w:rsidRPr="005F4560">
        <w:br w:type="page"/>
      </w:r>
    </w:p>
    <w:p w14:paraId="7524A382" w14:textId="77777777" w:rsidR="00226777" w:rsidRPr="005F4560" w:rsidRDefault="00530204" w:rsidP="00B5731D">
      <w:pPr>
        <w:pStyle w:val="Heading1"/>
        <w:rPr>
          <w:color w:val="auto"/>
        </w:rPr>
      </w:pPr>
      <w:r w:rsidRPr="005F4560">
        <w:rPr>
          <w:color w:val="auto"/>
        </w:rPr>
        <w:lastRenderedPageBreak/>
        <w:t>PART 3</w:t>
      </w:r>
      <w:r w:rsidR="00F93784" w:rsidRPr="005F4560">
        <w:rPr>
          <w:color w:val="auto"/>
        </w:rPr>
        <w:t xml:space="preserve"> – </w:t>
      </w:r>
      <w:r w:rsidR="00226777" w:rsidRPr="005F4560">
        <w:rPr>
          <w:color w:val="auto"/>
        </w:rPr>
        <w:t>INFORMATION ABOUT REGULATORY REQUIREMENTS</w:t>
      </w:r>
    </w:p>
    <w:p w14:paraId="19A1AF0F" w14:textId="77777777" w:rsidR="001A1ADF" w:rsidRPr="005F4560" w:rsidRDefault="0011369B" w:rsidP="0011369B">
      <w:pPr>
        <w:pStyle w:val="Heading2"/>
      </w:pPr>
      <w:r w:rsidRPr="005F4560">
        <w:t xml:space="preserve">(a) </w:t>
      </w:r>
      <w:r w:rsidR="0054594B" w:rsidRPr="005F4560">
        <w:t>If</w:t>
      </w:r>
      <w:r w:rsidR="00226777" w:rsidRPr="005F4560">
        <w:t xml:space="preserve"> the </w:t>
      </w:r>
      <w:r w:rsidR="001A1ADF" w:rsidRPr="005F4560">
        <w:t>p</w:t>
      </w:r>
      <w:r w:rsidR="00226777" w:rsidRPr="005F4560">
        <w:t>roposed medical service involve</w:t>
      </w:r>
      <w:r w:rsidR="009C03FB" w:rsidRPr="005F4560">
        <w:t>s</w:t>
      </w:r>
      <w:r w:rsidR="001A1ADF" w:rsidRPr="005F4560">
        <w:t xml:space="preserve"> the use of a medical device, in-vitro diagnostic test, </w:t>
      </w:r>
      <w:r w:rsidR="00226777" w:rsidRPr="005F4560">
        <w:t xml:space="preserve">pharmaceutical product, </w:t>
      </w:r>
      <w:r w:rsidR="001A1ADF" w:rsidRPr="005F4560">
        <w:t>radioactive tracer or any other type of therape</w:t>
      </w:r>
      <w:r w:rsidR="008127C0" w:rsidRPr="005F4560">
        <w:t xml:space="preserve">utic good, please </w:t>
      </w:r>
      <w:r w:rsidR="001A1ADF" w:rsidRPr="005F4560">
        <w:t xml:space="preserve">provide </w:t>
      </w:r>
      <w:r w:rsidR="008127C0" w:rsidRPr="005F4560">
        <w:t>the following details</w:t>
      </w:r>
      <w:r w:rsidR="001A1ADF" w:rsidRPr="005F4560">
        <w:t>:</w:t>
      </w:r>
    </w:p>
    <w:p w14:paraId="6AC59D9A" w14:textId="77777777" w:rsidR="00A26343" w:rsidRPr="005F4560" w:rsidRDefault="00A26343" w:rsidP="00A6491A">
      <w:pPr>
        <w:spacing w:before="0" w:after="0"/>
        <w:ind w:left="284"/>
        <w:rPr>
          <w:rFonts w:cstheme="minorHAnsi"/>
          <w:szCs w:val="20"/>
        </w:rPr>
      </w:pPr>
      <w:r w:rsidRPr="005F4560">
        <w:rPr>
          <w:rFonts w:cstheme="minorHAnsi"/>
          <w:szCs w:val="20"/>
        </w:rPr>
        <w:t xml:space="preserve">Type of therapeutic good: </w:t>
      </w:r>
      <w:r w:rsidR="00A67CE2" w:rsidRPr="005F4560">
        <w:rPr>
          <w:rFonts w:cstheme="minorHAnsi"/>
          <w:szCs w:val="20"/>
        </w:rPr>
        <w:t xml:space="preserve">Medical Device Included Class </w:t>
      </w:r>
      <w:proofErr w:type="spellStart"/>
      <w:r w:rsidR="00A67CE2" w:rsidRPr="005F4560">
        <w:rPr>
          <w:rFonts w:cstheme="minorHAnsi"/>
          <w:szCs w:val="20"/>
        </w:rPr>
        <w:t>IIb</w:t>
      </w:r>
      <w:proofErr w:type="spellEnd"/>
    </w:p>
    <w:p w14:paraId="3A3BFDE7" w14:textId="11F6A874" w:rsidR="00A26343" w:rsidRPr="005F4560" w:rsidRDefault="00A26343" w:rsidP="00A6491A">
      <w:pPr>
        <w:spacing w:before="0" w:after="0"/>
        <w:ind w:left="284"/>
        <w:rPr>
          <w:rFonts w:cstheme="minorHAnsi"/>
          <w:szCs w:val="20"/>
        </w:rPr>
      </w:pPr>
      <w:r w:rsidRPr="005F4560">
        <w:rPr>
          <w:rFonts w:cstheme="minorHAnsi"/>
          <w:szCs w:val="20"/>
        </w:rPr>
        <w:t xml:space="preserve">Manufacturer’s name: </w:t>
      </w:r>
      <w:r w:rsidR="003B4101" w:rsidRPr="003B4101">
        <w:rPr>
          <w:rFonts w:cstheme="minorHAnsi"/>
          <w:color w:val="FF0000"/>
          <w:szCs w:val="20"/>
        </w:rPr>
        <w:t>REDACTED</w:t>
      </w:r>
    </w:p>
    <w:p w14:paraId="2A88628F" w14:textId="78C5495C" w:rsidR="00A26343" w:rsidRPr="005F4560" w:rsidRDefault="00A26343" w:rsidP="002009CA">
      <w:pPr>
        <w:autoSpaceDE w:val="0"/>
        <w:autoSpaceDN w:val="0"/>
        <w:adjustRightInd w:val="0"/>
        <w:spacing w:before="0" w:after="0"/>
        <w:ind w:left="284"/>
        <w:rPr>
          <w:rFonts w:cstheme="minorHAnsi"/>
          <w:szCs w:val="20"/>
        </w:rPr>
      </w:pPr>
      <w:r w:rsidRPr="005F4560">
        <w:rPr>
          <w:rFonts w:cstheme="minorHAnsi"/>
          <w:szCs w:val="20"/>
        </w:rPr>
        <w:t xml:space="preserve">Sponsor’s name: </w:t>
      </w:r>
      <w:r w:rsidR="003B4101" w:rsidRPr="003B4101">
        <w:rPr>
          <w:rFonts w:cstheme="minorHAnsi"/>
          <w:color w:val="FF0000"/>
          <w:szCs w:val="20"/>
        </w:rPr>
        <w:t>REDACTED</w:t>
      </w:r>
    </w:p>
    <w:p w14:paraId="5AEC4A00" w14:textId="77777777" w:rsidR="0055252E" w:rsidRPr="005F4560" w:rsidRDefault="0055252E" w:rsidP="004C7F92">
      <w:pPr>
        <w:autoSpaceDE w:val="0"/>
        <w:autoSpaceDN w:val="0"/>
        <w:adjustRightInd w:val="0"/>
        <w:spacing w:before="0" w:after="0"/>
        <w:rPr>
          <w:rFonts w:cstheme="minorHAnsi"/>
          <w:szCs w:val="20"/>
        </w:rPr>
      </w:pPr>
    </w:p>
    <w:p w14:paraId="4D39C10B" w14:textId="77777777" w:rsidR="005E2CE3" w:rsidRPr="005F4560" w:rsidRDefault="005E2CE3" w:rsidP="00555876">
      <w:pPr>
        <w:pStyle w:val="Heading2"/>
        <w:numPr>
          <w:ilvl w:val="0"/>
          <w:numId w:val="6"/>
        </w:numPr>
      </w:pPr>
      <w:r w:rsidRPr="005F4560">
        <w:t>Is the medical device classified by the TGA as either a Class III or Active Implantable Medical Device (AIMD) against the TGA regulatory scheme for devices?</w:t>
      </w:r>
    </w:p>
    <w:p w14:paraId="3BAFAC92" w14:textId="77777777" w:rsidR="00615F42" w:rsidRPr="005F4560" w:rsidRDefault="00615F42" w:rsidP="00A6491A">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Class III</w:t>
      </w:r>
    </w:p>
    <w:p w14:paraId="5D7C3441" w14:textId="77777777" w:rsidR="00615F42" w:rsidRPr="005F4560" w:rsidRDefault="00615F42" w:rsidP="00A6491A">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AIMD</w:t>
      </w:r>
    </w:p>
    <w:p w14:paraId="00ED8BF1" w14:textId="6F118694" w:rsidR="005E2CE3" w:rsidRPr="005F4560" w:rsidRDefault="009C7E0B" w:rsidP="00A6491A">
      <w:pPr>
        <w:spacing w:before="0" w:after="0"/>
        <w:ind w:left="284"/>
        <w:rPr>
          <w:szCs w:val="20"/>
        </w:rPr>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860B2D" w:rsidRPr="005F4560">
        <w:rPr>
          <w:b/>
          <w:szCs w:val="20"/>
        </w:rPr>
        <w:t xml:space="preserve"> </w:t>
      </w:r>
      <w:r w:rsidR="00615F42" w:rsidRPr="005F4560">
        <w:rPr>
          <w:szCs w:val="20"/>
        </w:rPr>
        <w:t>N/A</w:t>
      </w:r>
    </w:p>
    <w:p w14:paraId="341E465D" w14:textId="77777777" w:rsidR="003421AE" w:rsidRPr="005F4560" w:rsidRDefault="0011369B" w:rsidP="00530204">
      <w:pPr>
        <w:pStyle w:val="Heading2"/>
      </w:pPr>
      <w:r w:rsidRPr="005F4560">
        <w:t xml:space="preserve">(a) </w:t>
      </w:r>
      <w:r w:rsidR="003421AE" w:rsidRPr="005F4560">
        <w:t xml:space="preserve">Is the therapeutic good to be used in the service exempt from the regulatory requirements of the </w:t>
      </w:r>
      <w:r w:rsidR="003421AE" w:rsidRPr="005F4560">
        <w:rPr>
          <w:i/>
        </w:rPr>
        <w:t>Therapeutic Goods Act 1989</w:t>
      </w:r>
      <w:r w:rsidR="003421AE" w:rsidRPr="005F4560">
        <w:t>?</w:t>
      </w:r>
    </w:p>
    <w:p w14:paraId="087E1EE7" w14:textId="77777777" w:rsidR="00615F42" w:rsidRPr="005F4560" w:rsidRDefault="00615F42" w:rsidP="00A6491A">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Yes (If yes, please provide supporting documentation as an attachment to this application form)</w:t>
      </w:r>
    </w:p>
    <w:p w14:paraId="69743CF9" w14:textId="3417F3A5" w:rsidR="003421AE" w:rsidRPr="005F4560" w:rsidRDefault="009C7E0B" w:rsidP="00A6491A">
      <w:pPr>
        <w:spacing w:before="0" w:after="0"/>
        <w:ind w:left="284"/>
        <w:rPr>
          <w:b/>
          <w:szCs w:val="20"/>
        </w:rPr>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860B2D" w:rsidRPr="005F4560">
        <w:rPr>
          <w:b/>
          <w:szCs w:val="20"/>
        </w:rPr>
        <w:t xml:space="preserve"> </w:t>
      </w:r>
      <w:r w:rsidR="00615F42" w:rsidRPr="005F4560">
        <w:rPr>
          <w:szCs w:val="20"/>
        </w:rPr>
        <w:t>No</w:t>
      </w:r>
    </w:p>
    <w:p w14:paraId="2B5415BB" w14:textId="2F7CA5F5" w:rsidR="00D85676" w:rsidRPr="005F4560" w:rsidRDefault="00F91E2C" w:rsidP="00F91E2C">
      <w:pPr>
        <w:pStyle w:val="Heading2"/>
      </w:pPr>
      <w:r w:rsidRPr="005F4560">
        <w:t xml:space="preserve">(b) </w:t>
      </w:r>
      <w:r w:rsidR="00D85676" w:rsidRPr="005F4560">
        <w:t>If no, has it been listed or registered or included in the Australian Register of Therapeutic Goods (ARTG) by the Therapeutic Goods Administration (TGA)</w:t>
      </w:r>
      <w:r w:rsidR="00403333" w:rsidRPr="005F4560">
        <w:t>?</w:t>
      </w:r>
    </w:p>
    <w:p w14:paraId="53D26D11" w14:textId="77777777" w:rsidR="0043654D" w:rsidRPr="005F4560" w:rsidRDefault="009C7E0B" w:rsidP="0043654D">
      <w:pPr>
        <w:spacing w:before="0" w:after="0"/>
        <w:ind w:left="284"/>
        <w:rPr>
          <w:szCs w:val="20"/>
        </w:rPr>
      </w:pPr>
      <w:r w:rsidRPr="005F4560">
        <w:rPr>
          <w:b/>
          <w:szCs w:val="20"/>
        </w:rPr>
        <w:fldChar w:fldCharType="begin">
          <w:ffData>
            <w:name w:val=""/>
            <w:enabled/>
            <w:calcOnExit w:val="0"/>
            <w:checkBox>
              <w:sizeAuto/>
              <w:default w:val="1"/>
            </w:checkBox>
          </w:ffData>
        </w:fldChar>
      </w:r>
      <w:r w:rsidRPr="005F4560">
        <w:rPr>
          <w:b/>
          <w:szCs w:val="20"/>
        </w:rPr>
        <w:instrText xml:space="preserve"> FORMCHECKBOX </w:instrText>
      </w:r>
      <w:r w:rsidR="009878BB">
        <w:rPr>
          <w:b/>
          <w:szCs w:val="20"/>
        </w:rPr>
      </w:r>
      <w:r w:rsidR="009878BB">
        <w:rPr>
          <w:b/>
          <w:szCs w:val="20"/>
        </w:rPr>
        <w:fldChar w:fldCharType="separate"/>
      </w:r>
      <w:r w:rsidRPr="005F4560">
        <w:rPr>
          <w:b/>
          <w:szCs w:val="20"/>
        </w:rPr>
        <w:fldChar w:fldCharType="end"/>
      </w:r>
      <w:r w:rsidR="002009CA" w:rsidRPr="005F4560">
        <w:rPr>
          <w:szCs w:val="20"/>
        </w:rPr>
        <w:t xml:space="preserve"> </w:t>
      </w:r>
      <w:r w:rsidR="0043654D" w:rsidRPr="005F4560">
        <w:rPr>
          <w:szCs w:val="20"/>
        </w:rPr>
        <w:t>Yes (if yes, please provide details below)</w:t>
      </w:r>
    </w:p>
    <w:p w14:paraId="4AAEFF9D" w14:textId="77777777" w:rsidR="0043654D" w:rsidRPr="005F4560" w:rsidRDefault="0043654D" w:rsidP="0043654D">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No</w:t>
      </w:r>
    </w:p>
    <w:p w14:paraId="36910D17" w14:textId="77777777" w:rsidR="0043654D" w:rsidRPr="005F4560" w:rsidRDefault="0043654D" w:rsidP="0043654D">
      <w:pPr>
        <w:spacing w:before="0" w:after="0"/>
        <w:ind w:left="284"/>
        <w:rPr>
          <w:b/>
          <w:szCs w:val="20"/>
        </w:rPr>
      </w:pPr>
    </w:p>
    <w:p w14:paraId="75B00A23" w14:textId="77777777" w:rsidR="0043654D" w:rsidRPr="005F4560" w:rsidRDefault="0043654D" w:rsidP="0043654D">
      <w:pPr>
        <w:spacing w:before="0" w:after="0"/>
        <w:ind w:left="284"/>
        <w:rPr>
          <w:rFonts w:cstheme="minorHAnsi"/>
          <w:szCs w:val="20"/>
        </w:rPr>
      </w:pPr>
      <w:r w:rsidRPr="005F4560">
        <w:rPr>
          <w:szCs w:val="20"/>
        </w:rPr>
        <w:t xml:space="preserve">ARTG listing, registration or inclusion number:  </w:t>
      </w:r>
      <w:r w:rsidR="002009CA" w:rsidRPr="005F4560">
        <w:rPr>
          <w:rFonts w:cstheme="minorHAnsi"/>
          <w:szCs w:val="20"/>
        </w:rPr>
        <w:t>226685</w:t>
      </w:r>
    </w:p>
    <w:p w14:paraId="30AD1D23" w14:textId="241AD681" w:rsidR="001961AB" w:rsidRPr="005F4560" w:rsidRDefault="0043654D" w:rsidP="0088764D">
      <w:pPr>
        <w:pStyle w:val="Pa1"/>
        <w:spacing w:before="80"/>
        <w:ind w:left="284"/>
        <w:jc w:val="both"/>
        <w:rPr>
          <w:szCs w:val="20"/>
        </w:rPr>
      </w:pPr>
      <w:r w:rsidRPr="005F4560">
        <w:rPr>
          <w:rFonts w:asciiTheme="minorHAnsi" w:hAnsiTheme="minorHAnsi"/>
          <w:sz w:val="20"/>
          <w:szCs w:val="20"/>
        </w:rPr>
        <w:t>TGA approved indication(s), if applicable:</w:t>
      </w:r>
      <w:r w:rsidR="001961AB" w:rsidRPr="005F4560">
        <w:rPr>
          <w:szCs w:val="20"/>
        </w:rPr>
        <w:t xml:space="preserve"> </w:t>
      </w:r>
      <w:r w:rsidR="001961AB" w:rsidRPr="005F4560">
        <w:rPr>
          <w:rFonts w:asciiTheme="minorHAnsi" w:hAnsiTheme="minorHAnsi" w:cstheme="minorHAnsi"/>
          <w:sz w:val="20"/>
          <w:szCs w:val="20"/>
        </w:rPr>
        <w:t>Not applicable.</w:t>
      </w:r>
    </w:p>
    <w:p w14:paraId="2B3934CE" w14:textId="77777777" w:rsidR="00D10E10" w:rsidRPr="005F4560" w:rsidRDefault="00D10E10" w:rsidP="002009CA">
      <w:pPr>
        <w:spacing w:before="0" w:after="0"/>
        <w:ind w:left="284"/>
        <w:rPr>
          <w:rFonts w:cstheme="minorHAnsi"/>
          <w:szCs w:val="20"/>
        </w:rPr>
      </w:pPr>
    </w:p>
    <w:p w14:paraId="2D3E40B7" w14:textId="5798047A" w:rsidR="001961AB" w:rsidRPr="005F4560" w:rsidRDefault="0043654D" w:rsidP="0088764D">
      <w:pPr>
        <w:autoSpaceDE w:val="0"/>
        <w:autoSpaceDN w:val="0"/>
        <w:adjustRightInd w:val="0"/>
        <w:spacing w:before="0" w:after="0"/>
        <w:ind w:left="284"/>
        <w:jc w:val="both"/>
        <w:rPr>
          <w:rFonts w:cstheme="minorHAnsi"/>
          <w:szCs w:val="20"/>
        </w:rPr>
      </w:pPr>
      <w:r w:rsidRPr="005F4560">
        <w:rPr>
          <w:rFonts w:cstheme="minorHAnsi"/>
          <w:szCs w:val="20"/>
        </w:rPr>
        <w:t xml:space="preserve">TGA approved purpose(s), if applicable: </w:t>
      </w:r>
      <w:r w:rsidR="002009CA" w:rsidRPr="005F4560">
        <w:rPr>
          <w:rFonts w:cstheme="minorHAnsi"/>
          <w:szCs w:val="20"/>
        </w:rPr>
        <w:t xml:space="preserve">The system is a gastric balloon inflated in the stomach for temporary use in weight-loss therapy in patients meeting criteria based on Body Mass Index (BMI) and applicable health reasons, as specified. The system works by creating a feeling of satiety and </w:t>
      </w:r>
      <w:r w:rsidR="00535301" w:rsidRPr="005F4560">
        <w:rPr>
          <w:rFonts w:cstheme="minorHAnsi"/>
          <w:szCs w:val="20"/>
        </w:rPr>
        <w:t xml:space="preserve">delayed gastric emptying, </w:t>
      </w:r>
      <w:r w:rsidR="002009CA" w:rsidRPr="005F4560">
        <w:rPr>
          <w:rFonts w:cstheme="minorHAnsi"/>
          <w:szCs w:val="20"/>
        </w:rPr>
        <w:t>reducing the desire for food. Patients are to be evaluated and the system removed or replaced every six months (180 days).</w:t>
      </w:r>
    </w:p>
    <w:p w14:paraId="6AFB5B13" w14:textId="77777777" w:rsidR="00C0796F" w:rsidRPr="005F4560" w:rsidRDefault="00C0796F" w:rsidP="00530204">
      <w:pPr>
        <w:pStyle w:val="Heading2"/>
      </w:pPr>
      <w:r w:rsidRPr="005F4560">
        <w:t>If the therapeutic good has not been listed, registered or included in the ARTG, is the therapeutic good in the process of being considered for inclusion by the TGA?</w:t>
      </w:r>
    </w:p>
    <w:p w14:paraId="47E1CCC1" w14:textId="77777777" w:rsidR="0047581D" w:rsidRPr="005F4560" w:rsidRDefault="0047581D" w:rsidP="0047581D">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Yes (please provide details below)</w:t>
      </w:r>
    </w:p>
    <w:p w14:paraId="3C78F4D6" w14:textId="77777777" w:rsidR="0047581D" w:rsidRPr="005F4560" w:rsidRDefault="0047581D" w:rsidP="0047581D">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No</w:t>
      </w:r>
    </w:p>
    <w:p w14:paraId="07557EBA" w14:textId="77777777" w:rsidR="0047581D" w:rsidRPr="005F4560" w:rsidRDefault="0047581D" w:rsidP="0047581D">
      <w:pPr>
        <w:spacing w:before="0" w:after="0"/>
        <w:rPr>
          <w:b/>
          <w:szCs w:val="20"/>
        </w:rPr>
      </w:pPr>
    </w:p>
    <w:p w14:paraId="75EB55E5" w14:textId="776F920B" w:rsidR="0047581D" w:rsidRPr="005F4560" w:rsidRDefault="0047581D" w:rsidP="0047581D">
      <w:pPr>
        <w:spacing w:before="0" w:after="0"/>
        <w:rPr>
          <w:szCs w:val="20"/>
        </w:rPr>
      </w:pPr>
      <w:r w:rsidRPr="005F4560">
        <w:rPr>
          <w:szCs w:val="20"/>
        </w:rPr>
        <w:t xml:space="preserve">Date of submission to TGA:  </w:t>
      </w:r>
      <w:r w:rsidR="00860B2D" w:rsidRPr="005F4560">
        <w:t>NA</w:t>
      </w:r>
    </w:p>
    <w:p w14:paraId="604B3876" w14:textId="0E42AC9B" w:rsidR="0047581D" w:rsidRPr="005F4560" w:rsidRDefault="0047581D" w:rsidP="0047581D">
      <w:pPr>
        <w:spacing w:before="0" w:after="0"/>
        <w:rPr>
          <w:szCs w:val="20"/>
        </w:rPr>
      </w:pPr>
      <w:r w:rsidRPr="005F4560">
        <w:rPr>
          <w:szCs w:val="20"/>
        </w:rPr>
        <w:t xml:space="preserve">Estimated date by which TGA approval can be expected:  </w:t>
      </w:r>
      <w:r w:rsidR="00860B2D" w:rsidRPr="005F4560">
        <w:t>NA</w:t>
      </w:r>
      <w:r w:rsidR="00860B2D" w:rsidRPr="005F4560" w:rsidDel="00860B2D">
        <w:t xml:space="preserve"> </w:t>
      </w:r>
    </w:p>
    <w:p w14:paraId="40C1F3E3" w14:textId="2EE46C7C" w:rsidR="0047581D" w:rsidRPr="005F4560" w:rsidRDefault="0047581D" w:rsidP="0047581D">
      <w:pPr>
        <w:spacing w:before="0" w:after="0"/>
        <w:rPr>
          <w:szCs w:val="20"/>
        </w:rPr>
      </w:pPr>
      <w:r w:rsidRPr="005F4560">
        <w:rPr>
          <w:szCs w:val="20"/>
        </w:rPr>
        <w:t xml:space="preserve">TGA Application ID:  </w:t>
      </w:r>
      <w:r w:rsidR="00860B2D" w:rsidRPr="005F4560">
        <w:t>NA</w:t>
      </w:r>
      <w:r w:rsidR="00860B2D" w:rsidRPr="005F4560" w:rsidDel="00860B2D">
        <w:t xml:space="preserve"> </w:t>
      </w:r>
    </w:p>
    <w:p w14:paraId="6BB63051" w14:textId="0C22910A" w:rsidR="0047581D" w:rsidRPr="005F4560" w:rsidRDefault="0047581D" w:rsidP="0047581D">
      <w:pPr>
        <w:spacing w:before="0" w:after="0"/>
        <w:rPr>
          <w:szCs w:val="20"/>
        </w:rPr>
      </w:pPr>
      <w:r w:rsidRPr="005F4560">
        <w:rPr>
          <w:szCs w:val="20"/>
        </w:rPr>
        <w:t xml:space="preserve">TGA approved indication(s), if applicable:  </w:t>
      </w:r>
      <w:r w:rsidR="00860B2D" w:rsidRPr="005F4560">
        <w:t>NA</w:t>
      </w:r>
      <w:r w:rsidR="00860B2D" w:rsidRPr="005F4560" w:rsidDel="00860B2D">
        <w:t xml:space="preserve"> </w:t>
      </w:r>
    </w:p>
    <w:p w14:paraId="47687FFF" w14:textId="2522E4C2" w:rsidR="003433D1" w:rsidRPr="005F4560" w:rsidRDefault="0047581D" w:rsidP="0047581D">
      <w:pPr>
        <w:spacing w:before="0" w:after="0"/>
        <w:rPr>
          <w:szCs w:val="20"/>
        </w:rPr>
      </w:pPr>
      <w:r w:rsidRPr="005F4560">
        <w:rPr>
          <w:szCs w:val="20"/>
        </w:rPr>
        <w:t xml:space="preserve">TGA approved purpose(s), if applicable:  </w:t>
      </w:r>
      <w:r w:rsidR="00860B2D" w:rsidRPr="005F4560">
        <w:t>NA</w:t>
      </w:r>
      <w:r w:rsidR="00860B2D" w:rsidRPr="005F4560" w:rsidDel="00860B2D">
        <w:t xml:space="preserve"> </w:t>
      </w:r>
    </w:p>
    <w:p w14:paraId="0F033B1F" w14:textId="77777777" w:rsidR="00C0796F" w:rsidRPr="005F4560" w:rsidRDefault="000A110D" w:rsidP="00530204">
      <w:pPr>
        <w:pStyle w:val="Heading2"/>
      </w:pPr>
      <w:r w:rsidRPr="005F4560">
        <w:t>I</w:t>
      </w:r>
      <w:r w:rsidR="00C0796F" w:rsidRPr="005F4560">
        <w:t xml:space="preserve">f the therapeutic good </w:t>
      </w:r>
      <w:r w:rsidR="00F83A9D" w:rsidRPr="005F4560">
        <w:t>is not in the process of being considered for listing</w:t>
      </w:r>
      <w:r w:rsidR="00C0796F" w:rsidRPr="005F4560">
        <w:t xml:space="preserve">, </w:t>
      </w:r>
      <w:r w:rsidR="00F83A9D" w:rsidRPr="005F4560">
        <w:t xml:space="preserve">registration </w:t>
      </w:r>
      <w:r w:rsidR="00C0796F" w:rsidRPr="005F4560">
        <w:t xml:space="preserve">or </w:t>
      </w:r>
      <w:r w:rsidR="00F83A9D" w:rsidRPr="005F4560">
        <w:t>inclusion by the TGA, is an application to the TGA being prepared?</w:t>
      </w:r>
    </w:p>
    <w:p w14:paraId="09FFD3CE" w14:textId="77777777" w:rsidR="000A110D" w:rsidRPr="005F4560" w:rsidRDefault="000A110D" w:rsidP="000A110D">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Yes (please provide details below)</w:t>
      </w:r>
    </w:p>
    <w:p w14:paraId="366D3A83" w14:textId="77777777" w:rsidR="000A110D" w:rsidRPr="005F4560" w:rsidRDefault="000A110D" w:rsidP="000A110D">
      <w:pPr>
        <w:spacing w:before="0" w:after="0"/>
        <w:ind w:left="284"/>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No</w:t>
      </w:r>
    </w:p>
    <w:p w14:paraId="176A81AB" w14:textId="77777777" w:rsidR="000A110D" w:rsidRPr="005F4560" w:rsidRDefault="000A110D" w:rsidP="00971EDB">
      <w:pPr>
        <w:spacing w:before="0" w:after="0"/>
        <w:rPr>
          <w:szCs w:val="20"/>
        </w:rPr>
      </w:pPr>
    </w:p>
    <w:p w14:paraId="6BFD3AEF" w14:textId="46AE9BD3" w:rsidR="00971EDB" w:rsidRPr="005F4560" w:rsidRDefault="00971EDB" w:rsidP="00971EDB">
      <w:pPr>
        <w:spacing w:before="0" w:after="0"/>
        <w:rPr>
          <w:szCs w:val="20"/>
        </w:rPr>
      </w:pPr>
      <w:r w:rsidRPr="005F4560">
        <w:rPr>
          <w:szCs w:val="20"/>
        </w:rPr>
        <w:t xml:space="preserve">Estimated date of submission to TGA:  </w:t>
      </w:r>
      <w:r w:rsidR="00860B2D" w:rsidRPr="005F4560">
        <w:t>NA</w:t>
      </w:r>
      <w:r w:rsidR="00860B2D" w:rsidRPr="005F4560" w:rsidDel="00860B2D">
        <w:t xml:space="preserve"> </w:t>
      </w:r>
    </w:p>
    <w:p w14:paraId="6CCADD68" w14:textId="339CD415" w:rsidR="00971EDB" w:rsidRPr="005F4560" w:rsidRDefault="00971EDB" w:rsidP="00971EDB">
      <w:pPr>
        <w:spacing w:before="0" w:after="0"/>
        <w:rPr>
          <w:szCs w:val="20"/>
        </w:rPr>
      </w:pPr>
      <w:r w:rsidRPr="005F4560">
        <w:rPr>
          <w:szCs w:val="20"/>
        </w:rPr>
        <w:t xml:space="preserve">Proposed indication(s), if applicable:  </w:t>
      </w:r>
      <w:r w:rsidR="00860B2D" w:rsidRPr="005F4560">
        <w:t>NA</w:t>
      </w:r>
      <w:r w:rsidR="00860B2D" w:rsidRPr="005F4560" w:rsidDel="00860B2D">
        <w:t xml:space="preserve"> </w:t>
      </w:r>
    </w:p>
    <w:p w14:paraId="3D9CBEEA" w14:textId="2280E8B8" w:rsidR="00971EDB" w:rsidRPr="005F4560" w:rsidRDefault="00971EDB" w:rsidP="00971EDB">
      <w:pPr>
        <w:spacing w:before="0" w:after="0"/>
        <w:rPr>
          <w:szCs w:val="20"/>
        </w:rPr>
      </w:pPr>
      <w:r w:rsidRPr="005F4560">
        <w:rPr>
          <w:szCs w:val="20"/>
        </w:rPr>
        <w:t xml:space="preserve">Proposed purpose(s), if applicable:  </w:t>
      </w:r>
      <w:r w:rsidR="00860B2D" w:rsidRPr="005F4560">
        <w:t>NA</w:t>
      </w:r>
      <w:r w:rsidR="00860B2D" w:rsidRPr="005F4560" w:rsidDel="00860B2D">
        <w:t xml:space="preserve"> </w:t>
      </w:r>
    </w:p>
    <w:p w14:paraId="7701FCC7" w14:textId="77777777" w:rsidR="00EF037A" w:rsidRPr="005F4560" w:rsidRDefault="00EF037A" w:rsidP="00EF037A">
      <w:pPr>
        <w:pStyle w:val="Heading1"/>
        <w:rPr>
          <w:color w:val="auto"/>
        </w:rPr>
      </w:pPr>
      <w:r w:rsidRPr="005F4560">
        <w:rPr>
          <w:color w:val="auto"/>
        </w:rPr>
        <w:lastRenderedPageBreak/>
        <w:t>PART 4 – SUMMARY OF EVIDENCE</w:t>
      </w:r>
    </w:p>
    <w:p w14:paraId="224B4F96" w14:textId="77777777" w:rsidR="00EF037A" w:rsidRPr="005F4560" w:rsidRDefault="00EF037A" w:rsidP="00EF037A">
      <w:pPr>
        <w:pStyle w:val="Heading2"/>
        <w:rPr>
          <w:i/>
        </w:rPr>
      </w:pPr>
      <w:r w:rsidRPr="005F4560">
        <w:t xml:space="preserve">Provide an overview of all key journal articles or research published in the public domain related to the proposed service that is for your application (limiting these to the English language only).  </w:t>
      </w:r>
      <w:r w:rsidRPr="005F4560">
        <w:rPr>
          <w:i/>
        </w:rPr>
        <w:t>Please do not attach full text articles, this is just intended to be a summary.</w:t>
      </w:r>
    </w:p>
    <w:p w14:paraId="29D3F3BB" w14:textId="7AE5965D" w:rsidR="00EF037A" w:rsidRPr="005F4560" w:rsidRDefault="00860B2D" w:rsidP="00EF037A">
      <w:pPr>
        <w:pStyle w:val="KMC-BulletLists"/>
        <w:rPr>
          <w:rFonts w:asciiTheme="minorHAnsi" w:hAnsiTheme="minorHAnsi" w:cstheme="minorHAnsi"/>
          <w:color w:val="auto"/>
          <w:sz w:val="20"/>
          <w:szCs w:val="20"/>
        </w:rPr>
      </w:pPr>
      <w:r w:rsidRPr="005F4560">
        <w:rPr>
          <w:rFonts w:asciiTheme="minorHAnsi" w:hAnsiTheme="minorHAnsi" w:cstheme="minorHAnsi"/>
          <w:color w:val="auto"/>
          <w:sz w:val="20"/>
          <w:szCs w:val="20"/>
        </w:rPr>
        <w:t xml:space="preserve">Obesity </w:t>
      </w:r>
      <w:r w:rsidR="00EF037A" w:rsidRPr="005F4560">
        <w:rPr>
          <w:rFonts w:asciiTheme="minorHAnsi" w:hAnsiTheme="minorHAnsi" w:cstheme="minorHAnsi"/>
          <w:color w:val="auto"/>
          <w:sz w:val="20"/>
          <w:szCs w:val="20"/>
        </w:rPr>
        <w:t xml:space="preserve">Class 1: BMI </w:t>
      </w:r>
      <w:r w:rsidR="005D4058" w:rsidRPr="005F4560">
        <w:rPr>
          <w:rFonts w:asciiTheme="minorHAnsi" w:hAnsiTheme="minorHAnsi" w:cstheme="minorHAnsi"/>
          <w:color w:val="auto"/>
          <w:sz w:val="20"/>
          <w:szCs w:val="20"/>
        </w:rPr>
        <w:t>≥</w:t>
      </w:r>
      <w:r w:rsidR="00EF037A" w:rsidRPr="005F4560">
        <w:rPr>
          <w:rFonts w:asciiTheme="minorHAnsi" w:hAnsiTheme="minorHAnsi" w:cstheme="minorHAnsi"/>
          <w:color w:val="auto"/>
          <w:sz w:val="20"/>
          <w:szCs w:val="20"/>
        </w:rPr>
        <w:t>30</w:t>
      </w:r>
      <w:r w:rsidR="00BB1E2D" w:rsidRPr="005F4560">
        <w:rPr>
          <w:rFonts w:asciiTheme="minorHAnsi" w:hAnsiTheme="minorHAnsi" w:cstheme="minorHAnsi"/>
          <w:color w:val="auto"/>
          <w:sz w:val="20"/>
          <w:szCs w:val="20"/>
        </w:rPr>
        <w:t>&lt;35</w:t>
      </w:r>
      <w:r w:rsidR="005D4058" w:rsidRPr="005F4560">
        <w:rPr>
          <w:rFonts w:asciiTheme="minorHAnsi" w:hAnsiTheme="minorHAnsi" w:cstheme="minorHAnsi"/>
          <w:color w:val="auto"/>
          <w:sz w:val="20"/>
          <w:szCs w:val="20"/>
        </w:rPr>
        <w:t xml:space="preserve"> kg/m</w:t>
      </w:r>
      <w:r w:rsidR="005D4058" w:rsidRPr="005F4560">
        <w:rPr>
          <w:rFonts w:asciiTheme="minorHAnsi" w:hAnsiTheme="minorHAnsi" w:cstheme="minorHAnsi"/>
          <w:color w:val="auto"/>
          <w:sz w:val="20"/>
          <w:szCs w:val="20"/>
          <w:vertAlign w:val="superscript"/>
        </w:rPr>
        <w:t>2</w:t>
      </w:r>
      <w:r w:rsidR="00BB1E2D" w:rsidRPr="005F4560">
        <w:rPr>
          <w:rFonts w:asciiTheme="minorHAnsi" w:hAnsiTheme="minorHAnsi" w:cstheme="minorHAnsi"/>
          <w:color w:val="auto"/>
          <w:sz w:val="20"/>
          <w:szCs w:val="20"/>
        </w:rPr>
        <w:t xml:space="preserve"> </w:t>
      </w:r>
      <w:r w:rsidR="00EF037A" w:rsidRPr="005F4560">
        <w:rPr>
          <w:rFonts w:asciiTheme="minorHAnsi" w:hAnsiTheme="minorHAnsi" w:cstheme="minorHAnsi"/>
          <w:color w:val="auto"/>
          <w:sz w:val="20"/>
          <w:szCs w:val="20"/>
        </w:rPr>
        <w:t xml:space="preserve">who have </w:t>
      </w:r>
      <w:r w:rsidR="00926623" w:rsidRPr="005F4560">
        <w:rPr>
          <w:rFonts w:asciiTheme="minorHAnsi" w:hAnsiTheme="minorHAnsi" w:cstheme="minorHAnsi"/>
          <w:color w:val="auto"/>
          <w:sz w:val="20"/>
          <w:szCs w:val="20"/>
        </w:rPr>
        <w:t>comorbidities and who have failed first line treatments</w:t>
      </w:r>
      <w:r w:rsidRPr="005F4560">
        <w:rPr>
          <w:rFonts w:asciiTheme="minorHAnsi" w:hAnsiTheme="minorHAnsi" w:cstheme="minorHAnsi"/>
          <w:color w:val="auto"/>
          <w:sz w:val="20"/>
          <w:szCs w:val="20"/>
        </w:rPr>
        <w:t>.</w:t>
      </w:r>
      <w:r w:rsidR="00EF037A" w:rsidRPr="005F4560">
        <w:rPr>
          <w:rFonts w:asciiTheme="minorHAnsi" w:hAnsiTheme="minorHAnsi" w:cstheme="minorHAnsi"/>
          <w:color w:val="auto"/>
          <w:sz w:val="20"/>
          <w:szCs w:val="20"/>
        </w:rPr>
        <w:t xml:space="preserve"> </w:t>
      </w:r>
    </w:p>
    <w:p w14:paraId="19BCEB12" w14:textId="210BDFF8" w:rsidR="007A3ACF" w:rsidRPr="005F4560" w:rsidRDefault="007A3ACF" w:rsidP="00EA5234">
      <w:pPr>
        <w:jc w:val="both"/>
        <w:rPr>
          <w:rFonts w:cstheme="minorHAnsi"/>
          <w:szCs w:val="20"/>
        </w:rPr>
      </w:pPr>
      <w:r w:rsidRPr="005F4560">
        <w:rPr>
          <w:rFonts w:cstheme="minorHAnsi"/>
          <w:szCs w:val="20"/>
        </w:rPr>
        <w:t xml:space="preserve">Device of Interest: </w:t>
      </w:r>
      <w:proofErr w:type="spellStart"/>
      <w:r w:rsidR="003A68F9" w:rsidRPr="005F4560">
        <w:rPr>
          <w:rFonts w:cstheme="minorHAnsi"/>
          <w:szCs w:val="20"/>
        </w:rPr>
        <w:t>Intragastric</w:t>
      </w:r>
      <w:proofErr w:type="spellEnd"/>
      <w:r w:rsidR="003A68F9" w:rsidRPr="005F4560">
        <w:rPr>
          <w:rFonts w:cstheme="minorHAnsi"/>
          <w:szCs w:val="20"/>
        </w:rPr>
        <w:t xml:space="preserve"> Balloon </w:t>
      </w:r>
      <w:r w:rsidR="00DC685F">
        <w:rPr>
          <w:rFonts w:cstheme="minorHAnsi"/>
          <w:szCs w:val="20"/>
        </w:rPr>
        <w:t>–</w:t>
      </w:r>
      <w:r w:rsidR="003A68F9" w:rsidRPr="005F4560">
        <w:rPr>
          <w:rFonts w:cstheme="minorHAnsi"/>
          <w:szCs w:val="20"/>
        </w:rPr>
        <w:t xml:space="preserve"> </w:t>
      </w:r>
      <w:proofErr w:type="spellStart"/>
      <w:r w:rsidR="00DC685F">
        <w:rPr>
          <w:rFonts w:cstheme="minorHAnsi"/>
          <w:szCs w:val="20"/>
        </w:rPr>
        <w:t>Orbera</w:t>
      </w:r>
      <w:proofErr w:type="spellEnd"/>
      <w:r w:rsidR="00DC685F">
        <w:rPr>
          <w:rFonts w:cstheme="minorHAnsi"/>
          <w:szCs w:val="20"/>
        </w:rPr>
        <w:t>™</w:t>
      </w:r>
      <w:r w:rsidRPr="005F4560">
        <w:rPr>
          <w:rFonts w:cstheme="minorHAnsi"/>
          <w:szCs w:val="20"/>
        </w:rPr>
        <w:t xml:space="preserve"> (BIB)</w:t>
      </w:r>
    </w:p>
    <w:p w14:paraId="285BB233" w14:textId="048D8361" w:rsidR="00EF037A" w:rsidRPr="005F4560" w:rsidRDefault="00EF037A" w:rsidP="00EA5234">
      <w:pPr>
        <w:jc w:val="both"/>
        <w:rPr>
          <w:rFonts w:cstheme="minorHAnsi"/>
          <w:szCs w:val="20"/>
        </w:rPr>
      </w:pPr>
      <w:r w:rsidRPr="005F4560">
        <w:rPr>
          <w:rFonts w:cstheme="minorHAnsi"/>
          <w:szCs w:val="20"/>
        </w:rPr>
        <w:t>Comparator – placebo/do nothing/watch and wait in</w:t>
      </w:r>
      <w:r w:rsidR="00926623" w:rsidRPr="005F4560">
        <w:rPr>
          <w:rFonts w:cstheme="minorHAnsi"/>
          <w:szCs w:val="20"/>
        </w:rPr>
        <w:t xml:space="preserve"> people with a BMI</w:t>
      </w:r>
      <w:r w:rsidRPr="005F4560">
        <w:rPr>
          <w:rFonts w:cstheme="minorHAnsi"/>
          <w:szCs w:val="20"/>
        </w:rPr>
        <w:t xml:space="preserve"> </w:t>
      </w:r>
      <w:r w:rsidR="00F66882" w:rsidRPr="005F4560">
        <w:rPr>
          <w:rFonts w:cstheme="minorHAnsi"/>
          <w:szCs w:val="20"/>
        </w:rPr>
        <w:t>≥30 &lt;35 kg/m</w:t>
      </w:r>
      <w:r w:rsidR="00F66882" w:rsidRPr="005F4560">
        <w:rPr>
          <w:rFonts w:cstheme="minorHAnsi"/>
          <w:szCs w:val="20"/>
          <w:vertAlign w:val="superscript"/>
        </w:rPr>
        <w:t>2</w:t>
      </w:r>
      <w:r w:rsidR="007B1E08" w:rsidRPr="005F4560">
        <w:rPr>
          <w:rFonts w:cstheme="minorHAnsi"/>
          <w:szCs w:val="20"/>
        </w:rPr>
        <w:t xml:space="preserve"> </w:t>
      </w:r>
    </w:p>
    <w:p w14:paraId="5DA7BDBF" w14:textId="77FD3C88" w:rsidR="005D4058" w:rsidRPr="005F4560" w:rsidRDefault="005D4058" w:rsidP="00EA5234">
      <w:pPr>
        <w:jc w:val="both"/>
        <w:rPr>
          <w:rFonts w:cstheme="minorHAnsi"/>
          <w:szCs w:val="20"/>
        </w:rPr>
      </w:pPr>
      <w:r w:rsidRPr="005F4560">
        <w:rPr>
          <w:rFonts w:cstheme="minorHAnsi"/>
          <w:szCs w:val="20"/>
        </w:rPr>
        <w:t>Secondary comparators: lifestyle modifications/</w:t>
      </w:r>
      <w:r w:rsidR="00DB7645" w:rsidRPr="005F4560">
        <w:rPr>
          <w:rFonts w:cstheme="minorHAnsi"/>
          <w:szCs w:val="20"/>
        </w:rPr>
        <w:t>exercise</w:t>
      </w:r>
      <w:r w:rsidRPr="005F4560">
        <w:rPr>
          <w:rFonts w:cstheme="minorHAnsi"/>
          <w:szCs w:val="20"/>
        </w:rPr>
        <w:t xml:space="preserve"> or pharmacotherapy</w:t>
      </w:r>
      <w:r w:rsidR="00926623" w:rsidRPr="005F4560">
        <w:rPr>
          <w:rFonts w:cstheme="minorHAnsi"/>
          <w:szCs w:val="20"/>
        </w:rPr>
        <w:t xml:space="preserve"> (</w:t>
      </w:r>
      <w:r w:rsidR="00D368CA" w:rsidRPr="005F4560">
        <w:rPr>
          <w:rFonts w:cstheme="minorHAnsi"/>
          <w:szCs w:val="20"/>
        </w:rPr>
        <w:t xml:space="preserve">that is first line treatments) </w:t>
      </w:r>
      <w:r w:rsidR="00DB7645" w:rsidRPr="005F4560">
        <w:rPr>
          <w:rFonts w:cstheme="minorHAnsi"/>
          <w:szCs w:val="20"/>
        </w:rPr>
        <w:t xml:space="preserve">or surgery can be utilised as secondary comparators that can be used in a common comparator analysis, were </w:t>
      </w:r>
      <w:r w:rsidR="00926623" w:rsidRPr="005F4560">
        <w:rPr>
          <w:rFonts w:cstheme="minorHAnsi"/>
          <w:szCs w:val="20"/>
        </w:rPr>
        <w:t xml:space="preserve">an indirect analysis </w:t>
      </w:r>
      <w:r w:rsidR="00DB7645" w:rsidRPr="005F4560">
        <w:rPr>
          <w:rFonts w:cstheme="minorHAnsi"/>
          <w:szCs w:val="20"/>
        </w:rPr>
        <w:t>deemed to be</w:t>
      </w:r>
      <w:r w:rsidR="00926623" w:rsidRPr="005F4560">
        <w:rPr>
          <w:rFonts w:cstheme="minorHAnsi"/>
          <w:szCs w:val="20"/>
        </w:rPr>
        <w:t xml:space="preserve"> appropriate</w:t>
      </w:r>
      <w:r w:rsidR="00DB7645" w:rsidRPr="005F4560">
        <w:rPr>
          <w:rFonts w:cstheme="minorHAnsi"/>
          <w:szCs w:val="20"/>
        </w:rPr>
        <w:t>.</w:t>
      </w:r>
      <w:r w:rsidR="00926623" w:rsidRPr="005F4560">
        <w:rPr>
          <w:rFonts w:cstheme="minorHAnsi"/>
          <w:szCs w:val="20"/>
        </w:rPr>
        <w:t xml:space="preserve"> </w:t>
      </w:r>
    </w:p>
    <w:p w14:paraId="2998B321" w14:textId="56C646D8" w:rsidR="00EF037A" w:rsidRPr="005F4560" w:rsidRDefault="00EF037A" w:rsidP="00EA5234">
      <w:pPr>
        <w:jc w:val="both"/>
        <w:rPr>
          <w:rFonts w:cstheme="minorHAnsi"/>
          <w:szCs w:val="20"/>
        </w:rPr>
      </w:pPr>
      <w:r w:rsidRPr="005F4560">
        <w:rPr>
          <w:rFonts w:cstheme="minorHAnsi"/>
          <w:szCs w:val="20"/>
        </w:rPr>
        <w:t xml:space="preserve">The columns </w:t>
      </w:r>
      <w:r w:rsidR="001A6D56" w:rsidRPr="005F4560">
        <w:rPr>
          <w:rFonts w:cstheme="minorHAnsi"/>
          <w:szCs w:val="20"/>
        </w:rPr>
        <w:t xml:space="preserve">labelled </w:t>
      </w:r>
      <w:r w:rsidR="001A6D56" w:rsidRPr="005F4560">
        <w:rPr>
          <w:rFonts w:cstheme="minorHAnsi"/>
          <w:b/>
          <w:szCs w:val="20"/>
        </w:rPr>
        <w:t>Class 1</w:t>
      </w:r>
      <w:r w:rsidR="001A6D56" w:rsidRPr="005F4560">
        <w:rPr>
          <w:rFonts w:cstheme="minorHAnsi"/>
          <w:szCs w:val="20"/>
        </w:rPr>
        <w:t xml:space="preserve"> (relevant population), </w:t>
      </w:r>
      <w:r w:rsidR="001A6D56" w:rsidRPr="005F4560">
        <w:rPr>
          <w:rFonts w:cstheme="minorHAnsi"/>
          <w:b/>
          <w:szCs w:val="20"/>
        </w:rPr>
        <w:t>2</w:t>
      </w:r>
      <w:r w:rsidR="001A6D56" w:rsidRPr="005F4560">
        <w:rPr>
          <w:rFonts w:cstheme="minorHAnsi"/>
          <w:szCs w:val="20"/>
        </w:rPr>
        <w:t xml:space="preserve"> (which relates to BMI ≥35 &lt;40 with comorbidity) and </w:t>
      </w:r>
      <w:r w:rsidR="001A6D56" w:rsidRPr="005F4560">
        <w:rPr>
          <w:rFonts w:cstheme="minorHAnsi"/>
          <w:b/>
          <w:szCs w:val="20"/>
        </w:rPr>
        <w:t>3</w:t>
      </w:r>
      <w:r w:rsidR="001A6D56" w:rsidRPr="005F4560">
        <w:rPr>
          <w:rFonts w:cstheme="minorHAnsi"/>
          <w:szCs w:val="20"/>
        </w:rPr>
        <w:t xml:space="preserve"> (BMI ≥40) </w:t>
      </w:r>
      <w:r w:rsidRPr="005F4560">
        <w:rPr>
          <w:rFonts w:cstheme="minorHAnsi"/>
          <w:szCs w:val="20"/>
        </w:rPr>
        <w:t xml:space="preserve">relate to obesity class </w:t>
      </w:r>
      <w:r w:rsidR="001A6D56" w:rsidRPr="005F4560">
        <w:rPr>
          <w:rFonts w:cstheme="minorHAnsi"/>
          <w:szCs w:val="20"/>
        </w:rPr>
        <w:t xml:space="preserve">and are used to identify the types of patients included.  Only studies with patients from class 1 are relevant.  However, despite some studies not analysing data by class, there are benefits in presenting such data as supplementary, and therefore these </w:t>
      </w:r>
      <w:r w:rsidR="00062F0B" w:rsidRPr="005F4560">
        <w:rPr>
          <w:rFonts w:cstheme="minorHAnsi"/>
          <w:szCs w:val="20"/>
        </w:rPr>
        <w:t xml:space="preserve">further </w:t>
      </w:r>
      <w:r w:rsidR="001A6D56" w:rsidRPr="005F4560">
        <w:rPr>
          <w:rFonts w:cstheme="minorHAnsi"/>
          <w:szCs w:val="20"/>
        </w:rPr>
        <w:t xml:space="preserve">studies are </w:t>
      </w:r>
      <w:r w:rsidR="00062F0B" w:rsidRPr="005F4560">
        <w:rPr>
          <w:rFonts w:cstheme="minorHAnsi"/>
          <w:szCs w:val="20"/>
        </w:rPr>
        <w:t xml:space="preserve">also </w:t>
      </w:r>
      <w:r w:rsidR="001A6D56" w:rsidRPr="005F4560">
        <w:rPr>
          <w:rFonts w:cstheme="minorHAnsi"/>
          <w:szCs w:val="20"/>
        </w:rPr>
        <w:t xml:space="preserve">included in the table below. </w:t>
      </w:r>
    </w:p>
    <w:p w14:paraId="6FD43144" w14:textId="7A259128" w:rsidR="00C67D03" w:rsidRPr="005F4560" w:rsidRDefault="003E4CCA" w:rsidP="00EA5234">
      <w:pPr>
        <w:jc w:val="both"/>
        <w:rPr>
          <w:rFonts w:cstheme="minorHAnsi"/>
          <w:szCs w:val="20"/>
        </w:rPr>
      </w:pPr>
      <w:r w:rsidRPr="005F4560">
        <w:rPr>
          <w:rFonts w:cstheme="minorHAnsi"/>
          <w:szCs w:val="20"/>
        </w:rPr>
        <w:t xml:space="preserve">Following a </w:t>
      </w:r>
      <w:r w:rsidR="003B092B" w:rsidRPr="005F4560">
        <w:rPr>
          <w:rFonts w:cstheme="minorHAnsi"/>
          <w:szCs w:val="20"/>
        </w:rPr>
        <w:t>comprehensive</w:t>
      </w:r>
      <w:r w:rsidRPr="005F4560">
        <w:rPr>
          <w:rFonts w:cstheme="minorHAnsi"/>
          <w:szCs w:val="20"/>
        </w:rPr>
        <w:t xml:space="preserve"> review, it was identified that</w:t>
      </w:r>
      <w:r w:rsidR="00C67D03" w:rsidRPr="005F4560">
        <w:rPr>
          <w:rFonts w:cstheme="minorHAnsi"/>
          <w:szCs w:val="20"/>
        </w:rPr>
        <w:t xml:space="preserve"> very few studies</w:t>
      </w:r>
      <w:r w:rsidR="00747957" w:rsidRPr="005F4560">
        <w:rPr>
          <w:rFonts w:cstheme="minorHAnsi"/>
          <w:szCs w:val="20"/>
        </w:rPr>
        <w:t xml:space="preserve"> included only BMI </w:t>
      </w:r>
      <w:r w:rsidR="005D4058" w:rsidRPr="005F4560">
        <w:rPr>
          <w:rFonts w:cstheme="minorHAnsi"/>
          <w:szCs w:val="20"/>
        </w:rPr>
        <w:t>≥</w:t>
      </w:r>
      <w:r w:rsidR="00747957" w:rsidRPr="005F4560">
        <w:rPr>
          <w:rFonts w:cstheme="minorHAnsi"/>
          <w:szCs w:val="20"/>
        </w:rPr>
        <w:t>30</w:t>
      </w:r>
      <w:r w:rsidR="005D4058" w:rsidRPr="005F4560">
        <w:rPr>
          <w:rFonts w:cstheme="minorHAnsi"/>
          <w:szCs w:val="20"/>
        </w:rPr>
        <w:t>&lt;</w:t>
      </w:r>
      <w:r w:rsidR="00747957" w:rsidRPr="005F4560">
        <w:rPr>
          <w:rFonts w:cstheme="minorHAnsi"/>
          <w:szCs w:val="20"/>
        </w:rPr>
        <w:t>35</w:t>
      </w:r>
      <w:r w:rsidR="005D4058" w:rsidRPr="005F4560">
        <w:rPr>
          <w:rFonts w:cstheme="minorHAnsi"/>
          <w:szCs w:val="20"/>
        </w:rPr>
        <w:t xml:space="preserve"> kg/m</w:t>
      </w:r>
      <w:r w:rsidR="005D4058" w:rsidRPr="005F4560">
        <w:rPr>
          <w:rFonts w:cstheme="minorHAnsi"/>
          <w:szCs w:val="20"/>
          <w:vertAlign w:val="superscript"/>
        </w:rPr>
        <w:t>2</w:t>
      </w:r>
      <w:r w:rsidR="00747957" w:rsidRPr="005F4560">
        <w:rPr>
          <w:rFonts w:cstheme="minorHAnsi"/>
          <w:szCs w:val="20"/>
        </w:rPr>
        <w:t xml:space="preserve"> or </w:t>
      </w:r>
      <w:r w:rsidR="00C67D03" w:rsidRPr="005F4560">
        <w:rPr>
          <w:rFonts w:cstheme="minorHAnsi"/>
          <w:szCs w:val="20"/>
        </w:rPr>
        <w:t xml:space="preserve">reported results </w:t>
      </w:r>
      <w:r w:rsidR="00747957" w:rsidRPr="005F4560">
        <w:rPr>
          <w:rFonts w:cstheme="minorHAnsi"/>
          <w:szCs w:val="20"/>
        </w:rPr>
        <w:t xml:space="preserve">separately </w:t>
      </w:r>
      <w:r w:rsidR="00C67D03" w:rsidRPr="005F4560">
        <w:rPr>
          <w:rFonts w:cstheme="minorHAnsi"/>
          <w:szCs w:val="20"/>
        </w:rPr>
        <w:t xml:space="preserve">for the </w:t>
      </w:r>
      <w:r w:rsidR="007A3ACF" w:rsidRPr="005F4560">
        <w:rPr>
          <w:rFonts w:cstheme="minorHAnsi"/>
          <w:szCs w:val="20"/>
        </w:rPr>
        <w:t xml:space="preserve">&lt;35 BMI group.  The key focus was on </w:t>
      </w:r>
      <w:proofErr w:type="spellStart"/>
      <w:r w:rsidR="00DC685F">
        <w:rPr>
          <w:rFonts w:cstheme="minorHAnsi"/>
          <w:szCs w:val="20"/>
        </w:rPr>
        <w:t>Orbera</w:t>
      </w:r>
      <w:proofErr w:type="spellEnd"/>
      <w:r w:rsidR="00DC685F">
        <w:rPr>
          <w:rFonts w:cstheme="minorHAnsi"/>
          <w:szCs w:val="20"/>
        </w:rPr>
        <w:t>™</w:t>
      </w:r>
      <w:r w:rsidR="00A92CB0" w:rsidRPr="005F4560">
        <w:rPr>
          <w:rFonts w:cstheme="minorHAnsi"/>
          <w:szCs w:val="20"/>
        </w:rPr>
        <w:t xml:space="preserve"> </w:t>
      </w:r>
      <w:r w:rsidR="00BD4AAF" w:rsidRPr="005F4560">
        <w:rPr>
          <w:rFonts w:cstheme="minorHAnsi"/>
          <w:szCs w:val="20"/>
        </w:rPr>
        <w:t>studies</w:t>
      </w:r>
      <w:r w:rsidR="00FB11F7" w:rsidRPr="005F4560">
        <w:rPr>
          <w:rFonts w:cstheme="minorHAnsi"/>
          <w:szCs w:val="20"/>
        </w:rPr>
        <w:t xml:space="preserve"> (</w:t>
      </w:r>
      <w:r w:rsidR="007A3ACF" w:rsidRPr="005F4560">
        <w:rPr>
          <w:rFonts w:cstheme="minorHAnsi"/>
          <w:szCs w:val="20"/>
        </w:rPr>
        <w:t xml:space="preserve">though the search terms included </w:t>
      </w:r>
      <w:proofErr w:type="spellStart"/>
      <w:r w:rsidR="007A3ACF" w:rsidRPr="005F4560">
        <w:rPr>
          <w:rFonts w:cstheme="minorHAnsi"/>
          <w:szCs w:val="20"/>
        </w:rPr>
        <w:t>intragastric</w:t>
      </w:r>
      <w:proofErr w:type="spellEnd"/>
      <w:r w:rsidR="007A3ACF" w:rsidRPr="005F4560">
        <w:rPr>
          <w:rFonts w:cstheme="minorHAnsi"/>
          <w:szCs w:val="20"/>
        </w:rPr>
        <w:t xml:space="preserve"> balloon as a search term) </w:t>
      </w:r>
      <w:r w:rsidR="00FB11F7" w:rsidRPr="005F4560">
        <w:rPr>
          <w:rFonts w:cstheme="minorHAnsi"/>
          <w:szCs w:val="20"/>
        </w:rPr>
        <w:t>randomised and non-randomised studies)</w:t>
      </w:r>
      <w:r w:rsidR="00BD4AAF" w:rsidRPr="005F4560">
        <w:rPr>
          <w:rFonts w:cstheme="minorHAnsi"/>
          <w:szCs w:val="20"/>
        </w:rPr>
        <w:t xml:space="preserve"> including BMI 30-40 are </w:t>
      </w:r>
      <w:r w:rsidR="00FB11F7" w:rsidRPr="005F4560">
        <w:rPr>
          <w:rFonts w:cstheme="minorHAnsi"/>
          <w:szCs w:val="20"/>
        </w:rPr>
        <w:t>listed</w:t>
      </w:r>
      <w:r w:rsidR="00FF40E0" w:rsidRPr="005F4560">
        <w:rPr>
          <w:rFonts w:cstheme="minorHAnsi"/>
          <w:szCs w:val="20"/>
        </w:rPr>
        <w:t xml:space="preserve">, plus meta-analyses of </w:t>
      </w:r>
      <w:proofErr w:type="spellStart"/>
      <w:r w:rsidR="00DC685F">
        <w:rPr>
          <w:rFonts w:cstheme="minorHAnsi"/>
          <w:szCs w:val="20"/>
        </w:rPr>
        <w:t>Orbera</w:t>
      </w:r>
      <w:proofErr w:type="spellEnd"/>
      <w:r w:rsidR="00DC685F">
        <w:rPr>
          <w:rFonts w:cstheme="minorHAnsi"/>
          <w:szCs w:val="20"/>
        </w:rPr>
        <w:t>™</w:t>
      </w:r>
      <w:r w:rsidR="00FF40E0" w:rsidRPr="005F4560">
        <w:rPr>
          <w:rFonts w:cstheme="minorHAnsi"/>
          <w:szCs w:val="20"/>
        </w:rPr>
        <w:t xml:space="preserve"> studies</w:t>
      </w:r>
      <w:r w:rsidR="00BD4AAF" w:rsidRPr="005F4560">
        <w:rPr>
          <w:rFonts w:cstheme="minorHAnsi"/>
          <w:szCs w:val="20"/>
        </w:rPr>
        <w:t>.</w:t>
      </w:r>
    </w:p>
    <w:p w14:paraId="204E4063" w14:textId="139470F6" w:rsidR="00516E48" w:rsidRPr="005F4560" w:rsidRDefault="00516E48" w:rsidP="00EA5234">
      <w:pPr>
        <w:jc w:val="both"/>
        <w:rPr>
          <w:rFonts w:cstheme="minorHAnsi"/>
          <w:szCs w:val="20"/>
        </w:rPr>
      </w:pPr>
      <w:r w:rsidRPr="005F4560">
        <w:rPr>
          <w:rFonts w:cstheme="minorHAnsi"/>
          <w:szCs w:val="20"/>
        </w:rPr>
        <w:t xml:space="preserve">While bariatric surgery is not a comparator in the </w:t>
      </w:r>
      <w:r w:rsidR="005D4058" w:rsidRPr="005F4560">
        <w:rPr>
          <w:rFonts w:cstheme="minorHAnsi"/>
          <w:szCs w:val="20"/>
        </w:rPr>
        <w:t>BMI ≥30&lt;35 kg/m</w:t>
      </w:r>
      <w:r w:rsidR="005D4058" w:rsidRPr="005F4560">
        <w:rPr>
          <w:rFonts w:cstheme="minorHAnsi"/>
          <w:szCs w:val="20"/>
          <w:vertAlign w:val="superscript"/>
        </w:rPr>
        <w:t>2</w:t>
      </w:r>
      <w:r w:rsidR="00062F0B" w:rsidRPr="005F4560">
        <w:rPr>
          <w:rFonts w:cstheme="minorHAnsi"/>
          <w:szCs w:val="20"/>
          <w:vertAlign w:val="superscript"/>
        </w:rPr>
        <w:t xml:space="preserve"> </w:t>
      </w:r>
      <w:r w:rsidR="00062F0B" w:rsidRPr="005F4560">
        <w:rPr>
          <w:rFonts w:cstheme="minorHAnsi"/>
          <w:szCs w:val="20"/>
        </w:rPr>
        <w:t>group</w:t>
      </w:r>
      <w:r w:rsidR="00FB11F7" w:rsidRPr="005F4560">
        <w:rPr>
          <w:rFonts w:cstheme="minorHAnsi"/>
          <w:szCs w:val="20"/>
        </w:rPr>
        <w:t xml:space="preserve">, </w:t>
      </w:r>
      <w:proofErr w:type="spellStart"/>
      <w:r w:rsidR="00DC685F">
        <w:rPr>
          <w:rFonts w:cstheme="minorHAnsi"/>
          <w:szCs w:val="20"/>
        </w:rPr>
        <w:t>Orbera</w:t>
      </w:r>
      <w:proofErr w:type="spellEnd"/>
      <w:r w:rsidR="00DC685F">
        <w:rPr>
          <w:rFonts w:cstheme="minorHAnsi"/>
          <w:szCs w:val="20"/>
        </w:rPr>
        <w:t>™</w:t>
      </w:r>
      <w:r w:rsidR="00FB11F7" w:rsidRPr="005F4560">
        <w:rPr>
          <w:rFonts w:cstheme="minorHAnsi"/>
          <w:szCs w:val="20"/>
        </w:rPr>
        <w:t xml:space="preserve"> vs. bariatric surgery and bariatric surgery vs. lifestyle randomised studies that include some patients in the </w:t>
      </w:r>
      <w:r w:rsidR="00EA5234" w:rsidRPr="005F4560">
        <w:rPr>
          <w:rFonts w:cstheme="minorHAnsi"/>
          <w:szCs w:val="20"/>
        </w:rPr>
        <w:t>BMI≥</w:t>
      </w:r>
      <w:r w:rsidR="00FB11F7" w:rsidRPr="005F4560">
        <w:rPr>
          <w:rFonts w:cstheme="minorHAnsi"/>
          <w:szCs w:val="20"/>
        </w:rPr>
        <w:t>30</w:t>
      </w:r>
      <w:r w:rsidR="00EA5234" w:rsidRPr="005F4560">
        <w:rPr>
          <w:rFonts w:cstheme="minorHAnsi"/>
          <w:szCs w:val="20"/>
        </w:rPr>
        <w:t xml:space="preserve"> &lt;</w:t>
      </w:r>
      <w:r w:rsidR="00FB11F7" w:rsidRPr="005F4560">
        <w:rPr>
          <w:rFonts w:cstheme="minorHAnsi"/>
          <w:szCs w:val="20"/>
        </w:rPr>
        <w:t xml:space="preserve">35 </w:t>
      </w:r>
      <w:r w:rsidR="00EA5234" w:rsidRPr="005F4560">
        <w:rPr>
          <w:rFonts w:cstheme="minorHAnsi"/>
          <w:szCs w:val="20"/>
        </w:rPr>
        <w:t>kg/m</w:t>
      </w:r>
      <w:r w:rsidR="00EA5234" w:rsidRPr="005F4560">
        <w:rPr>
          <w:rFonts w:cstheme="minorHAnsi"/>
          <w:szCs w:val="20"/>
          <w:vertAlign w:val="superscript"/>
        </w:rPr>
        <w:t>2</w:t>
      </w:r>
      <w:r w:rsidR="00FB11F7" w:rsidRPr="005F4560">
        <w:rPr>
          <w:rFonts w:cstheme="minorHAnsi"/>
          <w:szCs w:val="20"/>
        </w:rPr>
        <w:t xml:space="preserve"> range are presented as supplementary data.</w:t>
      </w:r>
      <w:r w:rsidR="005D4058" w:rsidRPr="005F4560">
        <w:rPr>
          <w:rFonts w:cstheme="minorHAnsi"/>
          <w:szCs w:val="20"/>
        </w:rPr>
        <w:t xml:space="preserve">  In a similar light</w:t>
      </w:r>
      <w:r w:rsidR="007A769F" w:rsidRPr="005F4560">
        <w:rPr>
          <w:rFonts w:cstheme="minorHAnsi"/>
          <w:szCs w:val="20"/>
        </w:rPr>
        <w:t>,</w:t>
      </w:r>
      <w:r w:rsidR="005D4058" w:rsidRPr="005F4560">
        <w:rPr>
          <w:rFonts w:cstheme="minorHAnsi"/>
          <w:szCs w:val="20"/>
        </w:rPr>
        <w:t xml:space="preserve"> studies reporting on pharmacotherapy were included (though only 1 was identified).</w:t>
      </w:r>
    </w:p>
    <w:p w14:paraId="621CB887" w14:textId="77777777" w:rsidR="00E244B1" w:rsidRPr="005F4560" w:rsidRDefault="00E244B1" w:rsidP="00EF037A">
      <w:pPr>
        <w:rPr>
          <w:b/>
          <w:szCs w:val="20"/>
        </w:rPr>
      </w:pPr>
    </w:p>
    <w:p w14:paraId="02DFEE16" w14:textId="77777777" w:rsidR="00E244B1" w:rsidRPr="005F4560" w:rsidRDefault="00E244B1" w:rsidP="00EF037A">
      <w:pPr>
        <w:rPr>
          <w:b/>
          <w:sz w:val="32"/>
          <w:szCs w:val="32"/>
        </w:rPr>
        <w:sectPr w:rsidR="00E244B1" w:rsidRPr="005F4560" w:rsidSect="008D42D1">
          <w:footerReference w:type="default" r:id="rId14"/>
          <w:pgSz w:w="11906" w:h="16838"/>
          <w:pgMar w:top="851" w:right="1440" w:bottom="1276" w:left="1440" w:header="708" w:footer="250" w:gutter="0"/>
          <w:pgNumType w:start="0"/>
          <w:cols w:space="708"/>
          <w:titlePg/>
          <w:docGrid w:linePitch="360"/>
        </w:sectPr>
      </w:pPr>
    </w:p>
    <w:p w14:paraId="63BD69B4" w14:textId="77777777" w:rsidR="00EF037A" w:rsidRPr="005F4560" w:rsidRDefault="00EF037A" w:rsidP="00EF037A"/>
    <w:tbl>
      <w:tblPr>
        <w:tblStyle w:val="TableGrid"/>
        <w:tblW w:w="5693" w:type="pct"/>
        <w:tblInd w:w="-856" w:type="dxa"/>
        <w:tblLayout w:type="fixed"/>
        <w:tblLook w:val="04A0" w:firstRow="1" w:lastRow="0" w:firstColumn="1" w:lastColumn="0" w:noHBand="0" w:noVBand="1"/>
        <w:tblCaption w:val="Summary of Evidence - Published"/>
        <w:tblDescription w:val="Summary of Evidence - Published, outlining type of study design, title of journal article or research project, obesity class, short description of research, website link and date of publication"/>
      </w:tblPr>
      <w:tblGrid>
        <w:gridCol w:w="573"/>
        <w:gridCol w:w="1710"/>
        <w:gridCol w:w="2789"/>
        <w:gridCol w:w="743"/>
        <w:gridCol w:w="851"/>
        <w:gridCol w:w="715"/>
        <w:gridCol w:w="4186"/>
        <w:gridCol w:w="2754"/>
        <w:gridCol w:w="1560"/>
      </w:tblGrid>
      <w:tr w:rsidR="00EF037A" w:rsidRPr="005F4560" w14:paraId="095975D8" w14:textId="77777777" w:rsidTr="00931DBE">
        <w:trPr>
          <w:cantSplit/>
          <w:tblHeader/>
        </w:trPr>
        <w:tc>
          <w:tcPr>
            <w:tcW w:w="180" w:type="pct"/>
            <w:shd w:val="clear" w:color="auto" w:fill="D9D9D9" w:themeFill="background1" w:themeFillShade="D9"/>
          </w:tcPr>
          <w:p w14:paraId="748D0292" w14:textId="699476AB" w:rsidR="00EF037A" w:rsidRPr="005F4560" w:rsidRDefault="000A0396" w:rsidP="00E244B1">
            <w:pPr>
              <w:pStyle w:val="TableHEADER"/>
              <w:spacing w:before="0" w:after="0"/>
            </w:pPr>
            <w:r>
              <w:t>#</w:t>
            </w:r>
          </w:p>
        </w:tc>
        <w:tc>
          <w:tcPr>
            <w:tcW w:w="538" w:type="pct"/>
            <w:shd w:val="clear" w:color="auto" w:fill="D9D9D9" w:themeFill="background1" w:themeFillShade="D9"/>
          </w:tcPr>
          <w:p w14:paraId="60A88643" w14:textId="77777777" w:rsidR="00EF037A" w:rsidRPr="005F4560" w:rsidRDefault="00EF037A" w:rsidP="00E244B1">
            <w:pPr>
              <w:pStyle w:val="TableHEADER"/>
              <w:spacing w:before="0" w:after="0"/>
            </w:pPr>
            <w:r w:rsidRPr="005F4560">
              <w:t>Type of study design*</w:t>
            </w:r>
          </w:p>
        </w:tc>
        <w:tc>
          <w:tcPr>
            <w:tcW w:w="878" w:type="pct"/>
            <w:shd w:val="clear" w:color="auto" w:fill="D9D9D9" w:themeFill="background1" w:themeFillShade="D9"/>
          </w:tcPr>
          <w:p w14:paraId="3C338F7B" w14:textId="77777777" w:rsidR="00EF037A" w:rsidRPr="005F4560" w:rsidRDefault="00EF037A" w:rsidP="00E244B1">
            <w:pPr>
              <w:pStyle w:val="TableHEADER"/>
              <w:spacing w:before="0" w:after="0"/>
            </w:pPr>
            <w:r w:rsidRPr="005F4560">
              <w:t>Title of journal article or research project (including any trial identifier or study lead if relevant)</w:t>
            </w:r>
          </w:p>
        </w:tc>
        <w:tc>
          <w:tcPr>
            <w:tcW w:w="234" w:type="pct"/>
            <w:shd w:val="clear" w:color="auto" w:fill="D9D9D9" w:themeFill="background1" w:themeFillShade="D9"/>
          </w:tcPr>
          <w:p w14:paraId="2114450A" w14:textId="77777777" w:rsidR="00EF037A" w:rsidRPr="005F4560" w:rsidRDefault="00EF037A" w:rsidP="00E956E5">
            <w:pPr>
              <w:pStyle w:val="TableHEADER"/>
              <w:spacing w:before="0" w:after="0"/>
              <w:jc w:val="center"/>
            </w:pPr>
            <w:r w:rsidRPr="005F4560">
              <w:t>Class 1</w:t>
            </w:r>
          </w:p>
        </w:tc>
        <w:tc>
          <w:tcPr>
            <w:tcW w:w="268" w:type="pct"/>
            <w:shd w:val="clear" w:color="auto" w:fill="D9D9D9" w:themeFill="background1" w:themeFillShade="D9"/>
          </w:tcPr>
          <w:p w14:paraId="21A964EE" w14:textId="77777777" w:rsidR="00EF037A" w:rsidRPr="005F4560" w:rsidRDefault="00EF037A" w:rsidP="00E956E5">
            <w:pPr>
              <w:pStyle w:val="TableHEADER"/>
              <w:spacing w:before="0" w:after="0"/>
              <w:jc w:val="center"/>
            </w:pPr>
            <w:r w:rsidRPr="005F4560">
              <w:t>Class 2</w:t>
            </w:r>
          </w:p>
        </w:tc>
        <w:tc>
          <w:tcPr>
            <w:tcW w:w="225" w:type="pct"/>
            <w:shd w:val="clear" w:color="auto" w:fill="D9D9D9" w:themeFill="background1" w:themeFillShade="D9"/>
          </w:tcPr>
          <w:p w14:paraId="7A91BF32" w14:textId="77777777" w:rsidR="00EF037A" w:rsidRPr="005F4560" w:rsidRDefault="00EF037A" w:rsidP="00E956E5">
            <w:pPr>
              <w:pStyle w:val="TableHEADER"/>
              <w:spacing w:before="0" w:after="0"/>
              <w:jc w:val="center"/>
            </w:pPr>
            <w:r w:rsidRPr="005F4560">
              <w:t>Class 3</w:t>
            </w:r>
          </w:p>
        </w:tc>
        <w:tc>
          <w:tcPr>
            <w:tcW w:w="1318" w:type="pct"/>
            <w:shd w:val="clear" w:color="auto" w:fill="D9D9D9" w:themeFill="background1" w:themeFillShade="D9"/>
          </w:tcPr>
          <w:p w14:paraId="4460DEF8" w14:textId="77777777" w:rsidR="00EF037A" w:rsidRPr="005F4560" w:rsidRDefault="00EF037A" w:rsidP="00E244B1">
            <w:pPr>
              <w:pStyle w:val="TableHEADER"/>
              <w:spacing w:before="0" w:after="0"/>
            </w:pPr>
            <w:r w:rsidRPr="005F4560">
              <w:t>Short description of research (max 50 words)</w:t>
            </w:r>
          </w:p>
        </w:tc>
        <w:tc>
          <w:tcPr>
            <w:tcW w:w="867" w:type="pct"/>
            <w:shd w:val="clear" w:color="auto" w:fill="D9D9D9" w:themeFill="background1" w:themeFillShade="D9"/>
          </w:tcPr>
          <w:p w14:paraId="5356A908" w14:textId="77777777" w:rsidR="00EF037A" w:rsidRPr="005F4560" w:rsidRDefault="00EF037A" w:rsidP="00E244B1">
            <w:pPr>
              <w:pStyle w:val="TableHEADER"/>
              <w:spacing w:before="0" w:after="0"/>
            </w:pPr>
            <w:r w:rsidRPr="005F4560">
              <w:t>Website link to journal article or research (if available)</w:t>
            </w:r>
          </w:p>
        </w:tc>
        <w:tc>
          <w:tcPr>
            <w:tcW w:w="491" w:type="pct"/>
            <w:shd w:val="clear" w:color="auto" w:fill="D9D9D9" w:themeFill="background1" w:themeFillShade="D9"/>
          </w:tcPr>
          <w:p w14:paraId="3E9F890C" w14:textId="77777777" w:rsidR="00EF037A" w:rsidRPr="005F4560" w:rsidRDefault="00EF037A" w:rsidP="00E244B1">
            <w:pPr>
              <w:pStyle w:val="TableHEADER"/>
              <w:spacing w:before="0" w:after="0"/>
            </w:pPr>
            <w:r w:rsidRPr="005F4560">
              <w:t>Date of publication</w:t>
            </w:r>
          </w:p>
        </w:tc>
      </w:tr>
      <w:tr w:rsidR="00931DBE" w:rsidRPr="005F4560" w14:paraId="70FD4124" w14:textId="77777777" w:rsidTr="00931DBE">
        <w:trPr>
          <w:cantSplit/>
        </w:trPr>
        <w:tc>
          <w:tcPr>
            <w:tcW w:w="180" w:type="pct"/>
          </w:tcPr>
          <w:p w14:paraId="3816017E" w14:textId="58F258A2" w:rsidR="00931DBE" w:rsidRPr="005F4560" w:rsidRDefault="00931DBE" w:rsidP="00931DBE">
            <w:pPr>
              <w:spacing w:before="0" w:after="0"/>
              <w:rPr>
                <w:szCs w:val="20"/>
              </w:rPr>
            </w:pPr>
            <w:r w:rsidRPr="005F4560">
              <w:rPr>
                <w:szCs w:val="20"/>
              </w:rPr>
              <w:t>1</w:t>
            </w:r>
          </w:p>
        </w:tc>
        <w:tc>
          <w:tcPr>
            <w:tcW w:w="538" w:type="pct"/>
          </w:tcPr>
          <w:p w14:paraId="643F140B" w14:textId="77777777" w:rsidR="00931DBE" w:rsidRPr="005F4560" w:rsidRDefault="00931DBE" w:rsidP="00931DBE">
            <w:pPr>
              <w:spacing w:before="0" w:after="0"/>
              <w:rPr>
                <w:szCs w:val="20"/>
              </w:rPr>
            </w:pPr>
            <w:r w:rsidRPr="005F4560">
              <w:rPr>
                <w:szCs w:val="20"/>
              </w:rPr>
              <w:t>IGB + lifestyle vs. lifestyle</w:t>
            </w:r>
          </w:p>
          <w:p w14:paraId="62F0D7FD" w14:textId="77777777" w:rsidR="00931DBE" w:rsidRPr="005F4560" w:rsidRDefault="00931DBE" w:rsidP="00931DBE">
            <w:pPr>
              <w:spacing w:before="0" w:after="0"/>
              <w:rPr>
                <w:szCs w:val="20"/>
              </w:rPr>
            </w:pPr>
          </w:p>
          <w:p w14:paraId="3F4404AF" w14:textId="4C9AF7A0" w:rsidR="00931DBE" w:rsidRPr="005F4560" w:rsidRDefault="00931DBE" w:rsidP="00931DBE">
            <w:pPr>
              <w:spacing w:before="0" w:after="0"/>
              <w:rPr>
                <w:szCs w:val="20"/>
              </w:rPr>
            </w:pPr>
            <w:r w:rsidRPr="005F4560">
              <w:rPr>
                <w:szCs w:val="20"/>
              </w:rPr>
              <w:t>(Equivalent to IGB vs. placebo)</w:t>
            </w:r>
          </w:p>
        </w:tc>
        <w:tc>
          <w:tcPr>
            <w:tcW w:w="878" w:type="pct"/>
          </w:tcPr>
          <w:p w14:paraId="2F74731C" w14:textId="701A927C" w:rsidR="00931DBE" w:rsidRPr="005F4560" w:rsidRDefault="00931DBE" w:rsidP="00931DBE">
            <w:pPr>
              <w:spacing w:before="0" w:after="0"/>
              <w:rPr>
                <w:szCs w:val="20"/>
              </w:rPr>
            </w:pPr>
            <w:proofErr w:type="spellStart"/>
            <w:r w:rsidRPr="005F4560">
              <w:rPr>
                <w:szCs w:val="20"/>
              </w:rPr>
              <w:t>Courcoulas</w:t>
            </w:r>
            <w:proofErr w:type="spellEnd"/>
            <w:r w:rsidRPr="005F4560">
              <w:rPr>
                <w:szCs w:val="20"/>
              </w:rPr>
              <w:t xml:space="preserve">, A., B. K. Abu </w:t>
            </w:r>
            <w:proofErr w:type="spellStart"/>
            <w:r w:rsidRPr="005F4560">
              <w:rPr>
                <w:szCs w:val="20"/>
              </w:rPr>
              <w:t>Dayyeh</w:t>
            </w:r>
            <w:proofErr w:type="spellEnd"/>
            <w:r w:rsidRPr="005F4560">
              <w:rPr>
                <w:szCs w:val="20"/>
              </w:rPr>
              <w:t xml:space="preserve">, L. Eaton, J. Robinson, G. Woodman, M. Fusco, V. </w:t>
            </w:r>
            <w:proofErr w:type="spellStart"/>
            <w:r w:rsidRPr="005F4560">
              <w:rPr>
                <w:szCs w:val="20"/>
              </w:rPr>
              <w:t>Shayani</w:t>
            </w:r>
            <w:proofErr w:type="spellEnd"/>
            <w:r w:rsidRPr="005F4560">
              <w:rPr>
                <w:szCs w:val="20"/>
              </w:rPr>
              <w:t xml:space="preserve">, H. Billy, D. </w:t>
            </w:r>
            <w:proofErr w:type="spellStart"/>
            <w:r w:rsidRPr="005F4560">
              <w:rPr>
                <w:szCs w:val="20"/>
              </w:rPr>
              <w:t>Pambianco</w:t>
            </w:r>
            <w:proofErr w:type="spellEnd"/>
            <w:r w:rsidRPr="005F4560">
              <w:rPr>
                <w:szCs w:val="20"/>
              </w:rPr>
              <w:t xml:space="preserve"> and C. </w:t>
            </w:r>
            <w:proofErr w:type="spellStart"/>
            <w:r w:rsidRPr="005F4560">
              <w:rPr>
                <w:szCs w:val="20"/>
              </w:rPr>
              <w:t>Gostout</w:t>
            </w:r>
            <w:proofErr w:type="spellEnd"/>
            <w:r w:rsidRPr="005F4560">
              <w:rPr>
                <w:szCs w:val="20"/>
              </w:rPr>
              <w:t xml:space="preserve"> (2017). "</w:t>
            </w:r>
            <w:proofErr w:type="spellStart"/>
            <w:r w:rsidRPr="005F4560">
              <w:rPr>
                <w:szCs w:val="20"/>
              </w:rPr>
              <w:t>Intragastric</w:t>
            </w:r>
            <w:proofErr w:type="spellEnd"/>
            <w:r w:rsidRPr="005F4560">
              <w:rPr>
                <w:szCs w:val="20"/>
              </w:rPr>
              <w:t xml:space="preserve"> balloon as an adjunct to lifestyle intervention: A randomized controlled trial." International Journal of Obesity 41(3): 427-433.</w:t>
            </w:r>
          </w:p>
        </w:tc>
        <w:tc>
          <w:tcPr>
            <w:tcW w:w="234" w:type="pct"/>
          </w:tcPr>
          <w:p w14:paraId="2170C23B" w14:textId="46728553" w:rsidR="00931DBE" w:rsidRPr="005F4560" w:rsidRDefault="00931DBE" w:rsidP="00931DBE">
            <w:pPr>
              <w:spacing w:before="0" w:after="0"/>
            </w:pPr>
            <w:r w:rsidRPr="005F4560">
              <w:t xml:space="preserve">X </w:t>
            </w:r>
            <w:r w:rsidRPr="005F4560">
              <w:sym w:font="Symbol" w:char="F07E"/>
            </w:r>
            <w:r w:rsidRPr="005F4560">
              <w:t>50%</w:t>
            </w:r>
          </w:p>
        </w:tc>
        <w:tc>
          <w:tcPr>
            <w:tcW w:w="268" w:type="pct"/>
          </w:tcPr>
          <w:p w14:paraId="7DD808BA" w14:textId="327198BF" w:rsidR="00931DBE" w:rsidRPr="005F4560" w:rsidRDefault="00931DBE" w:rsidP="00931DBE">
            <w:pPr>
              <w:spacing w:before="0" w:after="0"/>
            </w:pPr>
            <w:r w:rsidRPr="005F4560">
              <w:t xml:space="preserve">X </w:t>
            </w:r>
            <w:r w:rsidRPr="005F4560">
              <w:sym w:font="Symbol" w:char="F07E"/>
            </w:r>
            <w:r w:rsidRPr="005F4560">
              <w:t>50%</w:t>
            </w:r>
          </w:p>
        </w:tc>
        <w:tc>
          <w:tcPr>
            <w:tcW w:w="225" w:type="pct"/>
          </w:tcPr>
          <w:p w14:paraId="63D3C9B8" w14:textId="4AFD97D3" w:rsidR="00931DBE" w:rsidRPr="005F4560" w:rsidRDefault="00931DBE" w:rsidP="00931DBE">
            <w:pPr>
              <w:spacing w:before="0" w:after="0"/>
            </w:pPr>
            <w:r w:rsidRPr="005F4560">
              <w:t>-</w:t>
            </w:r>
          </w:p>
        </w:tc>
        <w:tc>
          <w:tcPr>
            <w:tcW w:w="1318" w:type="pct"/>
          </w:tcPr>
          <w:p w14:paraId="7DB65B95" w14:textId="77777777" w:rsidR="00931DBE" w:rsidRPr="005F4560" w:rsidRDefault="00931DBE" w:rsidP="00931DBE">
            <w:pPr>
              <w:spacing w:before="0" w:after="0"/>
            </w:pPr>
            <w:r w:rsidRPr="005F4560">
              <w:t>IGB plus lifestyle (n = 125) vs. lifestyle alone (n = 130).</w:t>
            </w:r>
          </w:p>
          <w:p w14:paraId="57E44C7A" w14:textId="77777777" w:rsidR="00931DBE" w:rsidRPr="005F4560" w:rsidRDefault="00931DBE" w:rsidP="00931DBE">
            <w:pPr>
              <w:spacing w:before="0" w:after="0"/>
            </w:pPr>
            <w:r w:rsidRPr="005F4560">
              <w:t xml:space="preserve">IGB at baseline: mean age 38.7 </w:t>
            </w:r>
            <w:r w:rsidRPr="005F4560">
              <w:sym w:font="Symbol" w:char="F0B1"/>
            </w:r>
            <w:r w:rsidRPr="005F4560">
              <w:t xml:space="preserve"> 9.4 y, mean BMI 35.2 </w:t>
            </w:r>
            <w:r w:rsidRPr="005F4560">
              <w:sym w:font="Symbol" w:char="F0B1"/>
            </w:r>
            <w:r w:rsidRPr="005F4560">
              <w:t xml:space="preserve"> 3.17 kg/m2, mean EW 28.4 </w:t>
            </w:r>
            <w:r w:rsidRPr="005F4560">
              <w:sym w:font="Symbol" w:char="F0B1"/>
            </w:r>
            <w:r w:rsidRPr="005F4560">
              <w:t xml:space="preserve"> 10.0 kg).</w:t>
            </w:r>
          </w:p>
          <w:p w14:paraId="6C56CD25" w14:textId="77777777" w:rsidR="00931DBE" w:rsidRPr="005F4560" w:rsidRDefault="00931DBE" w:rsidP="00931DBE">
            <w:pPr>
              <w:spacing w:before="0" w:after="0"/>
            </w:pPr>
            <w:r w:rsidRPr="005F4560">
              <w:t xml:space="preserve">BMP at baseline: mean age 40.8 </w:t>
            </w:r>
            <w:r w:rsidRPr="005F4560">
              <w:sym w:font="Symbol" w:char="F0B1"/>
            </w:r>
            <w:r w:rsidRPr="005F4560">
              <w:t xml:space="preserve"> 9.6 y, mean BMI 35.4 </w:t>
            </w:r>
            <w:r w:rsidRPr="005F4560">
              <w:sym w:font="Symbol" w:char="F0B1"/>
            </w:r>
            <w:r w:rsidRPr="005F4560">
              <w:t xml:space="preserve"> 2.7 kg/m2, mean EW 28.7 </w:t>
            </w:r>
            <w:r w:rsidRPr="005F4560">
              <w:sym w:font="Symbol" w:char="F0B1"/>
            </w:r>
            <w:r w:rsidRPr="005F4560">
              <w:t xml:space="preserve"> 8.1 kg) in this group.</w:t>
            </w:r>
          </w:p>
          <w:p w14:paraId="5908E2B3" w14:textId="77777777" w:rsidR="00931DBE" w:rsidRPr="005F4560" w:rsidRDefault="00931DBE" w:rsidP="00931DBE">
            <w:pPr>
              <w:spacing w:before="0" w:after="0"/>
            </w:pPr>
            <w:r w:rsidRPr="005F4560">
              <w:t xml:space="preserve">At 26 weeks (IGB removal), 71.8% of the IGB + lifestyle subjects achieved ≥ 25% EWL with a mean percent total body weight loss (%TBL) for the group of 10.5% </w:t>
            </w:r>
            <w:r w:rsidRPr="005F4560">
              <w:sym w:font="Symbol" w:char="F0B1"/>
            </w:r>
            <w:r w:rsidRPr="005F4560">
              <w:t xml:space="preserve"> 6.6 compared to 31.9% of subjects in the lifestyle alone group achieving ≥ 25% EWL with a mean %TBL of 4.7% </w:t>
            </w:r>
            <w:r w:rsidRPr="005F4560">
              <w:sym w:font="Symbol" w:char="F0B1"/>
            </w:r>
            <w:r w:rsidRPr="005F4560">
              <w:t xml:space="preserve"> 5.1 (p &lt; 0.001; ITT analysis). At 52 weeks (26 weeks after IGB removal), 45.9% of the IGB + lifestyle subjects achieved ≥ 25% EWL with a mean %TBL for the group of 7.7% </w:t>
            </w:r>
            <w:r w:rsidRPr="005F4560">
              <w:sym w:font="Symbol" w:char="F0B1"/>
            </w:r>
            <w:r w:rsidRPr="005F4560">
              <w:t xml:space="preserve"> 7.65 compared to 32.6% of subjects in the BMP achieving ≥ 25% EWL with mean %TBL of 3.9 </w:t>
            </w:r>
            <w:r w:rsidRPr="005F4560">
              <w:sym w:font="Symbol" w:char="F0B1"/>
            </w:r>
            <w:r w:rsidRPr="005F4560">
              <w:t xml:space="preserve"> 6.1 (p &lt; 0.001, ITT analysis).</w:t>
            </w:r>
          </w:p>
          <w:p w14:paraId="44EDDA59" w14:textId="77777777" w:rsidR="00931DBE" w:rsidRPr="005F4560" w:rsidRDefault="00931DBE" w:rsidP="00931DBE">
            <w:pPr>
              <w:spacing w:before="0" w:after="0"/>
            </w:pPr>
          </w:p>
          <w:p w14:paraId="4EEE8550" w14:textId="73DE62B1" w:rsidR="00931DBE" w:rsidRPr="005F4560" w:rsidRDefault="00931DBE" w:rsidP="00931DBE">
            <w:pPr>
              <w:spacing w:before="0" w:after="0"/>
            </w:pPr>
            <w:r w:rsidRPr="005F4560">
              <w:t>Lifestyle = a 12-month lifestyle program that incorporated: a low calorie (1000–1500 calories per day) diet, daily food and exercise diary, encouragement to exercise and emphasis on behavioural change during a total of 21 visits (9 visits in months 1–6, 12 visits in months 7–12).</w:t>
            </w:r>
          </w:p>
        </w:tc>
        <w:tc>
          <w:tcPr>
            <w:tcW w:w="867" w:type="pct"/>
          </w:tcPr>
          <w:p w14:paraId="2F7D365D" w14:textId="2AB88C81" w:rsidR="00931DBE" w:rsidRDefault="009878BB" w:rsidP="00931DBE">
            <w:pPr>
              <w:spacing w:before="0" w:after="0"/>
            </w:pPr>
            <w:hyperlink r:id="rId15" w:tooltip="Courcoulas" w:history="1">
              <w:r w:rsidR="00931DBE" w:rsidRPr="005F4560">
                <w:rPr>
                  <w:rStyle w:val="Hyperlink"/>
                  <w:color w:val="auto"/>
                </w:rPr>
                <w:t>https://www.ncbi.nlm.nih.gov/pubmed/28017964</w:t>
              </w:r>
            </w:hyperlink>
            <w:r w:rsidR="00931DBE" w:rsidRPr="005F4560">
              <w:t xml:space="preserve"> </w:t>
            </w:r>
          </w:p>
        </w:tc>
        <w:tc>
          <w:tcPr>
            <w:tcW w:w="491" w:type="pct"/>
          </w:tcPr>
          <w:p w14:paraId="1CAB02BC" w14:textId="77777777" w:rsidR="00931DBE" w:rsidRPr="005F4560" w:rsidRDefault="00931DBE" w:rsidP="00931DBE">
            <w:pPr>
              <w:spacing w:before="0" w:after="0"/>
            </w:pPr>
            <w:r w:rsidRPr="005F4560">
              <w:t>2017</w:t>
            </w:r>
          </w:p>
          <w:p w14:paraId="679497BF" w14:textId="77777777" w:rsidR="00931DBE" w:rsidRPr="005F4560" w:rsidRDefault="00931DBE" w:rsidP="00931DBE">
            <w:pPr>
              <w:spacing w:before="0" w:after="0"/>
            </w:pPr>
          </w:p>
          <w:p w14:paraId="4A8E7618" w14:textId="77777777" w:rsidR="00931DBE" w:rsidRPr="005F4560" w:rsidRDefault="00931DBE" w:rsidP="00931DBE">
            <w:pPr>
              <w:spacing w:before="0" w:after="0"/>
            </w:pPr>
            <w:r w:rsidRPr="005F4560">
              <w:t>Abstract published as:</w:t>
            </w:r>
          </w:p>
          <w:p w14:paraId="719B61A1" w14:textId="56554C49" w:rsidR="00931DBE" w:rsidRPr="005F4560" w:rsidRDefault="00931DBE" w:rsidP="00931DBE">
            <w:pPr>
              <w:spacing w:before="0" w:after="0"/>
            </w:pPr>
            <w:r w:rsidRPr="005F4560">
              <w:t xml:space="preserve">Abu </w:t>
            </w:r>
            <w:proofErr w:type="spellStart"/>
            <w:r w:rsidRPr="005F4560">
              <w:t>Dayyeh</w:t>
            </w:r>
            <w:proofErr w:type="spellEnd"/>
            <w:r w:rsidRPr="005F4560">
              <w:t>, et al; Gastro-intestinal Endoscopy 2015: 81(5 SUPPL. 1): AB147.</w:t>
            </w:r>
          </w:p>
        </w:tc>
      </w:tr>
      <w:tr w:rsidR="00931DBE" w:rsidRPr="005F4560" w14:paraId="52296844" w14:textId="77777777" w:rsidTr="00931DBE">
        <w:trPr>
          <w:cantSplit/>
        </w:trPr>
        <w:tc>
          <w:tcPr>
            <w:tcW w:w="180" w:type="pct"/>
          </w:tcPr>
          <w:p w14:paraId="79D2D0FF" w14:textId="77777777" w:rsidR="00931DBE" w:rsidRPr="005F4560" w:rsidRDefault="00931DBE" w:rsidP="00931DBE">
            <w:pPr>
              <w:spacing w:before="0" w:after="0"/>
              <w:rPr>
                <w:szCs w:val="20"/>
              </w:rPr>
            </w:pPr>
            <w:r w:rsidRPr="005F4560">
              <w:rPr>
                <w:szCs w:val="20"/>
              </w:rPr>
              <w:lastRenderedPageBreak/>
              <w:t>2</w:t>
            </w:r>
          </w:p>
        </w:tc>
        <w:tc>
          <w:tcPr>
            <w:tcW w:w="538" w:type="pct"/>
          </w:tcPr>
          <w:p w14:paraId="3106A147" w14:textId="77777777" w:rsidR="00931DBE" w:rsidRPr="005F4560" w:rsidRDefault="00931DBE" w:rsidP="00931DBE">
            <w:pPr>
              <w:spacing w:before="0" w:after="0"/>
            </w:pPr>
            <w:r w:rsidRPr="005F4560">
              <w:t>IGB + behavioural modification vs. behavioural modification</w:t>
            </w:r>
          </w:p>
          <w:p w14:paraId="6665FFBA" w14:textId="77777777" w:rsidR="00931DBE" w:rsidRPr="005F4560" w:rsidRDefault="00931DBE" w:rsidP="00931DBE">
            <w:pPr>
              <w:spacing w:before="0" w:after="0"/>
            </w:pPr>
          </w:p>
          <w:p w14:paraId="721061BA" w14:textId="77777777" w:rsidR="00931DBE" w:rsidRPr="005F4560" w:rsidRDefault="00931DBE" w:rsidP="00931DBE">
            <w:pPr>
              <w:spacing w:before="0" w:after="0"/>
            </w:pPr>
            <w:r w:rsidRPr="005F4560">
              <w:t>(Equivalent to IGB vs. placebo.)</w:t>
            </w:r>
          </w:p>
        </w:tc>
        <w:tc>
          <w:tcPr>
            <w:tcW w:w="878" w:type="pct"/>
          </w:tcPr>
          <w:p w14:paraId="798210A2" w14:textId="77777777" w:rsidR="00931DBE" w:rsidRPr="005F4560" w:rsidRDefault="00931DBE" w:rsidP="00931DBE">
            <w:pPr>
              <w:spacing w:before="0" w:after="0"/>
              <w:rPr>
                <w:szCs w:val="20"/>
              </w:rPr>
            </w:pPr>
            <w:r w:rsidRPr="005F4560">
              <w:rPr>
                <w:szCs w:val="20"/>
              </w:rPr>
              <w:t xml:space="preserve">Fuller, N. R., S. Pearson, N. S. Lau, J. </w:t>
            </w:r>
            <w:proofErr w:type="spellStart"/>
            <w:r w:rsidRPr="005F4560">
              <w:rPr>
                <w:szCs w:val="20"/>
              </w:rPr>
              <w:t>Wlodarczyk</w:t>
            </w:r>
            <w:proofErr w:type="spellEnd"/>
            <w:r w:rsidRPr="005F4560">
              <w:rPr>
                <w:szCs w:val="20"/>
              </w:rPr>
              <w:t xml:space="preserve">, M. B. Halstead, H. P. Tee, R. </w:t>
            </w:r>
            <w:proofErr w:type="spellStart"/>
            <w:r w:rsidRPr="005F4560">
              <w:rPr>
                <w:szCs w:val="20"/>
              </w:rPr>
              <w:t>Chettiar</w:t>
            </w:r>
            <w:proofErr w:type="spellEnd"/>
            <w:r w:rsidRPr="005F4560">
              <w:rPr>
                <w:szCs w:val="20"/>
              </w:rPr>
              <w:t xml:space="preserve"> and A. J. </w:t>
            </w:r>
            <w:proofErr w:type="spellStart"/>
            <w:r w:rsidRPr="005F4560">
              <w:rPr>
                <w:szCs w:val="20"/>
              </w:rPr>
              <w:t>Kaffes</w:t>
            </w:r>
            <w:proofErr w:type="spellEnd"/>
            <w:r w:rsidRPr="005F4560">
              <w:rPr>
                <w:szCs w:val="20"/>
              </w:rPr>
              <w:t xml:space="preserve"> (2013). "An </w:t>
            </w:r>
            <w:proofErr w:type="spellStart"/>
            <w:r w:rsidRPr="005F4560">
              <w:rPr>
                <w:szCs w:val="20"/>
              </w:rPr>
              <w:t>intragastric</w:t>
            </w:r>
            <w:proofErr w:type="spellEnd"/>
            <w:r w:rsidRPr="005F4560">
              <w:rPr>
                <w:szCs w:val="20"/>
              </w:rPr>
              <w:t xml:space="preserve"> balloon in the treatment of obese individuals with metabolic syndrome: A randomized controlled study." Obesity 21(8): 1561-1570.</w:t>
            </w:r>
          </w:p>
        </w:tc>
        <w:tc>
          <w:tcPr>
            <w:tcW w:w="234" w:type="pct"/>
          </w:tcPr>
          <w:p w14:paraId="0DC4FEA1" w14:textId="77777777" w:rsidR="00931DBE" w:rsidRPr="005F4560" w:rsidRDefault="00931DBE" w:rsidP="00931DBE">
            <w:pPr>
              <w:spacing w:before="0" w:after="0"/>
            </w:pPr>
            <w:r w:rsidRPr="005F4560">
              <w:t>X</w:t>
            </w:r>
          </w:p>
        </w:tc>
        <w:tc>
          <w:tcPr>
            <w:tcW w:w="268" w:type="pct"/>
          </w:tcPr>
          <w:p w14:paraId="59692FFE" w14:textId="77777777" w:rsidR="00931DBE" w:rsidRPr="005F4560" w:rsidRDefault="00931DBE" w:rsidP="00931DBE">
            <w:pPr>
              <w:spacing w:before="0" w:after="0"/>
            </w:pPr>
            <w:r w:rsidRPr="005F4560">
              <w:t>X</w:t>
            </w:r>
          </w:p>
        </w:tc>
        <w:tc>
          <w:tcPr>
            <w:tcW w:w="225" w:type="pct"/>
          </w:tcPr>
          <w:p w14:paraId="33630462" w14:textId="77B83863" w:rsidR="00931DBE" w:rsidRPr="005F4560" w:rsidRDefault="000936EC" w:rsidP="00931DBE">
            <w:pPr>
              <w:spacing w:before="0" w:after="0"/>
            </w:pPr>
            <w:r>
              <w:t>-</w:t>
            </w:r>
            <w:bookmarkStart w:id="5" w:name="_GoBack"/>
            <w:bookmarkEnd w:id="5"/>
          </w:p>
        </w:tc>
        <w:tc>
          <w:tcPr>
            <w:tcW w:w="1318" w:type="pct"/>
          </w:tcPr>
          <w:p w14:paraId="78ABE6A9" w14:textId="77777777" w:rsidR="00931DBE" w:rsidRPr="005F4560" w:rsidRDefault="00931DBE" w:rsidP="00931DBE">
            <w:pPr>
              <w:spacing w:before="0" w:after="0"/>
            </w:pPr>
            <w:r w:rsidRPr="005F4560">
              <w:t>N=66 (BMI: 30-40 kg/m2; mean 36) were randomized to IGB for 6 months, with a 12-month behavioural modification (IGB Group; ‘‘IGBG’’, N=31), or 12 month behavioural modification alone (Control Group; ‘‘CG’’, N=35). The primary outcome was percentage change in body weight.</w:t>
            </w:r>
          </w:p>
          <w:p w14:paraId="75BCD109" w14:textId="6E6D0646" w:rsidR="00931DBE" w:rsidRPr="005F4560" w:rsidRDefault="00931DBE" w:rsidP="00931DBE">
            <w:pPr>
              <w:spacing w:before="0" w:after="0"/>
            </w:pPr>
            <w:r w:rsidRPr="005F4560">
              <w:t>Results: At 6 months, there was a significantly greater weight loss in the IGBG: -14.2 vs. -4.8; P &lt; 0.0001. Significantly greater reduction in waist circumference, and an improvement in quality of life, with a trend for a larger % metabolic syndrome remission (50% vs.30%; NS). At month 12, the differences in weight loss were enduring: -9.2 vs. -5.2; P=0.007.</w:t>
            </w:r>
            <w:r w:rsidR="0068046B">
              <w:t xml:space="preserve"> </w:t>
            </w:r>
          </w:p>
          <w:p w14:paraId="67AC38FC" w14:textId="77777777" w:rsidR="00931DBE" w:rsidRPr="005F4560" w:rsidRDefault="00931DBE" w:rsidP="00931DBE">
            <w:pPr>
              <w:spacing w:before="0" w:after="0"/>
            </w:pPr>
          </w:p>
          <w:p w14:paraId="5512F8FB" w14:textId="77777777" w:rsidR="00931DBE" w:rsidRPr="005F4560" w:rsidRDefault="00931DBE" w:rsidP="00931DBE">
            <w:pPr>
              <w:spacing w:before="0" w:after="0"/>
            </w:pPr>
            <w:r w:rsidRPr="005F4560">
              <w:t>Behavioural modification: At baseline, the study dietitian/exercise physiologist provided each subject with a written guide as to the specific types of foods and the quantities which could be consumed, in addition to a tailored exercise program. Each subject also received a pedometer and was encouraged to walk at least 10,000 steps daily.</w:t>
            </w:r>
          </w:p>
        </w:tc>
        <w:tc>
          <w:tcPr>
            <w:tcW w:w="867" w:type="pct"/>
          </w:tcPr>
          <w:p w14:paraId="53E6A26E" w14:textId="2D4650C0" w:rsidR="00931DBE" w:rsidRPr="005F4560" w:rsidRDefault="009878BB" w:rsidP="00931DBE">
            <w:pPr>
              <w:spacing w:before="0" w:after="0"/>
            </w:pPr>
            <w:hyperlink r:id="rId16" w:tooltip="Fuller" w:history="1">
              <w:r w:rsidR="00931DBE" w:rsidRPr="001F4336">
                <w:rPr>
                  <w:rStyle w:val="Hyperlink"/>
                  <w:color w:val="auto"/>
                  <w:highlight w:val="yellow"/>
                </w:rPr>
                <w:t>https://www.ncbi.nlm.nih.gov/pubmed/?cmd=HistorySearch&amp;querykey=7</w:t>
              </w:r>
            </w:hyperlink>
            <w:r w:rsidR="00931DBE" w:rsidRPr="005F4560">
              <w:t xml:space="preserve"> </w:t>
            </w:r>
          </w:p>
        </w:tc>
        <w:tc>
          <w:tcPr>
            <w:tcW w:w="491" w:type="pct"/>
          </w:tcPr>
          <w:p w14:paraId="51F2295B" w14:textId="77777777" w:rsidR="00931DBE" w:rsidRPr="005F4560" w:rsidRDefault="00931DBE" w:rsidP="00931DBE">
            <w:pPr>
              <w:spacing w:before="0" w:after="0"/>
            </w:pPr>
            <w:r w:rsidRPr="005F4560">
              <w:t>2013</w:t>
            </w:r>
          </w:p>
        </w:tc>
      </w:tr>
      <w:tr w:rsidR="00931DBE" w:rsidRPr="005F4560" w14:paraId="07B187D0" w14:textId="77777777" w:rsidTr="00931DBE">
        <w:trPr>
          <w:cantSplit/>
        </w:trPr>
        <w:tc>
          <w:tcPr>
            <w:tcW w:w="180" w:type="pct"/>
          </w:tcPr>
          <w:p w14:paraId="2DCBCFB0" w14:textId="2604EAF6" w:rsidR="00931DBE" w:rsidRPr="005F4560" w:rsidRDefault="00931DBE" w:rsidP="00931DBE">
            <w:pPr>
              <w:spacing w:before="0" w:after="0"/>
              <w:rPr>
                <w:szCs w:val="20"/>
              </w:rPr>
            </w:pPr>
            <w:r w:rsidRPr="005F4560">
              <w:rPr>
                <w:szCs w:val="20"/>
              </w:rPr>
              <w:lastRenderedPageBreak/>
              <w:t>3</w:t>
            </w:r>
          </w:p>
        </w:tc>
        <w:tc>
          <w:tcPr>
            <w:tcW w:w="538" w:type="pct"/>
          </w:tcPr>
          <w:p w14:paraId="7EEB65F4" w14:textId="77777777" w:rsidR="00931DBE" w:rsidRPr="005F4560" w:rsidRDefault="00931DBE" w:rsidP="00931DBE">
            <w:pPr>
              <w:spacing w:before="0" w:after="0"/>
            </w:pPr>
            <w:r w:rsidRPr="005F4560">
              <w:t>Prospective (non-randomised) case-control study.</w:t>
            </w:r>
          </w:p>
          <w:p w14:paraId="27B34BBC" w14:textId="77777777" w:rsidR="00931DBE" w:rsidRPr="005F4560" w:rsidRDefault="00931DBE" w:rsidP="00931DBE">
            <w:pPr>
              <w:spacing w:before="0" w:after="0"/>
            </w:pPr>
          </w:p>
          <w:p w14:paraId="246D3C26" w14:textId="77777777" w:rsidR="00931DBE" w:rsidRPr="005F4560" w:rsidRDefault="00931DBE" w:rsidP="00931DBE">
            <w:pPr>
              <w:spacing w:before="0" w:after="0"/>
            </w:pPr>
            <w:r w:rsidRPr="005F4560">
              <w:t>IGB vs. no intervention</w:t>
            </w:r>
          </w:p>
        </w:tc>
        <w:tc>
          <w:tcPr>
            <w:tcW w:w="878" w:type="pct"/>
          </w:tcPr>
          <w:p w14:paraId="0DA930E9" w14:textId="77777777" w:rsidR="00931DBE" w:rsidRPr="005F4560" w:rsidRDefault="00931DBE" w:rsidP="00931DBE">
            <w:pPr>
              <w:spacing w:before="0" w:after="0"/>
              <w:rPr>
                <w:szCs w:val="20"/>
              </w:rPr>
            </w:pPr>
            <w:r w:rsidRPr="005F4560">
              <w:rPr>
                <w:szCs w:val="20"/>
              </w:rPr>
              <w:t xml:space="preserve">Gomez, V., G. Woodman and B. K. Abu </w:t>
            </w:r>
            <w:proofErr w:type="spellStart"/>
            <w:r w:rsidRPr="005F4560">
              <w:rPr>
                <w:szCs w:val="20"/>
              </w:rPr>
              <w:t>Dayyeh</w:t>
            </w:r>
            <w:proofErr w:type="spellEnd"/>
            <w:r w:rsidRPr="005F4560">
              <w:rPr>
                <w:szCs w:val="20"/>
              </w:rPr>
              <w:t xml:space="preserve"> (2016). "Delayed gastric emptying as a proposed mechanism of action during </w:t>
            </w:r>
            <w:proofErr w:type="spellStart"/>
            <w:r w:rsidRPr="005F4560">
              <w:rPr>
                <w:szCs w:val="20"/>
              </w:rPr>
              <w:t>intragastric</w:t>
            </w:r>
            <w:proofErr w:type="spellEnd"/>
            <w:r w:rsidRPr="005F4560">
              <w:rPr>
                <w:szCs w:val="20"/>
              </w:rPr>
              <w:t xml:space="preserve"> balloon therapy: Results of a prospective study." Obesity 24(9): 1849-1853.</w:t>
            </w:r>
          </w:p>
        </w:tc>
        <w:tc>
          <w:tcPr>
            <w:tcW w:w="234" w:type="pct"/>
          </w:tcPr>
          <w:p w14:paraId="2EC6097A" w14:textId="77777777" w:rsidR="00931DBE" w:rsidRPr="005F4560" w:rsidRDefault="00931DBE" w:rsidP="00931DBE">
            <w:pPr>
              <w:spacing w:before="0" w:after="0"/>
            </w:pPr>
            <w:r w:rsidRPr="005F4560">
              <w:t>X</w:t>
            </w:r>
          </w:p>
        </w:tc>
        <w:tc>
          <w:tcPr>
            <w:tcW w:w="268" w:type="pct"/>
          </w:tcPr>
          <w:p w14:paraId="7E6654F3" w14:textId="77777777" w:rsidR="00931DBE" w:rsidRPr="005F4560" w:rsidRDefault="00931DBE" w:rsidP="00931DBE">
            <w:pPr>
              <w:spacing w:before="0" w:after="0"/>
            </w:pPr>
            <w:r w:rsidRPr="005F4560">
              <w:t>X</w:t>
            </w:r>
          </w:p>
        </w:tc>
        <w:tc>
          <w:tcPr>
            <w:tcW w:w="225" w:type="pct"/>
          </w:tcPr>
          <w:p w14:paraId="36D5E0FE" w14:textId="58CF1821" w:rsidR="00931DBE" w:rsidRPr="005F4560" w:rsidRDefault="000936EC" w:rsidP="00931DBE">
            <w:pPr>
              <w:spacing w:before="0" w:after="0"/>
            </w:pPr>
            <w:r>
              <w:t>-</w:t>
            </w:r>
          </w:p>
        </w:tc>
        <w:tc>
          <w:tcPr>
            <w:tcW w:w="1318" w:type="pct"/>
          </w:tcPr>
          <w:p w14:paraId="46254DB5" w14:textId="77777777" w:rsidR="00931DBE" w:rsidRPr="005F4560" w:rsidRDefault="00931DBE" w:rsidP="00931DBE">
            <w:pPr>
              <w:spacing w:before="0" w:after="0"/>
            </w:pPr>
            <w:r w:rsidRPr="005F4560">
              <w:t xml:space="preserve">N=29, IGB group N=15, Control N=14.  Mean age 38 </w:t>
            </w:r>
            <w:proofErr w:type="spellStart"/>
            <w:r w:rsidRPr="005F4560">
              <w:t>yr</w:t>
            </w:r>
            <w:proofErr w:type="spellEnd"/>
            <w:r w:rsidRPr="005F4560">
              <w:t xml:space="preserve">, Baseline: IGB: BMI </w:t>
            </w:r>
            <w:r w:rsidRPr="005F4560">
              <w:rPr>
                <w:rFonts w:ascii="AdvHNe-LCd" w:hAnsi="AdvHNe-LCd" w:cs="AdvHNe-LCd"/>
                <w:sz w:val="18"/>
                <w:szCs w:val="18"/>
              </w:rPr>
              <w:t>34.7</w:t>
            </w:r>
            <w:r w:rsidRPr="005F4560">
              <w:rPr>
                <w:rFonts w:ascii="AdvP80675" w:hAnsi="AdvP80675" w:cs="AdvP80675"/>
                <w:sz w:val="18"/>
                <w:szCs w:val="18"/>
              </w:rPr>
              <w:sym w:font="Symbol" w:char="F0B1"/>
            </w:r>
            <w:r w:rsidRPr="005F4560">
              <w:rPr>
                <w:rFonts w:ascii="AdvHNe-LCd" w:hAnsi="AdvHNe-LCd" w:cs="AdvHNe-LCd"/>
                <w:sz w:val="18"/>
                <w:szCs w:val="18"/>
              </w:rPr>
              <w:t>3.42</w:t>
            </w:r>
            <w:r w:rsidRPr="005F4560">
              <w:t xml:space="preserve">, Control BMI </w:t>
            </w:r>
            <w:r w:rsidRPr="005F4560">
              <w:rPr>
                <w:rFonts w:ascii="AdvHNe-LCd" w:hAnsi="AdvHNe-LCd" w:cs="AdvHNe-LCd"/>
                <w:sz w:val="18"/>
                <w:szCs w:val="18"/>
              </w:rPr>
              <w:t>35.6</w:t>
            </w:r>
            <w:r w:rsidRPr="005F4560">
              <w:rPr>
                <w:rFonts w:ascii="AdvP80675" w:hAnsi="AdvP80675" w:cs="AdvP80675"/>
                <w:sz w:val="18"/>
                <w:szCs w:val="18"/>
              </w:rPr>
              <w:sym w:font="Symbol" w:char="F0B1"/>
            </w:r>
            <w:r w:rsidRPr="005F4560">
              <w:rPr>
                <w:rFonts w:ascii="AdvHNe-LCd" w:hAnsi="AdvHNe-LCd" w:cs="AdvHNe-LCd"/>
                <w:sz w:val="18"/>
                <w:szCs w:val="18"/>
              </w:rPr>
              <w:t>2.84 (BMI 30-40 eligible).</w:t>
            </w:r>
          </w:p>
          <w:p w14:paraId="0031695E" w14:textId="5DE2B3FF" w:rsidR="00931DBE" w:rsidRPr="005F4560" w:rsidRDefault="00931DBE" w:rsidP="00931DBE">
            <w:pPr>
              <w:spacing w:before="0" w:after="0"/>
            </w:pPr>
            <w:r w:rsidRPr="005F4560">
              <w:t>At baseline, 1- and 2-h gastric retention values were comparable between the groups but increased in the IGB group at weeks 8 and 16 (during IGB treatment) and then returned to baseline levels at 27 and 39 weeks. Total WL% at 26 weeks (time of balloon removal) and 52 weeks (28 weeks) after balloon removal), was -14</w:t>
            </w:r>
            <w:r w:rsidRPr="005F4560">
              <w:sym w:font="Symbol" w:char="F0B1"/>
            </w:r>
            <w:r w:rsidRPr="005F4560">
              <w:t xml:space="preserve">7.8 versus -5.4 </w:t>
            </w:r>
            <w:r w:rsidRPr="005F4560">
              <w:sym w:font="Symbol" w:char="F0B1"/>
            </w:r>
            <w:r w:rsidRPr="005F4560">
              <w:t>4 (P=0.003) and -10.6</w:t>
            </w:r>
            <w:r w:rsidRPr="005F4560">
              <w:sym w:font="Symbol" w:char="F0B1"/>
            </w:r>
            <w:r w:rsidRPr="005F4560">
              <w:t>7.9 versus -3.3</w:t>
            </w:r>
            <w:r w:rsidRPr="005F4560">
              <w:sym w:font="Symbol" w:char="F0B1"/>
            </w:r>
            <w:r w:rsidRPr="005F4560">
              <w:t>5 (P=0.01), respectively for IGB vs. control.</w:t>
            </w:r>
          </w:p>
          <w:p w14:paraId="02A3DC7F" w14:textId="77777777" w:rsidR="00931DBE" w:rsidRPr="005F4560" w:rsidRDefault="00931DBE" w:rsidP="00931DBE">
            <w:pPr>
              <w:spacing w:before="0" w:after="0"/>
            </w:pPr>
          </w:p>
        </w:tc>
        <w:tc>
          <w:tcPr>
            <w:tcW w:w="867" w:type="pct"/>
          </w:tcPr>
          <w:p w14:paraId="634EA118" w14:textId="56AC1D1C" w:rsidR="00931DBE" w:rsidRPr="005F4560" w:rsidRDefault="009878BB" w:rsidP="00931DBE">
            <w:pPr>
              <w:spacing w:before="0" w:after="0"/>
            </w:pPr>
            <w:hyperlink r:id="rId17" w:tooltip="Gomez" w:history="1">
              <w:r w:rsidR="00931DBE" w:rsidRPr="001F4336">
                <w:rPr>
                  <w:rStyle w:val="Hyperlink"/>
                  <w:color w:val="auto"/>
                  <w:highlight w:val="yellow"/>
                </w:rPr>
                <w:t>https://www.ncbi.nlm.nih.gov/pubmed/?cmd=HistorySearch&amp;querykey=13</w:t>
              </w:r>
            </w:hyperlink>
            <w:r w:rsidR="00931DBE" w:rsidRPr="005F4560">
              <w:t xml:space="preserve"> </w:t>
            </w:r>
          </w:p>
        </w:tc>
        <w:tc>
          <w:tcPr>
            <w:tcW w:w="491" w:type="pct"/>
          </w:tcPr>
          <w:p w14:paraId="5A86FD55" w14:textId="77777777" w:rsidR="00931DBE" w:rsidRPr="005F4560" w:rsidRDefault="00931DBE" w:rsidP="00931DBE">
            <w:pPr>
              <w:spacing w:before="0" w:after="0"/>
            </w:pPr>
            <w:r w:rsidRPr="005F4560">
              <w:t>2016</w:t>
            </w:r>
          </w:p>
        </w:tc>
      </w:tr>
      <w:tr w:rsidR="00931DBE" w:rsidRPr="005F4560" w14:paraId="1C0E3138" w14:textId="77777777" w:rsidTr="00931DBE">
        <w:trPr>
          <w:cantSplit/>
        </w:trPr>
        <w:tc>
          <w:tcPr>
            <w:tcW w:w="180" w:type="pct"/>
          </w:tcPr>
          <w:p w14:paraId="317B77C5" w14:textId="63F84B8C" w:rsidR="00931DBE" w:rsidRPr="005F4560" w:rsidRDefault="00931DBE" w:rsidP="00931DBE">
            <w:pPr>
              <w:spacing w:before="0" w:after="0"/>
              <w:rPr>
                <w:szCs w:val="20"/>
              </w:rPr>
            </w:pPr>
            <w:r w:rsidRPr="005F4560">
              <w:rPr>
                <w:szCs w:val="20"/>
              </w:rPr>
              <w:t>4</w:t>
            </w:r>
          </w:p>
        </w:tc>
        <w:tc>
          <w:tcPr>
            <w:tcW w:w="538" w:type="pct"/>
          </w:tcPr>
          <w:p w14:paraId="68AE8C51" w14:textId="77777777" w:rsidR="00931DBE" w:rsidRPr="005F4560" w:rsidRDefault="00931DBE" w:rsidP="00931DBE">
            <w:pPr>
              <w:spacing w:before="0" w:after="0"/>
              <w:rPr>
                <w:b/>
                <w:szCs w:val="20"/>
              </w:rPr>
            </w:pPr>
            <w:r w:rsidRPr="005F4560">
              <w:t xml:space="preserve">Prospective cohort study, </w:t>
            </w:r>
            <w:r w:rsidRPr="005F4560">
              <w:rPr>
                <w:szCs w:val="20"/>
              </w:rPr>
              <w:t>pre-test vs. post-test comparison</w:t>
            </w:r>
          </w:p>
        </w:tc>
        <w:tc>
          <w:tcPr>
            <w:tcW w:w="878" w:type="pct"/>
          </w:tcPr>
          <w:p w14:paraId="0B49F1C5" w14:textId="77777777" w:rsidR="00931DBE" w:rsidRPr="005F4560" w:rsidRDefault="00931DBE" w:rsidP="00931DBE">
            <w:pPr>
              <w:spacing w:before="0" w:after="0"/>
              <w:rPr>
                <w:szCs w:val="20"/>
              </w:rPr>
            </w:pPr>
            <w:proofErr w:type="spellStart"/>
            <w:r w:rsidRPr="005F4560">
              <w:rPr>
                <w:szCs w:val="20"/>
              </w:rPr>
              <w:t>Benamouzig</w:t>
            </w:r>
            <w:proofErr w:type="spellEnd"/>
            <w:r w:rsidRPr="005F4560">
              <w:rPr>
                <w:szCs w:val="20"/>
              </w:rPr>
              <w:t xml:space="preserve"> R, </w:t>
            </w:r>
            <w:proofErr w:type="spellStart"/>
            <w:r w:rsidRPr="005F4560">
              <w:rPr>
                <w:szCs w:val="20"/>
              </w:rPr>
              <w:t>Uzzan</w:t>
            </w:r>
            <w:proofErr w:type="spellEnd"/>
            <w:r w:rsidRPr="005F4560">
              <w:rPr>
                <w:szCs w:val="20"/>
              </w:rPr>
              <w:t xml:space="preserve"> B, </w:t>
            </w:r>
            <w:proofErr w:type="spellStart"/>
            <w:r w:rsidRPr="005F4560">
              <w:rPr>
                <w:szCs w:val="20"/>
              </w:rPr>
              <w:t>Airinei</w:t>
            </w:r>
            <w:proofErr w:type="spellEnd"/>
            <w:r w:rsidRPr="005F4560">
              <w:rPr>
                <w:szCs w:val="20"/>
              </w:rPr>
              <w:t xml:space="preserve"> G, et al. Effects of </w:t>
            </w:r>
            <w:proofErr w:type="spellStart"/>
            <w:r w:rsidRPr="005F4560">
              <w:rPr>
                <w:szCs w:val="20"/>
              </w:rPr>
              <w:t>intragastric</w:t>
            </w:r>
            <w:proofErr w:type="spellEnd"/>
            <w:r w:rsidRPr="005F4560">
              <w:rPr>
                <w:szCs w:val="20"/>
              </w:rPr>
              <w:t xml:space="preserve"> balloon on weight loss, physical activity, plasma leptin and ghrelin in obese patients, with long-term follow-up. Journal of Gastroenterology and </w:t>
            </w:r>
            <w:proofErr w:type="spellStart"/>
            <w:r w:rsidRPr="005F4560">
              <w:rPr>
                <w:szCs w:val="20"/>
              </w:rPr>
              <w:t>Hepatology</w:t>
            </w:r>
            <w:proofErr w:type="spellEnd"/>
            <w:r w:rsidRPr="005F4560">
              <w:rPr>
                <w:szCs w:val="20"/>
              </w:rPr>
              <w:t xml:space="preserve"> Research. 2013</w:t>
            </w:r>
            <w:proofErr w:type="gramStart"/>
            <w:r w:rsidRPr="005F4560">
              <w:rPr>
                <w:szCs w:val="20"/>
              </w:rPr>
              <w:t>;2</w:t>
            </w:r>
            <w:proofErr w:type="gramEnd"/>
            <w:r w:rsidRPr="005F4560">
              <w:rPr>
                <w:szCs w:val="20"/>
              </w:rPr>
              <w:t>(8):744-749.</w:t>
            </w:r>
          </w:p>
        </w:tc>
        <w:tc>
          <w:tcPr>
            <w:tcW w:w="234" w:type="pct"/>
          </w:tcPr>
          <w:p w14:paraId="2ECCCD16" w14:textId="77777777" w:rsidR="00931DBE" w:rsidRPr="005F4560" w:rsidRDefault="00931DBE" w:rsidP="00931DBE">
            <w:pPr>
              <w:spacing w:before="0" w:after="0"/>
            </w:pPr>
            <w:r w:rsidRPr="005F4560">
              <w:t>X</w:t>
            </w:r>
          </w:p>
        </w:tc>
        <w:tc>
          <w:tcPr>
            <w:tcW w:w="268" w:type="pct"/>
          </w:tcPr>
          <w:p w14:paraId="01E49984" w14:textId="77777777" w:rsidR="00931DBE" w:rsidRPr="005F4560" w:rsidRDefault="00931DBE" w:rsidP="00931DBE">
            <w:pPr>
              <w:spacing w:before="0" w:after="0"/>
            </w:pPr>
            <w:r w:rsidRPr="005F4560">
              <w:t>X</w:t>
            </w:r>
          </w:p>
        </w:tc>
        <w:tc>
          <w:tcPr>
            <w:tcW w:w="225" w:type="pct"/>
          </w:tcPr>
          <w:p w14:paraId="39E20C3C" w14:textId="21FE500D" w:rsidR="00931DBE" w:rsidRPr="005F4560" w:rsidRDefault="00931DBE" w:rsidP="00931DBE">
            <w:pPr>
              <w:spacing w:before="0" w:after="0"/>
            </w:pPr>
            <w:r w:rsidRPr="005F4560">
              <w:t>-</w:t>
            </w:r>
          </w:p>
        </w:tc>
        <w:tc>
          <w:tcPr>
            <w:tcW w:w="1318" w:type="pct"/>
          </w:tcPr>
          <w:p w14:paraId="2FFC24E1" w14:textId="77777777" w:rsidR="00931DBE" w:rsidRPr="005F4560" w:rsidRDefault="00931DBE" w:rsidP="00931DBE">
            <w:pPr>
              <w:spacing w:before="0" w:after="0"/>
            </w:pPr>
            <w:r w:rsidRPr="005F4560">
              <w:t>Adults BMI&gt; 30 kg/m</w:t>
            </w:r>
            <w:r w:rsidRPr="005F4560">
              <w:rPr>
                <w:vertAlign w:val="superscript"/>
              </w:rPr>
              <w:t>2</w:t>
            </w:r>
            <w:r w:rsidRPr="005F4560">
              <w:t xml:space="preserve"> with at least 1 co-morbidity, or BMI &gt; 35 kg/m2 (N=67). Mean BMI of 36.6±3.3 kg/m</w:t>
            </w:r>
            <w:r w:rsidRPr="005F4560">
              <w:rPr>
                <w:vertAlign w:val="superscript"/>
              </w:rPr>
              <w:t>2</w:t>
            </w:r>
            <w:r w:rsidRPr="005F4560">
              <w:t>.</w:t>
            </w:r>
          </w:p>
          <w:p w14:paraId="771F965D" w14:textId="77777777" w:rsidR="00931DBE" w:rsidRPr="005F4560" w:rsidRDefault="00931DBE" w:rsidP="00931DBE">
            <w:pPr>
              <w:spacing w:before="0" w:after="0"/>
            </w:pPr>
            <w:r w:rsidRPr="005F4560">
              <w:t>Results:</w:t>
            </w:r>
          </w:p>
          <w:p w14:paraId="11D86AB2" w14:textId="77777777" w:rsidR="00931DBE" w:rsidRPr="005F4560" w:rsidRDefault="00931DBE" w:rsidP="00931DBE">
            <w:pPr>
              <w:spacing w:before="0" w:after="0"/>
              <w:rPr>
                <w:szCs w:val="20"/>
              </w:rPr>
            </w:pPr>
            <w:r w:rsidRPr="005F4560">
              <w:rPr>
                <w:szCs w:val="20"/>
              </w:rPr>
              <w:t xml:space="preserve">EWL of 40.0±4.9 % before balloon to 31.3±7.7% after 6 months with balloon (p=0.0001); an EWL of 30.8% ±17.8%. EWL≥30% at 6 </w:t>
            </w:r>
            <w:proofErr w:type="spellStart"/>
            <w:r w:rsidRPr="005F4560">
              <w:rPr>
                <w:szCs w:val="20"/>
              </w:rPr>
              <w:t>mth</w:t>
            </w:r>
            <w:proofErr w:type="spellEnd"/>
            <w:r w:rsidRPr="005F4560">
              <w:rPr>
                <w:szCs w:val="20"/>
              </w:rPr>
              <w:t xml:space="preserve"> was 52% (35/67).</w:t>
            </w:r>
          </w:p>
          <w:p w14:paraId="3681DA59" w14:textId="77777777" w:rsidR="00931DBE" w:rsidRPr="005F4560" w:rsidRDefault="00931DBE" w:rsidP="00931DBE">
            <w:pPr>
              <w:spacing w:before="0" w:after="0"/>
              <w:rPr>
                <w:szCs w:val="20"/>
              </w:rPr>
            </w:pPr>
            <w:r w:rsidRPr="005F4560">
              <w:rPr>
                <w:szCs w:val="20"/>
              </w:rPr>
              <w:t xml:space="preserve">Long-term follow-up at median 53 </w:t>
            </w:r>
            <w:proofErr w:type="spellStart"/>
            <w:r w:rsidRPr="005F4560">
              <w:rPr>
                <w:szCs w:val="20"/>
              </w:rPr>
              <w:t>mth</w:t>
            </w:r>
            <w:proofErr w:type="spellEnd"/>
            <w:r w:rsidRPr="005F4560">
              <w:rPr>
                <w:szCs w:val="20"/>
              </w:rPr>
              <w:t xml:space="preserve"> (N=29, 46% of total): EWL ≥30% was 31% (9/29).</w:t>
            </w:r>
          </w:p>
        </w:tc>
        <w:tc>
          <w:tcPr>
            <w:tcW w:w="867" w:type="pct"/>
          </w:tcPr>
          <w:p w14:paraId="2EA25E34" w14:textId="178CF75F" w:rsidR="00931DBE" w:rsidRPr="005F4560" w:rsidRDefault="009878BB" w:rsidP="00931DBE">
            <w:pPr>
              <w:spacing w:before="0" w:after="0"/>
              <w:rPr>
                <w:szCs w:val="20"/>
              </w:rPr>
            </w:pPr>
            <w:hyperlink r:id="rId18" w:tooltip="Benamouzig" w:history="1">
              <w:r w:rsidR="00931DBE" w:rsidRPr="005F4560">
                <w:rPr>
                  <w:rStyle w:val="Hyperlink"/>
                  <w:color w:val="auto"/>
                  <w:szCs w:val="20"/>
                </w:rPr>
                <w:t>http://www.ghrnet.org/index.php/joghr/article/view/457/342</w:t>
              </w:r>
            </w:hyperlink>
            <w:r w:rsidR="00931DBE" w:rsidRPr="005F4560">
              <w:rPr>
                <w:szCs w:val="20"/>
              </w:rPr>
              <w:t xml:space="preserve"> </w:t>
            </w:r>
          </w:p>
        </w:tc>
        <w:tc>
          <w:tcPr>
            <w:tcW w:w="491" w:type="pct"/>
          </w:tcPr>
          <w:p w14:paraId="2604AA83" w14:textId="77777777" w:rsidR="00931DBE" w:rsidRPr="005F4560" w:rsidRDefault="00931DBE" w:rsidP="00931DBE">
            <w:pPr>
              <w:spacing w:before="0" w:after="0"/>
              <w:rPr>
                <w:szCs w:val="20"/>
              </w:rPr>
            </w:pPr>
            <w:r w:rsidRPr="005F4560">
              <w:rPr>
                <w:szCs w:val="20"/>
              </w:rPr>
              <w:t>2013</w:t>
            </w:r>
          </w:p>
        </w:tc>
      </w:tr>
      <w:tr w:rsidR="00931DBE" w:rsidRPr="005F4560" w14:paraId="53EB504D" w14:textId="77777777" w:rsidTr="00931DBE">
        <w:trPr>
          <w:cantSplit/>
        </w:trPr>
        <w:tc>
          <w:tcPr>
            <w:tcW w:w="180" w:type="pct"/>
          </w:tcPr>
          <w:p w14:paraId="26E1DC45" w14:textId="1F5D5E30" w:rsidR="00931DBE" w:rsidRPr="005F4560" w:rsidRDefault="00931DBE" w:rsidP="00931DBE">
            <w:pPr>
              <w:spacing w:before="0" w:after="0"/>
              <w:rPr>
                <w:szCs w:val="20"/>
              </w:rPr>
            </w:pPr>
            <w:r w:rsidRPr="005F4560">
              <w:rPr>
                <w:szCs w:val="20"/>
              </w:rPr>
              <w:lastRenderedPageBreak/>
              <w:t>5</w:t>
            </w:r>
          </w:p>
        </w:tc>
        <w:tc>
          <w:tcPr>
            <w:tcW w:w="538" w:type="pct"/>
          </w:tcPr>
          <w:p w14:paraId="284C786D" w14:textId="77777777" w:rsidR="00931DBE" w:rsidRPr="005F4560" w:rsidRDefault="00931DBE" w:rsidP="00931DBE">
            <w:pPr>
              <w:spacing w:before="0" w:after="0"/>
              <w:rPr>
                <w:szCs w:val="20"/>
              </w:rPr>
            </w:pPr>
            <w:r w:rsidRPr="005F4560">
              <w:t xml:space="preserve">Prospective cohort, </w:t>
            </w:r>
            <w:r w:rsidRPr="005F4560">
              <w:rPr>
                <w:szCs w:val="20"/>
              </w:rPr>
              <w:t>pre-test vs. post-test comparison</w:t>
            </w:r>
          </w:p>
          <w:p w14:paraId="18B4C424" w14:textId="77777777" w:rsidR="00931DBE" w:rsidRPr="005F4560" w:rsidRDefault="00931DBE" w:rsidP="00931DBE">
            <w:pPr>
              <w:spacing w:before="0" w:after="0"/>
              <w:rPr>
                <w:szCs w:val="20"/>
              </w:rPr>
            </w:pPr>
          </w:p>
          <w:p w14:paraId="41CC133D" w14:textId="69D56B0C" w:rsidR="00931DBE" w:rsidRPr="005F4560" w:rsidRDefault="00931DBE" w:rsidP="00931DBE">
            <w:pPr>
              <w:spacing w:before="0" w:after="0"/>
            </w:pPr>
            <w:r w:rsidRPr="005F4560">
              <w:rPr>
                <w:szCs w:val="20"/>
              </w:rPr>
              <w:t>Reports results for 30-35 BMI subgroup.</w:t>
            </w:r>
          </w:p>
        </w:tc>
        <w:tc>
          <w:tcPr>
            <w:tcW w:w="878" w:type="pct"/>
          </w:tcPr>
          <w:p w14:paraId="4D0AF2A3" w14:textId="1DB6D7DE" w:rsidR="00931DBE" w:rsidRPr="005F4560" w:rsidRDefault="00931DBE" w:rsidP="00931DBE">
            <w:pPr>
              <w:spacing w:before="0" w:after="0"/>
              <w:rPr>
                <w:szCs w:val="20"/>
              </w:rPr>
            </w:pPr>
            <w:proofErr w:type="spellStart"/>
            <w:r w:rsidRPr="005F4560">
              <w:rPr>
                <w:szCs w:val="20"/>
              </w:rPr>
              <w:t>Herve</w:t>
            </w:r>
            <w:proofErr w:type="spellEnd"/>
            <w:r w:rsidRPr="005F4560">
              <w:rPr>
                <w:szCs w:val="20"/>
              </w:rPr>
              <w:t xml:space="preserve">, J., </w:t>
            </w:r>
            <w:proofErr w:type="spellStart"/>
            <w:r w:rsidRPr="005F4560">
              <w:rPr>
                <w:szCs w:val="20"/>
              </w:rPr>
              <w:t>Wahlen</w:t>
            </w:r>
            <w:proofErr w:type="spellEnd"/>
            <w:r w:rsidRPr="005F4560">
              <w:rPr>
                <w:szCs w:val="20"/>
              </w:rPr>
              <w:t xml:space="preserve">, C.H., et al. (2005). "What becomes of patients one year after the </w:t>
            </w:r>
            <w:proofErr w:type="spellStart"/>
            <w:r w:rsidRPr="005F4560">
              <w:rPr>
                <w:szCs w:val="20"/>
              </w:rPr>
              <w:t>intragastric</w:t>
            </w:r>
            <w:proofErr w:type="spellEnd"/>
            <w:r w:rsidRPr="005F4560">
              <w:rPr>
                <w:szCs w:val="20"/>
              </w:rPr>
              <w:t xml:space="preserve"> balloon has been removed?" </w:t>
            </w:r>
            <w:proofErr w:type="spellStart"/>
            <w:r w:rsidRPr="005F4560">
              <w:rPr>
                <w:szCs w:val="20"/>
              </w:rPr>
              <w:t>Obes</w:t>
            </w:r>
            <w:proofErr w:type="spellEnd"/>
            <w:r w:rsidRPr="005F4560">
              <w:rPr>
                <w:szCs w:val="20"/>
              </w:rPr>
              <w:t xml:space="preserve"> </w:t>
            </w:r>
            <w:proofErr w:type="spellStart"/>
            <w:r w:rsidRPr="005F4560">
              <w:rPr>
                <w:szCs w:val="20"/>
              </w:rPr>
              <w:t>Surg</w:t>
            </w:r>
            <w:proofErr w:type="spellEnd"/>
            <w:r w:rsidRPr="005F4560">
              <w:rPr>
                <w:szCs w:val="20"/>
              </w:rPr>
              <w:t xml:space="preserve"> 15(6): 864-870.</w:t>
            </w:r>
          </w:p>
        </w:tc>
        <w:tc>
          <w:tcPr>
            <w:tcW w:w="234" w:type="pct"/>
          </w:tcPr>
          <w:p w14:paraId="380B2B23" w14:textId="0BBB57D0" w:rsidR="00931DBE" w:rsidRPr="005F4560" w:rsidRDefault="00931DBE" w:rsidP="00931DBE">
            <w:pPr>
              <w:spacing w:before="0" w:after="0"/>
            </w:pPr>
            <w:r w:rsidRPr="005F4560">
              <w:t>X</w:t>
            </w:r>
          </w:p>
        </w:tc>
        <w:tc>
          <w:tcPr>
            <w:tcW w:w="268" w:type="pct"/>
          </w:tcPr>
          <w:p w14:paraId="1F82A1FA" w14:textId="6B9E60F9" w:rsidR="00931DBE" w:rsidRPr="005F4560" w:rsidRDefault="00931DBE" w:rsidP="00931DBE">
            <w:pPr>
              <w:spacing w:before="0" w:after="0"/>
            </w:pPr>
            <w:r w:rsidRPr="005F4560">
              <w:t>X</w:t>
            </w:r>
          </w:p>
        </w:tc>
        <w:tc>
          <w:tcPr>
            <w:tcW w:w="225" w:type="pct"/>
          </w:tcPr>
          <w:p w14:paraId="718CB980" w14:textId="00D71186" w:rsidR="00931DBE" w:rsidRPr="005F4560" w:rsidRDefault="00931DBE" w:rsidP="00931DBE">
            <w:pPr>
              <w:spacing w:before="0" w:after="0"/>
            </w:pPr>
            <w:r w:rsidRPr="005F4560">
              <w:t>X</w:t>
            </w:r>
          </w:p>
        </w:tc>
        <w:tc>
          <w:tcPr>
            <w:tcW w:w="1318" w:type="pct"/>
          </w:tcPr>
          <w:p w14:paraId="74036678" w14:textId="50752EFF" w:rsidR="00931DBE" w:rsidRPr="005F4560" w:rsidRDefault="00931DBE" w:rsidP="00931DBE">
            <w:pPr>
              <w:spacing w:before="0" w:after="0"/>
            </w:pPr>
            <w:r w:rsidRPr="005F4560">
              <w:t xml:space="preserve">N=100 with IGB inserted, Mean BMI = 34.03 </w:t>
            </w:r>
            <w:r w:rsidRPr="005F4560">
              <w:rPr>
                <w:szCs w:val="20"/>
              </w:rPr>
              <w:t>kg/m</w:t>
            </w:r>
            <w:r w:rsidRPr="005F4560">
              <w:rPr>
                <w:szCs w:val="20"/>
                <w:vertAlign w:val="superscript"/>
              </w:rPr>
              <w:t>2</w:t>
            </w:r>
            <w:r w:rsidRPr="005F4560">
              <w:t>, (range 25.3–60.2), Mean age = 34.8 years, Co-morbidities (Listed), presented in up to 28%.</w:t>
            </w:r>
          </w:p>
          <w:p w14:paraId="417EF1AB" w14:textId="77777777" w:rsidR="00931DBE" w:rsidRPr="005F4560" w:rsidRDefault="00931DBE" w:rsidP="00931DBE">
            <w:pPr>
              <w:spacing w:before="0" w:after="0"/>
            </w:pPr>
            <w:r w:rsidRPr="005F4560">
              <w:t xml:space="preserve">Results at 6 </w:t>
            </w:r>
            <w:proofErr w:type="spellStart"/>
            <w:r w:rsidRPr="005F4560">
              <w:t>mth</w:t>
            </w:r>
            <w:proofErr w:type="spellEnd"/>
            <w:r w:rsidRPr="005F4560">
              <w:t xml:space="preserve">: Overall mean weight loss = 12 kg, Overall mean %EWL = 39.8%, </w:t>
            </w:r>
          </w:p>
          <w:p w14:paraId="3E0A1280" w14:textId="77777777" w:rsidR="00931DBE" w:rsidRPr="005F4560" w:rsidRDefault="00931DBE" w:rsidP="00931DBE">
            <w:pPr>
              <w:spacing w:before="0" w:after="0"/>
              <w:rPr>
                <w:b/>
              </w:rPr>
            </w:pPr>
            <w:r w:rsidRPr="005F4560">
              <w:rPr>
                <w:b/>
              </w:rPr>
              <w:t xml:space="preserve">Baseline BMI 30-34.9: Mean weight loss = 11.7 kg 6 </w:t>
            </w:r>
            <w:proofErr w:type="spellStart"/>
            <w:r w:rsidRPr="005F4560">
              <w:rPr>
                <w:b/>
              </w:rPr>
              <w:t>mth</w:t>
            </w:r>
            <w:proofErr w:type="spellEnd"/>
            <w:r w:rsidRPr="005F4560">
              <w:rPr>
                <w:b/>
              </w:rPr>
              <w:t xml:space="preserve">, 7.8 12 </w:t>
            </w:r>
            <w:proofErr w:type="spellStart"/>
            <w:r w:rsidRPr="005F4560">
              <w:rPr>
                <w:b/>
              </w:rPr>
              <w:t>mth</w:t>
            </w:r>
            <w:proofErr w:type="spellEnd"/>
            <w:r w:rsidRPr="005F4560">
              <w:rPr>
                <w:b/>
              </w:rPr>
              <w:t xml:space="preserve">, Mean %EWL = 41.2 6 </w:t>
            </w:r>
            <w:proofErr w:type="spellStart"/>
            <w:r w:rsidRPr="005F4560">
              <w:rPr>
                <w:b/>
              </w:rPr>
              <w:t>mth</w:t>
            </w:r>
            <w:proofErr w:type="spellEnd"/>
            <w:r w:rsidRPr="005F4560">
              <w:rPr>
                <w:b/>
              </w:rPr>
              <w:t>, 27.1 12mth</w:t>
            </w:r>
          </w:p>
          <w:p w14:paraId="23748920" w14:textId="77777777" w:rsidR="00931DBE" w:rsidRPr="005F4560" w:rsidRDefault="00931DBE" w:rsidP="00931DBE">
            <w:pPr>
              <w:spacing w:before="0" w:after="0"/>
            </w:pPr>
            <w:r w:rsidRPr="005F4560">
              <w:t xml:space="preserve">Baseline BMI 35-39: Mean weight loss = 16.6 kg 6mth, 11.1kg 12 </w:t>
            </w:r>
            <w:proofErr w:type="spellStart"/>
            <w:r w:rsidRPr="005F4560">
              <w:t>mth</w:t>
            </w:r>
            <w:proofErr w:type="spellEnd"/>
            <w:r w:rsidRPr="005F4560">
              <w:t>, Mean %EWL = 42.4% 6mth, 26.4% 12mth.</w:t>
            </w:r>
          </w:p>
          <w:p w14:paraId="3EB560DB" w14:textId="48BD552F" w:rsidR="00931DBE" w:rsidRPr="005F4560" w:rsidRDefault="00931DBE" w:rsidP="00931DBE">
            <w:pPr>
              <w:spacing w:before="0" w:after="0"/>
            </w:pPr>
            <w:r w:rsidRPr="005F4560">
              <w:t xml:space="preserve">Baseline BMI &gt;40 </w:t>
            </w:r>
            <w:r w:rsidRPr="005F4560">
              <w:rPr>
                <w:szCs w:val="20"/>
              </w:rPr>
              <w:t>kg/m</w:t>
            </w:r>
            <w:r w:rsidRPr="005F4560">
              <w:rPr>
                <w:szCs w:val="20"/>
                <w:vertAlign w:val="superscript"/>
              </w:rPr>
              <w:t>2</w:t>
            </w:r>
            <w:r w:rsidRPr="005F4560">
              <w:rPr>
                <w:szCs w:val="20"/>
              </w:rPr>
              <w:t xml:space="preserve">: </w:t>
            </w:r>
            <w:r w:rsidRPr="005F4560">
              <w:t>Mean weight loss = 17.2 kg 6mth, 15.7 12mth, Mean %EWL = 25.9% 6mth, 20.4% 12mth.</w:t>
            </w:r>
          </w:p>
        </w:tc>
        <w:tc>
          <w:tcPr>
            <w:tcW w:w="867" w:type="pct"/>
          </w:tcPr>
          <w:p w14:paraId="4F51870D" w14:textId="0AAFD060" w:rsidR="00931DBE" w:rsidRPr="005F4560" w:rsidRDefault="009878BB" w:rsidP="00931DBE">
            <w:pPr>
              <w:spacing w:before="0" w:after="0"/>
            </w:pPr>
            <w:hyperlink r:id="rId19" w:tooltip="Herve" w:history="1">
              <w:r w:rsidR="00931DBE" w:rsidRPr="005F4560">
                <w:rPr>
                  <w:rStyle w:val="Hyperlink"/>
                  <w:color w:val="auto"/>
                </w:rPr>
                <w:t>https://www.ncbi.nlm.nih.gov/pubmed/15978160</w:t>
              </w:r>
            </w:hyperlink>
            <w:r w:rsidR="00931DBE" w:rsidRPr="005F4560">
              <w:t xml:space="preserve"> </w:t>
            </w:r>
          </w:p>
        </w:tc>
        <w:tc>
          <w:tcPr>
            <w:tcW w:w="491" w:type="pct"/>
          </w:tcPr>
          <w:p w14:paraId="05B6E13B" w14:textId="10BF2E0F" w:rsidR="00931DBE" w:rsidRPr="005F4560" w:rsidRDefault="00931DBE" w:rsidP="00931DBE">
            <w:pPr>
              <w:spacing w:before="0" w:after="0"/>
            </w:pPr>
            <w:r w:rsidRPr="005F4560">
              <w:t>2005</w:t>
            </w:r>
          </w:p>
        </w:tc>
      </w:tr>
      <w:tr w:rsidR="00931DBE" w:rsidRPr="005F4560" w14:paraId="65B784FD" w14:textId="77777777" w:rsidTr="00931DBE">
        <w:trPr>
          <w:cantSplit/>
        </w:trPr>
        <w:tc>
          <w:tcPr>
            <w:tcW w:w="180" w:type="pct"/>
          </w:tcPr>
          <w:p w14:paraId="3FB83A8A" w14:textId="25091A7B" w:rsidR="00931DBE" w:rsidRPr="005F4560" w:rsidRDefault="00931DBE" w:rsidP="00931DBE">
            <w:pPr>
              <w:spacing w:before="0" w:after="0"/>
              <w:rPr>
                <w:szCs w:val="20"/>
              </w:rPr>
            </w:pPr>
            <w:r w:rsidRPr="005F4560">
              <w:rPr>
                <w:szCs w:val="20"/>
              </w:rPr>
              <w:t>6</w:t>
            </w:r>
          </w:p>
        </w:tc>
        <w:tc>
          <w:tcPr>
            <w:tcW w:w="538" w:type="pct"/>
          </w:tcPr>
          <w:p w14:paraId="19AA8E10" w14:textId="77777777" w:rsidR="00931DBE" w:rsidRPr="005F4560" w:rsidRDefault="00931DBE" w:rsidP="00931DBE">
            <w:pPr>
              <w:spacing w:before="0" w:after="0"/>
            </w:pPr>
            <w:r w:rsidRPr="005F4560">
              <w:t>Prospective cohort</w:t>
            </w:r>
          </w:p>
          <w:p w14:paraId="3F18ABB1" w14:textId="77777777" w:rsidR="00931DBE" w:rsidRPr="005F4560" w:rsidRDefault="00931DBE" w:rsidP="00931DBE">
            <w:pPr>
              <w:spacing w:before="0" w:after="0"/>
            </w:pPr>
            <w:r w:rsidRPr="005F4560">
              <w:t xml:space="preserve">Single or repeat IGB, </w:t>
            </w:r>
            <w:r w:rsidRPr="005F4560">
              <w:rPr>
                <w:szCs w:val="20"/>
              </w:rPr>
              <w:t>pre-test vs. post-test comparison</w:t>
            </w:r>
          </w:p>
        </w:tc>
        <w:tc>
          <w:tcPr>
            <w:tcW w:w="878" w:type="pct"/>
          </w:tcPr>
          <w:p w14:paraId="307F81C3" w14:textId="77777777" w:rsidR="00931DBE" w:rsidRPr="005F4560" w:rsidRDefault="00931DBE" w:rsidP="00931DBE">
            <w:pPr>
              <w:spacing w:before="0" w:after="0"/>
              <w:rPr>
                <w:szCs w:val="20"/>
              </w:rPr>
            </w:pPr>
            <w:proofErr w:type="spellStart"/>
            <w:r w:rsidRPr="005F4560">
              <w:rPr>
                <w:szCs w:val="20"/>
              </w:rPr>
              <w:t>Dumonceau</w:t>
            </w:r>
            <w:proofErr w:type="spellEnd"/>
            <w:r w:rsidRPr="005F4560">
              <w:rPr>
                <w:szCs w:val="20"/>
              </w:rPr>
              <w:t xml:space="preserve">, J. M., E. Francois, A. </w:t>
            </w:r>
            <w:proofErr w:type="spellStart"/>
            <w:r w:rsidRPr="005F4560">
              <w:rPr>
                <w:szCs w:val="20"/>
              </w:rPr>
              <w:t>Hittelet</w:t>
            </w:r>
            <w:proofErr w:type="spellEnd"/>
            <w:r w:rsidRPr="005F4560">
              <w:rPr>
                <w:szCs w:val="20"/>
              </w:rPr>
              <w:t xml:space="preserve">, A. I. Mehdi, M. </w:t>
            </w:r>
            <w:proofErr w:type="spellStart"/>
            <w:r w:rsidRPr="005F4560">
              <w:rPr>
                <w:szCs w:val="20"/>
              </w:rPr>
              <w:t>Barea</w:t>
            </w:r>
            <w:proofErr w:type="spellEnd"/>
            <w:r w:rsidRPr="005F4560">
              <w:rPr>
                <w:szCs w:val="20"/>
              </w:rPr>
              <w:t xml:space="preserve"> and J. </w:t>
            </w:r>
            <w:proofErr w:type="spellStart"/>
            <w:r w:rsidRPr="005F4560">
              <w:rPr>
                <w:szCs w:val="20"/>
              </w:rPr>
              <w:t>Deviere</w:t>
            </w:r>
            <w:proofErr w:type="spellEnd"/>
            <w:r w:rsidRPr="005F4560">
              <w:rPr>
                <w:szCs w:val="20"/>
              </w:rPr>
              <w:t xml:space="preserve"> (2010). "Single vs repeated treatment with the </w:t>
            </w:r>
            <w:proofErr w:type="spellStart"/>
            <w:r w:rsidRPr="005F4560">
              <w:rPr>
                <w:szCs w:val="20"/>
              </w:rPr>
              <w:t>intragastric</w:t>
            </w:r>
            <w:proofErr w:type="spellEnd"/>
            <w:r w:rsidRPr="005F4560">
              <w:rPr>
                <w:szCs w:val="20"/>
              </w:rPr>
              <w:t xml:space="preserve"> balloon: A 5-year weight loss study." Obesity Surgery 20(6): 692-697.</w:t>
            </w:r>
          </w:p>
        </w:tc>
        <w:tc>
          <w:tcPr>
            <w:tcW w:w="234" w:type="pct"/>
          </w:tcPr>
          <w:p w14:paraId="26A1F53A" w14:textId="77777777" w:rsidR="00931DBE" w:rsidRPr="005F4560" w:rsidRDefault="00931DBE" w:rsidP="00931DBE">
            <w:pPr>
              <w:spacing w:before="0" w:after="0"/>
            </w:pPr>
            <w:r w:rsidRPr="005F4560">
              <w:t>X</w:t>
            </w:r>
          </w:p>
        </w:tc>
        <w:tc>
          <w:tcPr>
            <w:tcW w:w="268" w:type="pct"/>
          </w:tcPr>
          <w:p w14:paraId="2E496E50" w14:textId="77777777" w:rsidR="00931DBE" w:rsidRPr="005F4560" w:rsidRDefault="00931DBE" w:rsidP="00931DBE">
            <w:pPr>
              <w:spacing w:before="0" w:after="0"/>
            </w:pPr>
            <w:r w:rsidRPr="005F4560">
              <w:t>X</w:t>
            </w:r>
          </w:p>
        </w:tc>
        <w:tc>
          <w:tcPr>
            <w:tcW w:w="225" w:type="pct"/>
          </w:tcPr>
          <w:p w14:paraId="5219CE66" w14:textId="5BA66350" w:rsidR="00931DBE" w:rsidRPr="005F4560" w:rsidRDefault="000936EC" w:rsidP="00931DBE">
            <w:pPr>
              <w:spacing w:before="0" w:after="0"/>
            </w:pPr>
            <w:r>
              <w:t>-</w:t>
            </w:r>
          </w:p>
        </w:tc>
        <w:tc>
          <w:tcPr>
            <w:tcW w:w="1318" w:type="pct"/>
          </w:tcPr>
          <w:p w14:paraId="43100901" w14:textId="77777777" w:rsidR="00931DBE" w:rsidRPr="005F4560" w:rsidRDefault="00931DBE" w:rsidP="00931DBE">
            <w:pPr>
              <w:spacing w:before="0" w:after="0"/>
              <w:rPr>
                <w:szCs w:val="20"/>
              </w:rPr>
            </w:pPr>
            <w:r w:rsidRPr="005F4560">
              <w:t xml:space="preserve">N=99 single IGB, N=19 repeat IGB. BMI 30-35 </w:t>
            </w:r>
            <w:r w:rsidRPr="005F4560">
              <w:rPr>
                <w:szCs w:val="20"/>
              </w:rPr>
              <w:t>kg/m</w:t>
            </w:r>
            <w:r w:rsidRPr="005F4560">
              <w:rPr>
                <w:szCs w:val="20"/>
                <w:vertAlign w:val="superscript"/>
              </w:rPr>
              <w:t>2</w:t>
            </w:r>
            <w:r w:rsidRPr="005F4560">
              <w:rPr>
                <w:szCs w:val="20"/>
              </w:rPr>
              <w:t>, comorbidities NR.  Baseline BMI single IGB 34.0 (31.2–36.9), repeat IGB 31.9 (31.2–37.7) kg/m</w:t>
            </w:r>
            <w:r w:rsidRPr="005F4560">
              <w:rPr>
                <w:szCs w:val="20"/>
                <w:vertAlign w:val="superscript"/>
              </w:rPr>
              <w:t>2</w:t>
            </w:r>
            <w:r w:rsidRPr="005F4560">
              <w:rPr>
                <w:szCs w:val="20"/>
              </w:rPr>
              <w:t>.  Comorbidities listed, up to 32% with dyslipidaemia, 11% with diabetes.</w:t>
            </w:r>
          </w:p>
          <w:p w14:paraId="59363F0F" w14:textId="77777777" w:rsidR="00931DBE" w:rsidRPr="005F4560" w:rsidRDefault="00931DBE" w:rsidP="00931DBE">
            <w:pPr>
              <w:spacing w:before="0" w:after="0"/>
            </w:pPr>
            <w:r w:rsidRPr="005F4560">
              <w:t>Results: Median weight loss single IGB lower with second vs first IGB (9.0 vs 14.6 kg; 30.4% vs 49.3% excess weight [EW]; P=0.003). Those with repeat treatment (n=19) had greater weight loss at first IGB extraction (14.6 vs 11.0 kg; 49.3% vs 30.7% EW; P=0.026) and 1 year later (12.0 vs 6.0 kg; 40.9% vs 20.8% EW; P=0.008).</w:t>
            </w:r>
          </w:p>
        </w:tc>
        <w:tc>
          <w:tcPr>
            <w:tcW w:w="867" w:type="pct"/>
          </w:tcPr>
          <w:p w14:paraId="111DF82C" w14:textId="3C8B5C3B" w:rsidR="00931DBE" w:rsidRPr="005F4560" w:rsidRDefault="009878BB" w:rsidP="00931DBE">
            <w:pPr>
              <w:spacing w:before="0" w:after="0"/>
            </w:pPr>
            <w:hyperlink r:id="rId20" w:tooltip="Dumonceau" w:history="1">
              <w:r w:rsidR="00931DBE" w:rsidRPr="005F4560">
                <w:rPr>
                  <w:rStyle w:val="Hyperlink"/>
                  <w:color w:val="auto"/>
                </w:rPr>
                <w:t>https://www.ncbi.nlm.nih.gov/pubmed/20352524</w:t>
              </w:r>
            </w:hyperlink>
            <w:r w:rsidR="00931DBE" w:rsidRPr="005F4560">
              <w:t xml:space="preserve"> </w:t>
            </w:r>
          </w:p>
        </w:tc>
        <w:tc>
          <w:tcPr>
            <w:tcW w:w="491" w:type="pct"/>
          </w:tcPr>
          <w:p w14:paraId="45C65BAB" w14:textId="77777777" w:rsidR="00931DBE" w:rsidRPr="005F4560" w:rsidRDefault="00931DBE" w:rsidP="00931DBE">
            <w:pPr>
              <w:spacing w:before="0" w:after="0"/>
            </w:pPr>
            <w:r w:rsidRPr="005F4560">
              <w:t>2010</w:t>
            </w:r>
          </w:p>
        </w:tc>
      </w:tr>
      <w:tr w:rsidR="00931DBE" w:rsidRPr="005F4560" w14:paraId="0CDE5F56" w14:textId="7F0C8F49" w:rsidTr="00931DBE">
        <w:trPr>
          <w:cantSplit/>
        </w:trPr>
        <w:tc>
          <w:tcPr>
            <w:tcW w:w="180" w:type="pct"/>
          </w:tcPr>
          <w:p w14:paraId="4C75BDE5" w14:textId="0C357685" w:rsidR="00931DBE" w:rsidRPr="005F4560" w:rsidRDefault="00931DBE" w:rsidP="00931DBE">
            <w:pPr>
              <w:spacing w:before="0" w:after="0"/>
              <w:rPr>
                <w:szCs w:val="20"/>
              </w:rPr>
            </w:pPr>
            <w:r w:rsidRPr="005F4560">
              <w:rPr>
                <w:szCs w:val="20"/>
              </w:rPr>
              <w:lastRenderedPageBreak/>
              <w:t>7</w:t>
            </w:r>
          </w:p>
        </w:tc>
        <w:tc>
          <w:tcPr>
            <w:tcW w:w="538" w:type="pct"/>
          </w:tcPr>
          <w:p w14:paraId="5C02C7D1" w14:textId="557EF54C" w:rsidR="00931DBE" w:rsidRPr="005F4560" w:rsidRDefault="00931DBE" w:rsidP="00931DBE">
            <w:pPr>
              <w:spacing w:before="0" w:after="0"/>
            </w:pPr>
            <w:r w:rsidRPr="005F4560">
              <w:t xml:space="preserve">Prospective, cohort study, </w:t>
            </w:r>
            <w:r w:rsidRPr="005F4560">
              <w:rPr>
                <w:szCs w:val="20"/>
              </w:rPr>
              <w:t>pre-test vs. post-test comparison</w:t>
            </w:r>
          </w:p>
        </w:tc>
        <w:tc>
          <w:tcPr>
            <w:tcW w:w="878" w:type="pct"/>
          </w:tcPr>
          <w:p w14:paraId="71B87DA8" w14:textId="36BCA315" w:rsidR="00931DBE" w:rsidRPr="005F4560" w:rsidRDefault="00931DBE" w:rsidP="00931DBE">
            <w:pPr>
              <w:spacing w:before="0" w:after="0"/>
              <w:rPr>
                <w:szCs w:val="20"/>
              </w:rPr>
            </w:pPr>
            <w:r w:rsidRPr="005F4560">
              <w:rPr>
                <w:szCs w:val="20"/>
              </w:rPr>
              <w:t xml:space="preserve">Ganesh, R., Rao, A.D., et al. (2007). "The </w:t>
            </w:r>
            <w:proofErr w:type="spellStart"/>
            <w:r w:rsidRPr="005F4560">
              <w:rPr>
                <w:szCs w:val="20"/>
              </w:rPr>
              <w:t>bioenteric</w:t>
            </w:r>
            <w:proofErr w:type="spellEnd"/>
            <w:r w:rsidRPr="005F4560">
              <w:rPr>
                <w:szCs w:val="20"/>
              </w:rPr>
              <w:t xml:space="preserve"> </w:t>
            </w:r>
            <w:proofErr w:type="spellStart"/>
            <w:r w:rsidRPr="005F4560">
              <w:rPr>
                <w:szCs w:val="20"/>
              </w:rPr>
              <w:t>intragastric</w:t>
            </w:r>
            <w:proofErr w:type="spellEnd"/>
            <w:r w:rsidRPr="005F4560">
              <w:rPr>
                <w:szCs w:val="20"/>
              </w:rPr>
              <w:t xml:space="preserve"> balloon (BIB) as a treatment for obesity: Poor results in </w:t>
            </w:r>
            <w:proofErr w:type="spellStart"/>
            <w:r w:rsidRPr="005F4560">
              <w:rPr>
                <w:szCs w:val="20"/>
              </w:rPr>
              <w:t>asian</w:t>
            </w:r>
            <w:proofErr w:type="spellEnd"/>
            <w:r w:rsidRPr="005F4560">
              <w:rPr>
                <w:szCs w:val="20"/>
              </w:rPr>
              <w:t xml:space="preserve"> patients." Singapore Med J 48(3): 227-231.</w:t>
            </w:r>
          </w:p>
        </w:tc>
        <w:tc>
          <w:tcPr>
            <w:tcW w:w="234" w:type="pct"/>
          </w:tcPr>
          <w:p w14:paraId="4DB982FA" w14:textId="7DC92F46" w:rsidR="00931DBE" w:rsidRPr="005F4560" w:rsidRDefault="00931DBE" w:rsidP="00931DBE">
            <w:pPr>
              <w:spacing w:before="0" w:after="0"/>
            </w:pPr>
            <w:r w:rsidRPr="005F4560">
              <w:t>X</w:t>
            </w:r>
          </w:p>
        </w:tc>
        <w:tc>
          <w:tcPr>
            <w:tcW w:w="268" w:type="pct"/>
          </w:tcPr>
          <w:p w14:paraId="60E28EDB" w14:textId="7157847A" w:rsidR="00931DBE" w:rsidRPr="005F4560" w:rsidRDefault="00931DBE" w:rsidP="00931DBE">
            <w:pPr>
              <w:spacing w:before="0" w:after="0"/>
            </w:pPr>
            <w:r w:rsidRPr="005F4560">
              <w:t>X</w:t>
            </w:r>
          </w:p>
        </w:tc>
        <w:tc>
          <w:tcPr>
            <w:tcW w:w="225" w:type="pct"/>
          </w:tcPr>
          <w:p w14:paraId="6E8F3FD2" w14:textId="79BF5223" w:rsidR="00931DBE" w:rsidRPr="005F4560" w:rsidRDefault="000936EC" w:rsidP="00931DBE">
            <w:pPr>
              <w:spacing w:before="0" w:after="0"/>
            </w:pPr>
            <w:r>
              <w:t>-</w:t>
            </w:r>
          </w:p>
        </w:tc>
        <w:tc>
          <w:tcPr>
            <w:tcW w:w="1318" w:type="pct"/>
          </w:tcPr>
          <w:p w14:paraId="08905A72" w14:textId="1C102147" w:rsidR="00931DBE" w:rsidRPr="005F4560" w:rsidRDefault="00931DBE" w:rsidP="00931DBE">
            <w:pPr>
              <w:spacing w:before="0" w:after="0"/>
            </w:pPr>
            <w:r w:rsidRPr="005F4560">
              <w:t>N=20 (17 female, 3 male) with IGB + 1,000 kcal diet, Mean BMI = 31.5 kg/m2 (range 28–39), Mean age = 40 years (range 28–52); Co-morbidities: Orthopaedic (65%), diabetes mellitus (5%), hypertensive (10%), hyperlipidaemia (15%), respiratory problems (20%).</w:t>
            </w:r>
          </w:p>
          <w:p w14:paraId="24EA8455" w14:textId="62090190" w:rsidR="00931DBE" w:rsidRPr="005F4560" w:rsidRDefault="00931DBE" w:rsidP="00931DBE">
            <w:pPr>
              <w:spacing w:before="0" w:after="0"/>
            </w:pPr>
            <w:r w:rsidRPr="005F4560">
              <w:t xml:space="preserve">Treatment difference results at up to 1 year:  </w:t>
            </w:r>
          </w:p>
          <w:p w14:paraId="53E37E34" w14:textId="0E8DDEF0" w:rsidR="00931DBE" w:rsidRPr="005F4560" w:rsidRDefault="00931DBE" w:rsidP="00931DBE">
            <w:pPr>
              <w:spacing w:before="0" w:after="0"/>
            </w:pPr>
            <w:r w:rsidRPr="005F4560">
              <w:t>Maximum mean weight loss = 5.9 kg (p&lt;0.0001 vs baseline), Mean weight loss = 4.4 kg at 6 months (p&lt;0.001), Mean weight loss = 1.5 kg after 1 year (p&gt;0.05)</w:t>
            </w:r>
          </w:p>
        </w:tc>
        <w:tc>
          <w:tcPr>
            <w:tcW w:w="867" w:type="pct"/>
          </w:tcPr>
          <w:p w14:paraId="596D7C1D" w14:textId="35E3CB8A" w:rsidR="00931DBE" w:rsidRPr="005F4560" w:rsidRDefault="009878BB" w:rsidP="00931DBE">
            <w:pPr>
              <w:spacing w:before="0" w:after="0"/>
            </w:pPr>
            <w:hyperlink r:id="rId21" w:tooltip="Ganesh" w:history="1">
              <w:r w:rsidR="00931DBE" w:rsidRPr="00943BEC">
                <w:rPr>
                  <w:rStyle w:val="Hyperlink"/>
                  <w:color w:val="auto"/>
                  <w:highlight w:val="yellow"/>
                </w:rPr>
                <w:t>https://www.ncbi.nlm.nih.gov/pubmed/?cmd=HistorySearch&amp;querykey=14</w:t>
              </w:r>
            </w:hyperlink>
            <w:r w:rsidR="00931DBE" w:rsidRPr="005F4560">
              <w:t xml:space="preserve"> </w:t>
            </w:r>
          </w:p>
        </w:tc>
        <w:tc>
          <w:tcPr>
            <w:tcW w:w="491" w:type="pct"/>
          </w:tcPr>
          <w:p w14:paraId="583F3B9A" w14:textId="010384DC" w:rsidR="00931DBE" w:rsidRPr="005F4560" w:rsidRDefault="00931DBE" w:rsidP="00931DBE">
            <w:pPr>
              <w:spacing w:before="0" w:after="0"/>
            </w:pPr>
            <w:r w:rsidRPr="005F4560">
              <w:t>2007</w:t>
            </w:r>
          </w:p>
        </w:tc>
      </w:tr>
      <w:tr w:rsidR="00931DBE" w:rsidRPr="005F4560" w14:paraId="18346AFA" w14:textId="77777777" w:rsidTr="00931DBE">
        <w:trPr>
          <w:cantSplit/>
        </w:trPr>
        <w:tc>
          <w:tcPr>
            <w:tcW w:w="180" w:type="pct"/>
          </w:tcPr>
          <w:p w14:paraId="05BBE8EC" w14:textId="4EA7E785" w:rsidR="00931DBE" w:rsidRPr="005F4560" w:rsidRDefault="00931DBE" w:rsidP="00931DBE">
            <w:pPr>
              <w:spacing w:before="0" w:after="0"/>
              <w:rPr>
                <w:szCs w:val="20"/>
              </w:rPr>
            </w:pPr>
            <w:r w:rsidRPr="005F4560">
              <w:rPr>
                <w:szCs w:val="20"/>
              </w:rPr>
              <w:t>8</w:t>
            </w:r>
          </w:p>
        </w:tc>
        <w:tc>
          <w:tcPr>
            <w:tcW w:w="538" w:type="pct"/>
          </w:tcPr>
          <w:p w14:paraId="08B5C718" w14:textId="77777777" w:rsidR="00931DBE" w:rsidRPr="005F4560" w:rsidRDefault="00931DBE" w:rsidP="00931DBE">
            <w:pPr>
              <w:spacing w:before="0" w:after="0"/>
              <w:rPr>
                <w:szCs w:val="20"/>
              </w:rPr>
            </w:pPr>
            <w:r w:rsidRPr="005F4560">
              <w:t xml:space="preserve">Prospective cohort, </w:t>
            </w:r>
            <w:r w:rsidRPr="005F4560">
              <w:rPr>
                <w:szCs w:val="20"/>
              </w:rPr>
              <w:t>pre-test vs. post-test comparison</w:t>
            </w:r>
          </w:p>
          <w:p w14:paraId="14E36A4C" w14:textId="09B9033F" w:rsidR="00931DBE" w:rsidRPr="005F4560" w:rsidRDefault="00931DBE" w:rsidP="00931DBE">
            <w:pPr>
              <w:spacing w:before="0" w:after="0"/>
              <w:rPr>
                <w:highlight w:val="green"/>
              </w:rPr>
            </w:pPr>
            <w:r w:rsidRPr="005F4560">
              <w:rPr>
                <w:szCs w:val="20"/>
              </w:rPr>
              <w:t>Abstract report only, limited data provided.</w:t>
            </w:r>
          </w:p>
        </w:tc>
        <w:tc>
          <w:tcPr>
            <w:tcW w:w="878" w:type="pct"/>
          </w:tcPr>
          <w:p w14:paraId="7371A0CD" w14:textId="77777777" w:rsidR="00931DBE" w:rsidRPr="005F4560" w:rsidRDefault="00931DBE" w:rsidP="00931DBE">
            <w:pPr>
              <w:spacing w:before="0" w:after="0"/>
              <w:rPr>
                <w:szCs w:val="20"/>
              </w:rPr>
            </w:pPr>
            <w:proofErr w:type="spellStart"/>
            <w:r w:rsidRPr="005F4560">
              <w:rPr>
                <w:szCs w:val="20"/>
              </w:rPr>
              <w:t>Iordache</w:t>
            </w:r>
            <w:proofErr w:type="spellEnd"/>
            <w:r w:rsidRPr="005F4560">
              <w:rPr>
                <w:szCs w:val="20"/>
              </w:rPr>
              <w:t>, N. (2005). '</w:t>
            </w:r>
            <w:proofErr w:type="spellStart"/>
            <w:r w:rsidRPr="005F4560">
              <w:rPr>
                <w:szCs w:val="20"/>
              </w:rPr>
              <w:t>Intragastric</w:t>
            </w:r>
            <w:proofErr w:type="spellEnd"/>
            <w:r w:rsidRPr="005F4560">
              <w:rPr>
                <w:szCs w:val="20"/>
              </w:rPr>
              <w:t xml:space="preserve"> balloon </w:t>
            </w:r>
            <w:proofErr w:type="spellStart"/>
            <w:r w:rsidRPr="005F4560">
              <w:rPr>
                <w:szCs w:val="20"/>
              </w:rPr>
              <w:t>endoscopically</w:t>
            </w:r>
            <w:proofErr w:type="spellEnd"/>
            <w:r w:rsidRPr="005F4560">
              <w:rPr>
                <w:szCs w:val="20"/>
              </w:rPr>
              <w:t xml:space="preserve"> assisted treatment for obesity.</w:t>
            </w:r>
          </w:p>
          <w:p w14:paraId="6932C557" w14:textId="77777777" w:rsidR="00931DBE" w:rsidRPr="005F4560" w:rsidRDefault="00931DBE" w:rsidP="00931DBE">
            <w:pPr>
              <w:spacing w:before="0" w:after="0"/>
              <w:rPr>
                <w:szCs w:val="20"/>
              </w:rPr>
            </w:pPr>
            <w:r w:rsidRPr="005F4560">
              <w:rPr>
                <w:szCs w:val="20"/>
              </w:rPr>
              <w:t>Personal experience', Archives of the Balkan Medical Union, 40 (2), 73–75.</w:t>
            </w:r>
          </w:p>
        </w:tc>
        <w:tc>
          <w:tcPr>
            <w:tcW w:w="234" w:type="pct"/>
          </w:tcPr>
          <w:p w14:paraId="5BC997F6" w14:textId="77777777" w:rsidR="00931DBE" w:rsidRPr="005F4560" w:rsidRDefault="00931DBE" w:rsidP="00931DBE">
            <w:pPr>
              <w:spacing w:before="0" w:after="0"/>
            </w:pPr>
            <w:r w:rsidRPr="005F4560">
              <w:t>X</w:t>
            </w:r>
          </w:p>
        </w:tc>
        <w:tc>
          <w:tcPr>
            <w:tcW w:w="268" w:type="pct"/>
          </w:tcPr>
          <w:p w14:paraId="5FD78DC9" w14:textId="17AA770C" w:rsidR="00931DBE" w:rsidRPr="005F4560" w:rsidRDefault="000936EC" w:rsidP="00931DBE">
            <w:pPr>
              <w:spacing w:before="0" w:after="0"/>
            </w:pPr>
            <w:r>
              <w:t>-</w:t>
            </w:r>
          </w:p>
        </w:tc>
        <w:tc>
          <w:tcPr>
            <w:tcW w:w="225" w:type="pct"/>
          </w:tcPr>
          <w:p w14:paraId="6B67348E" w14:textId="5402666C" w:rsidR="00931DBE" w:rsidRPr="005F4560" w:rsidRDefault="000936EC" w:rsidP="00931DBE">
            <w:pPr>
              <w:spacing w:before="0" w:after="0"/>
            </w:pPr>
            <w:r>
              <w:t>-</w:t>
            </w:r>
          </w:p>
        </w:tc>
        <w:tc>
          <w:tcPr>
            <w:tcW w:w="1318" w:type="pct"/>
          </w:tcPr>
          <w:p w14:paraId="715811EF" w14:textId="77777777" w:rsidR="00931DBE" w:rsidRPr="005F4560" w:rsidRDefault="00931DBE" w:rsidP="00931DBE">
            <w:pPr>
              <w:spacing w:before="0" w:after="0"/>
              <w:rPr>
                <w:szCs w:val="20"/>
              </w:rPr>
            </w:pPr>
            <w:r w:rsidRPr="005F4560">
              <w:t xml:space="preserve">N=54 with IGB. Mean BMI at baseline 32 </w:t>
            </w:r>
            <w:r w:rsidRPr="005F4560">
              <w:sym w:font="Symbol" w:char="F0B1"/>
            </w:r>
            <w:r w:rsidRPr="005F4560">
              <w:t xml:space="preserve"> 4.5 </w:t>
            </w:r>
            <w:r w:rsidRPr="005F4560">
              <w:rPr>
                <w:szCs w:val="20"/>
              </w:rPr>
              <w:t>kg/m</w:t>
            </w:r>
            <w:r w:rsidRPr="005F4560">
              <w:rPr>
                <w:szCs w:val="20"/>
                <w:vertAlign w:val="superscript"/>
              </w:rPr>
              <w:t xml:space="preserve">2 </w:t>
            </w:r>
            <w:r w:rsidRPr="005F4560">
              <w:rPr>
                <w:szCs w:val="20"/>
              </w:rPr>
              <w:t>(range 30-43). Comorbidities NR.</w:t>
            </w:r>
          </w:p>
          <w:p w14:paraId="5AB502D2" w14:textId="77777777" w:rsidR="00931DBE" w:rsidRPr="005F4560" w:rsidRDefault="00931DBE" w:rsidP="00931DBE">
            <w:pPr>
              <w:spacing w:before="0" w:after="0"/>
              <w:rPr>
                <w:szCs w:val="20"/>
              </w:rPr>
            </w:pPr>
            <w:r w:rsidRPr="005F4560">
              <w:rPr>
                <w:szCs w:val="20"/>
              </w:rPr>
              <w:t xml:space="preserve">Results: Mean BMI at 6mths 28.8 </w:t>
            </w:r>
            <w:r w:rsidRPr="005F4560">
              <w:sym w:font="Symbol" w:char="F0B1"/>
            </w:r>
            <w:r w:rsidRPr="005F4560">
              <w:t xml:space="preserve"> 4.7 </w:t>
            </w:r>
            <w:r w:rsidRPr="005F4560">
              <w:rPr>
                <w:szCs w:val="20"/>
              </w:rPr>
              <w:t>kg/m</w:t>
            </w:r>
            <w:r w:rsidRPr="005F4560">
              <w:rPr>
                <w:szCs w:val="20"/>
                <w:vertAlign w:val="superscript"/>
              </w:rPr>
              <w:t>2</w:t>
            </w:r>
            <w:r w:rsidRPr="005F4560">
              <w:rPr>
                <w:szCs w:val="20"/>
              </w:rPr>
              <w:t>. Patients with diabetes and arterial hypertension presented normal values after treatment. Mean BMI reduction =</w:t>
            </w:r>
          </w:p>
          <w:p w14:paraId="6D3A1C03" w14:textId="77777777" w:rsidR="00931DBE" w:rsidRPr="005F4560" w:rsidRDefault="00931DBE" w:rsidP="00931DBE">
            <w:pPr>
              <w:spacing w:before="0" w:after="0"/>
            </w:pPr>
            <w:r w:rsidRPr="005F4560">
              <w:rPr>
                <w:szCs w:val="20"/>
              </w:rPr>
              <w:t>3.2 kg/m2 (p&lt;0.05)</w:t>
            </w:r>
          </w:p>
        </w:tc>
        <w:tc>
          <w:tcPr>
            <w:tcW w:w="867" w:type="pct"/>
          </w:tcPr>
          <w:p w14:paraId="6951843E" w14:textId="7C975CE6" w:rsidR="00931DBE" w:rsidRPr="005F4560" w:rsidRDefault="009878BB" w:rsidP="00931DBE">
            <w:pPr>
              <w:spacing w:before="0" w:after="0"/>
            </w:pPr>
            <w:hyperlink r:id="rId22" w:tooltip="Iordache" w:history="1">
              <w:r w:rsidR="00931DBE" w:rsidRPr="00943BEC">
                <w:rPr>
                  <w:rStyle w:val="Hyperlink"/>
                  <w:color w:val="auto"/>
                  <w:highlight w:val="yellow"/>
                </w:rPr>
                <w:t>http://www.balkanmedicalunion.com/en/current-issue/</w:t>
              </w:r>
            </w:hyperlink>
            <w:r w:rsidR="00931DBE" w:rsidRPr="005F4560">
              <w:t xml:space="preserve"> </w:t>
            </w:r>
          </w:p>
        </w:tc>
        <w:tc>
          <w:tcPr>
            <w:tcW w:w="491" w:type="pct"/>
          </w:tcPr>
          <w:p w14:paraId="774B20C0" w14:textId="77777777" w:rsidR="00931DBE" w:rsidRPr="005F4560" w:rsidRDefault="00931DBE" w:rsidP="00931DBE">
            <w:pPr>
              <w:spacing w:before="0" w:after="0"/>
            </w:pPr>
            <w:r w:rsidRPr="005F4560">
              <w:t>2005</w:t>
            </w:r>
          </w:p>
        </w:tc>
      </w:tr>
      <w:tr w:rsidR="00931DBE" w:rsidRPr="005F4560" w14:paraId="2B96FC90" w14:textId="77777777" w:rsidTr="00931DBE">
        <w:trPr>
          <w:cantSplit/>
        </w:trPr>
        <w:tc>
          <w:tcPr>
            <w:tcW w:w="180" w:type="pct"/>
          </w:tcPr>
          <w:p w14:paraId="43D7AB2B" w14:textId="23E947EB" w:rsidR="00931DBE" w:rsidRPr="005F4560" w:rsidRDefault="00931DBE" w:rsidP="00931DBE">
            <w:pPr>
              <w:spacing w:before="0" w:after="0"/>
              <w:rPr>
                <w:szCs w:val="20"/>
              </w:rPr>
            </w:pPr>
            <w:r w:rsidRPr="005F4560">
              <w:rPr>
                <w:szCs w:val="20"/>
              </w:rPr>
              <w:t>9</w:t>
            </w:r>
          </w:p>
        </w:tc>
        <w:tc>
          <w:tcPr>
            <w:tcW w:w="538" w:type="pct"/>
          </w:tcPr>
          <w:p w14:paraId="43CE6BCF" w14:textId="77777777" w:rsidR="00931DBE" w:rsidRPr="005F4560" w:rsidRDefault="00931DBE" w:rsidP="00931DBE">
            <w:pPr>
              <w:spacing w:before="0" w:after="0"/>
            </w:pPr>
            <w:r w:rsidRPr="005F4560">
              <w:t xml:space="preserve">Prospective cohort, </w:t>
            </w:r>
            <w:r w:rsidRPr="005F4560">
              <w:rPr>
                <w:szCs w:val="20"/>
              </w:rPr>
              <w:t>pre-test vs. post-test comparison</w:t>
            </w:r>
          </w:p>
        </w:tc>
        <w:tc>
          <w:tcPr>
            <w:tcW w:w="878" w:type="pct"/>
          </w:tcPr>
          <w:p w14:paraId="610AC036" w14:textId="77777777" w:rsidR="00931DBE" w:rsidRPr="005F4560" w:rsidRDefault="00931DBE" w:rsidP="00931DBE">
            <w:pPr>
              <w:spacing w:before="0" w:after="0"/>
              <w:rPr>
                <w:szCs w:val="20"/>
              </w:rPr>
            </w:pPr>
            <w:bookmarkStart w:id="6" w:name="_Hlk488157592"/>
            <w:proofErr w:type="spellStart"/>
            <w:r w:rsidRPr="005F4560">
              <w:rPr>
                <w:szCs w:val="20"/>
              </w:rPr>
              <w:t>Mion</w:t>
            </w:r>
            <w:proofErr w:type="spellEnd"/>
            <w:r w:rsidRPr="005F4560">
              <w:rPr>
                <w:szCs w:val="20"/>
              </w:rPr>
              <w:t xml:space="preserve">, F., Napoleon, B. et al (2005). 'Effects of </w:t>
            </w:r>
            <w:proofErr w:type="spellStart"/>
            <w:r w:rsidRPr="005F4560">
              <w:rPr>
                <w:szCs w:val="20"/>
              </w:rPr>
              <w:t>intragastric</w:t>
            </w:r>
            <w:proofErr w:type="spellEnd"/>
            <w:r w:rsidRPr="005F4560">
              <w:rPr>
                <w:szCs w:val="20"/>
              </w:rPr>
              <w:t xml:space="preserve"> balloon on gastric emptying</w:t>
            </w:r>
          </w:p>
          <w:p w14:paraId="747CB38D" w14:textId="77777777" w:rsidR="00931DBE" w:rsidRPr="005F4560" w:rsidRDefault="00931DBE" w:rsidP="00931DBE">
            <w:pPr>
              <w:spacing w:before="0" w:after="0"/>
              <w:rPr>
                <w:szCs w:val="20"/>
              </w:rPr>
            </w:pPr>
            <w:proofErr w:type="gramStart"/>
            <w:r w:rsidRPr="005F4560">
              <w:rPr>
                <w:szCs w:val="20"/>
              </w:rPr>
              <w:t>and</w:t>
            </w:r>
            <w:proofErr w:type="gramEnd"/>
            <w:r w:rsidRPr="005F4560">
              <w:rPr>
                <w:szCs w:val="20"/>
              </w:rPr>
              <w:t xml:space="preserve"> plasma ghrelin levels in non-morbid obese patients', Obesity Surgery, 15 (4), 510–516.</w:t>
            </w:r>
            <w:bookmarkEnd w:id="6"/>
          </w:p>
        </w:tc>
        <w:tc>
          <w:tcPr>
            <w:tcW w:w="234" w:type="pct"/>
          </w:tcPr>
          <w:p w14:paraId="6F01238D" w14:textId="77777777" w:rsidR="00931DBE" w:rsidRPr="005F4560" w:rsidRDefault="00931DBE" w:rsidP="00931DBE">
            <w:pPr>
              <w:spacing w:before="0" w:after="0"/>
            </w:pPr>
            <w:r w:rsidRPr="005F4560">
              <w:t>X</w:t>
            </w:r>
          </w:p>
        </w:tc>
        <w:tc>
          <w:tcPr>
            <w:tcW w:w="268" w:type="pct"/>
          </w:tcPr>
          <w:p w14:paraId="19BDD7D4" w14:textId="77777777" w:rsidR="00931DBE" w:rsidRPr="005F4560" w:rsidRDefault="00931DBE" w:rsidP="00931DBE">
            <w:pPr>
              <w:spacing w:before="0" w:after="0"/>
            </w:pPr>
            <w:r w:rsidRPr="005F4560">
              <w:t>X</w:t>
            </w:r>
          </w:p>
        </w:tc>
        <w:tc>
          <w:tcPr>
            <w:tcW w:w="225" w:type="pct"/>
          </w:tcPr>
          <w:p w14:paraId="230DA062" w14:textId="7451B3F9" w:rsidR="00931DBE" w:rsidRPr="005F4560" w:rsidRDefault="000936EC" w:rsidP="00931DBE">
            <w:pPr>
              <w:spacing w:before="0" w:after="0"/>
            </w:pPr>
            <w:r>
              <w:t>-</w:t>
            </w:r>
          </w:p>
        </w:tc>
        <w:tc>
          <w:tcPr>
            <w:tcW w:w="1318" w:type="pct"/>
          </w:tcPr>
          <w:p w14:paraId="5CCE8433" w14:textId="5FE952F0" w:rsidR="00931DBE" w:rsidRPr="005F4560" w:rsidRDefault="00931DBE" w:rsidP="00931DBE">
            <w:pPr>
              <w:spacing w:before="0" w:after="0"/>
            </w:pPr>
            <w:r w:rsidRPr="005F4560">
              <w:t xml:space="preserve">N=17 with IGB insertion plus 1,300 kcal diet, Mean BMI 34.4 </w:t>
            </w:r>
            <w:r w:rsidRPr="005F4560">
              <w:rPr>
                <w:szCs w:val="20"/>
              </w:rPr>
              <w:t>kg/m</w:t>
            </w:r>
            <w:r w:rsidRPr="005F4560">
              <w:rPr>
                <w:szCs w:val="20"/>
                <w:vertAlign w:val="superscript"/>
              </w:rPr>
              <w:t>2</w:t>
            </w:r>
            <w:r w:rsidRPr="005F4560">
              <w:rPr>
                <w:szCs w:val="20"/>
              </w:rPr>
              <w:t xml:space="preserve">, </w:t>
            </w:r>
            <w:r w:rsidRPr="005F4560">
              <w:t>(range 30.1–40.0), Mean age = 34.9 years.  Co-morbidities NR.</w:t>
            </w:r>
          </w:p>
          <w:p w14:paraId="79B285FF" w14:textId="77777777" w:rsidR="00931DBE" w:rsidRPr="005F4560" w:rsidRDefault="00931DBE" w:rsidP="00931DBE">
            <w:pPr>
              <w:spacing w:before="0" w:after="0"/>
            </w:pPr>
            <w:r w:rsidRPr="005F4560">
              <w:t xml:space="preserve">Results: Mean %WL = 9.4 ± 1.8% at removal/6mth p&lt;0.0001 [95% CI 8.5, 10.3] vs. baseline mean weight loss = 8.7 ± 1.6 kg (range 0–21) p&lt;0.0001 [95% CI 7.9, 9.5] at 1 month post-IGB removal/7mth, Mean BMI loss = 3.1 ± 0.7 </w:t>
            </w:r>
            <w:r w:rsidRPr="005F4560">
              <w:rPr>
                <w:szCs w:val="20"/>
              </w:rPr>
              <w:t>kg/m</w:t>
            </w:r>
            <w:r w:rsidRPr="005F4560">
              <w:rPr>
                <w:szCs w:val="20"/>
                <w:vertAlign w:val="superscript"/>
              </w:rPr>
              <w:t>2</w:t>
            </w:r>
            <w:r w:rsidRPr="005F4560">
              <w:rPr>
                <w:szCs w:val="20"/>
              </w:rPr>
              <w:t xml:space="preserve"> </w:t>
            </w:r>
            <w:r w:rsidRPr="005F4560">
              <w:t>p&lt;0.0001 [95% CI 2.7, 3.5] at 7mth.</w:t>
            </w:r>
          </w:p>
        </w:tc>
        <w:tc>
          <w:tcPr>
            <w:tcW w:w="867" w:type="pct"/>
          </w:tcPr>
          <w:p w14:paraId="2D58DB58" w14:textId="5ED620B2" w:rsidR="00931DBE" w:rsidRPr="00943BEC" w:rsidRDefault="00943BEC" w:rsidP="00931DBE">
            <w:pPr>
              <w:spacing w:before="0" w:after="0"/>
              <w:rPr>
                <w:rStyle w:val="Hyperlink"/>
              </w:rPr>
            </w:pPr>
            <w:r>
              <w:fldChar w:fldCharType="begin"/>
            </w:r>
            <w:r>
              <w:instrText xml:space="preserve"> HYPERLINK "https://www.ncbi.nlm.nih.gov/pubmed/15946431" \o "Mion" </w:instrText>
            </w:r>
            <w:r>
              <w:fldChar w:fldCharType="separate"/>
            </w:r>
            <w:r w:rsidRPr="00943BEC">
              <w:rPr>
                <w:rStyle w:val="Hyperlink"/>
              </w:rPr>
              <w:t>https://www.ncbi.nlm.nih.gov/pubmed/15946431</w:t>
            </w:r>
          </w:p>
          <w:p w14:paraId="50CB6FF0" w14:textId="627BF065" w:rsidR="00943BEC" w:rsidRPr="005F4560" w:rsidRDefault="00943BEC" w:rsidP="00931DBE">
            <w:pPr>
              <w:spacing w:before="0" w:after="0"/>
            </w:pPr>
            <w:r>
              <w:fldChar w:fldCharType="end"/>
            </w:r>
          </w:p>
        </w:tc>
        <w:tc>
          <w:tcPr>
            <w:tcW w:w="491" w:type="pct"/>
          </w:tcPr>
          <w:p w14:paraId="27921E09" w14:textId="77777777" w:rsidR="00931DBE" w:rsidRPr="005F4560" w:rsidRDefault="00931DBE" w:rsidP="00931DBE">
            <w:pPr>
              <w:spacing w:before="0" w:after="0"/>
            </w:pPr>
            <w:r w:rsidRPr="005F4560">
              <w:t>2005</w:t>
            </w:r>
          </w:p>
        </w:tc>
      </w:tr>
      <w:tr w:rsidR="00931DBE" w:rsidRPr="005F4560" w14:paraId="0BF3F790" w14:textId="77777777" w:rsidTr="00931DBE">
        <w:trPr>
          <w:cantSplit/>
        </w:trPr>
        <w:tc>
          <w:tcPr>
            <w:tcW w:w="180" w:type="pct"/>
          </w:tcPr>
          <w:p w14:paraId="5E082BAB" w14:textId="27ACA124" w:rsidR="00931DBE" w:rsidRPr="005F4560" w:rsidRDefault="00931DBE" w:rsidP="00931DBE">
            <w:pPr>
              <w:spacing w:before="0" w:after="0"/>
              <w:rPr>
                <w:szCs w:val="20"/>
              </w:rPr>
            </w:pPr>
            <w:r w:rsidRPr="005F4560">
              <w:rPr>
                <w:szCs w:val="20"/>
              </w:rPr>
              <w:lastRenderedPageBreak/>
              <w:t>10</w:t>
            </w:r>
          </w:p>
        </w:tc>
        <w:tc>
          <w:tcPr>
            <w:tcW w:w="538" w:type="pct"/>
          </w:tcPr>
          <w:p w14:paraId="7A802E89" w14:textId="77777777" w:rsidR="00931DBE" w:rsidRPr="005F4560" w:rsidRDefault="00931DBE" w:rsidP="00931DBE">
            <w:pPr>
              <w:spacing w:before="0" w:after="0"/>
            </w:pPr>
            <w:r w:rsidRPr="005F4560">
              <w:t xml:space="preserve">Prospective cohort, </w:t>
            </w:r>
            <w:r w:rsidRPr="005F4560">
              <w:rPr>
                <w:szCs w:val="20"/>
              </w:rPr>
              <w:t>pre-test vs. post-test comparison</w:t>
            </w:r>
          </w:p>
        </w:tc>
        <w:tc>
          <w:tcPr>
            <w:tcW w:w="878" w:type="pct"/>
          </w:tcPr>
          <w:p w14:paraId="228641CC" w14:textId="77777777" w:rsidR="00931DBE" w:rsidRPr="005F4560" w:rsidRDefault="00931DBE" w:rsidP="00931DBE">
            <w:pPr>
              <w:spacing w:before="0" w:after="0"/>
              <w:rPr>
                <w:szCs w:val="20"/>
              </w:rPr>
            </w:pPr>
            <w:r w:rsidRPr="005F4560">
              <w:rPr>
                <w:szCs w:val="20"/>
              </w:rPr>
              <w:t xml:space="preserve">Tai, C.M., Lin, H.Y., et al. (2013). "Effectiveness of </w:t>
            </w:r>
            <w:proofErr w:type="spellStart"/>
            <w:r w:rsidRPr="005F4560">
              <w:rPr>
                <w:szCs w:val="20"/>
              </w:rPr>
              <w:t>intragastric</w:t>
            </w:r>
            <w:proofErr w:type="spellEnd"/>
            <w:r w:rsidRPr="005F4560">
              <w:rPr>
                <w:szCs w:val="20"/>
              </w:rPr>
              <w:t xml:space="preserve"> balloon treatment for obese patients: One-year follow-up after balloon removal." </w:t>
            </w:r>
            <w:proofErr w:type="spellStart"/>
            <w:r w:rsidRPr="005F4560">
              <w:rPr>
                <w:szCs w:val="20"/>
              </w:rPr>
              <w:t>Obes</w:t>
            </w:r>
            <w:proofErr w:type="spellEnd"/>
            <w:r w:rsidRPr="005F4560">
              <w:rPr>
                <w:szCs w:val="20"/>
              </w:rPr>
              <w:t xml:space="preserve"> </w:t>
            </w:r>
            <w:proofErr w:type="spellStart"/>
            <w:r w:rsidRPr="005F4560">
              <w:rPr>
                <w:szCs w:val="20"/>
              </w:rPr>
              <w:t>Surg</w:t>
            </w:r>
            <w:proofErr w:type="spellEnd"/>
            <w:r w:rsidRPr="005F4560">
              <w:rPr>
                <w:szCs w:val="20"/>
              </w:rPr>
              <w:t xml:space="preserve"> 23(12): 2068-2074.</w:t>
            </w:r>
          </w:p>
        </w:tc>
        <w:tc>
          <w:tcPr>
            <w:tcW w:w="234" w:type="pct"/>
          </w:tcPr>
          <w:p w14:paraId="1396E4B0" w14:textId="77777777" w:rsidR="00931DBE" w:rsidRPr="005F4560" w:rsidRDefault="00931DBE" w:rsidP="00931DBE">
            <w:pPr>
              <w:spacing w:before="0" w:after="0"/>
            </w:pPr>
            <w:r w:rsidRPr="005F4560">
              <w:t>X</w:t>
            </w:r>
          </w:p>
        </w:tc>
        <w:tc>
          <w:tcPr>
            <w:tcW w:w="268" w:type="pct"/>
          </w:tcPr>
          <w:p w14:paraId="1ECFE28C" w14:textId="77777777" w:rsidR="00931DBE" w:rsidRPr="005F4560" w:rsidRDefault="00931DBE" w:rsidP="00931DBE">
            <w:pPr>
              <w:spacing w:before="0" w:after="0"/>
            </w:pPr>
            <w:r w:rsidRPr="005F4560">
              <w:t>X</w:t>
            </w:r>
          </w:p>
        </w:tc>
        <w:tc>
          <w:tcPr>
            <w:tcW w:w="225" w:type="pct"/>
          </w:tcPr>
          <w:p w14:paraId="2832C796" w14:textId="2356F775" w:rsidR="00931DBE" w:rsidRPr="005F4560" w:rsidRDefault="000936EC" w:rsidP="00931DBE">
            <w:pPr>
              <w:spacing w:before="0" w:after="0"/>
            </w:pPr>
            <w:r>
              <w:t>-</w:t>
            </w:r>
          </w:p>
        </w:tc>
        <w:tc>
          <w:tcPr>
            <w:tcW w:w="1318" w:type="pct"/>
          </w:tcPr>
          <w:p w14:paraId="3F1F9E35" w14:textId="1974168F" w:rsidR="00931DBE" w:rsidRPr="005F4560" w:rsidRDefault="00931DBE" w:rsidP="00931DBE">
            <w:pPr>
              <w:spacing w:before="0" w:after="0"/>
            </w:pPr>
            <w:r w:rsidRPr="005F4560">
              <w:t xml:space="preserve">N=28 compared the effectiveness of IGB + 800-1200 kcal/day diet. Mean BMI 32.4 </w:t>
            </w:r>
            <w:r w:rsidRPr="005F4560">
              <w:sym w:font="Symbol" w:char="F0B1"/>
            </w:r>
            <w:r w:rsidRPr="005F4560">
              <w:t xml:space="preserve"> 3.7 </w:t>
            </w:r>
            <w:r w:rsidRPr="005F4560">
              <w:rPr>
                <w:szCs w:val="20"/>
              </w:rPr>
              <w:t>kg/m</w:t>
            </w:r>
            <w:r w:rsidRPr="005F4560">
              <w:rPr>
                <w:szCs w:val="20"/>
                <w:vertAlign w:val="superscript"/>
              </w:rPr>
              <w:t>2</w:t>
            </w:r>
            <w:r w:rsidRPr="005F4560">
              <w:rPr>
                <w:szCs w:val="20"/>
              </w:rPr>
              <w:t xml:space="preserve"> (range 27-40.9), median age 31.5 </w:t>
            </w:r>
            <w:proofErr w:type="spellStart"/>
            <w:r w:rsidRPr="005F4560">
              <w:rPr>
                <w:szCs w:val="20"/>
              </w:rPr>
              <w:t>yr</w:t>
            </w:r>
            <w:proofErr w:type="spellEnd"/>
            <w:r w:rsidRPr="005F4560">
              <w:rPr>
                <w:szCs w:val="20"/>
              </w:rPr>
              <w:t xml:space="preserve"> (range 20-55). Comorbidities: 64% had metabolic syndrome.</w:t>
            </w:r>
          </w:p>
          <w:p w14:paraId="3440618D" w14:textId="77777777" w:rsidR="00931DBE" w:rsidRPr="005F4560" w:rsidRDefault="00931DBE" w:rsidP="00931DBE">
            <w:pPr>
              <w:spacing w:before="0" w:after="0"/>
            </w:pPr>
            <w:r w:rsidRPr="005F4560">
              <w:t xml:space="preserve">Results: The BMI significantly fell from 32.4±3.7 to 28.5±3.7 kg/m2 (P&lt;0.01) at 6mth. All The median value of %EWL of all patients at BIB removal was 40.1. The incidence of metabolic syndrome decreased from 56.3 to 31.3 % in patients with BMI &lt;32 and 75.0 to 33.3 % in patients with BMI </w:t>
            </w:r>
            <w:r w:rsidRPr="005F4560">
              <w:rPr>
                <w:rFonts w:ascii="Cambria Math" w:hAnsi="Cambria Math" w:cs="Cambria Math"/>
              </w:rPr>
              <w:t>≥</w:t>
            </w:r>
            <w:r w:rsidRPr="005F4560">
              <w:t>32 after IGB.</w:t>
            </w:r>
          </w:p>
          <w:p w14:paraId="3B05337E" w14:textId="06EDACD4" w:rsidR="00931DBE" w:rsidRPr="005F4560" w:rsidRDefault="00931DBE" w:rsidP="00931DBE">
            <w:pPr>
              <w:spacing w:before="0" w:after="0"/>
            </w:pPr>
            <w:r w:rsidRPr="005F4560">
              <w:t>Compares BMI 27-32 with BMI&gt;32-40</w:t>
            </w:r>
          </w:p>
        </w:tc>
        <w:tc>
          <w:tcPr>
            <w:tcW w:w="867" w:type="pct"/>
          </w:tcPr>
          <w:p w14:paraId="51953340" w14:textId="64E09038" w:rsidR="00931DBE" w:rsidRPr="005F4560" w:rsidRDefault="009878BB" w:rsidP="00931DBE">
            <w:pPr>
              <w:spacing w:before="0" w:after="0"/>
            </w:pPr>
            <w:hyperlink r:id="rId23" w:tooltip="Tai" w:history="1">
              <w:r w:rsidR="00931DBE" w:rsidRPr="005F4560">
                <w:rPr>
                  <w:rStyle w:val="Hyperlink"/>
                  <w:color w:val="auto"/>
                </w:rPr>
                <w:t>https://www.ncbi.nlm.nih.gov/pubmed/23832520</w:t>
              </w:r>
            </w:hyperlink>
            <w:r w:rsidR="00931DBE" w:rsidRPr="005F4560">
              <w:t xml:space="preserve"> </w:t>
            </w:r>
          </w:p>
        </w:tc>
        <w:tc>
          <w:tcPr>
            <w:tcW w:w="491" w:type="pct"/>
          </w:tcPr>
          <w:p w14:paraId="63DC0D38" w14:textId="77777777" w:rsidR="00931DBE" w:rsidRPr="005F4560" w:rsidRDefault="00931DBE" w:rsidP="00931DBE">
            <w:pPr>
              <w:spacing w:before="0" w:after="0"/>
            </w:pPr>
            <w:r w:rsidRPr="005F4560">
              <w:t>2013</w:t>
            </w:r>
          </w:p>
        </w:tc>
      </w:tr>
      <w:tr w:rsidR="00931DBE" w:rsidRPr="005F4560" w14:paraId="294531B7" w14:textId="77777777" w:rsidTr="00931DBE">
        <w:trPr>
          <w:cantSplit/>
        </w:trPr>
        <w:tc>
          <w:tcPr>
            <w:tcW w:w="180" w:type="pct"/>
          </w:tcPr>
          <w:p w14:paraId="4C1D7E1A" w14:textId="12F0D0E5" w:rsidR="00931DBE" w:rsidRPr="005F4560" w:rsidRDefault="00931DBE" w:rsidP="00931DBE">
            <w:pPr>
              <w:spacing w:before="0" w:after="0"/>
              <w:rPr>
                <w:szCs w:val="20"/>
              </w:rPr>
            </w:pPr>
            <w:r w:rsidRPr="005F4560">
              <w:rPr>
                <w:szCs w:val="20"/>
              </w:rPr>
              <w:t>11</w:t>
            </w:r>
          </w:p>
        </w:tc>
        <w:tc>
          <w:tcPr>
            <w:tcW w:w="538" w:type="pct"/>
          </w:tcPr>
          <w:p w14:paraId="227B7CAB" w14:textId="3713E5A2" w:rsidR="00931DBE" w:rsidRPr="005F4560" w:rsidRDefault="00014D07" w:rsidP="00931DBE">
            <w:pPr>
              <w:spacing w:before="0" w:after="0"/>
            </w:pPr>
            <w:r>
              <w:rPr>
                <w:rFonts w:ascii="Calibri" w:eastAsia="Times New Roman" w:hAnsi="Calibri" w:cs="Calibri"/>
                <w:szCs w:val="20"/>
                <w:lang w:eastAsia="en-AU"/>
              </w:rPr>
              <w:t>email</w:t>
            </w:r>
            <w:r w:rsidR="00931DBE" w:rsidRPr="005F4560">
              <w:rPr>
                <w:rFonts w:ascii="Calibri" w:eastAsia="Times New Roman" w:hAnsi="Calibri" w:cs="Calibri"/>
                <w:szCs w:val="20"/>
                <w:lang w:eastAsia="en-AU"/>
              </w:rPr>
              <w:t xml:space="preserve"> Survey</w:t>
            </w:r>
          </w:p>
        </w:tc>
        <w:tc>
          <w:tcPr>
            <w:tcW w:w="878" w:type="pct"/>
          </w:tcPr>
          <w:p w14:paraId="766A8210" w14:textId="61A5F6FC" w:rsidR="00931DBE" w:rsidRPr="005F4560" w:rsidRDefault="00931DBE" w:rsidP="004729F5">
            <w:pPr>
              <w:spacing w:before="0" w:after="0"/>
              <w:rPr>
                <w:szCs w:val="20"/>
              </w:rPr>
            </w:pPr>
            <w:r w:rsidRPr="005F4560">
              <w:rPr>
                <w:rFonts w:ascii="Calibri" w:eastAsia="Times New Roman" w:hAnsi="Calibri" w:cs="Calibri"/>
                <w:szCs w:val="20"/>
                <w:lang w:eastAsia="en-AU"/>
              </w:rPr>
              <w:t xml:space="preserve">Eduardo </w:t>
            </w:r>
            <w:proofErr w:type="spellStart"/>
            <w:r w:rsidRPr="005F4560">
              <w:rPr>
                <w:rFonts w:ascii="Calibri" w:eastAsia="Times New Roman" w:hAnsi="Calibri" w:cs="Calibri"/>
                <w:szCs w:val="20"/>
                <w:lang w:eastAsia="en-AU"/>
              </w:rPr>
              <w:t>Grecco</w:t>
            </w:r>
            <w:proofErr w:type="spellEnd"/>
            <w:r w:rsidRPr="005F4560">
              <w:rPr>
                <w:rFonts w:ascii="Calibri" w:eastAsia="Times New Roman" w:hAnsi="Calibri" w:cs="Calibri"/>
                <w:szCs w:val="20"/>
                <w:lang w:eastAsia="en-AU"/>
              </w:rPr>
              <w:t xml:space="preserve">, Luiz Gustavo de </w:t>
            </w:r>
            <w:proofErr w:type="spellStart"/>
            <w:r w:rsidRPr="005F4560">
              <w:rPr>
                <w:rFonts w:ascii="Calibri" w:eastAsia="Times New Roman" w:hAnsi="Calibri" w:cs="Calibri"/>
                <w:szCs w:val="20"/>
                <w:lang w:eastAsia="en-AU"/>
              </w:rPr>
              <w:t>Quadros</w:t>
            </w:r>
            <w:proofErr w:type="spellEnd"/>
            <w:r w:rsidRPr="005F4560">
              <w:rPr>
                <w:rFonts w:ascii="Calibri" w:eastAsia="Times New Roman" w:hAnsi="Calibri" w:cs="Calibri"/>
                <w:szCs w:val="20"/>
                <w:lang w:eastAsia="en-AU"/>
              </w:rPr>
              <w:t xml:space="preserve">, André </w:t>
            </w:r>
            <w:proofErr w:type="spellStart"/>
            <w:r w:rsidRPr="005F4560">
              <w:rPr>
                <w:rFonts w:ascii="Calibri" w:eastAsia="Times New Roman" w:hAnsi="Calibri" w:cs="Calibri"/>
                <w:szCs w:val="20"/>
                <w:lang w:eastAsia="en-AU"/>
              </w:rPr>
              <w:t>Teixeira</w:t>
            </w:r>
            <w:proofErr w:type="spellEnd"/>
            <w:r w:rsidRPr="005F4560">
              <w:rPr>
                <w:rFonts w:ascii="Calibri" w:eastAsia="Times New Roman" w:hAnsi="Calibri" w:cs="Calibri"/>
                <w:szCs w:val="20"/>
                <w:lang w:eastAsia="en-AU"/>
              </w:rPr>
              <w:t xml:space="preserve">, Thiago Souza, Jimi </w:t>
            </w:r>
            <w:proofErr w:type="spellStart"/>
            <w:r w:rsidRPr="005F4560">
              <w:rPr>
                <w:rFonts w:ascii="Calibri" w:eastAsia="Times New Roman" w:hAnsi="Calibri" w:cs="Calibri"/>
                <w:szCs w:val="20"/>
                <w:lang w:eastAsia="en-AU"/>
              </w:rPr>
              <w:t>Scarparo</w:t>
            </w:r>
            <w:proofErr w:type="spellEnd"/>
            <w:r w:rsidRPr="005F4560">
              <w:rPr>
                <w:rFonts w:ascii="Calibri" w:eastAsia="Times New Roman" w:hAnsi="Calibri" w:cs="Calibri"/>
                <w:szCs w:val="20"/>
                <w:lang w:eastAsia="en-AU"/>
              </w:rPr>
              <w:t xml:space="preserve">, </w:t>
            </w:r>
            <w:proofErr w:type="spellStart"/>
            <w:r w:rsidRPr="005F4560">
              <w:rPr>
                <w:rFonts w:ascii="Calibri" w:eastAsia="Times New Roman" w:hAnsi="Calibri" w:cs="Calibri"/>
                <w:szCs w:val="20"/>
                <w:lang w:eastAsia="en-AU"/>
              </w:rPr>
              <w:t>Artur</w:t>
            </w:r>
            <w:proofErr w:type="spellEnd"/>
            <w:r w:rsidRPr="005F4560">
              <w:rPr>
                <w:rFonts w:ascii="Calibri" w:eastAsia="Times New Roman" w:hAnsi="Calibri" w:cs="Calibri"/>
                <w:szCs w:val="20"/>
                <w:lang w:eastAsia="en-AU"/>
              </w:rPr>
              <w:t xml:space="preserve"> A. </w:t>
            </w:r>
            <w:proofErr w:type="spellStart"/>
            <w:r w:rsidRPr="005F4560">
              <w:rPr>
                <w:rFonts w:ascii="Calibri" w:eastAsia="Times New Roman" w:hAnsi="Calibri" w:cs="Calibri"/>
                <w:szCs w:val="20"/>
                <w:lang w:eastAsia="en-AU"/>
              </w:rPr>
              <w:t>Parada</w:t>
            </w:r>
            <w:proofErr w:type="spellEnd"/>
            <w:r w:rsidRPr="005F4560">
              <w:rPr>
                <w:rFonts w:ascii="Calibri" w:eastAsia="Times New Roman" w:hAnsi="Calibri" w:cs="Calibri"/>
                <w:szCs w:val="20"/>
                <w:lang w:eastAsia="en-AU"/>
              </w:rPr>
              <w:t xml:space="preserve">, Ricardo Dib, </w:t>
            </w:r>
            <w:proofErr w:type="spellStart"/>
            <w:r w:rsidRPr="005F4560">
              <w:rPr>
                <w:rFonts w:ascii="Calibri" w:eastAsia="Times New Roman" w:hAnsi="Calibri" w:cs="Calibri"/>
                <w:szCs w:val="20"/>
                <w:lang w:eastAsia="en-AU"/>
              </w:rPr>
              <w:t>Josemberg</w:t>
            </w:r>
            <w:proofErr w:type="spellEnd"/>
            <w:r w:rsidRPr="005F4560">
              <w:rPr>
                <w:rFonts w:ascii="Calibri" w:eastAsia="Times New Roman" w:hAnsi="Calibri" w:cs="Calibri"/>
                <w:szCs w:val="20"/>
                <w:lang w:eastAsia="en-AU"/>
              </w:rPr>
              <w:t xml:space="preserve"> </w:t>
            </w:r>
            <w:r w:rsidR="004729F5">
              <w:rPr>
                <w:rFonts w:ascii="Calibri" w:eastAsia="Times New Roman" w:hAnsi="Calibri" w:cs="Calibri"/>
                <w:szCs w:val="20"/>
                <w:lang w:eastAsia="en-AU"/>
              </w:rPr>
              <w:t>Campos and Rena Moon (2018).</w:t>
            </w:r>
            <w:r w:rsidR="00943BEC">
              <w:rPr>
                <w:rFonts w:ascii="Calibri" w:eastAsia="Times New Roman" w:hAnsi="Calibri" w:cs="Calibri"/>
                <w:szCs w:val="20"/>
                <w:lang w:eastAsia="en-AU"/>
              </w:rPr>
              <w:t xml:space="preserve"> </w:t>
            </w:r>
            <w:r w:rsidR="004729F5">
              <w:rPr>
                <w:rFonts w:ascii="Calibri" w:eastAsia="Times New Roman" w:hAnsi="Calibri" w:cs="Calibri"/>
                <w:szCs w:val="20"/>
                <w:lang w:eastAsia="en-AU"/>
              </w:rPr>
              <w:t>”</w:t>
            </w:r>
            <w:r w:rsidR="00943BEC">
              <w:rPr>
                <w:rFonts w:ascii="Calibri" w:eastAsia="Times New Roman" w:hAnsi="Calibri" w:cs="Calibri"/>
                <w:szCs w:val="20"/>
                <w:lang w:eastAsia="en-AU"/>
              </w:rPr>
              <w:t>Brazilian</w:t>
            </w:r>
            <w:r w:rsidRPr="005F4560">
              <w:rPr>
                <w:rFonts w:ascii="Calibri" w:eastAsia="Times New Roman" w:hAnsi="Calibri" w:cs="Calibri"/>
                <w:szCs w:val="20"/>
                <w:lang w:eastAsia="en-AU"/>
              </w:rPr>
              <w:t xml:space="preserve"> </w:t>
            </w:r>
            <w:proofErr w:type="spellStart"/>
            <w:r w:rsidRPr="005F4560">
              <w:rPr>
                <w:rFonts w:ascii="Calibri" w:eastAsia="Times New Roman" w:hAnsi="Calibri" w:cs="Calibri"/>
                <w:szCs w:val="20"/>
                <w:lang w:eastAsia="en-AU"/>
              </w:rPr>
              <w:t>Intragastric</w:t>
            </w:r>
            <w:proofErr w:type="spellEnd"/>
            <w:r w:rsidRPr="005F4560">
              <w:rPr>
                <w:rFonts w:ascii="Calibri" w:eastAsia="Times New Roman" w:hAnsi="Calibri" w:cs="Calibri"/>
                <w:szCs w:val="20"/>
                <w:lang w:eastAsia="en-AU"/>
              </w:rPr>
              <w:t xml:space="preserve"> Balloon Consensus Statement (BIBC): practical recommendations based on experience of over 40,000 cases</w:t>
            </w:r>
            <w:r w:rsidR="004729F5">
              <w:rPr>
                <w:rFonts w:ascii="Calibri" w:eastAsia="Times New Roman" w:hAnsi="Calibri" w:cs="Calibri"/>
                <w:szCs w:val="20"/>
                <w:lang w:eastAsia="en-AU"/>
              </w:rPr>
              <w:t>”</w:t>
            </w:r>
            <w:r w:rsidRPr="005F4560">
              <w:rPr>
                <w:rFonts w:ascii="Calibri" w:eastAsia="Times New Roman" w:hAnsi="Calibri" w:cs="Calibri"/>
                <w:szCs w:val="20"/>
                <w:lang w:eastAsia="en-AU"/>
              </w:rPr>
              <w:t xml:space="preserve"> Surgery for Obesity and Related</w:t>
            </w:r>
            <w:r w:rsidR="004729F5">
              <w:rPr>
                <w:rFonts w:ascii="Calibri" w:eastAsia="Times New Roman" w:hAnsi="Calibri" w:cs="Calibri"/>
                <w:szCs w:val="20"/>
                <w:lang w:eastAsia="en-AU"/>
              </w:rPr>
              <w:t xml:space="preserve"> </w:t>
            </w:r>
            <w:r w:rsidRPr="005F4560">
              <w:rPr>
                <w:rFonts w:ascii="Calibri" w:eastAsia="Times New Roman" w:hAnsi="Calibri" w:cs="Calibri"/>
                <w:szCs w:val="20"/>
                <w:lang w:eastAsia="en-AU"/>
              </w:rPr>
              <w:t>Diseases, http://dx.doi.org/10.1016/j.soard.2017.09.528</w:t>
            </w:r>
          </w:p>
        </w:tc>
        <w:tc>
          <w:tcPr>
            <w:tcW w:w="234" w:type="pct"/>
          </w:tcPr>
          <w:p w14:paraId="6F0C86C3" w14:textId="368B71ED" w:rsidR="00931DBE" w:rsidRPr="005F4560" w:rsidRDefault="00931DBE" w:rsidP="00931DBE">
            <w:pPr>
              <w:spacing w:before="0" w:after="0"/>
            </w:pPr>
            <w:r w:rsidRPr="005F4560">
              <w:t>-</w:t>
            </w:r>
          </w:p>
        </w:tc>
        <w:tc>
          <w:tcPr>
            <w:tcW w:w="268" w:type="pct"/>
          </w:tcPr>
          <w:p w14:paraId="4E9AD6DB" w14:textId="076DF979" w:rsidR="00931DBE" w:rsidRPr="005F4560" w:rsidRDefault="00931DBE" w:rsidP="00931DBE">
            <w:pPr>
              <w:spacing w:before="0" w:after="0"/>
            </w:pPr>
            <w:r w:rsidRPr="005F4560">
              <w:t>-</w:t>
            </w:r>
          </w:p>
        </w:tc>
        <w:tc>
          <w:tcPr>
            <w:tcW w:w="225" w:type="pct"/>
          </w:tcPr>
          <w:p w14:paraId="25317EAE" w14:textId="3356598F" w:rsidR="00931DBE" w:rsidRPr="005F4560" w:rsidRDefault="00931DBE" w:rsidP="00931DBE">
            <w:pPr>
              <w:spacing w:before="0" w:after="0"/>
            </w:pPr>
            <w:r w:rsidRPr="005F4560">
              <w:t>-</w:t>
            </w:r>
          </w:p>
        </w:tc>
        <w:tc>
          <w:tcPr>
            <w:tcW w:w="1318" w:type="pct"/>
          </w:tcPr>
          <w:p w14:paraId="5D8C89A0" w14:textId="56A0B138" w:rsidR="00931DBE" w:rsidRPr="005F4560" w:rsidRDefault="00931DBE" w:rsidP="00931DBE">
            <w:pPr>
              <w:spacing w:before="100" w:beforeAutospacing="1" w:after="100" w:afterAutospacing="1"/>
              <w:textAlignment w:val="baseline"/>
              <w:rPr>
                <w:rFonts w:ascii="Calibri" w:eastAsia="Times New Roman" w:hAnsi="Calibri" w:cs="Calibri"/>
                <w:szCs w:val="20"/>
                <w:lang w:eastAsia="en-AU"/>
              </w:rPr>
            </w:pPr>
            <w:r w:rsidRPr="005F4560">
              <w:rPr>
                <w:rFonts w:ascii="Calibri" w:eastAsia="Times New Roman" w:hAnsi="Calibri" w:cs="Calibri"/>
                <w:szCs w:val="20"/>
                <w:lang w:eastAsia="en-AU"/>
              </w:rPr>
              <w:t xml:space="preserve">The overall Brazilian expert data encompassed 41,186 IGBs, with a mean percentage total body weight (%TBW) loss of 18.4 ± 2.9%. The most frequently used IB was </w:t>
            </w:r>
            <w:proofErr w:type="spellStart"/>
            <w:r>
              <w:rPr>
                <w:rFonts w:ascii="Calibri" w:eastAsia="Times New Roman" w:hAnsi="Calibri" w:cs="Calibri"/>
                <w:szCs w:val="20"/>
                <w:lang w:eastAsia="en-AU"/>
              </w:rPr>
              <w:t>Orbera</w:t>
            </w:r>
            <w:proofErr w:type="spellEnd"/>
            <w:r>
              <w:rPr>
                <w:rFonts w:ascii="Calibri" w:eastAsia="Times New Roman" w:hAnsi="Calibri" w:cs="Calibri"/>
                <w:szCs w:val="20"/>
                <w:lang w:eastAsia="en-AU"/>
              </w:rPr>
              <w:t>™</w:t>
            </w:r>
            <w:r w:rsidRPr="005F4560">
              <w:rPr>
                <w:rFonts w:ascii="Calibri" w:eastAsia="Times New Roman" w:hAnsi="Calibri" w:cs="Calibri"/>
                <w:szCs w:val="20"/>
                <w:lang w:eastAsia="en-AU"/>
              </w:rPr>
              <w:t>, totalling 32,735 implants (78.2%).</w:t>
            </w:r>
          </w:p>
          <w:p w14:paraId="76D59AFF" w14:textId="7388BA28" w:rsidR="00931DBE" w:rsidRPr="005F4560" w:rsidRDefault="00931DBE" w:rsidP="00931DBE">
            <w:pPr>
              <w:spacing w:before="0" w:after="0"/>
            </w:pPr>
            <w:r w:rsidRPr="005F4560">
              <w:rPr>
                <w:rFonts w:ascii="Calibri" w:eastAsia="Times New Roman" w:hAnsi="Calibri" w:cs="Calibri"/>
                <w:szCs w:val="20"/>
                <w:lang w:eastAsia="en-AU"/>
              </w:rPr>
              <w:t>The adverse event rate after the adaptation period was 2.5%, the most common being hyperinflation (0.9%) and spontaneous deflation (0.8%) of the device. The early removal rate due to intolerance was 2.2%.</w:t>
            </w:r>
          </w:p>
        </w:tc>
        <w:tc>
          <w:tcPr>
            <w:tcW w:w="867" w:type="pct"/>
          </w:tcPr>
          <w:p w14:paraId="7BA814E8" w14:textId="5B9503C5" w:rsidR="00931DBE" w:rsidRPr="005F4560" w:rsidRDefault="009878BB" w:rsidP="00931DBE">
            <w:pPr>
              <w:spacing w:before="0" w:after="0"/>
            </w:pPr>
            <w:hyperlink r:id="rId24" w:tooltip="Grecco" w:history="1">
              <w:r w:rsidR="00931DBE" w:rsidRPr="005F4560">
                <w:rPr>
                  <w:rStyle w:val="Hyperlink"/>
                  <w:color w:val="auto"/>
                </w:rPr>
                <w:t>http://www.soard.org/article/S1550-7289(17)30962-0/fulltext</w:t>
              </w:r>
            </w:hyperlink>
            <w:r w:rsidR="00931DBE" w:rsidRPr="005F4560">
              <w:t xml:space="preserve"> </w:t>
            </w:r>
          </w:p>
        </w:tc>
        <w:tc>
          <w:tcPr>
            <w:tcW w:w="491" w:type="pct"/>
          </w:tcPr>
          <w:p w14:paraId="7A36F440" w14:textId="08BF5FDE" w:rsidR="00931DBE" w:rsidRPr="005F4560" w:rsidRDefault="00931DBE" w:rsidP="00931DBE">
            <w:pPr>
              <w:spacing w:before="0" w:after="0"/>
            </w:pPr>
            <w:r w:rsidRPr="005F4560">
              <w:t>2017</w:t>
            </w:r>
          </w:p>
        </w:tc>
      </w:tr>
      <w:tr w:rsidR="00931DBE" w:rsidRPr="005F4560" w14:paraId="4C21276F" w14:textId="77777777" w:rsidTr="00931DBE">
        <w:trPr>
          <w:cantSplit/>
        </w:trPr>
        <w:tc>
          <w:tcPr>
            <w:tcW w:w="180" w:type="pct"/>
          </w:tcPr>
          <w:p w14:paraId="6A8B1F9C" w14:textId="4127188C" w:rsidR="00931DBE" w:rsidRPr="005F4560" w:rsidRDefault="00931DBE" w:rsidP="00931DBE">
            <w:pPr>
              <w:spacing w:before="0" w:after="0"/>
              <w:rPr>
                <w:szCs w:val="20"/>
              </w:rPr>
            </w:pPr>
            <w:r w:rsidRPr="005F4560">
              <w:rPr>
                <w:szCs w:val="20"/>
              </w:rPr>
              <w:lastRenderedPageBreak/>
              <w:t>12</w:t>
            </w:r>
          </w:p>
        </w:tc>
        <w:tc>
          <w:tcPr>
            <w:tcW w:w="538" w:type="pct"/>
          </w:tcPr>
          <w:p w14:paraId="764883A7" w14:textId="77777777" w:rsidR="00931DBE" w:rsidRPr="005F4560" w:rsidRDefault="00931DBE" w:rsidP="00931DBE">
            <w:pPr>
              <w:spacing w:before="0" w:after="0"/>
            </w:pPr>
            <w:r w:rsidRPr="005F4560">
              <w:t>MA</w:t>
            </w:r>
          </w:p>
        </w:tc>
        <w:tc>
          <w:tcPr>
            <w:tcW w:w="878" w:type="pct"/>
          </w:tcPr>
          <w:p w14:paraId="56EF91A8" w14:textId="23D6DA49" w:rsidR="00931DBE" w:rsidRPr="005F4560" w:rsidRDefault="00931DBE" w:rsidP="00931DBE">
            <w:pPr>
              <w:spacing w:before="0" w:after="0"/>
              <w:rPr>
                <w:szCs w:val="20"/>
              </w:rPr>
            </w:pPr>
            <w:r w:rsidRPr="005F4560">
              <w:rPr>
                <w:szCs w:val="20"/>
              </w:rPr>
              <w:t>Al-</w:t>
            </w:r>
            <w:proofErr w:type="spellStart"/>
            <w:r w:rsidRPr="005F4560">
              <w:rPr>
                <w:szCs w:val="20"/>
              </w:rPr>
              <w:t>Bawardy</w:t>
            </w:r>
            <w:proofErr w:type="spellEnd"/>
            <w:r w:rsidRPr="005F4560">
              <w:rPr>
                <w:szCs w:val="20"/>
              </w:rPr>
              <w:t xml:space="preserve">, B., S. S. </w:t>
            </w:r>
            <w:proofErr w:type="spellStart"/>
            <w:r w:rsidRPr="005F4560">
              <w:rPr>
                <w:szCs w:val="20"/>
              </w:rPr>
              <w:t>Mukewar</w:t>
            </w:r>
            <w:proofErr w:type="spellEnd"/>
            <w:r w:rsidRPr="005F4560">
              <w:rPr>
                <w:szCs w:val="20"/>
              </w:rPr>
              <w:t xml:space="preserve">, A. </w:t>
            </w:r>
            <w:proofErr w:type="spellStart"/>
            <w:r w:rsidRPr="005F4560">
              <w:rPr>
                <w:szCs w:val="20"/>
              </w:rPr>
              <w:t>Genco</w:t>
            </w:r>
            <w:proofErr w:type="spellEnd"/>
            <w:r w:rsidRPr="005F4560">
              <w:rPr>
                <w:szCs w:val="20"/>
              </w:rPr>
              <w:t xml:space="preserve">, M. P. </w:t>
            </w:r>
            <w:proofErr w:type="spellStart"/>
            <w:r w:rsidRPr="005F4560">
              <w:rPr>
                <w:szCs w:val="20"/>
              </w:rPr>
              <w:t>Galvao</w:t>
            </w:r>
            <w:proofErr w:type="spellEnd"/>
            <w:r w:rsidRPr="005F4560">
              <w:rPr>
                <w:szCs w:val="20"/>
              </w:rPr>
              <w:t xml:space="preserve"> </w:t>
            </w:r>
            <w:proofErr w:type="spellStart"/>
            <w:r w:rsidRPr="005F4560">
              <w:rPr>
                <w:szCs w:val="20"/>
              </w:rPr>
              <w:t>Neto</w:t>
            </w:r>
            <w:proofErr w:type="spellEnd"/>
            <w:r w:rsidRPr="005F4560">
              <w:rPr>
                <w:szCs w:val="20"/>
              </w:rPr>
              <w:t xml:space="preserve">, G. Lopez-Nava, N. Kumar, C. C. Thompson, E. B. Wilson, S. Shaikh, N. </w:t>
            </w:r>
            <w:proofErr w:type="spellStart"/>
            <w:r w:rsidRPr="005F4560">
              <w:rPr>
                <w:szCs w:val="20"/>
              </w:rPr>
              <w:t>Zundel</w:t>
            </w:r>
            <w:proofErr w:type="spellEnd"/>
            <w:r w:rsidRPr="005F4560">
              <w:rPr>
                <w:szCs w:val="20"/>
              </w:rPr>
              <w:t xml:space="preserve">, C. J. </w:t>
            </w:r>
            <w:proofErr w:type="spellStart"/>
            <w:r w:rsidRPr="005F4560">
              <w:rPr>
                <w:szCs w:val="20"/>
              </w:rPr>
              <w:t>Gostout</w:t>
            </w:r>
            <w:proofErr w:type="spellEnd"/>
            <w:r w:rsidRPr="005F4560">
              <w:rPr>
                <w:szCs w:val="20"/>
              </w:rPr>
              <w:t xml:space="preserve"> and B. K. Abu </w:t>
            </w:r>
            <w:proofErr w:type="spellStart"/>
            <w:r w:rsidRPr="005F4560">
              <w:rPr>
                <w:szCs w:val="20"/>
              </w:rPr>
              <w:t>Dayyeh</w:t>
            </w:r>
            <w:proofErr w:type="spellEnd"/>
            <w:r w:rsidRPr="005F4560">
              <w:rPr>
                <w:szCs w:val="20"/>
              </w:rPr>
              <w:t xml:space="preserve"> (2015). "Meta-analysis of the </w:t>
            </w:r>
            <w:proofErr w:type="spellStart"/>
            <w:r>
              <w:rPr>
                <w:szCs w:val="20"/>
              </w:rPr>
              <w:t>Orbera</w:t>
            </w:r>
            <w:proofErr w:type="spellEnd"/>
            <w:r>
              <w:rPr>
                <w:szCs w:val="20"/>
              </w:rPr>
              <w:t>™</w:t>
            </w:r>
            <w:r w:rsidRPr="005F4560">
              <w:rPr>
                <w:szCs w:val="20"/>
              </w:rPr>
              <w:t xml:space="preserve"> </w:t>
            </w:r>
            <w:proofErr w:type="spellStart"/>
            <w:r w:rsidRPr="005F4560">
              <w:rPr>
                <w:szCs w:val="20"/>
              </w:rPr>
              <w:t>intragastric</w:t>
            </w:r>
            <w:proofErr w:type="spellEnd"/>
            <w:r w:rsidRPr="005F4560">
              <w:rPr>
                <w:szCs w:val="20"/>
              </w:rPr>
              <w:t xml:space="preserve"> balloon for the endoscopic management of obesity." Gastrointestinal Endoscopy 81(5 SUPPL. 1): AB462.</w:t>
            </w:r>
          </w:p>
        </w:tc>
        <w:tc>
          <w:tcPr>
            <w:tcW w:w="234" w:type="pct"/>
          </w:tcPr>
          <w:p w14:paraId="3FB3BAC4" w14:textId="77777777" w:rsidR="00931DBE" w:rsidRPr="005F4560" w:rsidRDefault="00931DBE" w:rsidP="00931DBE">
            <w:pPr>
              <w:spacing w:before="0" w:after="0"/>
            </w:pPr>
            <w:r w:rsidRPr="005F4560">
              <w:t>-</w:t>
            </w:r>
          </w:p>
        </w:tc>
        <w:tc>
          <w:tcPr>
            <w:tcW w:w="268" w:type="pct"/>
          </w:tcPr>
          <w:p w14:paraId="6D10B7C8" w14:textId="77777777" w:rsidR="00931DBE" w:rsidRPr="005F4560" w:rsidRDefault="00931DBE" w:rsidP="00931DBE">
            <w:pPr>
              <w:spacing w:before="0" w:after="0"/>
            </w:pPr>
            <w:r w:rsidRPr="005F4560">
              <w:t>-</w:t>
            </w:r>
          </w:p>
        </w:tc>
        <w:tc>
          <w:tcPr>
            <w:tcW w:w="225" w:type="pct"/>
          </w:tcPr>
          <w:p w14:paraId="356777E8" w14:textId="77777777" w:rsidR="00931DBE" w:rsidRPr="005F4560" w:rsidRDefault="00931DBE" w:rsidP="00931DBE">
            <w:pPr>
              <w:spacing w:before="0" w:after="0"/>
            </w:pPr>
            <w:r w:rsidRPr="005F4560">
              <w:t>-</w:t>
            </w:r>
          </w:p>
        </w:tc>
        <w:tc>
          <w:tcPr>
            <w:tcW w:w="1318" w:type="pct"/>
          </w:tcPr>
          <w:p w14:paraId="5D6FC9AF" w14:textId="77777777" w:rsidR="00931DBE" w:rsidRPr="005F4560" w:rsidRDefault="00931DBE" w:rsidP="00931DBE">
            <w:pPr>
              <w:spacing w:before="0" w:after="0"/>
            </w:pPr>
            <w:r w:rsidRPr="005F4560">
              <w:t>A random-effect meta-analysis and meta-regression were performed. Results: Eighty studies including 8506 patients were included in this meta-analysis. The pooled percent total body weight (%TBW) lost after a single six-months IGB insertion was 12.7% [95% CI 8.5-16.9], 13% [95% CI 11.7-14.7], 10 [95% CI 6.6-13.6], and 6.2 [95% CI 1.4-10.9] at 3, 6, 12, and 36 months respectively. The pooled incidences of side-effects were: pain 33.7%, nausea 29%, GERD 18.5%, early removal 7.5%, gastric ulcers 2%, migration 1.4%, small bowel obstruction 0.3%, perforation 0.1%, and death 0.08%.</w:t>
            </w:r>
          </w:p>
        </w:tc>
        <w:tc>
          <w:tcPr>
            <w:tcW w:w="867" w:type="pct"/>
          </w:tcPr>
          <w:p w14:paraId="24992694" w14:textId="3F8076B9" w:rsidR="00931DBE" w:rsidRPr="005F4560" w:rsidRDefault="009878BB" w:rsidP="00931DBE">
            <w:pPr>
              <w:spacing w:before="0" w:after="0"/>
            </w:pPr>
            <w:hyperlink r:id="rId25" w:tooltip="Al-Bawardy" w:history="1">
              <w:r w:rsidR="00931DBE" w:rsidRPr="005F4560">
                <w:rPr>
                  <w:rStyle w:val="Hyperlink"/>
                  <w:color w:val="auto"/>
                </w:rPr>
                <w:t>http://www.giejournal.org/article/S0016-5107(15)01888-X/abstract</w:t>
              </w:r>
            </w:hyperlink>
            <w:r w:rsidR="00931DBE" w:rsidRPr="005F4560">
              <w:t xml:space="preserve"> </w:t>
            </w:r>
          </w:p>
        </w:tc>
        <w:tc>
          <w:tcPr>
            <w:tcW w:w="491" w:type="pct"/>
          </w:tcPr>
          <w:p w14:paraId="2269B3BD" w14:textId="77777777" w:rsidR="00931DBE" w:rsidRPr="005F4560" w:rsidRDefault="00931DBE" w:rsidP="00931DBE">
            <w:pPr>
              <w:spacing w:before="0" w:after="0"/>
            </w:pPr>
            <w:r w:rsidRPr="005F4560">
              <w:t>2015</w:t>
            </w:r>
          </w:p>
        </w:tc>
      </w:tr>
      <w:tr w:rsidR="00931DBE" w:rsidRPr="005F4560" w14:paraId="751F5A3C" w14:textId="77777777" w:rsidTr="00931DBE">
        <w:trPr>
          <w:cantSplit/>
        </w:trPr>
        <w:tc>
          <w:tcPr>
            <w:tcW w:w="180" w:type="pct"/>
          </w:tcPr>
          <w:p w14:paraId="2EF2BBFF" w14:textId="083E7DBD" w:rsidR="00931DBE" w:rsidRPr="005F4560" w:rsidRDefault="00931DBE" w:rsidP="00931DBE">
            <w:pPr>
              <w:spacing w:before="0" w:after="0"/>
              <w:rPr>
                <w:szCs w:val="20"/>
              </w:rPr>
            </w:pPr>
            <w:r w:rsidRPr="005F4560">
              <w:rPr>
                <w:szCs w:val="20"/>
              </w:rPr>
              <w:lastRenderedPageBreak/>
              <w:t>13</w:t>
            </w:r>
          </w:p>
        </w:tc>
        <w:tc>
          <w:tcPr>
            <w:tcW w:w="538" w:type="pct"/>
          </w:tcPr>
          <w:p w14:paraId="3122E3FA" w14:textId="77777777" w:rsidR="00931DBE" w:rsidRPr="005F4560" w:rsidRDefault="00931DBE" w:rsidP="00931DBE">
            <w:pPr>
              <w:spacing w:before="0" w:after="0"/>
              <w:rPr>
                <w:highlight w:val="yellow"/>
              </w:rPr>
            </w:pPr>
            <w:r w:rsidRPr="005F4560">
              <w:t>MA</w:t>
            </w:r>
          </w:p>
        </w:tc>
        <w:tc>
          <w:tcPr>
            <w:tcW w:w="878" w:type="pct"/>
          </w:tcPr>
          <w:p w14:paraId="2290CC75" w14:textId="77777777" w:rsidR="00931DBE" w:rsidRPr="005F4560" w:rsidRDefault="00931DBE" w:rsidP="00931DBE">
            <w:pPr>
              <w:spacing w:before="0" w:after="0"/>
              <w:rPr>
                <w:szCs w:val="20"/>
              </w:rPr>
            </w:pPr>
            <w:r w:rsidRPr="005F4560">
              <w:rPr>
                <w:szCs w:val="20"/>
              </w:rPr>
              <w:t>ASGE Bariatric Endoscopy Task Force and ASGE Technology Committee (2015). "ASGE Bariatric Endoscopy Task Force systematic review and meta-analysis assessing the ASGE PIVI thresholds for adopting endoscopic bariatric therapies." Gastrointestinal endoscopy 82(3): 425-438.e425.</w:t>
            </w:r>
          </w:p>
        </w:tc>
        <w:tc>
          <w:tcPr>
            <w:tcW w:w="234" w:type="pct"/>
          </w:tcPr>
          <w:p w14:paraId="280067CB" w14:textId="77777777" w:rsidR="00931DBE" w:rsidRPr="005F4560" w:rsidRDefault="00931DBE" w:rsidP="00931DBE">
            <w:pPr>
              <w:spacing w:before="0" w:after="0"/>
            </w:pPr>
            <w:r w:rsidRPr="005F4560">
              <w:t>-</w:t>
            </w:r>
          </w:p>
        </w:tc>
        <w:tc>
          <w:tcPr>
            <w:tcW w:w="268" w:type="pct"/>
          </w:tcPr>
          <w:p w14:paraId="329A8E92" w14:textId="77777777" w:rsidR="00931DBE" w:rsidRPr="005F4560" w:rsidRDefault="00931DBE" w:rsidP="00931DBE">
            <w:pPr>
              <w:spacing w:before="0" w:after="0"/>
            </w:pPr>
            <w:r w:rsidRPr="005F4560">
              <w:t>-</w:t>
            </w:r>
          </w:p>
        </w:tc>
        <w:tc>
          <w:tcPr>
            <w:tcW w:w="225" w:type="pct"/>
          </w:tcPr>
          <w:p w14:paraId="6E5C36E0" w14:textId="77777777" w:rsidR="00931DBE" w:rsidRPr="005F4560" w:rsidRDefault="00931DBE" w:rsidP="00931DBE">
            <w:pPr>
              <w:spacing w:before="0" w:after="0"/>
            </w:pPr>
            <w:r w:rsidRPr="005F4560">
              <w:t>-</w:t>
            </w:r>
          </w:p>
        </w:tc>
        <w:tc>
          <w:tcPr>
            <w:tcW w:w="1318" w:type="pct"/>
          </w:tcPr>
          <w:p w14:paraId="62B22649" w14:textId="0D9CCFCE" w:rsidR="00931DBE" w:rsidRPr="005F4560" w:rsidRDefault="00931DBE" w:rsidP="00931DBE">
            <w:pPr>
              <w:spacing w:before="0" w:after="0"/>
            </w:pPr>
            <w:r w:rsidRPr="005F4560">
              <w:t xml:space="preserve">Based on a meta-analysis of 17 studies including 1683 patients, the percentage of excess weight loss (%EWL) with the </w:t>
            </w:r>
            <w:proofErr w:type="spellStart"/>
            <w:r>
              <w:t>Orbera</w:t>
            </w:r>
            <w:proofErr w:type="spellEnd"/>
            <w:r>
              <w:t>™</w:t>
            </w:r>
            <w:r w:rsidRPr="005F4560">
              <w:t xml:space="preserve"> IGB at 12 months was 25.44% (95% confidence interval [CI], 21.47%-29.41%) (</w:t>
            </w:r>
            <w:proofErr w:type="gramStart"/>
            <w:r w:rsidRPr="005F4560">
              <w:t>random</w:t>
            </w:r>
            <w:proofErr w:type="gramEnd"/>
            <w:r w:rsidRPr="005F4560">
              <w:t xml:space="preserve"> model) with a mean difference in %EWL over controls of 26.9% (95% CI, 15.66%-38.24%; P &lt;= .01) in 3 randomized, controlled trials. Furthermore, the pooled percentage of total body weight loss (% TBWL) after </w:t>
            </w:r>
            <w:proofErr w:type="spellStart"/>
            <w:r>
              <w:t>Orbera</w:t>
            </w:r>
            <w:proofErr w:type="spellEnd"/>
            <w:r>
              <w:t>™</w:t>
            </w:r>
            <w:r w:rsidRPr="005F4560">
              <w:t xml:space="preserve"> IGB implantation was 12.3% (95% CI, 7.9%-16.73%), 13.16% (95% CI, 12.37%-13.95%), and 11.27% (95% CI, 8.17%-14.36%) at 3, 6, and 12 months after implantation, respectively. There was a &lt;=5% incidence of serious adverse events as set by the PIVI document to indicate acceptable safety profiles. Our task force consequently recognizes the </w:t>
            </w:r>
            <w:proofErr w:type="spellStart"/>
            <w:r>
              <w:t>Orbera</w:t>
            </w:r>
            <w:proofErr w:type="spellEnd"/>
            <w:r>
              <w:t>™</w:t>
            </w:r>
            <w:r w:rsidRPr="005F4560">
              <w:t xml:space="preserve"> IGB for meeting the PIVI criteria for the management of obesity.</w:t>
            </w:r>
          </w:p>
        </w:tc>
        <w:tc>
          <w:tcPr>
            <w:tcW w:w="867" w:type="pct"/>
          </w:tcPr>
          <w:p w14:paraId="6773A28C" w14:textId="069CC876" w:rsidR="00931DBE" w:rsidRPr="005F4560" w:rsidRDefault="009878BB" w:rsidP="00931DBE">
            <w:pPr>
              <w:spacing w:before="0" w:after="0"/>
            </w:pPr>
            <w:hyperlink r:id="rId26" w:tooltip="ASGE" w:history="1">
              <w:r w:rsidR="00931DBE" w:rsidRPr="005F4560">
                <w:rPr>
                  <w:rStyle w:val="Hyperlink"/>
                  <w:color w:val="auto"/>
                </w:rPr>
                <w:t>https://www.ncbi.nlm.nih.gov/pubmed/26232362</w:t>
              </w:r>
            </w:hyperlink>
            <w:r w:rsidR="00931DBE" w:rsidRPr="005F4560">
              <w:t xml:space="preserve"> </w:t>
            </w:r>
          </w:p>
        </w:tc>
        <w:tc>
          <w:tcPr>
            <w:tcW w:w="491" w:type="pct"/>
          </w:tcPr>
          <w:p w14:paraId="5A2FC181" w14:textId="77777777" w:rsidR="00931DBE" w:rsidRPr="005F4560" w:rsidRDefault="00931DBE" w:rsidP="00931DBE">
            <w:pPr>
              <w:spacing w:before="0" w:after="0"/>
            </w:pPr>
            <w:r w:rsidRPr="005F4560">
              <w:t>2015</w:t>
            </w:r>
          </w:p>
        </w:tc>
      </w:tr>
      <w:tr w:rsidR="00931DBE" w:rsidRPr="005F4560" w14:paraId="6548272A" w14:textId="77777777" w:rsidTr="00931DBE">
        <w:trPr>
          <w:cantSplit/>
        </w:trPr>
        <w:tc>
          <w:tcPr>
            <w:tcW w:w="180" w:type="pct"/>
          </w:tcPr>
          <w:p w14:paraId="4ED5B0F9" w14:textId="24B62850" w:rsidR="00931DBE" w:rsidRPr="005F4560" w:rsidRDefault="00931DBE" w:rsidP="00931DBE">
            <w:pPr>
              <w:spacing w:before="0" w:after="0"/>
              <w:rPr>
                <w:szCs w:val="20"/>
              </w:rPr>
            </w:pPr>
            <w:r w:rsidRPr="005F4560">
              <w:rPr>
                <w:szCs w:val="20"/>
              </w:rPr>
              <w:lastRenderedPageBreak/>
              <w:t>14</w:t>
            </w:r>
          </w:p>
        </w:tc>
        <w:tc>
          <w:tcPr>
            <w:tcW w:w="538" w:type="pct"/>
          </w:tcPr>
          <w:p w14:paraId="76F31FFD" w14:textId="77777777" w:rsidR="00931DBE" w:rsidRPr="005F4560" w:rsidRDefault="00931DBE" w:rsidP="00931DBE">
            <w:pPr>
              <w:spacing w:before="0" w:after="0"/>
            </w:pPr>
            <w:r w:rsidRPr="005F4560">
              <w:t>MA</w:t>
            </w:r>
          </w:p>
        </w:tc>
        <w:tc>
          <w:tcPr>
            <w:tcW w:w="878" w:type="pct"/>
          </w:tcPr>
          <w:p w14:paraId="681F1D73" w14:textId="77777777" w:rsidR="00931DBE" w:rsidRPr="005F4560" w:rsidRDefault="00931DBE" w:rsidP="00931DBE">
            <w:pPr>
              <w:spacing w:before="0" w:after="0"/>
              <w:rPr>
                <w:szCs w:val="20"/>
              </w:rPr>
            </w:pPr>
            <w:r w:rsidRPr="005F4560">
              <w:rPr>
                <w:szCs w:val="20"/>
              </w:rPr>
              <w:t xml:space="preserve">Moura, D., J. Oliveira, E. G. H. De Moura, W. Bernardo, M. </w:t>
            </w:r>
            <w:proofErr w:type="spellStart"/>
            <w:r w:rsidRPr="005F4560">
              <w:rPr>
                <w:szCs w:val="20"/>
              </w:rPr>
              <w:t>Galvao</w:t>
            </w:r>
            <w:proofErr w:type="spellEnd"/>
            <w:r w:rsidRPr="005F4560">
              <w:rPr>
                <w:szCs w:val="20"/>
              </w:rPr>
              <w:t xml:space="preserve"> </w:t>
            </w:r>
            <w:proofErr w:type="spellStart"/>
            <w:r w:rsidRPr="005F4560">
              <w:rPr>
                <w:szCs w:val="20"/>
              </w:rPr>
              <w:t>Neto</w:t>
            </w:r>
            <w:proofErr w:type="spellEnd"/>
            <w:r w:rsidRPr="005F4560">
              <w:rPr>
                <w:szCs w:val="20"/>
              </w:rPr>
              <w:t xml:space="preserve">, J. Campos, V. B. Popov and C. Thompson (2016). "Effectiveness of </w:t>
            </w:r>
            <w:proofErr w:type="spellStart"/>
            <w:r w:rsidRPr="005F4560">
              <w:rPr>
                <w:szCs w:val="20"/>
              </w:rPr>
              <w:t>intragastric</w:t>
            </w:r>
            <w:proofErr w:type="spellEnd"/>
            <w:r w:rsidRPr="005F4560">
              <w:rPr>
                <w:szCs w:val="20"/>
              </w:rPr>
              <w:t xml:space="preserve"> balloon for obesity: A systematic review and meta-analysis based on randomized control trials." Surgery for Obesity and Related Diseases 12(2): 420-429.</w:t>
            </w:r>
          </w:p>
        </w:tc>
        <w:tc>
          <w:tcPr>
            <w:tcW w:w="234" w:type="pct"/>
          </w:tcPr>
          <w:p w14:paraId="0CB9BE64" w14:textId="77777777" w:rsidR="00931DBE" w:rsidRPr="005F4560" w:rsidRDefault="00931DBE" w:rsidP="00931DBE">
            <w:pPr>
              <w:spacing w:before="0" w:after="0"/>
            </w:pPr>
            <w:r w:rsidRPr="005F4560">
              <w:t>-</w:t>
            </w:r>
          </w:p>
        </w:tc>
        <w:tc>
          <w:tcPr>
            <w:tcW w:w="268" w:type="pct"/>
          </w:tcPr>
          <w:p w14:paraId="4CC9AE3C" w14:textId="77777777" w:rsidR="00931DBE" w:rsidRPr="005F4560" w:rsidRDefault="00931DBE" w:rsidP="00931DBE">
            <w:pPr>
              <w:spacing w:before="0" w:after="0"/>
            </w:pPr>
            <w:r w:rsidRPr="005F4560">
              <w:t>-</w:t>
            </w:r>
          </w:p>
        </w:tc>
        <w:tc>
          <w:tcPr>
            <w:tcW w:w="225" w:type="pct"/>
          </w:tcPr>
          <w:p w14:paraId="702E1E91" w14:textId="77777777" w:rsidR="00931DBE" w:rsidRPr="005F4560" w:rsidRDefault="00931DBE" w:rsidP="00931DBE">
            <w:pPr>
              <w:spacing w:before="0" w:after="0"/>
            </w:pPr>
            <w:r w:rsidRPr="005F4560">
              <w:t>-</w:t>
            </w:r>
          </w:p>
        </w:tc>
        <w:tc>
          <w:tcPr>
            <w:tcW w:w="1318" w:type="pct"/>
          </w:tcPr>
          <w:p w14:paraId="34579AA9" w14:textId="77777777" w:rsidR="00931DBE" w:rsidRPr="005F4560" w:rsidRDefault="00931DBE" w:rsidP="00931DBE">
            <w:pPr>
              <w:spacing w:before="0" w:after="0"/>
            </w:pPr>
            <w:r w:rsidRPr="005F4560">
              <w:t>This systematic review shows the effectiveness of the IGB method compared to the sham/diet (s/d) method. For qualitative analysis, 12 studies were selected, and 9 of these were acceptable for quantitative analysis. Results The IGB/diet is more effective than s/d when comparing body mass index (BMI) loss with a mean difference of 1.1 kg/m2 by the Student's t test and 1.41 kg/m2 by the meta-analysis, with significant differences in both. It is also more effective in weight loss (WL), with a mean difference of 2 kg by the Student's t test and 3.55 kg by the meta-analysis. In the qualitative analysis of % excess WL (%EWL), the mean %EWL is 14.0% in favour of the IGB group compared to the s/d group by the Student's t test; however, no significant difference was found between these groups by quantitative analysis.</w:t>
            </w:r>
          </w:p>
        </w:tc>
        <w:tc>
          <w:tcPr>
            <w:tcW w:w="867" w:type="pct"/>
          </w:tcPr>
          <w:p w14:paraId="1FD51425" w14:textId="2A3053E9" w:rsidR="00931DBE" w:rsidRPr="005F4560" w:rsidRDefault="009878BB" w:rsidP="00931DBE">
            <w:pPr>
              <w:spacing w:before="0" w:after="0"/>
            </w:pPr>
            <w:hyperlink r:id="rId27" w:tooltip="Moura" w:history="1">
              <w:r w:rsidR="00931DBE" w:rsidRPr="005F4560">
                <w:rPr>
                  <w:rStyle w:val="Hyperlink"/>
                  <w:color w:val="auto"/>
                </w:rPr>
                <w:t>https://www.ncbi.nlm.nih.gov/pubmed/26968503</w:t>
              </w:r>
            </w:hyperlink>
            <w:r w:rsidR="00931DBE" w:rsidRPr="005F4560">
              <w:t xml:space="preserve"> </w:t>
            </w:r>
          </w:p>
        </w:tc>
        <w:tc>
          <w:tcPr>
            <w:tcW w:w="491" w:type="pct"/>
          </w:tcPr>
          <w:p w14:paraId="4C72A59C" w14:textId="77777777" w:rsidR="00931DBE" w:rsidRPr="005F4560" w:rsidRDefault="00931DBE" w:rsidP="00931DBE">
            <w:pPr>
              <w:spacing w:before="0" w:after="0"/>
            </w:pPr>
            <w:r w:rsidRPr="005F4560">
              <w:t>2014</w:t>
            </w:r>
          </w:p>
        </w:tc>
      </w:tr>
      <w:tr w:rsidR="00931DBE" w:rsidRPr="005F4560" w14:paraId="69CCD314" w14:textId="77777777" w:rsidTr="00931DBE">
        <w:trPr>
          <w:cantSplit/>
        </w:trPr>
        <w:tc>
          <w:tcPr>
            <w:tcW w:w="180" w:type="pct"/>
          </w:tcPr>
          <w:p w14:paraId="1C1359C4" w14:textId="017737FA" w:rsidR="00931DBE" w:rsidRPr="005F4560" w:rsidRDefault="00931DBE" w:rsidP="00931DBE">
            <w:pPr>
              <w:spacing w:before="0" w:after="0"/>
              <w:rPr>
                <w:szCs w:val="20"/>
              </w:rPr>
            </w:pPr>
            <w:r w:rsidRPr="005F4560">
              <w:rPr>
                <w:szCs w:val="20"/>
              </w:rPr>
              <w:lastRenderedPageBreak/>
              <w:t>15</w:t>
            </w:r>
          </w:p>
        </w:tc>
        <w:tc>
          <w:tcPr>
            <w:tcW w:w="538" w:type="pct"/>
          </w:tcPr>
          <w:p w14:paraId="2D677013" w14:textId="77777777" w:rsidR="00931DBE" w:rsidRPr="005F4560" w:rsidRDefault="00931DBE" w:rsidP="00931DBE">
            <w:pPr>
              <w:spacing w:before="0" w:after="0"/>
            </w:pPr>
            <w:r w:rsidRPr="005F4560">
              <w:t>MA</w:t>
            </w:r>
          </w:p>
        </w:tc>
        <w:tc>
          <w:tcPr>
            <w:tcW w:w="878" w:type="pct"/>
          </w:tcPr>
          <w:p w14:paraId="74434165" w14:textId="77777777" w:rsidR="00931DBE" w:rsidRPr="005F4560" w:rsidRDefault="00931DBE" w:rsidP="00931DBE">
            <w:pPr>
              <w:spacing w:before="0" w:after="0"/>
              <w:rPr>
                <w:szCs w:val="20"/>
              </w:rPr>
            </w:pPr>
            <w:bookmarkStart w:id="7" w:name="_Hlk488413175"/>
            <w:r w:rsidRPr="005F4560">
              <w:rPr>
                <w:szCs w:val="20"/>
              </w:rPr>
              <w:t xml:space="preserve">Popov, V.B., </w:t>
            </w:r>
            <w:proofErr w:type="spellStart"/>
            <w:r w:rsidRPr="005F4560">
              <w:rPr>
                <w:szCs w:val="20"/>
              </w:rPr>
              <w:t>Ou</w:t>
            </w:r>
            <w:proofErr w:type="spellEnd"/>
            <w:r w:rsidRPr="005F4560">
              <w:rPr>
                <w:szCs w:val="20"/>
              </w:rPr>
              <w:t xml:space="preserve">, A., et al. (2017). "The impact of </w:t>
            </w:r>
            <w:proofErr w:type="spellStart"/>
            <w:r w:rsidRPr="005F4560">
              <w:rPr>
                <w:szCs w:val="20"/>
              </w:rPr>
              <w:t>intragastric</w:t>
            </w:r>
            <w:proofErr w:type="spellEnd"/>
            <w:r w:rsidRPr="005F4560">
              <w:rPr>
                <w:szCs w:val="20"/>
              </w:rPr>
              <w:t xml:space="preserve"> balloons on obesity-related co-morbidities: A systematic review and meta-analysis." Am J </w:t>
            </w:r>
            <w:proofErr w:type="spellStart"/>
            <w:r w:rsidRPr="005F4560">
              <w:rPr>
                <w:szCs w:val="20"/>
              </w:rPr>
              <w:t>Gastroenterol</w:t>
            </w:r>
            <w:proofErr w:type="spellEnd"/>
            <w:r w:rsidRPr="005F4560">
              <w:rPr>
                <w:szCs w:val="20"/>
              </w:rPr>
              <w:t xml:space="preserve"> 112(3): 429-</w:t>
            </w:r>
            <w:proofErr w:type="gramStart"/>
            <w:r w:rsidRPr="005F4560">
              <w:rPr>
                <w:szCs w:val="20"/>
              </w:rPr>
              <w:t>439.</w:t>
            </w:r>
            <w:bookmarkEnd w:id="7"/>
            <w:proofErr w:type="gramEnd"/>
          </w:p>
        </w:tc>
        <w:tc>
          <w:tcPr>
            <w:tcW w:w="234" w:type="pct"/>
          </w:tcPr>
          <w:p w14:paraId="5330BE3F" w14:textId="77777777" w:rsidR="00931DBE" w:rsidRPr="005F4560" w:rsidRDefault="00931DBE" w:rsidP="00931DBE">
            <w:pPr>
              <w:spacing w:before="0" w:after="0"/>
            </w:pPr>
            <w:r w:rsidRPr="005F4560">
              <w:t>-</w:t>
            </w:r>
          </w:p>
        </w:tc>
        <w:tc>
          <w:tcPr>
            <w:tcW w:w="268" w:type="pct"/>
          </w:tcPr>
          <w:p w14:paraId="0FFF48C9" w14:textId="77777777" w:rsidR="00931DBE" w:rsidRPr="005F4560" w:rsidRDefault="00931DBE" w:rsidP="00931DBE">
            <w:pPr>
              <w:spacing w:before="0" w:after="0"/>
            </w:pPr>
            <w:r w:rsidRPr="005F4560">
              <w:t>-</w:t>
            </w:r>
          </w:p>
        </w:tc>
        <w:tc>
          <w:tcPr>
            <w:tcW w:w="225" w:type="pct"/>
          </w:tcPr>
          <w:p w14:paraId="4F980EF3" w14:textId="77777777" w:rsidR="00931DBE" w:rsidRPr="005F4560" w:rsidRDefault="00931DBE" w:rsidP="00931DBE">
            <w:pPr>
              <w:spacing w:before="0" w:after="0"/>
            </w:pPr>
            <w:r w:rsidRPr="005F4560">
              <w:t>-</w:t>
            </w:r>
          </w:p>
        </w:tc>
        <w:tc>
          <w:tcPr>
            <w:tcW w:w="1318" w:type="pct"/>
          </w:tcPr>
          <w:p w14:paraId="17826881" w14:textId="77777777" w:rsidR="00931DBE" w:rsidRPr="005F4560" w:rsidRDefault="00931DBE" w:rsidP="00931DBE">
            <w:pPr>
              <w:spacing w:before="0" w:after="0"/>
            </w:pPr>
            <w:r w:rsidRPr="005F4560">
              <w:t>Meta-analysis: 10 randomized controlled trials (RCT) and 30 observational studies including 5,668 subjects were analysed.</w:t>
            </w:r>
          </w:p>
          <w:p w14:paraId="3C3BC936" w14:textId="6F949778" w:rsidR="00931DBE" w:rsidRPr="005F4560" w:rsidRDefault="00931DBE" w:rsidP="00931DBE">
            <w:pPr>
              <w:spacing w:before="0" w:after="0"/>
            </w:pPr>
            <w:r w:rsidRPr="005F4560">
              <w:t>Results: There was moderate-quality evidence for improvement in most metabolic parameters in subjects assigned to IGB therapy as compared to conventional non-surgical therapy in RCTs: mean difference (MD) in fasting glucose change: -12.7 mg/dl (95% confidence interval (CI) -21.5, -4); MD in triglycerides: -19 mg/dl (95% CI -42, 3.5); MD in waist circumference: -4.1 cm (95% CI -6.9, -1.4); MD in diastolic blood pressure: -2.9 mm Hg (95% CI -4.1, -1.8). The odds ratio for diabetes resolution after IGB therapy was 1.4 (95% CI 1.3, 1.6). The rate of serious adverse events was 1.3%</w:t>
            </w:r>
          </w:p>
          <w:p w14:paraId="5CA2F661" w14:textId="77777777" w:rsidR="00931DBE" w:rsidRPr="005F4560" w:rsidRDefault="00931DBE" w:rsidP="00931DBE">
            <w:pPr>
              <w:spacing w:before="0" w:after="0"/>
            </w:pPr>
          </w:p>
          <w:p w14:paraId="72D2D84D" w14:textId="77777777" w:rsidR="00931DBE" w:rsidRPr="005F4560" w:rsidRDefault="00931DBE" w:rsidP="00931DBE">
            <w:pPr>
              <w:spacing w:before="0" w:after="0"/>
            </w:pPr>
          </w:p>
          <w:p w14:paraId="1DC105D9" w14:textId="77777777" w:rsidR="00931DBE" w:rsidRPr="005F4560" w:rsidRDefault="00931DBE" w:rsidP="00931DBE">
            <w:pPr>
              <w:spacing w:before="0" w:after="0"/>
            </w:pPr>
          </w:p>
        </w:tc>
        <w:tc>
          <w:tcPr>
            <w:tcW w:w="867" w:type="pct"/>
          </w:tcPr>
          <w:p w14:paraId="110A23B0" w14:textId="1C1A3365" w:rsidR="00931DBE" w:rsidRPr="005F4560" w:rsidRDefault="009878BB" w:rsidP="00931DBE">
            <w:pPr>
              <w:spacing w:before="0" w:after="0"/>
            </w:pPr>
            <w:hyperlink r:id="rId28" w:tooltip="Popov" w:history="1">
              <w:r w:rsidR="00931DBE" w:rsidRPr="005F4560">
                <w:rPr>
                  <w:rStyle w:val="Hyperlink"/>
                  <w:color w:val="auto"/>
                </w:rPr>
                <w:t>https://www.ncbi.nlm.nih.gov/pubmed/28117361</w:t>
              </w:r>
            </w:hyperlink>
            <w:r w:rsidR="00931DBE" w:rsidRPr="005F4560">
              <w:t xml:space="preserve"> </w:t>
            </w:r>
          </w:p>
        </w:tc>
        <w:tc>
          <w:tcPr>
            <w:tcW w:w="491" w:type="pct"/>
          </w:tcPr>
          <w:p w14:paraId="4D07BFD9" w14:textId="77777777" w:rsidR="00931DBE" w:rsidRPr="005F4560" w:rsidRDefault="00931DBE" w:rsidP="00931DBE">
            <w:pPr>
              <w:spacing w:before="0" w:after="0"/>
              <w:rPr>
                <w:szCs w:val="20"/>
              </w:rPr>
            </w:pPr>
            <w:r w:rsidRPr="005F4560">
              <w:rPr>
                <w:szCs w:val="20"/>
              </w:rPr>
              <w:t>2017</w:t>
            </w:r>
          </w:p>
          <w:p w14:paraId="3D57C86A" w14:textId="77777777" w:rsidR="00931DBE" w:rsidRPr="005F4560" w:rsidRDefault="00931DBE" w:rsidP="00931DBE">
            <w:pPr>
              <w:spacing w:before="0" w:after="0"/>
              <w:rPr>
                <w:szCs w:val="20"/>
              </w:rPr>
            </w:pPr>
          </w:p>
          <w:p w14:paraId="6BB06984" w14:textId="77777777" w:rsidR="00931DBE" w:rsidRPr="005F4560" w:rsidRDefault="00931DBE" w:rsidP="00931DBE">
            <w:pPr>
              <w:spacing w:before="0" w:after="0"/>
              <w:rPr>
                <w:szCs w:val="20"/>
              </w:rPr>
            </w:pPr>
            <w:r w:rsidRPr="005F4560">
              <w:rPr>
                <w:szCs w:val="20"/>
              </w:rPr>
              <w:t xml:space="preserve">Abstract: Popov, V., A. </w:t>
            </w:r>
            <w:proofErr w:type="spellStart"/>
            <w:r w:rsidRPr="005F4560">
              <w:rPr>
                <w:szCs w:val="20"/>
              </w:rPr>
              <w:t>Ou</w:t>
            </w:r>
            <w:proofErr w:type="spellEnd"/>
            <w:r w:rsidRPr="005F4560">
              <w:rPr>
                <w:szCs w:val="20"/>
              </w:rPr>
              <w:t xml:space="preserve">, A. Schulman and C. C. Thompson (2016). "The impact of </w:t>
            </w:r>
            <w:proofErr w:type="spellStart"/>
            <w:r w:rsidRPr="005F4560">
              <w:rPr>
                <w:szCs w:val="20"/>
              </w:rPr>
              <w:t>intragastric</w:t>
            </w:r>
            <w:proofErr w:type="spellEnd"/>
            <w:r w:rsidRPr="005F4560">
              <w:rPr>
                <w:szCs w:val="20"/>
              </w:rPr>
              <w:t xml:space="preserve"> balloons on obesity-related co-morbidities: A systematic review and meta-analysis." Gastroenterology 150(4 SUPPL. 1): S85.</w:t>
            </w:r>
          </w:p>
        </w:tc>
      </w:tr>
      <w:tr w:rsidR="00931DBE" w:rsidRPr="005F4560" w14:paraId="516AA2F8" w14:textId="77777777" w:rsidTr="00931DBE">
        <w:trPr>
          <w:cantSplit/>
        </w:trPr>
        <w:tc>
          <w:tcPr>
            <w:tcW w:w="180" w:type="pct"/>
          </w:tcPr>
          <w:p w14:paraId="713A81E1" w14:textId="5D376E32" w:rsidR="00931DBE" w:rsidRPr="005F4560" w:rsidRDefault="00931DBE" w:rsidP="00931DBE">
            <w:pPr>
              <w:spacing w:before="0" w:after="0"/>
              <w:rPr>
                <w:szCs w:val="20"/>
              </w:rPr>
            </w:pPr>
            <w:r w:rsidRPr="005F4560">
              <w:rPr>
                <w:szCs w:val="20"/>
              </w:rPr>
              <w:lastRenderedPageBreak/>
              <w:t>16</w:t>
            </w:r>
          </w:p>
        </w:tc>
        <w:tc>
          <w:tcPr>
            <w:tcW w:w="538" w:type="pct"/>
          </w:tcPr>
          <w:p w14:paraId="6C95788A" w14:textId="5A5B2B69" w:rsidR="00931DBE" w:rsidRPr="005F4560" w:rsidRDefault="00931DBE" w:rsidP="00931DBE">
            <w:pPr>
              <w:spacing w:before="0" w:after="0"/>
            </w:pPr>
            <w:r w:rsidRPr="005F4560">
              <w:t>IGB vs. pharmacotherapy</w:t>
            </w:r>
          </w:p>
        </w:tc>
        <w:tc>
          <w:tcPr>
            <w:tcW w:w="878" w:type="pct"/>
          </w:tcPr>
          <w:p w14:paraId="3D3E443D" w14:textId="769D5041" w:rsidR="00931DBE" w:rsidRPr="005F4560" w:rsidRDefault="00931DBE" w:rsidP="00931DBE">
            <w:pPr>
              <w:spacing w:before="0" w:after="0"/>
              <w:rPr>
                <w:szCs w:val="20"/>
              </w:rPr>
            </w:pPr>
            <w:r w:rsidRPr="005F4560">
              <w:rPr>
                <w:rFonts w:ascii="Segoe UI" w:hAnsi="Segoe UI" w:cs="Segoe UI"/>
                <w:sz w:val="18"/>
                <w:szCs w:val="18"/>
              </w:rPr>
              <w:t xml:space="preserve">Farina, M. G., R. </w:t>
            </w:r>
            <w:proofErr w:type="spellStart"/>
            <w:r w:rsidRPr="005F4560">
              <w:rPr>
                <w:rFonts w:ascii="Segoe UI" w:hAnsi="Segoe UI" w:cs="Segoe UI"/>
                <w:sz w:val="18"/>
                <w:szCs w:val="18"/>
              </w:rPr>
              <w:t>Baratta</w:t>
            </w:r>
            <w:proofErr w:type="spellEnd"/>
            <w:r w:rsidRPr="005F4560">
              <w:rPr>
                <w:rFonts w:ascii="Segoe UI" w:hAnsi="Segoe UI" w:cs="Segoe UI"/>
                <w:sz w:val="18"/>
                <w:szCs w:val="18"/>
              </w:rPr>
              <w:t xml:space="preserve">, A. </w:t>
            </w:r>
            <w:proofErr w:type="spellStart"/>
            <w:r w:rsidRPr="005F4560">
              <w:rPr>
                <w:rFonts w:ascii="Segoe UI" w:hAnsi="Segoe UI" w:cs="Segoe UI"/>
                <w:sz w:val="18"/>
                <w:szCs w:val="18"/>
              </w:rPr>
              <w:t>Nigro</w:t>
            </w:r>
            <w:proofErr w:type="spellEnd"/>
            <w:r w:rsidRPr="005F4560">
              <w:rPr>
                <w:rFonts w:ascii="Segoe UI" w:hAnsi="Segoe UI" w:cs="Segoe UI"/>
                <w:sz w:val="18"/>
                <w:szCs w:val="18"/>
              </w:rPr>
              <w:t xml:space="preserve">, F. </w:t>
            </w:r>
            <w:proofErr w:type="spellStart"/>
            <w:r w:rsidRPr="005F4560">
              <w:rPr>
                <w:rFonts w:ascii="Segoe UI" w:hAnsi="Segoe UI" w:cs="Segoe UI"/>
                <w:sz w:val="18"/>
                <w:szCs w:val="18"/>
              </w:rPr>
              <w:t>Vinciguerra</w:t>
            </w:r>
            <w:proofErr w:type="spellEnd"/>
            <w:r w:rsidRPr="005F4560">
              <w:rPr>
                <w:rFonts w:ascii="Segoe UI" w:hAnsi="Segoe UI" w:cs="Segoe UI"/>
                <w:sz w:val="18"/>
                <w:szCs w:val="18"/>
              </w:rPr>
              <w:t xml:space="preserve">, C. Puglisi, R. </w:t>
            </w:r>
            <w:proofErr w:type="spellStart"/>
            <w:r w:rsidRPr="005F4560">
              <w:rPr>
                <w:rFonts w:ascii="Segoe UI" w:hAnsi="Segoe UI" w:cs="Segoe UI"/>
                <w:sz w:val="18"/>
                <w:szCs w:val="18"/>
              </w:rPr>
              <w:t>Schembri</w:t>
            </w:r>
            <w:proofErr w:type="spellEnd"/>
            <w:r w:rsidRPr="005F4560">
              <w:rPr>
                <w:rFonts w:ascii="Segoe UI" w:hAnsi="Segoe UI" w:cs="Segoe UI"/>
                <w:sz w:val="18"/>
                <w:szCs w:val="18"/>
              </w:rPr>
              <w:t xml:space="preserve">, C. </w:t>
            </w:r>
            <w:proofErr w:type="spellStart"/>
            <w:r w:rsidRPr="005F4560">
              <w:rPr>
                <w:rFonts w:ascii="Segoe UI" w:hAnsi="Segoe UI" w:cs="Segoe UI"/>
                <w:sz w:val="18"/>
                <w:szCs w:val="18"/>
              </w:rPr>
              <w:t>Virgilio</w:t>
            </w:r>
            <w:proofErr w:type="spellEnd"/>
            <w:r w:rsidRPr="005F4560">
              <w:rPr>
                <w:rFonts w:ascii="Segoe UI" w:hAnsi="Segoe UI" w:cs="Segoe UI"/>
                <w:sz w:val="18"/>
                <w:szCs w:val="18"/>
              </w:rPr>
              <w:t xml:space="preserve">, R. </w:t>
            </w:r>
            <w:proofErr w:type="spellStart"/>
            <w:r w:rsidRPr="005F4560">
              <w:rPr>
                <w:rFonts w:ascii="Segoe UI" w:hAnsi="Segoe UI" w:cs="Segoe UI"/>
                <w:sz w:val="18"/>
                <w:szCs w:val="18"/>
              </w:rPr>
              <w:t>Vigneri</w:t>
            </w:r>
            <w:proofErr w:type="spellEnd"/>
            <w:r w:rsidRPr="005F4560">
              <w:rPr>
                <w:rFonts w:ascii="Segoe UI" w:hAnsi="Segoe UI" w:cs="Segoe UI"/>
                <w:sz w:val="18"/>
                <w:szCs w:val="18"/>
              </w:rPr>
              <w:t xml:space="preserve"> and L. </w:t>
            </w:r>
            <w:proofErr w:type="spellStart"/>
            <w:r w:rsidRPr="005F4560">
              <w:rPr>
                <w:rFonts w:ascii="Segoe UI" w:hAnsi="Segoe UI" w:cs="Segoe UI"/>
                <w:sz w:val="18"/>
                <w:szCs w:val="18"/>
              </w:rPr>
              <w:t>Frittitta</w:t>
            </w:r>
            <w:proofErr w:type="spellEnd"/>
            <w:r w:rsidRPr="005F4560">
              <w:rPr>
                <w:rFonts w:ascii="Segoe UI" w:hAnsi="Segoe UI" w:cs="Segoe UI"/>
                <w:sz w:val="18"/>
                <w:szCs w:val="18"/>
              </w:rPr>
              <w:t xml:space="preserve"> (2012). "</w:t>
            </w:r>
            <w:proofErr w:type="spellStart"/>
            <w:r w:rsidRPr="005F4560">
              <w:rPr>
                <w:rFonts w:ascii="Segoe UI" w:hAnsi="Segoe UI" w:cs="Segoe UI"/>
                <w:sz w:val="18"/>
                <w:szCs w:val="18"/>
              </w:rPr>
              <w:t>Intragastric</w:t>
            </w:r>
            <w:proofErr w:type="spellEnd"/>
            <w:r w:rsidRPr="005F4560">
              <w:rPr>
                <w:rFonts w:ascii="Segoe UI" w:hAnsi="Segoe UI" w:cs="Segoe UI"/>
                <w:sz w:val="18"/>
                <w:szCs w:val="18"/>
              </w:rPr>
              <w:t xml:space="preserve"> balloon in association with lifestyle and/or pharmacotherapy in the long-term management of obesity." </w:t>
            </w:r>
            <w:r w:rsidRPr="005F4560">
              <w:rPr>
                <w:rFonts w:ascii="Segoe UI" w:hAnsi="Segoe UI" w:cs="Segoe UI"/>
                <w:sz w:val="18"/>
                <w:szCs w:val="18"/>
                <w:u w:val="single"/>
              </w:rPr>
              <w:t>Obesity Surgery</w:t>
            </w:r>
            <w:r w:rsidRPr="005F4560">
              <w:rPr>
                <w:rFonts w:ascii="Segoe UI" w:hAnsi="Segoe UI" w:cs="Segoe UI"/>
                <w:sz w:val="18"/>
                <w:szCs w:val="18"/>
              </w:rPr>
              <w:t xml:space="preserve"> </w:t>
            </w:r>
            <w:r w:rsidRPr="005F4560">
              <w:rPr>
                <w:rFonts w:ascii="Segoe UI" w:hAnsi="Segoe UI" w:cs="Segoe UI"/>
                <w:b/>
                <w:bCs/>
                <w:sz w:val="18"/>
                <w:szCs w:val="18"/>
              </w:rPr>
              <w:t>22</w:t>
            </w:r>
            <w:r w:rsidRPr="005F4560">
              <w:rPr>
                <w:rFonts w:ascii="Segoe UI" w:hAnsi="Segoe UI" w:cs="Segoe UI"/>
                <w:sz w:val="18"/>
                <w:szCs w:val="18"/>
              </w:rPr>
              <w:t>(4): 565-571</w:t>
            </w:r>
          </w:p>
        </w:tc>
        <w:tc>
          <w:tcPr>
            <w:tcW w:w="234" w:type="pct"/>
          </w:tcPr>
          <w:p w14:paraId="18CCA69D" w14:textId="0C1CCA26" w:rsidR="00931DBE" w:rsidRPr="005F4560" w:rsidRDefault="00931DBE" w:rsidP="00931DBE">
            <w:pPr>
              <w:spacing w:before="0" w:after="0"/>
            </w:pPr>
            <w:r w:rsidRPr="005F4560">
              <w:t>X</w:t>
            </w:r>
          </w:p>
        </w:tc>
        <w:tc>
          <w:tcPr>
            <w:tcW w:w="268" w:type="pct"/>
          </w:tcPr>
          <w:p w14:paraId="7E208F53" w14:textId="4783C316" w:rsidR="00931DBE" w:rsidRPr="005F4560" w:rsidRDefault="00931DBE" w:rsidP="00931DBE">
            <w:pPr>
              <w:spacing w:before="0" w:after="0"/>
            </w:pPr>
            <w:r w:rsidRPr="005F4560">
              <w:t>X</w:t>
            </w:r>
          </w:p>
        </w:tc>
        <w:tc>
          <w:tcPr>
            <w:tcW w:w="225" w:type="pct"/>
          </w:tcPr>
          <w:p w14:paraId="42276F7E" w14:textId="24DFEE13" w:rsidR="00931DBE" w:rsidRPr="005F4560" w:rsidRDefault="00931DBE" w:rsidP="00931DBE">
            <w:pPr>
              <w:spacing w:before="0" w:after="0"/>
            </w:pPr>
            <w:r w:rsidRPr="005F4560">
              <w:t>X</w:t>
            </w:r>
          </w:p>
        </w:tc>
        <w:tc>
          <w:tcPr>
            <w:tcW w:w="1318" w:type="pct"/>
          </w:tcPr>
          <w:p w14:paraId="3DBD0287" w14:textId="77777777" w:rsidR="00931DBE" w:rsidRPr="005F4560" w:rsidRDefault="00931DBE" w:rsidP="00931DBE">
            <w:pPr>
              <w:spacing w:before="0" w:after="0"/>
            </w:pPr>
            <w:r w:rsidRPr="005F4560">
              <w:t>Adults with BMI 30-55 kg/m</w:t>
            </w:r>
            <w:r w:rsidRPr="005F4560">
              <w:rPr>
                <w:vertAlign w:val="superscript"/>
              </w:rPr>
              <w:t>2</w:t>
            </w:r>
            <w:r w:rsidRPr="005F4560">
              <w:t xml:space="preserve"> randomised to IGB plus lifestyle modifications (N=30) or Pharmacotherapy plus lifestyle modifications (</w:t>
            </w:r>
            <w:proofErr w:type="spellStart"/>
            <w:r w:rsidRPr="005F4560">
              <w:t>sibutramine</w:t>
            </w:r>
            <w:proofErr w:type="spellEnd"/>
            <w:r w:rsidRPr="005F4560">
              <w:t xml:space="preserve">; N=20).  After IGB removed N=30, re-randomised to lifestyle (N=15) or </w:t>
            </w:r>
            <w:proofErr w:type="spellStart"/>
            <w:r w:rsidRPr="005F4560">
              <w:t>sibutramine</w:t>
            </w:r>
            <w:proofErr w:type="spellEnd"/>
            <w:r w:rsidRPr="005F4560">
              <w:t xml:space="preserve"> (N=15).</w:t>
            </w:r>
          </w:p>
          <w:p w14:paraId="1716D4A7" w14:textId="77777777" w:rsidR="00931DBE" w:rsidRPr="005F4560" w:rsidRDefault="00931DBE" w:rsidP="00931DBE">
            <w:pPr>
              <w:spacing w:before="0" w:after="0"/>
            </w:pPr>
            <w:r w:rsidRPr="005F4560">
              <w:t>Primary outcomes: percent of initial weight lost (%IWL), percent of excess BMI lost (%EBL)</w:t>
            </w:r>
          </w:p>
          <w:p w14:paraId="61E8DBD0" w14:textId="77777777" w:rsidR="00931DBE" w:rsidRPr="005F4560" w:rsidRDefault="00931DBE" w:rsidP="00931DBE">
            <w:pPr>
              <w:spacing w:before="0" w:after="0"/>
            </w:pPr>
            <w:r w:rsidRPr="005F4560">
              <w:t>Results:</w:t>
            </w:r>
          </w:p>
          <w:p w14:paraId="3D45AFE7" w14:textId="77777777" w:rsidR="00931DBE" w:rsidRPr="005F4560" w:rsidRDefault="00931DBE" w:rsidP="00931DBE">
            <w:pPr>
              <w:spacing w:before="0" w:after="0"/>
            </w:pPr>
            <w:r w:rsidRPr="005F4560">
              <w:t>At 1 year, the weight lost was significantly (P&lt;0.05) greater in patients treated with either IGB/pharmacotherapy (%IWL=15.8±2.3%, %EBL=41.3±6.7%) or IGB/lifestyle (%IWL= 14.3±2.7, %EBL=34.9±6.5%) vs. pharmacotherapy group (%IWL=8.0±1.4%, %EBL=22.1±3.9%).</w:t>
            </w:r>
          </w:p>
          <w:p w14:paraId="3579F5A1" w14:textId="77777777" w:rsidR="00931DBE" w:rsidRPr="005F4560" w:rsidRDefault="00931DBE" w:rsidP="00931DBE">
            <w:pPr>
              <w:spacing w:before="0" w:after="0"/>
            </w:pPr>
            <w:r w:rsidRPr="005F4560">
              <w:t xml:space="preserve">(Note </w:t>
            </w:r>
            <w:proofErr w:type="spellStart"/>
            <w:r w:rsidRPr="005F4560">
              <w:t>sibutramine</w:t>
            </w:r>
            <w:proofErr w:type="spellEnd"/>
            <w:r w:rsidRPr="005F4560">
              <w:t xml:space="preserve"> has since been withdrawn for safety reasons).</w:t>
            </w:r>
          </w:p>
          <w:p w14:paraId="22D0EA9F" w14:textId="77777777" w:rsidR="00931DBE" w:rsidRPr="005F4560" w:rsidRDefault="00931DBE" w:rsidP="00931DBE">
            <w:pPr>
              <w:spacing w:before="0" w:after="0"/>
            </w:pPr>
          </w:p>
          <w:p w14:paraId="7DED16DA" w14:textId="43C59407" w:rsidR="00931DBE" w:rsidRPr="005F4560" w:rsidRDefault="00931DBE" w:rsidP="00931DBE">
            <w:pPr>
              <w:spacing w:before="0" w:after="0"/>
            </w:pPr>
            <w:r w:rsidRPr="005F4560">
              <w:t>Life style modifications:  a balanced 1,000 kcal/day diet, a lifestyle change program including increased physical activity (at least 30 min/day of moderate exercise for 5 days/week), plus sessions with physician and nutritionist every 4 weeks</w:t>
            </w:r>
          </w:p>
        </w:tc>
        <w:tc>
          <w:tcPr>
            <w:tcW w:w="867" w:type="pct"/>
          </w:tcPr>
          <w:p w14:paraId="186E90F7" w14:textId="4F888EF2" w:rsidR="004729F5" w:rsidRDefault="009878BB" w:rsidP="00931DBE">
            <w:pPr>
              <w:spacing w:before="0" w:after="0"/>
              <w:rPr>
                <w:rStyle w:val="Hyperlink"/>
                <w:color w:val="auto"/>
              </w:rPr>
            </w:pPr>
            <w:hyperlink r:id="rId29" w:tooltip="Farina" w:history="1">
              <w:r w:rsidR="004729F5" w:rsidRPr="00D44965">
                <w:rPr>
                  <w:rStyle w:val="Hyperlink"/>
                </w:rPr>
                <w:t>https://www.ncbi.nlm.nih.gov/pubmed/21901285</w:t>
              </w:r>
            </w:hyperlink>
          </w:p>
          <w:p w14:paraId="0B33C964" w14:textId="56F1E1C1" w:rsidR="00931DBE" w:rsidRDefault="00931DBE" w:rsidP="00931DBE">
            <w:pPr>
              <w:spacing w:before="0" w:after="0"/>
            </w:pPr>
            <w:r w:rsidRPr="005F4560">
              <w:t xml:space="preserve"> </w:t>
            </w:r>
          </w:p>
          <w:p w14:paraId="0B92A07C" w14:textId="2A68A2A1" w:rsidR="004729F5" w:rsidRPr="005F4560" w:rsidRDefault="004729F5" w:rsidP="00931DBE">
            <w:pPr>
              <w:spacing w:before="0" w:after="0"/>
            </w:pPr>
          </w:p>
        </w:tc>
        <w:tc>
          <w:tcPr>
            <w:tcW w:w="491" w:type="pct"/>
          </w:tcPr>
          <w:p w14:paraId="13236F1F" w14:textId="7F5DE705" w:rsidR="00931DBE" w:rsidRPr="005F4560" w:rsidRDefault="00931DBE" w:rsidP="00931DBE">
            <w:pPr>
              <w:spacing w:before="0" w:after="0"/>
            </w:pPr>
            <w:r w:rsidRPr="005F4560">
              <w:t>2012</w:t>
            </w:r>
          </w:p>
        </w:tc>
      </w:tr>
      <w:tr w:rsidR="00931DBE" w:rsidRPr="005F4560" w14:paraId="1DAD135B" w14:textId="77777777" w:rsidTr="00931DBE">
        <w:trPr>
          <w:cantSplit/>
        </w:trPr>
        <w:tc>
          <w:tcPr>
            <w:tcW w:w="180" w:type="pct"/>
          </w:tcPr>
          <w:p w14:paraId="6DBA4FE3" w14:textId="795BFFAD" w:rsidR="00931DBE" w:rsidRPr="005F4560" w:rsidRDefault="00931DBE" w:rsidP="00931DBE">
            <w:pPr>
              <w:spacing w:before="0" w:after="0"/>
              <w:rPr>
                <w:szCs w:val="20"/>
              </w:rPr>
            </w:pPr>
            <w:r w:rsidRPr="005F4560">
              <w:rPr>
                <w:szCs w:val="20"/>
              </w:rPr>
              <w:lastRenderedPageBreak/>
              <w:t>17</w:t>
            </w:r>
          </w:p>
        </w:tc>
        <w:tc>
          <w:tcPr>
            <w:tcW w:w="538" w:type="pct"/>
          </w:tcPr>
          <w:p w14:paraId="1F979ABF" w14:textId="077CD816" w:rsidR="00931DBE" w:rsidRPr="005F4560" w:rsidRDefault="00931DBE" w:rsidP="00931DBE">
            <w:pPr>
              <w:spacing w:before="0" w:after="0"/>
            </w:pPr>
            <w:r w:rsidRPr="005F4560">
              <w:t>Prospective non-randomised cohort comparison.</w:t>
            </w:r>
          </w:p>
          <w:p w14:paraId="16185ECA" w14:textId="77777777" w:rsidR="00931DBE" w:rsidRPr="005F4560" w:rsidRDefault="00931DBE" w:rsidP="00931DBE">
            <w:pPr>
              <w:spacing w:before="0" w:after="0"/>
              <w:rPr>
                <w:highlight w:val="yellow"/>
              </w:rPr>
            </w:pPr>
            <w:r w:rsidRPr="005F4560">
              <w:t xml:space="preserve">IGB vs. </w:t>
            </w:r>
            <w:r w:rsidRPr="005F4560">
              <w:rPr>
                <w:szCs w:val="20"/>
              </w:rPr>
              <w:t>laparoscopic gastric banding</w:t>
            </w:r>
            <w:r w:rsidRPr="005F4560">
              <w:t xml:space="preserve"> or laparoscopic sleeve gastrectomy.</w:t>
            </w:r>
          </w:p>
        </w:tc>
        <w:tc>
          <w:tcPr>
            <w:tcW w:w="878" w:type="pct"/>
          </w:tcPr>
          <w:p w14:paraId="3FF93736" w14:textId="2688F344" w:rsidR="00931DBE" w:rsidRPr="005F4560" w:rsidRDefault="00931DBE" w:rsidP="00931DBE">
            <w:pPr>
              <w:spacing w:before="0" w:after="0"/>
            </w:pPr>
            <w:r w:rsidRPr="005F4560">
              <w:rPr>
                <w:szCs w:val="20"/>
              </w:rPr>
              <w:t xml:space="preserve">Nikolic, M., I. </w:t>
            </w:r>
            <w:proofErr w:type="spellStart"/>
            <w:r w:rsidRPr="005F4560">
              <w:rPr>
                <w:szCs w:val="20"/>
              </w:rPr>
              <w:t>Kruljac</w:t>
            </w:r>
            <w:proofErr w:type="spellEnd"/>
            <w:r w:rsidRPr="005F4560">
              <w:rPr>
                <w:szCs w:val="20"/>
              </w:rPr>
              <w:t xml:space="preserve">, L. </w:t>
            </w:r>
            <w:proofErr w:type="spellStart"/>
            <w:r w:rsidRPr="005F4560">
              <w:rPr>
                <w:szCs w:val="20"/>
              </w:rPr>
              <w:t>Kirigin</w:t>
            </w:r>
            <w:proofErr w:type="spellEnd"/>
            <w:r w:rsidRPr="005F4560">
              <w:rPr>
                <w:szCs w:val="20"/>
              </w:rPr>
              <w:t xml:space="preserve">, G. </w:t>
            </w:r>
            <w:proofErr w:type="spellStart"/>
            <w:r w:rsidRPr="005F4560">
              <w:rPr>
                <w:szCs w:val="20"/>
              </w:rPr>
              <w:t>Mirosevic</w:t>
            </w:r>
            <w:proofErr w:type="spellEnd"/>
            <w:r w:rsidRPr="005F4560">
              <w:rPr>
                <w:szCs w:val="20"/>
              </w:rPr>
              <w:t xml:space="preserve">, N. </w:t>
            </w:r>
            <w:proofErr w:type="spellStart"/>
            <w:r w:rsidRPr="005F4560">
              <w:rPr>
                <w:szCs w:val="20"/>
              </w:rPr>
              <w:t>Ljubicic</w:t>
            </w:r>
            <w:proofErr w:type="spellEnd"/>
            <w:r w:rsidRPr="005F4560">
              <w:rPr>
                <w:szCs w:val="20"/>
              </w:rPr>
              <w:t xml:space="preserve">, B. Pezo Nikolic, M. </w:t>
            </w:r>
            <w:proofErr w:type="spellStart"/>
            <w:r w:rsidRPr="005F4560">
              <w:rPr>
                <w:szCs w:val="20"/>
              </w:rPr>
              <w:t>Bekavac-Beslin</w:t>
            </w:r>
            <w:proofErr w:type="spellEnd"/>
            <w:r w:rsidRPr="005F4560">
              <w:rPr>
                <w:szCs w:val="20"/>
              </w:rPr>
              <w:t xml:space="preserve">, I. Budimir and M. </w:t>
            </w:r>
            <w:proofErr w:type="spellStart"/>
            <w:r w:rsidRPr="005F4560">
              <w:rPr>
                <w:szCs w:val="20"/>
              </w:rPr>
              <w:t>Vrkljan</w:t>
            </w:r>
            <w:proofErr w:type="spellEnd"/>
            <w:r w:rsidRPr="005F4560">
              <w:rPr>
                <w:szCs w:val="20"/>
              </w:rPr>
              <w:t xml:space="preserve"> (2015). "Initial weight loss after restrictive bariatric procedures may predict mid-term weight maintenance: Results from a 12-month pilot trial." Bariatric Surgical Practice and Patient Care 10(2): 68-73.</w:t>
            </w:r>
          </w:p>
        </w:tc>
        <w:tc>
          <w:tcPr>
            <w:tcW w:w="234" w:type="pct"/>
          </w:tcPr>
          <w:p w14:paraId="56C7E590" w14:textId="22ECAED8" w:rsidR="00931DBE" w:rsidRPr="005F4560" w:rsidRDefault="00931DBE" w:rsidP="00931DBE">
            <w:pPr>
              <w:spacing w:before="0" w:after="0"/>
            </w:pPr>
            <w:r w:rsidRPr="005F4560">
              <w:t>X</w:t>
            </w:r>
          </w:p>
        </w:tc>
        <w:tc>
          <w:tcPr>
            <w:tcW w:w="268" w:type="pct"/>
          </w:tcPr>
          <w:p w14:paraId="4DBEA213" w14:textId="17D35EE8" w:rsidR="00931DBE" w:rsidRPr="005F4560" w:rsidRDefault="00931DBE" w:rsidP="00931DBE">
            <w:pPr>
              <w:spacing w:before="0" w:after="0"/>
            </w:pPr>
            <w:r w:rsidRPr="005F4560">
              <w:t>X</w:t>
            </w:r>
          </w:p>
        </w:tc>
        <w:tc>
          <w:tcPr>
            <w:tcW w:w="225" w:type="pct"/>
          </w:tcPr>
          <w:p w14:paraId="255C87CC" w14:textId="71CE7109" w:rsidR="00931DBE" w:rsidRPr="005F4560" w:rsidRDefault="00931DBE" w:rsidP="00931DBE">
            <w:pPr>
              <w:spacing w:before="0" w:after="0"/>
            </w:pPr>
            <w:r w:rsidRPr="005F4560">
              <w:t>X</w:t>
            </w:r>
          </w:p>
        </w:tc>
        <w:tc>
          <w:tcPr>
            <w:tcW w:w="1318" w:type="pct"/>
          </w:tcPr>
          <w:p w14:paraId="69D26F3B" w14:textId="58BCA798" w:rsidR="00931DBE" w:rsidRPr="005F4560" w:rsidRDefault="00931DBE" w:rsidP="00931DBE">
            <w:pPr>
              <w:spacing w:before="0" w:after="0"/>
            </w:pPr>
            <w:r w:rsidRPr="005F4560">
              <w:t>N=44 with IGB, mean BMI 40.3 (32.6–60.8)</w:t>
            </w:r>
          </w:p>
          <w:p w14:paraId="49020745" w14:textId="4E9E1E1E" w:rsidR="00931DBE" w:rsidRPr="005F4560" w:rsidRDefault="00931DBE" w:rsidP="00931DBE">
            <w:pPr>
              <w:spacing w:before="0" w:after="0"/>
            </w:pPr>
            <w:r w:rsidRPr="005F4560">
              <w:t>N=21 LAGB, mean BMI 41.8 (36.2–50.0)</w:t>
            </w:r>
          </w:p>
          <w:p w14:paraId="6DDDBDED" w14:textId="5ED9C76A" w:rsidR="00931DBE" w:rsidRPr="005F4560" w:rsidRDefault="00931DBE" w:rsidP="00931DBE">
            <w:pPr>
              <w:spacing w:before="0" w:after="0"/>
            </w:pPr>
            <w:r w:rsidRPr="005F4560">
              <w:t>N=15 LSG, mean BMI 46.8 (40.8–58.8)</w:t>
            </w:r>
          </w:p>
          <w:p w14:paraId="6ECC2175" w14:textId="7243B409" w:rsidR="00931DBE" w:rsidRPr="005F4560" w:rsidRDefault="00931DBE" w:rsidP="00931DBE">
            <w:pPr>
              <w:spacing w:before="0" w:after="0"/>
            </w:pPr>
            <w:r w:rsidRPr="005F4560">
              <w:t>Percentage of body WL and percentage of excess weight loss (EWL) were calculated at baseline and after 1, 3, 6, and 12 months. Successful WL was defined as EWL &gt; 20% for patients treated with BIB and &gt; 50% for patients treated with LAGB and SG.</w:t>
            </w:r>
          </w:p>
          <w:p w14:paraId="282C8928" w14:textId="212B0EEA" w:rsidR="00931DBE" w:rsidRPr="005F4560" w:rsidRDefault="00931DBE" w:rsidP="0068046B">
            <w:pPr>
              <w:spacing w:before="0" w:after="0"/>
            </w:pPr>
            <w:r w:rsidRPr="005F4560">
              <w:t>Success in the 6th and 12th month was achieved in 80% and 58% of patients in the IGB group, 33% and 40% in the LAGB group, and 60% and 73% in the LSG group. In the IGB group, WL in the 1st month correlated positively with WL at the 6th and 12th month, and an initial WL &gt; 6.5% best predicted success.</w:t>
            </w:r>
            <w:r w:rsidR="0068046B" w:rsidRPr="005F4560">
              <w:t xml:space="preserve"> </w:t>
            </w:r>
          </w:p>
        </w:tc>
        <w:tc>
          <w:tcPr>
            <w:tcW w:w="867" w:type="pct"/>
          </w:tcPr>
          <w:p w14:paraId="4F967C8D" w14:textId="1069992C" w:rsidR="00931DBE" w:rsidRPr="005F4560" w:rsidRDefault="009878BB" w:rsidP="00931DBE">
            <w:pPr>
              <w:spacing w:before="0" w:after="0"/>
            </w:pPr>
            <w:hyperlink r:id="rId30" w:tooltip="Nikolic" w:history="1">
              <w:r w:rsidR="00931DBE" w:rsidRPr="005F4560">
                <w:rPr>
                  <w:rStyle w:val="Hyperlink"/>
                  <w:color w:val="auto"/>
                </w:rPr>
                <w:t>https://www.ncbi.nlm.nih.gov/pubmed/26594600</w:t>
              </w:r>
            </w:hyperlink>
            <w:r w:rsidR="00931DBE" w:rsidRPr="005F4560">
              <w:t xml:space="preserve"> </w:t>
            </w:r>
          </w:p>
        </w:tc>
        <w:tc>
          <w:tcPr>
            <w:tcW w:w="491" w:type="pct"/>
          </w:tcPr>
          <w:p w14:paraId="5B350FD4" w14:textId="34410C97" w:rsidR="00931DBE" w:rsidRPr="005F4560" w:rsidRDefault="00931DBE" w:rsidP="00931DBE">
            <w:pPr>
              <w:spacing w:before="0" w:after="0"/>
            </w:pPr>
            <w:r w:rsidRPr="005F4560">
              <w:t>2015</w:t>
            </w:r>
          </w:p>
        </w:tc>
      </w:tr>
      <w:tr w:rsidR="00931DBE" w:rsidRPr="005F4560" w14:paraId="65697C6A" w14:textId="77777777" w:rsidTr="00931DBE">
        <w:trPr>
          <w:cantSplit/>
        </w:trPr>
        <w:tc>
          <w:tcPr>
            <w:tcW w:w="180" w:type="pct"/>
          </w:tcPr>
          <w:p w14:paraId="7BE58EA9" w14:textId="04B489E7" w:rsidR="00931DBE" w:rsidRPr="005F4560" w:rsidRDefault="00931DBE" w:rsidP="00931DBE">
            <w:pPr>
              <w:spacing w:before="0" w:after="0"/>
              <w:rPr>
                <w:szCs w:val="20"/>
              </w:rPr>
            </w:pPr>
            <w:bookmarkStart w:id="8" w:name="_Hlk488076591"/>
            <w:r w:rsidRPr="005F4560">
              <w:rPr>
                <w:szCs w:val="20"/>
              </w:rPr>
              <w:lastRenderedPageBreak/>
              <w:t>18</w:t>
            </w:r>
          </w:p>
        </w:tc>
        <w:tc>
          <w:tcPr>
            <w:tcW w:w="538" w:type="pct"/>
          </w:tcPr>
          <w:p w14:paraId="5A84930E" w14:textId="77777777" w:rsidR="00931DBE" w:rsidRPr="005F4560" w:rsidRDefault="00931DBE" w:rsidP="00931DBE">
            <w:pPr>
              <w:spacing w:before="0" w:after="0"/>
            </w:pPr>
            <w:r w:rsidRPr="005F4560">
              <w:t>Roux-</w:t>
            </w:r>
            <w:proofErr w:type="spellStart"/>
            <w:r w:rsidRPr="005F4560">
              <w:t>en</w:t>
            </w:r>
            <w:proofErr w:type="spellEnd"/>
            <w:r w:rsidRPr="005F4560">
              <w:t>-Y gastric bypass (RYGB), laparoscopic adjustable gastric banding</w:t>
            </w:r>
          </w:p>
          <w:p w14:paraId="2B0A5F79" w14:textId="77777777" w:rsidR="00931DBE" w:rsidRPr="005F4560" w:rsidRDefault="00931DBE" w:rsidP="00931DBE">
            <w:pPr>
              <w:spacing w:before="0" w:after="0"/>
            </w:pPr>
            <w:r w:rsidRPr="005F4560">
              <w:t>(LAGB), and an intensive lifestyle weight loss intervention (LWLI).</w:t>
            </w:r>
          </w:p>
        </w:tc>
        <w:tc>
          <w:tcPr>
            <w:tcW w:w="878" w:type="pct"/>
          </w:tcPr>
          <w:p w14:paraId="47FD6133" w14:textId="77777777" w:rsidR="00931DBE" w:rsidRPr="005F4560" w:rsidRDefault="00931DBE" w:rsidP="00931DBE">
            <w:pPr>
              <w:spacing w:before="0" w:after="0"/>
              <w:rPr>
                <w:szCs w:val="20"/>
              </w:rPr>
            </w:pPr>
            <w:proofErr w:type="spellStart"/>
            <w:r w:rsidRPr="005F4560">
              <w:rPr>
                <w:szCs w:val="20"/>
              </w:rPr>
              <w:t>Courcoulas</w:t>
            </w:r>
            <w:proofErr w:type="spellEnd"/>
            <w:r w:rsidRPr="005F4560">
              <w:rPr>
                <w:szCs w:val="20"/>
              </w:rPr>
              <w:t xml:space="preserve">, A. P., S. H. Belle, R. H. </w:t>
            </w:r>
            <w:proofErr w:type="spellStart"/>
            <w:r w:rsidRPr="005F4560">
              <w:rPr>
                <w:szCs w:val="20"/>
              </w:rPr>
              <w:t>Neiberg</w:t>
            </w:r>
            <w:proofErr w:type="spellEnd"/>
            <w:r w:rsidRPr="005F4560">
              <w:rPr>
                <w:szCs w:val="20"/>
              </w:rPr>
              <w:t xml:space="preserve">, S. K. Pierson, J. K. Eagleton, M. A. </w:t>
            </w:r>
            <w:proofErr w:type="spellStart"/>
            <w:r w:rsidRPr="005F4560">
              <w:rPr>
                <w:szCs w:val="20"/>
              </w:rPr>
              <w:t>Kalarchian</w:t>
            </w:r>
            <w:proofErr w:type="spellEnd"/>
            <w:r w:rsidRPr="005F4560">
              <w:rPr>
                <w:szCs w:val="20"/>
              </w:rPr>
              <w:t xml:space="preserve">, J. P. De </w:t>
            </w:r>
            <w:proofErr w:type="spellStart"/>
            <w:r w:rsidRPr="005F4560">
              <w:rPr>
                <w:szCs w:val="20"/>
              </w:rPr>
              <w:t>Lany</w:t>
            </w:r>
            <w:proofErr w:type="spellEnd"/>
            <w:r w:rsidRPr="005F4560">
              <w:rPr>
                <w:szCs w:val="20"/>
              </w:rPr>
              <w:t xml:space="preserve">, W. Lang and J. M. </w:t>
            </w:r>
            <w:proofErr w:type="spellStart"/>
            <w:r w:rsidRPr="005F4560">
              <w:rPr>
                <w:szCs w:val="20"/>
              </w:rPr>
              <w:t>Jakicic</w:t>
            </w:r>
            <w:proofErr w:type="spellEnd"/>
            <w:r w:rsidRPr="005F4560">
              <w:rPr>
                <w:szCs w:val="20"/>
              </w:rPr>
              <w:t xml:space="preserve"> (2015). "Three-year outcomes of bariatric surgery vs lifestyle intervention for type 2 diabetes mellitus treatment a randomized clinical trial." JAMA Surgery 150(10): 931-940.</w:t>
            </w:r>
          </w:p>
          <w:p w14:paraId="5E86BCDD" w14:textId="77777777" w:rsidR="00931DBE" w:rsidRPr="005F4560" w:rsidRDefault="00931DBE" w:rsidP="00931DBE">
            <w:pPr>
              <w:spacing w:before="0" w:after="0"/>
              <w:rPr>
                <w:szCs w:val="20"/>
              </w:rPr>
            </w:pPr>
          </w:p>
          <w:p w14:paraId="7208543B" w14:textId="77777777" w:rsidR="00931DBE" w:rsidRPr="005F4560" w:rsidRDefault="00931DBE" w:rsidP="00931DBE">
            <w:pPr>
              <w:spacing w:before="0" w:after="0"/>
              <w:rPr>
                <w:szCs w:val="20"/>
              </w:rPr>
            </w:pPr>
            <w:r w:rsidRPr="005F4560">
              <w:rPr>
                <w:szCs w:val="20"/>
              </w:rPr>
              <w:t>2 year results</w:t>
            </w:r>
          </w:p>
        </w:tc>
        <w:tc>
          <w:tcPr>
            <w:tcW w:w="234" w:type="pct"/>
          </w:tcPr>
          <w:p w14:paraId="4494557E" w14:textId="77777777" w:rsidR="00931DBE" w:rsidRPr="005F4560" w:rsidRDefault="00931DBE" w:rsidP="00931DBE">
            <w:pPr>
              <w:spacing w:before="0" w:after="0"/>
            </w:pPr>
            <w:r w:rsidRPr="005F4560">
              <w:t>X</w:t>
            </w:r>
          </w:p>
        </w:tc>
        <w:tc>
          <w:tcPr>
            <w:tcW w:w="268" w:type="pct"/>
          </w:tcPr>
          <w:p w14:paraId="09A09892" w14:textId="77777777" w:rsidR="00931DBE" w:rsidRPr="005F4560" w:rsidRDefault="00931DBE" w:rsidP="00931DBE">
            <w:pPr>
              <w:spacing w:before="0" w:after="0"/>
            </w:pPr>
            <w:r w:rsidRPr="005F4560">
              <w:t>X</w:t>
            </w:r>
          </w:p>
        </w:tc>
        <w:tc>
          <w:tcPr>
            <w:tcW w:w="225" w:type="pct"/>
          </w:tcPr>
          <w:p w14:paraId="7109CBB0" w14:textId="3AB7273B" w:rsidR="00931DBE" w:rsidRPr="005F4560" w:rsidRDefault="000936EC" w:rsidP="00931DBE">
            <w:pPr>
              <w:spacing w:before="0" w:after="0"/>
            </w:pPr>
            <w:r>
              <w:t>-</w:t>
            </w:r>
          </w:p>
        </w:tc>
        <w:tc>
          <w:tcPr>
            <w:tcW w:w="1318" w:type="pct"/>
          </w:tcPr>
          <w:p w14:paraId="1FD8170D" w14:textId="77777777" w:rsidR="00931DBE" w:rsidRPr="005F4560" w:rsidRDefault="00931DBE" w:rsidP="00931DBE">
            <w:pPr>
              <w:spacing w:before="0" w:after="0"/>
            </w:pPr>
            <w:r w:rsidRPr="005F4560">
              <w:t xml:space="preserve">A 12-month, 3-arm RCT including 69 participants aged 25 to 55 years BMI 30 to 40 and T2DM. </w:t>
            </w:r>
          </w:p>
          <w:p w14:paraId="3FF907CB" w14:textId="77777777" w:rsidR="00931DBE" w:rsidRPr="005F4560" w:rsidRDefault="00931DBE" w:rsidP="00931DBE">
            <w:pPr>
              <w:spacing w:before="0" w:after="0"/>
            </w:pPr>
            <w:r w:rsidRPr="005F4560">
              <w:t xml:space="preserve">43% had BMI &gt;40 </w:t>
            </w:r>
            <w:r w:rsidRPr="005F4560">
              <w:rPr>
                <w:szCs w:val="20"/>
              </w:rPr>
              <w:t>kg/m</w:t>
            </w:r>
            <w:r w:rsidRPr="005F4560">
              <w:rPr>
                <w:szCs w:val="20"/>
                <w:vertAlign w:val="superscript"/>
              </w:rPr>
              <w:t>2</w:t>
            </w:r>
            <w:r w:rsidRPr="005F4560">
              <w:t xml:space="preserve">, Mean (SD) age was 47.3 (6.4) years and HbA1c level, 7.9% (2.0%). </w:t>
            </w:r>
          </w:p>
          <w:p w14:paraId="4FACC7D1" w14:textId="77777777" w:rsidR="00931DBE" w:rsidRPr="005F4560" w:rsidRDefault="00931DBE" w:rsidP="00931DBE">
            <w:pPr>
              <w:spacing w:before="0" w:after="0"/>
            </w:pPr>
            <w:r w:rsidRPr="005F4560">
              <w:t xml:space="preserve">N=20 participants underwent RYGB; N=21, LAGB; and N=20, LWLI, </w:t>
            </w:r>
          </w:p>
          <w:p w14:paraId="327A8B4C" w14:textId="77777777" w:rsidR="00931DBE" w:rsidRPr="005F4560" w:rsidRDefault="00931DBE" w:rsidP="00931DBE">
            <w:pPr>
              <w:spacing w:before="0" w:after="0"/>
            </w:pPr>
            <w:r w:rsidRPr="005F4560">
              <w:t xml:space="preserve">Results: RYGB participants had the greatest mean weight loss from baseline (27.0%; 95%CI, 30.8-23.3) compared with LAGB (17.3%; 95%CI, 21.1-13.5) and LWLI (10.2%; 95%CI, 14.8-5.61) (P &lt; .001). Partial and complete remission of T2DM were 50% and 17%, respectively, in the RYGB group and 27%and 23%, respectively, in the LAGB group (P &lt; .001 and P = .047 between groups for partial and complete remission), with no remission in the LWLI group. </w:t>
            </w:r>
          </w:p>
          <w:p w14:paraId="223EAB71" w14:textId="77777777" w:rsidR="00931DBE" w:rsidRPr="005F4560" w:rsidRDefault="00931DBE" w:rsidP="00931DBE">
            <w:pPr>
              <w:spacing w:before="0" w:after="0"/>
            </w:pPr>
            <w:r w:rsidRPr="005F4560">
              <w:t>At 3 years, any T2DM remission (partial or complete) was achieved in 40% of RYGB, 29% of LAGB, and no LWLI (p=0.0037) while complete remission was achieved in 15% of RYGB, 5% of LAGB and no LWLI group participants (p=0.21).</w:t>
            </w:r>
          </w:p>
        </w:tc>
        <w:tc>
          <w:tcPr>
            <w:tcW w:w="867" w:type="pct"/>
          </w:tcPr>
          <w:p w14:paraId="5943D6CE" w14:textId="0FE2B71A" w:rsidR="00931DBE" w:rsidRPr="005F4560" w:rsidRDefault="009878BB" w:rsidP="00931DBE">
            <w:pPr>
              <w:spacing w:before="0" w:after="0"/>
            </w:pPr>
            <w:hyperlink r:id="rId31" w:tooltip="Courcoulas" w:history="1">
              <w:r w:rsidR="00931DBE" w:rsidRPr="005F4560">
                <w:rPr>
                  <w:rStyle w:val="Hyperlink"/>
                  <w:color w:val="auto"/>
                </w:rPr>
                <w:t>https://www.ncbi.nlm.nih.gov/pubmed/26132586</w:t>
              </w:r>
            </w:hyperlink>
            <w:r w:rsidR="00931DBE" w:rsidRPr="005F4560">
              <w:t xml:space="preserve"> </w:t>
            </w:r>
          </w:p>
        </w:tc>
        <w:tc>
          <w:tcPr>
            <w:tcW w:w="491" w:type="pct"/>
          </w:tcPr>
          <w:p w14:paraId="1A9484FD" w14:textId="77777777" w:rsidR="00931DBE" w:rsidRPr="005F4560" w:rsidRDefault="00931DBE" w:rsidP="00931DBE">
            <w:pPr>
              <w:spacing w:before="0" w:after="0"/>
            </w:pPr>
            <w:r w:rsidRPr="005F4560">
              <w:t>2015</w:t>
            </w:r>
          </w:p>
          <w:p w14:paraId="4EBEA3D1" w14:textId="77777777" w:rsidR="00931DBE" w:rsidRPr="005F4560" w:rsidRDefault="00931DBE" w:rsidP="00931DBE">
            <w:pPr>
              <w:spacing w:before="0" w:after="0"/>
            </w:pPr>
          </w:p>
          <w:p w14:paraId="029F74D4" w14:textId="77777777" w:rsidR="00931DBE" w:rsidRPr="005F4560" w:rsidRDefault="00931DBE" w:rsidP="00931DBE">
            <w:pPr>
              <w:spacing w:before="0" w:after="0"/>
            </w:pPr>
            <w:proofErr w:type="spellStart"/>
            <w:r w:rsidRPr="005F4560">
              <w:t>Courcoulas</w:t>
            </w:r>
            <w:proofErr w:type="spellEnd"/>
            <w:r w:rsidRPr="005F4560">
              <w:t xml:space="preserve"> 2015 (3 year results):</w:t>
            </w:r>
          </w:p>
          <w:p w14:paraId="3A518BB5" w14:textId="77777777" w:rsidR="00931DBE" w:rsidRPr="005F4560" w:rsidRDefault="00931DBE" w:rsidP="00931DBE">
            <w:pPr>
              <w:spacing w:before="0" w:after="0"/>
            </w:pPr>
            <w:proofErr w:type="spellStart"/>
            <w:r w:rsidRPr="005F4560">
              <w:rPr>
                <w:szCs w:val="20"/>
              </w:rPr>
              <w:t>Courcoulas</w:t>
            </w:r>
            <w:proofErr w:type="spellEnd"/>
            <w:r w:rsidRPr="005F4560">
              <w:rPr>
                <w:szCs w:val="20"/>
              </w:rPr>
              <w:t xml:space="preserve">, A. P., B. H. </w:t>
            </w:r>
            <w:proofErr w:type="spellStart"/>
            <w:r w:rsidRPr="005F4560">
              <w:rPr>
                <w:szCs w:val="20"/>
              </w:rPr>
              <w:t>Goodpaster</w:t>
            </w:r>
            <w:proofErr w:type="spellEnd"/>
            <w:r w:rsidRPr="005F4560">
              <w:rPr>
                <w:szCs w:val="20"/>
              </w:rPr>
              <w:t xml:space="preserve">, J. K. Eagleton, S. H. Belle, M. A. </w:t>
            </w:r>
            <w:proofErr w:type="spellStart"/>
            <w:r w:rsidRPr="005F4560">
              <w:rPr>
                <w:szCs w:val="20"/>
              </w:rPr>
              <w:t>Kalarchian</w:t>
            </w:r>
            <w:proofErr w:type="spellEnd"/>
            <w:r w:rsidRPr="005F4560">
              <w:rPr>
                <w:szCs w:val="20"/>
              </w:rPr>
              <w:t xml:space="preserve">, W. Lang, F. G. S. Toledo and J. M. </w:t>
            </w:r>
            <w:proofErr w:type="spellStart"/>
            <w:r w:rsidRPr="005F4560">
              <w:rPr>
                <w:szCs w:val="20"/>
              </w:rPr>
              <w:t>Jakicic</w:t>
            </w:r>
            <w:proofErr w:type="spellEnd"/>
            <w:r w:rsidRPr="005F4560">
              <w:rPr>
                <w:szCs w:val="20"/>
              </w:rPr>
              <w:t xml:space="preserve"> (2014). "Surgical vs medical treatments for type 2 diabetes mellitus: A randomized clinical trial." JAMA Surgery 149(7): 707-715.</w:t>
            </w:r>
          </w:p>
        </w:tc>
      </w:tr>
      <w:tr w:rsidR="00931DBE" w:rsidRPr="005F4560" w14:paraId="5D76D922" w14:textId="77777777" w:rsidTr="00931DBE">
        <w:trPr>
          <w:cantSplit/>
        </w:trPr>
        <w:tc>
          <w:tcPr>
            <w:tcW w:w="180" w:type="pct"/>
          </w:tcPr>
          <w:p w14:paraId="23E7670C" w14:textId="0BFCDFA2" w:rsidR="00931DBE" w:rsidRPr="005F4560" w:rsidRDefault="00931DBE" w:rsidP="00931DBE">
            <w:pPr>
              <w:spacing w:before="0" w:after="0"/>
              <w:rPr>
                <w:szCs w:val="20"/>
              </w:rPr>
            </w:pPr>
            <w:r w:rsidRPr="005F4560">
              <w:rPr>
                <w:szCs w:val="20"/>
              </w:rPr>
              <w:lastRenderedPageBreak/>
              <w:t>19</w:t>
            </w:r>
          </w:p>
        </w:tc>
        <w:tc>
          <w:tcPr>
            <w:tcW w:w="538" w:type="pct"/>
          </w:tcPr>
          <w:p w14:paraId="2E40044D" w14:textId="77777777" w:rsidR="00931DBE" w:rsidRPr="005F4560" w:rsidRDefault="00931DBE" w:rsidP="00931DBE">
            <w:pPr>
              <w:spacing w:before="0" w:after="0"/>
            </w:pPr>
            <w:r w:rsidRPr="005F4560">
              <w:t xml:space="preserve">LAGB vs. lifestyle change (LC; dietary and exercise advice, </w:t>
            </w:r>
            <w:r w:rsidRPr="005F4560">
              <w:sym w:font="Symbol" w:char="F0B1"/>
            </w:r>
            <w:r w:rsidRPr="005F4560">
              <w:t xml:space="preserve"> VLED)</w:t>
            </w:r>
          </w:p>
        </w:tc>
        <w:tc>
          <w:tcPr>
            <w:tcW w:w="878" w:type="pct"/>
          </w:tcPr>
          <w:p w14:paraId="68F1D1D1" w14:textId="77777777" w:rsidR="00931DBE" w:rsidRPr="005F4560" w:rsidRDefault="00931DBE" w:rsidP="00931DBE">
            <w:pPr>
              <w:spacing w:before="0" w:after="0"/>
              <w:rPr>
                <w:szCs w:val="20"/>
              </w:rPr>
            </w:pPr>
            <w:r w:rsidRPr="005F4560">
              <w:rPr>
                <w:szCs w:val="20"/>
              </w:rPr>
              <w:t xml:space="preserve">Dixon JB, O'Brien PE, </w:t>
            </w:r>
            <w:proofErr w:type="spellStart"/>
            <w:r w:rsidRPr="005F4560">
              <w:rPr>
                <w:szCs w:val="20"/>
              </w:rPr>
              <w:t>Playfair</w:t>
            </w:r>
            <w:proofErr w:type="spellEnd"/>
            <w:r w:rsidRPr="005F4560">
              <w:rPr>
                <w:szCs w:val="20"/>
              </w:rPr>
              <w:t xml:space="preserve"> J, Chapman L, </w:t>
            </w:r>
            <w:proofErr w:type="spellStart"/>
            <w:r w:rsidRPr="005F4560">
              <w:rPr>
                <w:szCs w:val="20"/>
              </w:rPr>
              <w:t>Schachter</w:t>
            </w:r>
            <w:proofErr w:type="spellEnd"/>
            <w:r w:rsidRPr="005F4560">
              <w:rPr>
                <w:szCs w:val="20"/>
              </w:rPr>
              <w:t xml:space="preserve"> LM, Skinner S, </w:t>
            </w:r>
            <w:proofErr w:type="spellStart"/>
            <w:r w:rsidRPr="005F4560">
              <w:rPr>
                <w:szCs w:val="20"/>
              </w:rPr>
              <w:t>Proietto</w:t>
            </w:r>
            <w:proofErr w:type="spellEnd"/>
            <w:r w:rsidRPr="005F4560">
              <w:rPr>
                <w:szCs w:val="20"/>
              </w:rPr>
              <w:t xml:space="preserve"> J, Bailey M &amp; Anderson M (2008), 'Adjustable gastric banding and conventional therapy for type 2 diabetes: a randomized controlled trial', JAMA 299(3): 316-23.</w:t>
            </w:r>
          </w:p>
        </w:tc>
        <w:tc>
          <w:tcPr>
            <w:tcW w:w="234" w:type="pct"/>
          </w:tcPr>
          <w:p w14:paraId="200B2295" w14:textId="77777777" w:rsidR="00931DBE" w:rsidRPr="005F4560" w:rsidRDefault="00931DBE" w:rsidP="00931DBE">
            <w:pPr>
              <w:spacing w:before="0" w:after="0"/>
            </w:pPr>
            <w:r w:rsidRPr="005F4560">
              <w:t>X</w:t>
            </w:r>
          </w:p>
        </w:tc>
        <w:tc>
          <w:tcPr>
            <w:tcW w:w="268" w:type="pct"/>
          </w:tcPr>
          <w:p w14:paraId="663A77EE" w14:textId="77777777" w:rsidR="00931DBE" w:rsidRPr="005F4560" w:rsidRDefault="00931DBE" w:rsidP="00931DBE">
            <w:pPr>
              <w:spacing w:before="0" w:after="0"/>
            </w:pPr>
            <w:r w:rsidRPr="005F4560">
              <w:t>X</w:t>
            </w:r>
          </w:p>
        </w:tc>
        <w:tc>
          <w:tcPr>
            <w:tcW w:w="225" w:type="pct"/>
          </w:tcPr>
          <w:p w14:paraId="6C17E270" w14:textId="77777777" w:rsidR="00931DBE" w:rsidRPr="005F4560" w:rsidRDefault="00931DBE" w:rsidP="00931DBE">
            <w:pPr>
              <w:spacing w:before="0" w:after="0"/>
            </w:pPr>
            <w:r w:rsidRPr="005F4560">
              <w:t>-</w:t>
            </w:r>
          </w:p>
        </w:tc>
        <w:tc>
          <w:tcPr>
            <w:tcW w:w="1318" w:type="pct"/>
          </w:tcPr>
          <w:p w14:paraId="6B56E1FD" w14:textId="77777777" w:rsidR="00931DBE" w:rsidRPr="005F4560" w:rsidRDefault="00931DBE" w:rsidP="00931DBE">
            <w:pPr>
              <w:spacing w:before="0" w:after="0"/>
            </w:pPr>
            <w:r w:rsidRPr="005F4560">
              <w:t xml:space="preserve">Included BMI 30-40 </w:t>
            </w:r>
            <w:r w:rsidRPr="005F4560">
              <w:rPr>
                <w:szCs w:val="20"/>
              </w:rPr>
              <w:t>kg/m</w:t>
            </w:r>
            <w:r w:rsidRPr="005F4560">
              <w:rPr>
                <w:szCs w:val="20"/>
                <w:vertAlign w:val="superscript"/>
              </w:rPr>
              <w:t>2</w:t>
            </w:r>
            <w:r w:rsidRPr="005F4560">
              <w:rPr>
                <w:szCs w:val="20"/>
              </w:rPr>
              <w:t xml:space="preserve"> </w:t>
            </w:r>
            <w:r w:rsidRPr="005F4560">
              <w:t xml:space="preserve">with recently diagnosed (&lt;2 </w:t>
            </w:r>
            <w:proofErr w:type="spellStart"/>
            <w:r w:rsidRPr="005F4560">
              <w:t>yr</w:t>
            </w:r>
            <w:proofErr w:type="spellEnd"/>
            <w:r w:rsidRPr="005F4560">
              <w:t>) T2DM. Patients in both groups received medical care for T2DM.</w:t>
            </w:r>
          </w:p>
          <w:p w14:paraId="7F289820" w14:textId="77777777" w:rsidR="00931DBE" w:rsidRPr="005F4560" w:rsidRDefault="00931DBE" w:rsidP="00931DBE">
            <w:pPr>
              <w:spacing w:before="0" w:after="0"/>
            </w:pPr>
            <w:r w:rsidRPr="005F4560">
              <w:t>LAGB group (N=30):  Mean (SD) BMI 37.0 (2.7), Mean (SD) Age 46.6 (7.4).</w:t>
            </w:r>
          </w:p>
          <w:p w14:paraId="5360EF25" w14:textId="77777777" w:rsidR="00931DBE" w:rsidRPr="005F4560" w:rsidRDefault="00931DBE" w:rsidP="00931DBE">
            <w:pPr>
              <w:spacing w:before="0" w:after="0"/>
            </w:pPr>
            <w:r w:rsidRPr="005F4560">
              <w:t>LC group (N=30): Mean (SD) BMI 37.2 (2.5), Mean (SD) age 47.1 (8.7).</w:t>
            </w:r>
          </w:p>
          <w:p w14:paraId="48C35175" w14:textId="77777777" w:rsidR="00931DBE" w:rsidRPr="005F4560" w:rsidRDefault="00931DBE" w:rsidP="00931DBE">
            <w:pPr>
              <w:spacing w:before="0" w:after="0"/>
            </w:pPr>
            <w:r w:rsidRPr="005F4560">
              <w:t>Results:  Remission of T2DM achieved by 73% with LAGB, 13% in LC. LAGB and LC groups lost a mean (SD) of 20.7% (8.6%) and 1.7% (5.2%) of weight, respectively, at 2 years (P&lt;.001). Remission of type 2 diabetes was related to weight loss (R</w:t>
            </w:r>
            <w:r w:rsidRPr="005F4560">
              <w:rPr>
                <w:vertAlign w:val="superscript"/>
              </w:rPr>
              <w:t>2</w:t>
            </w:r>
            <w:r w:rsidRPr="005F4560">
              <w:t xml:space="preserve">=0.46, P&lt;.001). </w:t>
            </w:r>
            <w:proofErr w:type="gramStart"/>
            <w:r w:rsidRPr="005F4560">
              <w:t>and</w:t>
            </w:r>
            <w:proofErr w:type="gramEnd"/>
            <w:r w:rsidRPr="005F4560">
              <w:t xml:space="preserve"> lower baseline HbA1c levels (combined R</w:t>
            </w:r>
            <w:r w:rsidRPr="005F4560">
              <w:rPr>
                <w:vertAlign w:val="superscript"/>
              </w:rPr>
              <w:t>2</w:t>
            </w:r>
            <w:r w:rsidRPr="005F4560">
              <w:t>=0.52, P&lt;.001). There were no serious complications in either group.</w:t>
            </w:r>
          </w:p>
        </w:tc>
        <w:tc>
          <w:tcPr>
            <w:tcW w:w="867" w:type="pct"/>
          </w:tcPr>
          <w:p w14:paraId="0818C861" w14:textId="48DBBDA5" w:rsidR="00931DBE" w:rsidRPr="005F4560" w:rsidRDefault="009878BB" w:rsidP="00931DBE">
            <w:pPr>
              <w:spacing w:before="0" w:after="0"/>
            </w:pPr>
            <w:hyperlink r:id="rId32" w:tooltip="Dixon" w:history="1">
              <w:r w:rsidR="00931DBE" w:rsidRPr="005F4560">
                <w:rPr>
                  <w:rStyle w:val="Hyperlink"/>
                  <w:color w:val="auto"/>
                </w:rPr>
                <w:t>https://www.ncbi.nlm.nih.gov/pubmed/18212316</w:t>
              </w:r>
            </w:hyperlink>
            <w:r w:rsidR="00931DBE" w:rsidRPr="005F4560">
              <w:t xml:space="preserve"> </w:t>
            </w:r>
          </w:p>
        </w:tc>
        <w:tc>
          <w:tcPr>
            <w:tcW w:w="491" w:type="pct"/>
          </w:tcPr>
          <w:p w14:paraId="39CBE0AB" w14:textId="77777777" w:rsidR="00931DBE" w:rsidRPr="005F4560" w:rsidRDefault="00931DBE" w:rsidP="00931DBE">
            <w:pPr>
              <w:spacing w:before="0" w:after="0"/>
            </w:pPr>
            <w:r w:rsidRPr="005F4560">
              <w:t>2008</w:t>
            </w:r>
          </w:p>
        </w:tc>
      </w:tr>
      <w:tr w:rsidR="00931DBE" w:rsidRPr="005F4560" w14:paraId="0CE060AF" w14:textId="77777777" w:rsidTr="00931DBE">
        <w:trPr>
          <w:cantSplit/>
        </w:trPr>
        <w:tc>
          <w:tcPr>
            <w:tcW w:w="180" w:type="pct"/>
          </w:tcPr>
          <w:p w14:paraId="407A6101" w14:textId="158BBEB6" w:rsidR="00931DBE" w:rsidRPr="005F4560" w:rsidRDefault="00931DBE" w:rsidP="00931DBE">
            <w:pPr>
              <w:spacing w:before="0" w:after="0"/>
              <w:rPr>
                <w:szCs w:val="20"/>
              </w:rPr>
            </w:pPr>
            <w:r w:rsidRPr="005F4560">
              <w:rPr>
                <w:szCs w:val="20"/>
              </w:rPr>
              <w:lastRenderedPageBreak/>
              <w:t>20</w:t>
            </w:r>
          </w:p>
        </w:tc>
        <w:tc>
          <w:tcPr>
            <w:tcW w:w="538" w:type="pct"/>
          </w:tcPr>
          <w:p w14:paraId="38580812" w14:textId="77777777" w:rsidR="00931DBE" w:rsidRPr="005F4560" w:rsidRDefault="00931DBE" w:rsidP="00931DBE">
            <w:pPr>
              <w:spacing w:before="0" w:after="0"/>
            </w:pPr>
            <w:r w:rsidRPr="005F4560">
              <w:t>RYGB vs. intensive lifestyle intervention</w:t>
            </w:r>
          </w:p>
        </w:tc>
        <w:tc>
          <w:tcPr>
            <w:tcW w:w="878" w:type="pct"/>
          </w:tcPr>
          <w:p w14:paraId="243A5E93" w14:textId="77777777" w:rsidR="00931DBE" w:rsidRPr="005F4560" w:rsidRDefault="00931DBE" w:rsidP="00931DBE">
            <w:pPr>
              <w:spacing w:before="0" w:after="0"/>
              <w:rPr>
                <w:szCs w:val="20"/>
              </w:rPr>
            </w:pPr>
            <w:proofErr w:type="spellStart"/>
            <w:r w:rsidRPr="005F4560">
              <w:rPr>
                <w:szCs w:val="20"/>
              </w:rPr>
              <w:t>Ikramuddin</w:t>
            </w:r>
            <w:proofErr w:type="spellEnd"/>
            <w:r w:rsidRPr="005F4560">
              <w:rPr>
                <w:szCs w:val="20"/>
              </w:rPr>
              <w:t xml:space="preserve">, S., J. Korner, W. J. Lee, J. E. </w:t>
            </w:r>
            <w:proofErr w:type="spellStart"/>
            <w:r w:rsidRPr="005F4560">
              <w:rPr>
                <w:szCs w:val="20"/>
              </w:rPr>
              <w:t>Connett</w:t>
            </w:r>
            <w:proofErr w:type="spellEnd"/>
            <w:r w:rsidRPr="005F4560">
              <w:rPr>
                <w:szCs w:val="20"/>
              </w:rPr>
              <w:t xml:space="preserve">, I. W. B. </w:t>
            </w:r>
            <w:proofErr w:type="spellStart"/>
            <w:r w:rsidRPr="005F4560">
              <w:rPr>
                <w:szCs w:val="20"/>
              </w:rPr>
              <w:t>Inabnet</w:t>
            </w:r>
            <w:proofErr w:type="spellEnd"/>
            <w:r w:rsidRPr="005F4560">
              <w:rPr>
                <w:szCs w:val="20"/>
              </w:rPr>
              <w:t xml:space="preserve">, C. J. </w:t>
            </w:r>
            <w:proofErr w:type="spellStart"/>
            <w:r w:rsidRPr="005F4560">
              <w:rPr>
                <w:szCs w:val="20"/>
              </w:rPr>
              <w:t>Billington</w:t>
            </w:r>
            <w:proofErr w:type="spellEnd"/>
            <w:r w:rsidRPr="005F4560">
              <w:rPr>
                <w:szCs w:val="20"/>
              </w:rPr>
              <w:t xml:space="preserve">, A. J. Thomas, D. B. Leslie, K. Chong, R. W. Jeffery, L. Ahmed, A. Vella, L. M. Chuang, M. </w:t>
            </w:r>
            <w:proofErr w:type="spellStart"/>
            <w:r w:rsidRPr="005F4560">
              <w:rPr>
                <w:szCs w:val="20"/>
              </w:rPr>
              <w:t>Bessler</w:t>
            </w:r>
            <w:proofErr w:type="spellEnd"/>
            <w:r w:rsidRPr="005F4560">
              <w:rPr>
                <w:szCs w:val="20"/>
              </w:rPr>
              <w:t xml:space="preserve">, M. G. </w:t>
            </w:r>
            <w:proofErr w:type="spellStart"/>
            <w:r w:rsidRPr="005F4560">
              <w:rPr>
                <w:szCs w:val="20"/>
              </w:rPr>
              <w:t>Sarr</w:t>
            </w:r>
            <w:proofErr w:type="spellEnd"/>
            <w:r w:rsidRPr="005F4560">
              <w:rPr>
                <w:szCs w:val="20"/>
              </w:rPr>
              <w:t xml:space="preserve">, J. M. Swain, P. </w:t>
            </w:r>
            <w:proofErr w:type="spellStart"/>
            <w:r w:rsidRPr="005F4560">
              <w:rPr>
                <w:szCs w:val="20"/>
              </w:rPr>
              <w:t>Laqua</w:t>
            </w:r>
            <w:proofErr w:type="spellEnd"/>
            <w:r w:rsidRPr="005F4560">
              <w:rPr>
                <w:szCs w:val="20"/>
              </w:rPr>
              <w:t xml:space="preserve">, M. D. Jensen and J. P. </w:t>
            </w:r>
            <w:proofErr w:type="spellStart"/>
            <w:r w:rsidRPr="005F4560">
              <w:rPr>
                <w:szCs w:val="20"/>
              </w:rPr>
              <w:t>Bantle</w:t>
            </w:r>
            <w:proofErr w:type="spellEnd"/>
            <w:r w:rsidRPr="005F4560">
              <w:rPr>
                <w:szCs w:val="20"/>
              </w:rPr>
              <w:t xml:space="preserve"> (2013). "Roux-</w:t>
            </w:r>
            <w:proofErr w:type="spellStart"/>
            <w:r w:rsidRPr="005F4560">
              <w:rPr>
                <w:szCs w:val="20"/>
              </w:rPr>
              <w:t>en</w:t>
            </w:r>
            <w:proofErr w:type="spellEnd"/>
            <w:r w:rsidRPr="005F4560">
              <w:rPr>
                <w:szCs w:val="20"/>
              </w:rPr>
              <w:t xml:space="preserve">-Y gastric bypass vs intensive medical management for the control of type 2 diabetes, hypertension, and </w:t>
            </w:r>
            <w:proofErr w:type="spellStart"/>
            <w:r w:rsidRPr="005F4560">
              <w:rPr>
                <w:szCs w:val="20"/>
              </w:rPr>
              <w:t>hyperlipidemia</w:t>
            </w:r>
            <w:proofErr w:type="spellEnd"/>
            <w:r w:rsidRPr="005F4560">
              <w:rPr>
                <w:szCs w:val="20"/>
              </w:rPr>
              <w:t>: The diabetes surgery study randomized clinical trial." JAMA - Journal of the American Medical Association 309(21): 2240-2249.</w:t>
            </w:r>
          </w:p>
        </w:tc>
        <w:tc>
          <w:tcPr>
            <w:tcW w:w="234" w:type="pct"/>
          </w:tcPr>
          <w:p w14:paraId="6E4B048B" w14:textId="77777777" w:rsidR="00931DBE" w:rsidRPr="005F4560" w:rsidRDefault="00931DBE" w:rsidP="00931DBE">
            <w:pPr>
              <w:spacing w:before="0" w:after="0"/>
            </w:pPr>
            <w:r w:rsidRPr="005F4560">
              <w:t>X</w:t>
            </w:r>
          </w:p>
        </w:tc>
        <w:tc>
          <w:tcPr>
            <w:tcW w:w="268" w:type="pct"/>
          </w:tcPr>
          <w:p w14:paraId="4EFA2BDA" w14:textId="77777777" w:rsidR="00931DBE" w:rsidRPr="005F4560" w:rsidRDefault="00931DBE" w:rsidP="00931DBE">
            <w:pPr>
              <w:spacing w:before="0" w:after="0"/>
            </w:pPr>
            <w:r w:rsidRPr="005F4560">
              <w:t>X</w:t>
            </w:r>
          </w:p>
        </w:tc>
        <w:tc>
          <w:tcPr>
            <w:tcW w:w="225" w:type="pct"/>
          </w:tcPr>
          <w:p w14:paraId="6E711EA3" w14:textId="356EB4CF" w:rsidR="00931DBE" w:rsidRPr="005F4560" w:rsidRDefault="000936EC" w:rsidP="00931DBE">
            <w:pPr>
              <w:spacing w:before="0" w:after="0"/>
            </w:pPr>
            <w:r>
              <w:t>-</w:t>
            </w:r>
          </w:p>
        </w:tc>
        <w:tc>
          <w:tcPr>
            <w:tcW w:w="1318" w:type="pct"/>
          </w:tcPr>
          <w:p w14:paraId="04B14842" w14:textId="77777777" w:rsidR="00931DBE" w:rsidRPr="005F4560" w:rsidRDefault="00931DBE" w:rsidP="00931DBE">
            <w:pPr>
              <w:spacing w:before="0" w:after="0"/>
            </w:pPr>
            <w:r w:rsidRPr="005F4560">
              <w:t xml:space="preserve">BMI 30-39.9, T2DM ≥6 </w:t>
            </w:r>
            <w:proofErr w:type="spellStart"/>
            <w:r w:rsidRPr="005F4560">
              <w:t>mths</w:t>
            </w:r>
            <w:proofErr w:type="spellEnd"/>
            <w:r w:rsidRPr="005F4560">
              <w:t>.</w:t>
            </w:r>
          </w:p>
          <w:p w14:paraId="202DB4F7" w14:textId="77777777" w:rsidR="00931DBE" w:rsidRPr="005F4560" w:rsidRDefault="00931DBE" w:rsidP="00931DBE">
            <w:pPr>
              <w:spacing w:before="0" w:after="0"/>
            </w:pPr>
            <w:r w:rsidRPr="005F4560">
              <w:t>N=60 RYGB, N=59 lifestyle.</w:t>
            </w:r>
          </w:p>
          <w:p w14:paraId="148428EC" w14:textId="77777777" w:rsidR="00931DBE" w:rsidRPr="005F4560" w:rsidRDefault="00931DBE" w:rsidP="00931DBE">
            <w:pPr>
              <w:spacing w:before="0" w:after="0"/>
            </w:pPr>
            <w:r w:rsidRPr="005F4560">
              <w:t>Remission of T2DM results: Partial at 12 mths</w:t>
            </w:r>
            <w:proofErr w:type="gramStart"/>
            <w:r w:rsidRPr="005F4560">
              <w:t>:0</w:t>
            </w:r>
            <w:proofErr w:type="gramEnd"/>
            <w:r w:rsidRPr="005F4560">
              <w:t xml:space="preserve">% for Life vs 0% for RYGB ; at 24 </w:t>
            </w:r>
            <w:proofErr w:type="spellStart"/>
            <w:r w:rsidRPr="005F4560">
              <w:t>mths</w:t>
            </w:r>
            <w:proofErr w:type="spellEnd"/>
            <w:r w:rsidRPr="005F4560">
              <w:t xml:space="preserve">: 0% for Life vs 42% for RYGB Fully at 12 </w:t>
            </w:r>
            <w:proofErr w:type="spellStart"/>
            <w:r w:rsidRPr="005F4560">
              <w:t>mths</w:t>
            </w:r>
            <w:proofErr w:type="spellEnd"/>
            <w:r w:rsidRPr="005F4560">
              <w:t xml:space="preserve">: 0% for Life vs 0% for RYGB; at 24 </w:t>
            </w:r>
            <w:proofErr w:type="spellStart"/>
            <w:r w:rsidRPr="005F4560">
              <w:t>mths</w:t>
            </w:r>
            <w:proofErr w:type="spellEnd"/>
            <w:r w:rsidRPr="005F4560">
              <w:t>: 0% for Life vs 25% for RYGB.</w:t>
            </w:r>
          </w:p>
          <w:p w14:paraId="2D229A43" w14:textId="77777777" w:rsidR="00931DBE" w:rsidRPr="005F4560" w:rsidRDefault="00931DBE" w:rsidP="00931DBE">
            <w:pPr>
              <w:autoSpaceDE w:val="0"/>
              <w:autoSpaceDN w:val="0"/>
              <w:adjustRightInd w:val="0"/>
              <w:spacing w:before="0" w:after="0"/>
            </w:pPr>
            <w:r w:rsidRPr="005F4560">
              <w:t>At 3 years (</w:t>
            </w:r>
            <w:proofErr w:type="spellStart"/>
            <w:r w:rsidRPr="005F4560">
              <w:t>Ikramuddin</w:t>
            </w:r>
            <w:proofErr w:type="spellEnd"/>
            <w:r w:rsidRPr="005F4560">
              <w:t xml:space="preserve"> 2016): </w:t>
            </w:r>
            <w:r w:rsidRPr="005F4560">
              <w:rPr>
                <w:rFonts w:ascii="AdvOT8eb9eec2.B" w:hAnsi="AdvOT8eb9eec2.B" w:cs="AdvOT8eb9eec2.B"/>
                <w:sz w:val="19"/>
                <w:szCs w:val="19"/>
              </w:rPr>
              <w:t>No lifestyle-medical management patient had remission of diabetes at 36 months, whereas 17% of RYGB patients had full remission and 19% had partial remission. Percent weight loss was mean (SD) 6.3% (16.1) in lifestyle-medical management vs. 21.0% (14.5) in RYGB (</w:t>
            </w:r>
            <w:r w:rsidRPr="005F4560">
              <w:rPr>
                <w:rFonts w:ascii="AdvOT87508ede.BI" w:hAnsi="AdvOT87508ede.BI" w:cs="AdvOT87508ede.BI"/>
                <w:sz w:val="19"/>
                <w:szCs w:val="19"/>
              </w:rPr>
              <w:t xml:space="preserve">P </w:t>
            </w:r>
            <w:r w:rsidRPr="005F4560">
              <w:rPr>
                <w:rFonts w:ascii="AdvPSA88B" w:hAnsi="AdvPSA88B" w:cs="AdvPSA88B"/>
                <w:sz w:val="19"/>
                <w:szCs w:val="19"/>
              </w:rPr>
              <w:t xml:space="preserve">&lt; </w:t>
            </w:r>
            <w:r w:rsidRPr="005F4560">
              <w:rPr>
                <w:rFonts w:ascii="AdvOT8eb9eec2.B" w:hAnsi="AdvOT8eb9eec2.B" w:cs="AdvOT8eb9eec2.B"/>
                <w:sz w:val="19"/>
                <w:szCs w:val="19"/>
              </w:rPr>
              <w:t>0.001).</w:t>
            </w:r>
          </w:p>
        </w:tc>
        <w:tc>
          <w:tcPr>
            <w:tcW w:w="867" w:type="pct"/>
          </w:tcPr>
          <w:p w14:paraId="2384BC7B" w14:textId="2C67D149" w:rsidR="00931DBE" w:rsidRPr="005F4560" w:rsidRDefault="009878BB" w:rsidP="00931DBE">
            <w:pPr>
              <w:spacing w:before="0" w:after="0"/>
            </w:pPr>
            <w:hyperlink r:id="rId33" w:tooltip="Ikramuddin" w:history="1">
              <w:r w:rsidR="00931DBE" w:rsidRPr="005F4560">
                <w:rPr>
                  <w:rStyle w:val="Hyperlink"/>
                  <w:color w:val="auto"/>
                </w:rPr>
                <w:t>http://jamanetwork.com/journals/jama/fullarticle/1693889</w:t>
              </w:r>
            </w:hyperlink>
            <w:r w:rsidR="00931DBE" w:rsidRPr="005F4560">
              <w:t xml:space="preserve"> </w:t>
            </w:r>
          </w:p>
        </w:tc>
        <w:tc>
          <w:tcPr>
            <w:tcW w:w="491" w:type="pct"/>
          </w:tcPr>
          <w:p w14:paraId="363F80BE" w14:textId="77777777" w:rsidR="00931DBE" w:rsidRPr="005F4560" w:rsidRDefault="00931DBE" w:rsidP="00931DBE">
            <w:pPr>
              <w:spacing w:before="0" w:after="0"/>
            </w:pPr>
            <w:r w:rsidRPr="005F4560">
              <w:t>2013</w:t>
            </w:r>
          </w:p>
          <w:p w14:paraId="3D3ACC7E" w14:textId="77777777" w:rsidR="00931DBE" w:rsidRPr="005F4560" w:rsidRDefault="00931DBE" w:rsidP="00931DBE">
            <w:pPr>
              <w:spacing w:before="0" w:after="0"/>
            </w:pPr>
          </w:p>
          <w:p w14:paraId="13C3E4F4" w14:textId="77777777" w:rsidR="00931DBE" w:rsidRPr="005F4560" w:rsidRDefault="00931DBE" w:rsidP="00931DBE">
            <w:pPr>
              <w:spacing w:before="0" w:after="0"/>
            </w:pPr>
            <w:r w:rsidRPr="005F4560">
              <w:t>3 year results:</w:t>
            </w:r>
          </w:p>
          <w:p w14:paraId="5D331CAF" w14:textId="77777777" w:rsidR="00931DBE" w:rsidRPr="005F4560" w:rsidRDefault="00931DBE" w:rsidP="00931DBE">
            <w:pPr>
              <w:spacing w:before="0" w:after="0"/>
            </w:pPr>
            <w:proofErr w:type="spellStart"/>
            <w:r w:rsidRPr="005F4560">
              <w:t>Ikramiddin</w:t>
            </w:r>
            <w:proofErr w:type="spellEnd"/>
            <w:r w:rsidRPr="005F4560">
              <w:t xml:space="preserve"> et al. (2016) Diabetes Care 39(9): 1510-1518.</w:t>
            </w:r>
          </w:p>
        </w:tc>
      </w:tr>
      <w:tr w:rsidR="00931DBE" w:rsidRPr="005F4560" w14:paraId="39ED687A" w14:textId="77777777" w:rsidTr="00931DBE">
        <w:trPr>
          <w:cantSplit/>
        </w:trPr>
        <w:tc>
          <w:tcPr>
            <w:tcW w:w="180" w:type="pct"/>
          </w:tcPr>
          <w:p w14:paraId="16E9DDC3" w14:textId="0EBD60C7" w:rsidR="00931DBE" w:rsidRPr="005F4560" w:rsidRDefault="00931DBE" w:rsidP="00931DBE">
            <w:pPr>
              <w:spacing w:before="0" w:after="0"/>
              <w:rPr>
                <w:szCs w:val="20"/>
              </w:rPr>
            </w:pPr>
            <w:r w:rsidRPr="005F4560">
              <w:rPr>
                <w:szCs w:val="20"/>
              </w:rPr>
              <w:lastRenderedPageBreak/>
              <w:t>21</w:t>
            </w:r>
          </w:p>
        </w:tc>
        <w:tc>
          <w:tcPr>
            <w:tcW w:w="538" w:type="pct"/>
          </w:tcPr>
          <w:p w14:paraId="6E214212" w14:textId="77777777" w:rsidR="00931DBE" w:rsidRPr="005F4560" w:rsidRDefault="00931DBE" w:rsidP="00931DBE">
            <w:pPr>
              <w:spacing w:before="0" w:after="0"/>
            </w:pPr>
            <w:r w:rsidRPr="005F4560">
              <w:rPr>
                <w:szCs w:val="20"/>
              </w:rPr>
              <w:t>RYGB vs. Sleeve gastrectomy (SG) vs. intensive medical therapy (IMT)</w:t>
            </w:r>
          </w:p>
        </w:tc>
        <w:tc>
          <w:tcPr>
            <w:tcW w:w="878" w:type="pct"/>
          </w:tcPr>
          <w:p w14:paraId="0CF08C9A" w14:textId="77777777" w:rsidR="00931DBE" w:rsidRPr="005F4560" w:rsidRDefault="00931DBE" w:rsidP="00931DBE">
            <w:pPr>
              <w:spacing w:before="0" w:after="0"/>
              <w:rPr>
                <w:szCs w:val="20"/>
              </w:rPr>
            </w:pPr>
            <w:proofErr w:type="spellStart"/>
            <w:r w:rsidRPr="005F4560">
              <w:rPr>
                <w:szCs w:val="20"/>
              </w:rPr>
              <w:t>Kashyap</w:t>
            </w:r>
            <w:proofErr w:type="spellEnd"/>
            <w:r w:rsidRPr="005F4560">
              <w:rPr>
                <w:szCs w:val="20"/>
              </w:rPr>
              <w:t xml:space="preserve">, S. R., D. L. Bhatt, K. </w:t>
            </w:r>
            <w:proofErr w:type="spellStart"/>
            <w:r w:rsidRPr="005F4560">
              <w:rPr>
                <w:szCs w:val="20"/>
              </w:rPr>
              <w:t>Wolski</w:t>
            </w:r>
            <w:proofErr w:type="spellEnd"/>
            <w:r w:rsidRPr="005F4560">
              <w:rPr>
                <w:szCs w:val="20"/>
              </w:rPr>
              <w:t xml:space="preserve">, R. M. Watanabe, M. Abdul-Ghani, B. </w:t>
            </w:r>
            <w:proofErr w:type="spellStart"/>
            <w:r w:rsidRPr="005F4560">
              <w:rPr>
                <w:szCs w:val="20"/>
              </w:rPr>
              <w:t>Abood</w:t>
            </w:r>
            <w:proofErr w:type="spellEnd"/>
            <w:r w:rsidRPr="005F4560">
              <w:rPr>
                <w:szCs w:val="20"/>
              </w:rPr>
              <w:t xml:space="preserve">, C. E. </w:t>
            </w:r>
            <w:proofErr w:type="spellStart"/>
            <w:r w:rsidRPr="005F4560">
              <w:rPr>
                <w:szCs w:val="20"/>
              </w:rPr>
              <w:t>Pothier</w:t>
            </w:r>
            <w:proofErr w:type="spellEnd"/>
            <w:r w:rsidRPr="005F4560">
              <w:rPr>
                <w:szCs w:val="20"/>
              </w:rPr>
              <w:t xml:space="preserve">, S. </w:t>
            </w:r>
            <w:proofErr w:type="spellStart"/>
            <w:r w:rsidRPr="005F4560">
              <w:rPr>
                <w:szCs w:val="20"/>
              </w:rPr>
              <w:t>Brethauer</w:t>
            </w:r>
            <w:proofErr w:type="spellEnd"/>
            <w:r w:rsidRPr="005F4560">
              <w:rPr>
                <w:szCs w:val="20"/>
              </w:rPr>
              <w:t xml:space="preserve">, S. </w:t>
            </w:r>
            <w:proofErr w:type="spellStart"/>
            <w:r w:rsidRPr="005F4560">
              <w:rPr>
                <w:szCs w:val="20"/>
              </w:rPr>
              <w:t>Nissen</w:t>
            </w:r>
            <w:proofErr w:type="spellEnd"/>
            <w:r w:rsidRPr="005F4560">
              <w:rPr>
                <w:szCs w:val="20"/>
              </w:rPr>
              <w:t xml:space="preserve">, M. Gupta, J. P. Kirwan and P. R. </w:t>
            </w:r>
            <w:proofErr w:type="spellStart"/>
            <w:r w:rsidRPr="005F4560">
              <w:rPr>
                <w:szCs w:val="20"/>
              </w:rPr>
              <w:t>Schauer</w:t>
            </w:r>
            <w:proofErr w:type="spellEnd"/>
            <w:r w:rsidRPr="005F4560">
              <w:rPr>
                <w:szCs w:val="20"/>
              </w:rPr>
              <w:t xml:space="preserve"> (2013). "Metabolic effects of bariatric surgery in patients with moderate obesity and type 2 diabetes: Analysis of a randomized control trial comparing surgery with intensive medical treatment." Diabetes Care 36(8): 2175-2182.</w:t>
            </w:r>
          </w:p>
        </w:tc>
        <w:tc>
          <w:tcPr>
            <w:tcW w:w="234" w:type="pct"/>
          </w:tcPr>
          <w:p w14:paraId="034E9E54" w14:textId="77777777" w:rsidR="00931DBE" w:rsidRPr="005F4560" w:rsidRDefault="00931DBE" w:rsidP="00931DBE">
            <w:pPr>
              <w:spacing w:before="0" w:after="0"/>
            </w:pPr>
            <w:r w:rsidRPr="005F4560">
              <w:t>X</w:t>
            </w:r>
          </w:p>
        </w:tc>
        <w:tc>
          <w:tcPr>
            <w:tcW w:w="268" w:type="pct"/>
          </w:tcPr>
          <w:p w14:paraId="7A1CC0B2" w14:textId="77777777" w:rsidR="00931DBE" w:rsidRPr="005F4560" w:rsidRDefault="00931DBE" w:rsidP="00931DBE">
            <w:pPr>
              <w:spacing w:before="0" w:after="0"/>
            </w:pPr>
            <w:r w:rsidRPr="005F4560">
              <w:t>X</w:t>
            </w:r>
          </w:p>
        </w:tc>
        <w:tc>
          <w:tcPr>
            <w:tcW w:w="225" w:type="pct"/>
          </w:tcPr>
          <w:p w14:paraId="3C19781C" w14:textId="4A46D563" w:rsidR="00931DBE" w:rsidRPr="005F4560" w:rsidRDefault="000936EC" w:rsidP="00931DBE">
            <w:pPr>
              <w:spacing w:before="0" w:after="0"/>
            </w:pPr>
            <w:r>
              <w:t>-</w:t>
            </w:r>
          </w:p>
        </w:tc>
        <w:tc>
          <w:tcPr>
            <w:tcW w:w="1318" w:type="pct"/>
          </w:tcPr>
          <w:p w14:paraId="382195ED" w14:textId="77777777" w:rsidR="00931DBE" w:rsidRPr="005F4560" w:rsidRDefault="00931DBE" w:rsidP="00931DBE">
            <w:pPr>
              <w:spacing w:before="0" w:after="0"/>
            </w:pPr>
            <w:r w:rsidRPr="005F4560">
              <w:t xml:space="preserve">Patients with uncontrolled T2DM (HbA1c 9.7 </w:t>
            </w:r>
            <w:r w:rsidRPr="005F4560">
              <w:sym w:font="Symbol" w:char="F0B1"/>
            </w:r>
            <w:r w:rsidRPr="005F4560">
              <w:t xml:space="preserve"> 1%) </w:t>
            </w:r>
          </w:p>
          <w:p w14:paraId="7B817112" w14:textId="77777777" w:rsidR="00931DBE" w:rsidRPr="005F4560" w:rsidRDefault="00931DBE" w:rsidP="00931DBE">
            <w:pPr>
              <w:spacing w:before="0" w:after="0"/>
              <w:rPr>
                <w:szCs w:val="20"/>
              </w:rPr>
            </w:pPr>
            <w:r w:rsidRPr="005F4560">
              <w:t xml:space="preserve">N= 18 RYGB age 47.9 </w:t>
            </w:r>
            <w:r w:rsidRPr="005F4560">
              <w:sym w:font="Symbol" w:char="F0B1"/>
            </w:r>
            <w:r w:rsidRPr="005F4560">
              <w:t xml:space="preserve"> 9.7 </w:t>
            </w:r>
            <w:proofErr w:type="spellStart"/>
            <w:r w:rsidRPr="005F4560">
              <w:t>yr</w:t>
            </w:r>
            <w:proofErr w:type="spellEnd"/>
            <w:r w:rsidRPr="005F4560">
              <w:t xml:space="preserve">, BMI 36.1 </w:t>
            </w:r>
            <w:r w:rsidRPr="005F4560">
              <w:rPr>
                <w:rFonts w:ascii="Symbol" w:hAnsi="Symbol"/>
              </w:rPr>
              <w:t></w:t>
            </w:r>
            <w:r w:rsidRPr="005F4560">
              <w:t xml:space="preserve"> 2.6 </w:t>
            </w:r>
            <w:r w:rsidRPr="005F4560">
              <w:rPr>
                <w:szCs w:val="20"/>
              </w:rPr>
              <w:t>kg/m</w:t>
            </w:r>
            <w:r w:rsidRPr="005F4560">
              <w:rPr>
                <w:szCs w:val="20"/>
                <w:vertAlign w:val="superscript"/>
              </w:rPr>
              <w:t>2</w:t>
            </w:r>
          </w:p>
          <w:p w14:paraId="2FDBC6C9" w14:textId="77777777" w:rsidR="00931DBE" w:rsidRPr="005F4560" w:rsidRDefault="00931DBE" w:rsidP="00931DBE">
            <w:pPr>
              <w:spacing w:before="0" w:after="0"/>
            </w:pPr>
            <w:r w:rsidRPr="005F4560">
              <w:rPr>
                <w:szCs w:val="20"/>
              </w:rPr>
              <w:t xml:space="preserve">N= 19 SG age </w:t>
            </w:r>
            <w:r w:rsidRPr="005F4560">
              <w:t xml:space="preserve">47.5 </w:t>
            </w:r>
            <w:r w:rsidRPr="005F4560">
              <w:sym w:font="Symbol" w:char="F0B1"/>
            </w:r>
            <w:r w:rsidRPr="005F4560">
              <w:t xml:space="preserve"> 10.0 </w:t>
            </w:r>
            <w:proofErr w:type="spellStart"/>
            <w:r w:rsidRPr="005F4560">
              <w:t>yr</w:t>
            </w:r>
            <w:proofErr w:type="spellEnd"/>
            <w:r w:rsidRPr="005F4560">
              <w:t xml:space="preserve">, BMI 36.4 </w:t>
            </w:r>
            <w:r w:rsidRPr="005F4560">
              <w:rPr>
                <w:rFonts w:ascii="Symbol" w:hAnsi="Symbol"/>
              </w:rPr>
              <w:t></w:t>
            </w:r>
            <w:r w:rsidRPr="005F4560">
              <w:t xml:space="preserve"> 3.2 </w:t>
            </w:r>
            <w:r w:rsidRPr="005F4560">
              <w:rPr>
                <w:szCs w:val="20"/>
              </w:rPr>
              <w:t>kg/m</w:t>
            </w:r>
            <w:r w:rsidRPr="005F4560">
              <w:rPr>
                <w:szCs w:val="20"/>
                <w:vertAlign w:val="superscript"/>
              </w:rPr>
              <w:t>2</w:t>
            </w:r>
          </w:p>
          <w:p w14:paraId="1D65E19E" w14:textId="77777777" w:rsidR="00931DBE" w:rsidRPr="005F4560" w:rsidRDefault="00931DBE" w:rsidP="00931DBE">
            <w:pPr>
              <w:spacing w:before="0" w:after="0"/>
            </w:pPr>
            <w:r w:rsidRPr="005F4560">
              <w:t xml:space="preserve">N=17 IMT, age 50 </w:t>
            </w:r>
            <w:r w:rsidRPr="005F4560">
              <w:sym w:font="Symbol" w:char="F0B1"/>
            </w:r>
            <w:r w:rsidRPr="005F4560">
              <w:t xml:space="preserve"> 8.4 </w:t>
            </w:r>
            <w:proofErr w:type="spellStart"/>
            <w:r w:rsidRPr="005F4560">
              <w:t>yr</w:t>
            </w:r>
            <w:proofErr w:type="spellEnd"/>
            <w:r w:rsidRPr="005F4560">
              <w:t xml:space="preserve">, BMI 35.8 </w:t>
            </w:r>
            <w:r w:rsidRPr="005F4560">
              <w:sym w:font="Symbol" w:char="F0B1"/>
            </w:r>
            <w:r w:rsidRPr="005F4560">
              <w:t xml:space="preserve"> 3.0 </w:t>
            </w:r>
            <w:r w:rsidRPr="005F4560">
              <w:rPr>
                <w:szCs w:val="20"/>
              </w:rPr>
              <w:t>kg/m</w:t>
            </w:r>
            <w:r w:rsidRPr="005F4560">
              <w:rPr>
                <w:szCs w:val="20"/>
                <w:vertAlign w:val="superscript"/>
              </w:rPr>
              <w:t>2</w:t>
            </w:r>
            <w:r w:rsidRPr="005F4560">
              <w:rPr>
                <w:szCs w:val="20"/>
              </w:rPr>
              <w:t xml:space="preserve"> </w:t>
            </w:r>
          </w:p>
          <w:p w14:paraId="688D20A5" w14:textId="77777777" w:rsidR="00931DBE" w:rsidRPr="005F4560" w:rsidRDefault="00931DBE" w:rsidP="00931DBE">
            <w:pPr>
              <w:spacing w:before="0" w:after="0"/>
            </w:pPr>
            <w:r w:rsidRPr="005F4560">
              <w:t xml:space="preserve">Results at 2 years: HbA1c of 6.7 </w:t>
            </w:r>
            <w:r w:rsidRPr="005F4560">
              <w:sym w:font="Symbol" w:char="F0B1"/>
            </w:r>
            <w:r w:rsidRPr="005F4560">
              <w:t xml:space="preserve"> 1.2% for SG, 7.1 </w:t>
            </w:r>
            <w:r w:rsidRPr="005F4560">
              <w:rPr>
                <w:rFonts w:ascii="Symbol" w:hAnsi="Symbol"/>
              </w:rPr>
              <w:t></w:t>
            </w:r>
            <w:r w:rsidRPr="005F4560">
              <w:t xml:space="preserve"> 0.8% for SG, and 8.4 </w:t>
            </w:r>
            <w:r w:rsidRPr="005F4560">
              <w:rPr>
                <w:rFonts w:ascii="Symbol" w:hAnsi="Symbol"/>
              </w:rPr>
              <w:t></w:t>
            </w:r>
            <w:r w:rsidRPr="005F4560">
              <w:t xml:space="preserve"> 2.3% for IMT (P&lt;0.05 for each surgical group versus IMT). Reduction in body fat was similar for both surgery groups, with greater absolute reduction in truncal fat in gastric bypass versus sleeve gastrectomy (216 vs.210%; P=0.04). Insulin sensitivity increased significantly from baseline in RYGB (2.7-fold; P = 0.004) and did not change in sleeve gastrectomy or IMT.</w:t>
            </w:r>
          </w:p>
        </w:tc>
        <w:tc>
          <w:tcPr>
            <w:tcW w:w="867" w:type="pct"/>
          </w:tcPr>
          <w:p w14:paraId="092A4744" w14:textId="295ED494" w:rsidR="00931DBE" w:rsidRPr="005F4560" w:rsidRDefault="009878BB" w:rsidP="00931DBE">
            <w:pPr>
              <w:spacing w:before="0" w:after="0"/>
            </w:pPr>
            <w:hyperlink r:id="rId34" w:tooltip="Kashyap" w:history="1">
              <w:r w:rsidR="00931DBE" w:rsidRPr="005F4560">
                <w:rPr>
                  <w:rStyle w:val="Hyperlink"/>
                  <w:color w:val="auto"/>
                </w:rPr>
                <w:t>https://www.ncbi.nlm.nih.gov/pubmed/23439632</w:t>
              </w:r>
            </w:hyperlink>
            <w:r w:rsidR="00931DBE" w:rsidRPr="005F4560">
              <w:t xml:space="preserve"> </w:t>
            </w:r>
          </w:p>
        </w:tc>
        <w:tc>
          <w:tcPr>
            <w:tcW w:w="491" w:type="pct"/>
          </w:tcPr>
          <w:p w14:paraId="35FCAFB4" w14:textId="77777777" w:rsidR="00931DBE" w:rsidRPr="005F4560" w:rsidRDefault="00931DBE" w:rsidP="00931DBE">
            <w:pPr>
              <w:spacing w:before="0" w:after="0"/>
            </w:pPr>
            <w:r w:rsidRPr="005F4560">
              <w:t>2013</w:t>
            </w:r>
          </w:p>
        </w:tc>
      </w:tr>
      <w:tr w:rsidR="00931DBE" w:rsidRPr="005F4560" w14:paraId="5B1C23BD" w14:textId="77777777" w:rsidTr="00931DBE">
        <w:trPr>
          <w:cantSplit/>
        </w:trPr>
        <w:tc>
          <w:tcPr>
            <w:tcW w:w="180" w:type="pct"/>
          </w:tcPr>
          <w:p w14:paraId="63CDF339" w14:textId="15E7383F" w:rsidR="00931DBE" w:rsidRPr="005F4560" w:rsidRDefault="00931DBE" w:rsidP="00931DBE">
            <w:pPr>
              <w:spacing w:before="0" w:after="0"/>
              <w:rPr>
                <w:szCs w:val="20"/>
              </w:rPr>
            </w:pPr>
            <w:r w:rsidRPr="005F4560">
              <w:rPr>
                <w:szCs w:val="20"/>
              </w:rPr>
              <w:lastRenderedPageBreak/>
              <w:t>22</w:t>
            </w:r>
          </w:p>
        </w:tc>
        <w:tc>
          <w:tcPr>
            <w:tcW w:w="538" w:type="pct"/>
          </w:tcPr>
          <w:p w14:paraId="22FFBF16" w14:textId="77777777" w:rsidR="00931DBE" w:rsidRPr="005F4560" w:rsidRDefault="00931DBE" w:rsidP="00931DBE">
            <w:r w:rsidRPr="005F4560">
              <w:t>RYGB vs usual care vs. usual care + pharmacotherapy (</w:t>
            </w:r>
            <w:proofErr w:type="spellStart"/>
            <w:r w:rsidRPr="005F4560">
              <w:t>exenatide</w:t>
            </w:r>
            <w:proofErr w:type="spellEnd"/>
            <w:r w:rsidRPr="005F4560">
              <w:t>)</w:t>
            </w:r>
          </w:p>
        </w:tc>
        <w:tc>
          <w:tcPr>
            <w:tcW w:w="878" w:type="pct"/>
          </w:tcPr>
          <w:p w14:paraId="4852848F" w14:textId="77777777" w:rsidR="00931DBE" w:rsidRPr="005F4560" w:rsidRDefault="00931DBE" w:rsidP="00931DBE">
            <w:pPr>
              <w:spacing w:before="0" w:after="0"/>
              <w:rPr>
                <w:szCs w:val="20"/>
              </w:rPr>
            </w:pPr>
            <w:r w:rsidRPr="005F4560">
              <w:rPr>
                <w:szCs w:val="20"/>
              </w:rPr>
              <w:t>Liang Z, Wu Q, Chen B, Yu, P, Zhao H, Ouyang X. (2013) “Effect of laparoscopic Roux-</w:t>
            </w:r>
            <w:proofErr w:type="spellStart"/>
            <w:r w:rsidRPr="005F4560">
              <w:rPr>
                <w:szCs w:val="20"/>
              </w:rPr>
              <w:t>en</w:t>
            </w:r>
            <w:proofErr w:type="spellEnd"/>
            <w:r w:rsidRPr="005F4560">
              <w:rPr>
                <w:szCs w:val="20"/>
              </w:rPr>
              <w:t>-Y gastric bypass surgery on type 2 diabetes mellitus with hypertension: A randomized controlled trial”. Diabetes Research and Clinical Practice 101:50–6.</w:t>
            </w:r>
          </w:p>
        </w:tc>
        <w:tc>
          <w:tcPr>
            <w:tcW w:w="234" w:type="pct"/>
          </w:tcPr>
          <w:p w14:paraId="20B44C6D" w14:textId="531861B2" w:rsidR="00931DBE" w:rsidRPr="005F4560" w:rsidRDefault="00931DBE" w:rsidP="00931DBE">
            <w:pPr>
              <w:spacing w:before="0" w:after="0"/>
            </w:pPr>
            <w:r w:rsidRPr="005F4560">
              <w:t>X</w:t>
            </w:r>
          </w:p>
        </w:tc>
        <w:tc>
          <w:tcPr>
            <w:tcW w:w="268" w:type="pct"/>
          </w:tcPr>
          <w:p w14:paraId="3FE4A958" w14:textId="27A8E872" w:rsidR="00931DBE" w:rsidRPr="005F4560" w:rsidRDefault="000936EC" w:rsidP="00931DBE">
            <w:pPr>
              <w:spacing w:before="0" w:after="0"/>
            </w:pPr>
            <w:r>
              <w:t>-</w:t>
            </w:r>
          </w:p>
        </w:tc>
        <w:tc>
          <w:tcPr>
            <w:tcW w:w="225" w:type="pct"/>
          </w:tcPr>
          <w:p w14:paraId="42417434" w14:textId="799EDDDE" w:rsidR="00931DBE" w:rsidRPr="005F4560" w:rsidRDefault="000936EC" w:rsidP="00931DBE">
            <w:pPr>
              <w:spacing w:before="0" w:after="0"/>
            </w:pPr>
            <w:r>
              <w:t>-</w:t>
            </w:r>
          </w:p>
        </w:tc>
        <w:tc>
          <w:tcPr>
            <w:tcW w:w="1318" w:type="pct"/>
          </w:tcPr>
          <w:p w14:paraId="6413C38F" w14:textId="77777777" w:rsidR="00931DBE" w:rsidRPr="005F4560" w:rsidRDefault="00931DBE" w:rsidP="00931DBE">
            <w:pPr>
              <w:spacing w:before="0" w:after="0"/>
            </w:pPr>
            <w:r w:rsidRPr="005F4560">
              <w:t>Required to have BMI &gt;28 (Chinese population)</w:t>
            </w:r>
          </w:p>
          <w:p w14:paraId="65422887" w14:textId="77777777" w:rsidR="00931DBE" w:rsidRPr="005F4560" w:rsidRDefault="00931DBE" w:rsidP="00931DBE">
            <w:pPr>
              <w:spacing w:before="0" w:after="0"/>
            </w:pPr>
            <w:r w:rsidRPr="005F4560">
              <w:t xml:space="preserve">N=36 RYGB, Mean age 51.75 </w:t>
            </w:r>
            <w:r w:rsidRPr="005F4560">
              <w:sym w:font="Symbol" w:char="F0B1"/>
            </w:r>
            <w:r w:rsidRPr="005F4560">
              <w:t xml:space="preserve"> 6.70, Mean BMI 30.34 </w:t>
            </w:r>
            <w:r w:rsidRPr="005F4560">
              <w:sym w:font="Symbol" w:char="F0B1"/>
            </w:r>
            <w:r w:rsidRPr="005F4560">
              <w:t xml:space="preserve"> 1.96.  </w:t>
            </w:r>
          </w:p>
          <w:p w14:paraId="3619AC3E" w14:textId="77777777" w:rsidR="00931DBE" w:rsidRPr="005F4560" w:rsidRDefault="00931DBE" w:rsidP="00931DBE">
            <w:pPr>
              <w:spacing w:before="0" w:after="0"/>
            </w:pPr>
            <w:r w:rsidRPr="005F4560">
              <w:t xml:space="preserve">N=34 usual care, Mean age 50.94 </w:t>
            </w:r>
            <w:r w:rsidRPr="005F4560">
              <w:sym w:font="Symbol" w:char="F0B1"/>
            </w:r>
            <w:r w:rsidRPr="005F4560">
              <w:t xml:space="preserve"> 5.89, Mean BMI 30.28 </w:t>
            </w:r>
            <w:r w:rsidRPr="005F4560">
              <w:sym w:font="Symbol" w:char="F0B1"/>
            </w:r>
            <w:r w:rsidRPr="005F4560">
              <w:t xml:space="preserve"> 1.44</w:t>
            </w:r>
          </w:p>
          <w:p w14:paraId="11F1A144" w14:textId="77777777" w:rsidR="00931DBE" w:rsidRPr="005F4560" w:rsidRDefault="00931DBE" w:rsidP="00931DBE">
            <w:pPr>
              <w:spacing w:before="0" w:after="0"/>
            </w:pPr>
            <w:r w:rsidRPr="005F4560">
              <w:t xml:space="preserve">N=31 usual care + </w:t>
            </w:r>
            <w:proofErr w:type="spellStart"/>
            <w:r w:rsidRPr="005F4560">
              <w:t>exenatide</w:t>
            </w:r>
            <w:proofErr w:type="spellEnd"/>
            <w:r w:rsidRPr="005F4560">
              <w:t xml:space="preserve">, Mean age 50.81 </w:t>
            </w:r>
            <w:r w:rsidRPr="005F4560">
              <w:sym w:font="Symbol" w:char="F0B1"/>
            </w:r>
            <w:r w:rsidRPr="005F4560">
              <w:t xml:space="preserve"> 5.44, Mean BMI 30.48 </w:t>
            </w:r>
            <w:r w:rsidRPr="005F4560">
              <w:sym w:font="Symbol" w:char="F0B1"/>
            </w:r>
            <w:r w:rsidRPr="005F4560">
              <w:t xml:space="preserve">  0.94</w:t>
            </w:r>
          </w:p>
          <w:p w14:paraId="7DC45FE7" w14:textId="77777777" w:rsidR="00931DBE" w:rsidRPr="005F4560" w:rsidRDefault="00931DBE" w:rsidP="00931DBE">
            <w:pPr>
              <w:spacing w:before="0" w:after="0"/>
            </w:pPr>
            <w:r w:rsidRPr="005F4560">
              <w:t xml:space="preserve">At 12 months, diabetes remission had occurred in no patients in usual care or usual care + </w:t>
            </w:r>
            <w:proofErr w:type="spellStart"/>
            <w:r w:rsidRPr="005F4560">
              <w:t>exenatide</w:t>
            </w:r>
            <w:proofErr w:type="spellEnd"/>
            <w:r w:rsidRPr="005F4560">
              <w:t xml:space="preserve"> groups versus 90% in RYGB group, and there was a significant decrease in requirement of antihypertensive</w:t>
            </w:r>
          </w:p>
          <w:p w14:paraId="04755116" w14:textId="77777777" w:rsidR="00931DBE" w:rsidRPr="005F4560" w:rsidRDefault="00931DBE" w:rsidP="00931DBE">
            <w:pPr>
              <w:spacing w:before="0" w:after="0"/>
            </w:pPr>
            <w:proofErr w:type="gramStart"/>
            <w:r w:rsidRPr="005F4560">
              <w:t>drugs</w:t>
            </w:r>
            <w:proofErr w:type="gramEnd"/>
            <w:r w:rsidRPr="005F4560">
              <w:t xml:space="preserve"> in RYGB group compared with other 2 groups (P &lt; 0.05).</w:t>
            </w:r>
          </w:p>
          <w:p w14:paraId="71A01594" w14:textId="1BED94E2" w:rsidR="00931DBE" w:rsidRPr="005F4560" w:rsidRDefault="00931DBE" w:rsidP="00931DBE">
            <w:pPr>
              <w:spacing w:before="0" w:after="0"/>
            </w:pPr>
          </w:p>
        </w:tc>
        <w:tc>
          <w:tcPr>
            <w:tcW w:w="867" w:type="pct"/>
          </w:tcPr>
          <w:p w14:paraId="2568C7ED" w14:textId="07E5AFFD" w:rsidR="00931DBE" w:rsidRPr="005F4560" w:rsidRDefault="009878BB" w:rsidP="00931DBE">
            <w:pPr>
              <w:spacing w:before="0" w:after="0"/>
            </w:pPr>
            <w:hyperlink r:id="rId35" w:tooltip="Liang" w:history="1">
              <w:r w:rsidR="00931DBE" w:rsidRPr="005F4560">
                <w:rPr>
                  <w:rStyle w:val="Hyperlink"/>
                  <w:color w:val="auto"/>
                </w:rPr>
                <w:t>https://www.ncbi.nlm.nih.gov/pubmed/23706413</w:t>
              </w:r>
            </w:hyperlink>
            <w:r w:rsidR="00931DBE" w:rsidRPr="005F4560">
              <w:t xml:space="preserve"> </w:t>
            </w:r>
          </w:p>
        </w:tc>
        <w:tc>
          <w:tcPr>
            <w:tcW w:w="491" w:type="pct"/>
          </w:tcPr>
          <w:p w14:paraId="3FCA9DFF" w14:textId="77777777" w:rsidR="00931DBE" w:rsidRPr="005F4560" w:rsidRDefault="00931DBE" w:rsidP="00931DBE">
            <w:pPr>
              <w:spacing w:before="0" w:after="0"/>
            </w:pPr>
            <w:r w:rsidRPr="005F4560">
              <w:t>2013</w:t>
            </w:r>
          </w:p>
        </w:tc>
      </w:tr>
      <w:tr w:rsidR="00931DBE" w:rsidRPr="005F4560" w14:paraId="37E37ECC" w14:textId="77777777" w:rsidTr="00931DBE">
        <w:trPr>
          <w:cantSplit/>
        </w:trPr>
        <w:tc>
          <w:tcPr>
            <w:tcW w:w="180" w:type="pct"/>
          </w:tcPr>
          <w:p w14:paraId="55AD9D69" w14:textId="66DF3D42" w:rsidR="00931DBE" w:rsidRPr="005F4560" w:rsidRDefault="00931DBE" w:rsidP="00931DBE">
            <w:pPr>
              <w:spacing w:before="0" w:after="0"/>
              <w:rPr>
                <w:szCs w:val="20"/>
              </w:rPr>
            </w:pPr>
            <w:r w:rsidRPr="005F4560">
              <w:rPr>
                <w:szCs w:val="20"/>
              </w:rPr>
              <w:lastRenderedPageBreak/>
              <w:t>23</w:t>
            </w:r>
          </w:p>
        </w:tc>
        <w:tc>
          <w:tcPr>
            <w:tcW w:w="538" w:type="pct"/>
          </w:tcPr>
          <w:p w14:paraId="007CA6C8" w14:textId="77777777" w:rsidR="00931DBE" w:rsidRPr="005F4560" w:rsidRDefault="00931DBE" w:rsidP="00931DBE">
            <w:pPr>
              <w:spacing w:before="0" w:after="0"/>
            </w:pPr>
            <w:r w:rsidRPr="005F4560">
              <w:t>NHMRC Clinical Practice Guidelines</w:t>
            </w:r>
          </w:p>
        </w:tc>
        <w:tc>
          <w:tcPr>
            <w:tcW w:w="878" w:type="pct"/>
          </w:tcPr>
          <w:p w14:paraId="4916EDC5" w14:textId="77777777" w:rsidR="00931DBE" w:rsidRPr="005F4560" w:rsidRDefault="00931DBE" w:rsidP="00931DBE">
            <w:pPr>
              <w:spacing w:before="0" w:after="0"/>
              <w:rPr>
                <w:szCs w:val="20"/>
              </w:rPr>
            </w:pPr>
            <w:r w:rsidRPr="005F4560">
              <w:rPr>
                <w:szCs w:val="20"/>
              </w:rPr>
              <w:t>National Health and Medical Research Council (2013) Clinical practice guidelines for the management of overweight and obesity in adults, adolescents and children in Australia - Systematic Review. Melbourne: National Health and Medical</w:t>
            </w:r>
          </w:p>
          <w:p w14:paraId="0FAC715E" w14:textId="77777777" w:rsidR="00931DBE" w:rsidRPr="005F4560" w:rsidRDefault="00931DBE" w:rsidP="00931DBE">
            <w:pPr>
              <w:spacing w:before="0" w:after="0"/>
              <w:rPr>
                <w:szCs w:val="20"/>
              </w:rPr>
            </w:pPr>
            <w:r w:rsidRPr="005F4560">
              <w:rPr>
                <w:szCs w:val="20"/>
              </w:rPr>
              <w:t>Research Council.</w:t>
            </w:r>
          </w:p>
        </w:tc>
        <w:tc>
          <w:tcPr>
            <w:tcW w:w="234" w:type="pct"/>
          </w:tcPr>
          <w:p w14:paraId="6585D712" w14:textId="7A6AE96F" w:rsidR="00931DBE" w:rsidRPr="005F4560" w:rsidRDefault="000936EC" w:rsidP="00931DBE">
            <w:pPr>
              <w:spacing w:before="0" w:after="0"/>
            </w:pPr>
            <w:r>
              <w:t>-</w:t>
            </w:r>
          </w:p>
        </w:tc>
        <w:tc>
          <w:tcPr>
            <w:tcW w:w="268" w:type="pct"/>
          </w:tcPr>
          <w:p w14:paraId="5A98C905" w14:textId="28032231" w:rsidR="00931DBE" w:rsidRPr="005F4560" w:rsidRDefault="000936EC" w:rsidP="00931DBE">
            <w:pPr>
              <w:spacing w:before="0" w:after="0"/>
            </w:pPr>
            <w:r>
              <w:t>-</w:t>
            </w:r>
          </w:p>
        </w:tc>
        <w:tc>
          <w:tcPr>
            <w:tcW w:w="225" w:type="pct"/>
          </w:tcPr>
          <w:p w14:paraId="3264ABD8" w14:textId="308C6639" w:rsidR="00931DBE" w:rsidRPr="005F4560" w:rsidRDefault="000936EC" w:rsidP="00931DBE">
            <w:pPr>
              <w:spacing w:before="0" w:after="0"/>
            </w:pPr>
            <w:r>
              <w:t>-</w:t>
            </w:r>
          </w:p>
        </w:tc>
        <w:tc>
          <w:tcPr>
            <w:tcW w:w="1318" w:type="pct"/>
          </w:tcPr>
          <w:p w14:paraId="5B214DF1" w14:textId="77777777" w:rsidR="00931DBE" w:rsidRPr="005F4560" w:rsidRDefault="00931DBE" w:rsidP="00931DBE">
            <w:pPr>
              <w:spacing w:before="0" w:after="0"/>
            </w:pPr>
            <w:r w:rsidRPr="005F4560">
              <w:t>Bariatric surgery is more effective than other treatment options in achieving significant weight loss in adult and adolescent patients with obesity. In adults, all classes of obesity are improved with various bariatric surgical types. Weight regain after bariatric surgery occurs regardless of the bariatric surgical type. Achieving long-term weight loss therefore requires weight maintenance strategies to be applied after bariatric surgery has been performed. Bariatric surgery is associated with significant short-term improvements in some cardio-metabolic risk factors and in short-term resolution of metabolic syndrome and newly developed (&lt; 2 years) type 2 diabetes. However, data from over ten years or greater duration follow-up suggest that these benefits are not maintained long-term.</w:t>
            </w:r>
          </w:p>
        </w:tc>
        <w:tc>
          <w:tcPr>
            <w:tcW w:w="867" w:type="pct"/>
          </w:tcPr>
          <w:p w14:paraId="27B7F38A" w14:textId="660F0ED8" w:rsidR="00931DBE" w:rsidRPr="005F4560" w:rsidRDefault="009878BB" w:rsidP="00931DBE">
            <w:pPr>
              <w:spacing w:before="0" w:after="0"/>
            </w:pPr>
            <w:hyperlink r:id="rId36" w:tooltip="NHMRC" w:history="1">
              <w:r w:rsidR="00931DBE" w:rsidRPr="005F4560">
                <w:rPr>
                  <w:rStyle w:val="Hyperlink"/>
                  <w:color w:val="auto"/>
                </w:rPr>
                <w:t>https://www.nhmrc.gov.au/guidelines-publications/n57</w:t>
              </w:r>
            </w:hyperlink>
            <w:r w:rsidR="00931DBE" w:rsidRPr="005F4560">
              <w:t xml:space="preserve"> </w:t>
            </w:r>
          </w:p>
        </w:tc>
        <w:tc>
          <w:tcPr>
            <w:tcW w:w="491" w:type="pct"/>
          </w:tcPr>
          <w:p w14:paraId="5706B891" w14:textId="77777777" w:rsidR="00931DBE" w:rsidRPr="005F4560" w:rsidRDefault="00931DBE" w:rsidP="00931DBE">
            <w:pPr>
              <w:spacing w:before="0" w:after="0"/>
            </w:pPr>
            <w:r w:rsidRPr="005F4560">
              <w:t>2013</w:t>
            </w:r>
          </w:p>
        </w:tc>
      </w:tr>
      <w:tr w:rsidR="00931DBE" w:rsidRPr="005F4560" w14:paraId="503CEE7A" w14:textId="77777777" w:rsidTr="00931DBE">
        <w:trPr>
          <w:cantSplit/>
        </w:trPr>
        <w:tc>
          <w:tcPr>
            <w:tcW w:w="180" w:type="pct"/>
          </w:tcPr>
          <w:p w14:paraId="2D843612" w14:textId="4364D0CD" w:rsidR="00931DBE" w:rsidRPr="005F4560" w:rsidRDefault="00931DBE" w:rsidP="00931DBE">
            <w:pPr>
              <w:spacing w:before="0" w:after="0"/>
              <w:rPr>
                <w:szCs w:val="20"/>
              </w:rPr>
            </w:pPr>
            <w:r w:rsidRPr="005F4560">
              <w:rPr>
                <w:szCs w:val="20"/>
              </w:rPr>
              <w:t>24</w:t>
            </w:r>
          </w:p>
        </w:tc>
        <w:tc>
          <w:tcPr>
            <w:tcW w:w="538" w:type="pct"/>
          </w:tcPr>
          <w:p w14:paraId="441B21D6" w14:textId="77777777" w:rsidR="00931DBE" w:rsidRPr="005F4560" w:rsidRDefault="00931DBE" w:rsidP="00931DBE">
            <w:pPr>
              <w:spacing w:before="0" w:after="0"/>
            </w:pPr>
            <w:r w:rsidRPr="005F4560">
              <w:t>MA</w:t>
            </w:r>
          </w:p>
        </w:tc>
        <w:tc>
          <w:tcPr>
            <w:tcW w:w="878" w:type="pct"/>
          </w:tcPr>
          <w:p w14:paraId="5FEDEBA7" w14:textId="77777777" w:rsidR="00931DBE" w:rsidRPr="005F4560" w:rsidRDefault="00931DBE" w:rsidP="00931DBE">
            <w:pPr>
              <w:spacing w:before="0" w:after="0"/>
              <w:rPr>
                <w:szCs w:val="20"/>
              </w:rPr>
            </w:pPr>
            <w:r w:rsidRPr="005F4560">
              <w:rPr>
                <w:szCs w:val="20"/>
              </w:rPr>
              <w:t xml:space="preserve">Colquitt, J. L., K. Pickett, E. </w:t>
            </w:r>
            <w:proofErr w:type="spellStart"/>
            <w:r w:rsidRPr="005F4560">
              <w:rPr>
                <w:szCs w:val="20"/>
              </w:rPr>
              <w:t>Loveman</w:t>
            </w:r>
            <w:proofErr w:type="spellEnd"/>
            <w:r w:rsidRPr="005F4560">
              <w:rPr>
                <w:szCs w:val="20"/>
              </w:rPr>
              <w:t xml:space="preserve"> and G. K. Frampton (2014). "Surgery for weight loss in adults." The Cochrane database of systematic reviews 8: CD003641.</w:t>
            </w:r>
          </w:p>
        </w:tc>
        <w:tc>
          <w:tcPr>
            <w:tcW w:w="234" w:type="pct"/>
          </w:tcPr>
          <w:p w14:paraId="45764880" w14:textId="2A1B464D" w:rsidR="00931DBE" w:rsidRPr="005F4560" w:rsidRDefault="000936EC" w:rsidP="00931DBE">
            <w:pPr>
              <w:spacing w:before="0" w:after="0"/>
            </w:pPr>
            <w:r>
              <w:t>-</w:t>
            </w:r>
          </w:p>
        </w:tc>
        <w:tc>
          <w:tcPr>
            <w:tcW w:w="268" w:type="pct"/>
          </w:tcPr>
          <w:p w14:paraId="65C82061" w14:textId="6675505E" w:rsidR="00931DBE" w:rsidRPr="005F4560" w:rsidRDefault="000936EC" w:rsidP="00931DBE">
            <w:pPr>
              <w:spacing w:before="0" w:after="0"/>
            </w:pPr>
            <w:r>
              <w:t>-</w:t>
            </w:r>
          </w:p>
        </w:tc>
        <w:tc>
          <w:tcPr>
            <w:tcW w:w="225" w:type="pct"/>
          </w:tcPr>
          <w:p w14:paraId="498F06D3" w14:textId="7CBAC200" w:rsidR="00931DBE" w:rsidRPr="005F4560" w:rsidRDefault="000936EC" w:rsidP="00931DBE">
            <w:pPr>
              <w:spacing w:before="0" w:after="0"/>
            </w:pPr>
            <w:r>
              <w:t>-</w:t>
            </w:r>
          </w:p>
        </w:tc>
        <w:tc>
          <w:tcPr>
            <w:tcW w:w="1318" w:type="pct"/>
          </w:tcPr>
          <w:p w14:paraId="0F05A179" w14:textId="77777777" w:rsidR="00931DBE" w:rsidRPr="005F4560" w:rsidRDefault="00931DBE" w:rsidP="00931DBE">
            <w:pPr>
              <w:spacing w:before="0" w:after="0"/>
            </w:pPr>
            <w:r w:rsidRPr="005F4560">
              <w:t>Seven RCTs compared surgery with non-surgical interventions; however, the participants, types of surgery and the comparators differed between the studies. Meta-analysis of weight loss outcomes for surgery versus non-surgical interventions was considered inappropriate since the RCTs differed in the characteristics of their participants, interventions and comparators. Instead, outcomes were synthesised narratively.  Compared with non-surgical interventions, surgery had a consistent effect on each of the outcome measures related to weight, regardless of the type of procedure.</w:t>
            </w:r>
          </w:p>
        </w:tc>
        <w:tc>
          <w:tcPr>
            <w:tcW w:w="867" w:type="pct"/>
          </w:tcPr>
          <w:p w14:paraId="66106A1C" w14:textId="157ADFBE" w:rsidR="00931DBE" w:rsidRPr="005F4560" w:rsidRDefault="009878BB" w:rsidP="00931DBE">
            <w:pPr>
              <w:spacing w:before="0" w:after="0"/>
            </w:pPr>
            <w:hyperlink r:id="rId37" w:tooltip="Colquitt" w:history="1">
              <w:r w:rsidR="00931DBE" w:rsidRPr="005F4560">
                <w:rPr>
                  <w:rStyle w:val="Hyperlink"/>
                  <w:color w:val="auto"/>
                </w:rPr>
                <w:t>https://www.ncbi.nlm.nih.gov/pubmed/25105982</w:t>
              </w:r>
            </w:hyperlink>
            <w:r w:rsidR="00931DBE" w:rsidRPr="005F4560">
              <w:t xml:space="preserve"> </w:t>
            </w:r>
          </w:p>
        </w:tc>
        <w:tc>
          <w:tcPr>
            <w:tcW w:w="491" w:type="pct"/>
          </w:tcPr>
          <w:p w14:paraId="1EC39522" w14:textId="77777777" w:rsidR="00931DBE" w:rsidRPr="005F4560" w:rsidRDefault="00931DBE" w:rsidP="00931DBE">
            <w:pPr>
              <w:spacing w:before="0" w:after="0"/>
            </w:pPr>
            <w:r w:rsidRPr="005F4560">
              <w:t>2014</w:t>
            </w:r>
          </w:p>
        </w:tc>
      </w:tr>
      <w:tr w:rsidR="00931DBE" w:rsidRPr="005F4560" w14:paraId="6B235292" w14:textId="77777777" w:rsidTr="00931DBE">
        <w:trPr>
          <w:cantSplit/>
        </w:trPr>
        <w:tc>
          <w:tcPr>
            <w:tcW w:w="180" w:type="pct"/>
          </w:tcPr>
          <w:p w14:paraId="4C958FD8" w14:textId="708DB444" w:rsidR="00931DBE" w:rsidRPr="005F4560" w:rsidRDefault="00931DBE" w:rsidP="00931DBE">
            <w:pPr>
              <w:spacing w:before="0" w:after="0"/>
              <w:rPr>
                <w:szCs w:val="20"/>
              </w:rPr>
            </w:pPr>
            <w:r w:rsidRPr="005F4560">
              <w:rPr>
                <w:szCs w:val="20"/>
              </w:rPr>
              <w:lastRenderedPageBreak/>
              <w:t>25</w:t>
            </w:r>
          </w:p>
        </w:tc>
        <w:tc>
          <w:tcPr>
            <w:tcW w:w="538" w:type="pct"/>
          </w:tcPr>
          <w:p w14:paraId="20BC1CEC" w14:textId="77777777" w:rsidR="00931DBE" w:rsidRPr="005F4560" w:rsidRDefault="00931DBE" w:rsidP="00931DBE">
            <w:pPr>
              <w:spacing w:before="0" w:after="0"/>
            </w:pPr>
            <w:r w:rsidRPr="005F4560">
              <w:t>MA</w:t>
            </w:r>
          </w:p>
        </w:tc>
        <w:tc>
          <w:tcPr>
            <w:tcW w:w="878" w:type="pct"/>
          </w:tcPr>
          <w:p w14:paraId="6BAE6033" w14:textId="77777777" w:rsidR="00931DBE" w:rsidRPr="005F4560" w:rsidRDefault="00931DBE" w:rsidP="00931DBE">
            <w:pPr>
              <w:spacing w:before="0" w:after="0"/>
              <w:rPr>
                <w:szCs w:val="20"/>
              </w:rPr>
            </w:pPr>
            <w:r w:rsidRPr="005F4560">
              <w:rPr>
                <w:szCs w:val="20"/>
              </w:rPr>
              <w:t xml:space="preserve">Picot, J., J. Jones, J. L. Colquitt, E. </w:t>
            </w:r>
            <w:proofErr w:type="spellStart"/>
            <w:r w:rsidRPr="005F4560">
              <w:rPr>
                <w:szCs w:val="20"/>
              </w:rPr>
              <w:t>Gospodarevskaya</w:t>
            </w:r>
            <w:proofErr w:type="spellEnd"/>
            <w:r w:rsidRPr="005F4560">
              <w:rPr>
                <w:szCs w:val="20"/>
              </w:rPr>
              <w:t xml:space="preserve">, E. </w:t>
            </w:r>
            <w:proofErr w:type="spellStart"/>
            <w:r w:rsidRPr="005F4560">
              <w:rPr>
                <w:szCs w:val="20"/>
              </w:rPr>
              <w:t>Loveman</w:t>
            </w:r>
            <w:proofErr w:type="spellEnd"/>
            <w:r w:rsidRPr="005F4560">
              <w:rPr>
                <w:szCs w:val="20"/>
              </w:rPr>
              <w:t>, L. Baxter and A. J. Clegg (2009). "The clinical effectiveness and cost-effectiveness of bariatric (weight loss) surgery for obesity: A systematic review and economic evaluation." Health Technology Assessment 13(41).</w:t>
            </w:r>
          </w:p>
        </w:tc>
        <w:tc>
          <w:tcPr>
            <w:tcW w:w="234" w:type="pct"/>
          </w:tcPr>
          <w:p w14:paraId="1BAD75E5" w14:textId="24F4BD59" w:rsidR="00931DBE" w:rsidRPr="005F4560" w:rsidRDefault="000936EC" w:rsidP="00931DBE">
            <w:pPr>
              <w:spacing w:before="0" w:after="0"/>
            </w:pPr>
            <w:r>
              <w:t>-</w:t>
            </w:r>
          </w:p>
        </w:tc>
        <w:tc>
          <w:tcPr>
            <w:tcW w:w="268" w:type="pct"/>
          </w:tcPr>
          <w:p w14:paraId="6890A549" w14:textId="701EFBE1" w:rsidR="00931DBE" w:rsidRPr="005F4560" w:rsidRDefault="000936EC" w:rsidP="00931DBE">
            <w:pPr>
              <w:spacing w:before="0" w:after="0"/>
            </w:pPr>
            <w:r>
              <w:t>-</w:t>
            </w:r>
          </w:p>
        </w:tc>
        <w:tc>
          <w:tcPr>
            <w:tcW w:w="225" w:type="pct"/>
          </w:tcPr>
          <w:p w14:paraId="1021CC38" w14:textId="69749084" w:rsidR="00931DBE" w:rsidRPr="005F4560" w:rsidRDefault="000936EC" w:rsidP="00931DBE">
            <w:pPr>
              <w:spacing w:before="0" w:after="0"/>
            </w:pPr>
            <w:r>
              <w:t>-</w:t>
            </w:r>
          </w:p>
        </w:tc>
        <w:tc>
          <w:tcPr>
            <w:tcW w:w="1318" w:type="pct"/>
          </w:tcPr>
          <w:p w14:paraId="7BA44CFE" w14:textId="77777777" w:rsidR="00931DBE" w:rsidRPr="005F4560" w:rsidRDefault="00931DBE" w:rsidP="00931DBE">
            <w:pPr>
              <w:spacing w:before="0" w:after="0"/>
            </w:pPr>
            <w:r w:rsidRPr="005F4560">
              <w:t xml:space="preserve">A total of 5386 references were identified of which 26 were included in the clinical effectiveness review: three randomised controlled trials (RCTs) and three cohort studies compared surgery with non-surgical interventions and 20 RCTs compared different surgical procedures. Bariatric surgery was a more effective intervention for weight loss than non-surgical options. In one large cohort study weight loss was still apparent 10 years after surgery, whereas patients receiving conventional treatment had gained weight. Some measures of </w:t>
            </w:r>
            <w:proofErr w:type="spellStart"/>
            <w:r w:rsidRPr="005F4560">
              <w:t>QoL</w:t>
            </w:r>
            <w:proofErr w:type="spellEnd"/>
            <w:r w:rsidRPr="005F4560">
              <w:t xml:space="preserve"> improved after surgery, but not others. After surgery, statistically fewer people had metabolic syndrome and there was higher remission of Type 2 diabetes than in non-surgical groups.</w:t>
            </w:r>
          </w:p>
        </w:tc>
        <w:tc>
          <w:tcPr>
            <w:tcW w:w="867" w:type="pct"/>
          </w:tcPr>
          <w:p w14:paraId="692AA581" w14:textId="4E4FE5D0" w:rsidR="00931DBE" w:rsidRPr="005F4560" w:rsidRDefault="009878BB" w:rsidP="00931DBE">
            <w:pPr>
              <w:spacing w:before="0" w:after="0"/>
            </w:pPr>
            <w:hyperlink r:id="rId38" w:tooltip="Picot" w:history="1">
              <w:r w:rsidR="00931DBE" w:rsidRPr="005F4560">
                <w:rPr>
                  <w:rStyle w:val="Hyperlink"/>
                  <w:color w:val="auto"/>
                </w:rPr>
                <w:t>https://www.ncbi.nlm.nih.gov/pubmed/19726018</w:t>
              </w:r>
            </w:hyperlink>
            <w:r w:rsidR="00931DBE" w:rsidRPr="005F4560">
              <w:t xml:space="preserve"> </w:t>
            </w:r>
          </w:p>
        </w:tc>
        <w:tc>
          <w:tcPr>
            <w:tcW w:w="491" w:type="pct"/>
          </w:tcPr>
          <w:p w14:paraId="241C422C" w14:textId="77777777" w:rsidR="00931DBE" w:rsidRPr="005F4560" w:rsidRDefault="00931DBE" w:rsidP="00931DBE">
            <w:pPr>
              <w:spacing w:before="0" w:after="0"/>
            </w:pPr>
            <w:r w:rsidRPr="005F4560">
              <w:t>2009</w:t>
            </w:r>
          </w:p>
        </w:tc>
      </w:tr>
      <w:bookmarkEnd w:id="8"/>
    </w:tbl>
    <w:p w14:paraId="45239AE8" w14:textId="77777777" w:rsidR="00EF037A" w:rsidRPr="005F4560" w:rsidRDefault="00EF037A" w:rsidP="00EF037A"/>
    <w:p w14:paraId="01FA9778" w14:textId="77777777" w:rsidR="00027035" w:rsidRPr="005F4560" w:rsidRDefault="00027035" w:rsidP="00027035">
      <w:pPr>
        <w:rPr>
          <w:i/>
          <w:szCs w:val="20"/>
          <w:highlight w:val="yellow"/>
        </w:rPr>
      </w:pPr>
      <w:r w:rsidRPr="005F4560">
        <w:t xml:space="preserve">BMI, body mass index; EBL, excess BMI lost; EWL, excess weight loss; HPT, hypertension; IB or IGB, </w:t>
      </w:r>
      <w:proofErr w:type="spellStart"/>
      <w:r w:rsidRPr="005F4560">
        <w:t>intragastric</w:t>
      </w:r>
      <w:proofErr w:type="spellEnd"/>
      <w:r w:rsidRPr="005F4560">
        <w:t xml:space="preserve"> balloon; LAGB, laparoscopic adjustable gastric lap-banding; LSG, laparoscopic sleeve gastrectomy, RYGB, </w:t>
      </w:r>
      <w:proofErr w:type="spellStart"/>
      <w:r w:rsidRPr="005F4560">
        <w:t>Roex</w:t>
      </w:r>
      <w:proofErr w:type="spellEnd"/>
      <w:r w:rsidRPr="005F4560">
        <w:t>-</w:t>
      </w:r>
      <w:proofErr w:type="spellStart"/>
      <w:r w:rsidRPr="005F4560">
        <w:t>en</w:t>
      </w:r>
      <w:proofErr w:type="spellEnd"/>
      <w:r w:rsidRPr="005F4560">
        <w:t>-Y gastric bypass surgery; T2DM, type 2 diabetes mellitus; VLED, very low energy diet</w:t>
      </w:r>
    </w:p>
    <w:p w14:paraId="05917A43" w14:textId="77777777" w:rsidR="00DD308E" w:rsidRPr="005F4560" w:rsidRDefault="00DD308E" w:rsidP="00DD308E">
      <w:pPr>
        <w:rPr>
          <w:i/>
          <w:szCs w:val="20"/>
        </w:rPr>
      </w:pPr>
      <w:r w:rsidRPr="005F4560">
        <w:rPr>
          <w:i/>
          <w:szCs w:val="20"/>
        </w:rPr>
        <w:br w:type="page"/>
      </w:r>
    </w:p>
    <w:p w14:paraId="390C2180" w14:textId="77777777" w:rsidR="00DD308E" w:rsidRPr="005F4560" w:rsidRDefault="00DD308E">
      <w:pPr>
        <w:rPr>
          <w:b/>
          <w:sz w:val="32"/>
          <w:szCs w:val="32"/>
        </w:rPr>
        <w:sectPr w:rsidR="00DD308E" w:rsidRPr="005F4560" w:rsidSect="002550EE">
          <w:pgSz w:w="16838" w:h="11906" w:orient="landscape"/>
          <w:pgMar w:top="1276" w:right="1440" w:bottom="1440" w:left="1440" w:header="708" w:footer="708" w:gutter="0"/>
          <w:cols w:space="708"/>
          <w:docGrid w:linePitch="360"/>
        </w:sectPr>
      </w:pPr>
    </w:p>
    <w:p w14:paraId="216E0F13" w14:textId="5B727FED" w:rsidR="004C49EF" w:rsidRPr="005F4560" w:rsidRDefault="004C49EF" w:rsidP="0035303D">
      <w:pPr>
        <w:pStyle w:val="Heading2"/>
        <w:numPr>
          <w:ilvl w:val="0"/>
          <w:numId w:val="0"/>
        </w:numPr>
        <w:rPr>
          <w:i/>
        </w:rPr>
      </w:pPr>
      <w:r w:rsidRPr="005F4560">
        <w:lastRenderedPageBreak/>
        <w:t>Identify yet to be published research that may have results available in the near future that could be relevant in the consideration of your application by MSAC (limiting these to the English language only).</w:t>
      </w:r>
      <w:r w:rsidRPr="005F4560">
        <w:rPr>
          <w:i/>
        </w:rPr>
        <w:t xml:space="preserve"> Please do not attach full text articles, this is just intended to be a summary.</w:t>
      </w:r>
    </w:p>
    <w:tbl>
      <w:tblPr>
        <w:tblStyle w:val="TableGrid"/>
        <w:tblW w:w="5398" w:type="pct"/>
        <w:tblLayout w:type="fixed"/>
        <w:tblLook w:val="04A0" w:firstRow="1" w:lastRow="0" w:firstColumn="1" w:lastColumn="0" w:noHBand="0" w:noVBand="1"/>
        <w:tblCaption w:val="Summary of Evidence - Yet to be Published"/>
      </w:tblPr>
      <w:tblGrid>
        <w:gridCol w:w="469"/>
        <w:gridCol w:w="1512"/>
        <w:gridCol w:w="2409"/>
        <w:gridCol w:w="6945"/>
        <w:gridCol w:w="2554"/>
        <w:gridCol w:w="1169"/>
      </w:tblGrid>
      <w:tr w:rsidR="002A59B5" w:rsidRPr="005F4560" w14:paraId="63212947" w14:textId="77777777" w:rsidTr="001A6D56">
        <w:trPr>
          <w:cantSplit/>
          <w:tblHeader/>
        </w:trPr>
        <w:tc>
          <w:tcPr>
            <w:tcW w:w="156" w:type="pct"/>
            <w:shd w:val="clear" w:color="auto" w:fill="D9D9D9" w:themeFill="background1" w:themeFillShade="D9"/>
          </w:tcPr>
          <w:p w14:paraId="1644FF75" w14:textId="77777777" w:rsidR="002A59B5" w:rsidRPr="005F4560" w:rsidRDefault="002A59B5" w:rsidP="00027035">
            <w:pPr>
              <w:pStyle w:val="TableHEADER"/>
            </w:pPr>
          </w:p>
        </w:tc>
        <w:tc>
          <w:tcPr>
            <w:tcW w:w="502" w:type="pct"/>
            <w:shd w:val="clear" w:color="auto" w:fill="D9D9D9" w:themeFill="background1" w:themeFillShade="D9"/>
          </w:tcPr>
          <w:p w14:paraId="7008DDC7" w14:textId="77777777" w:rsidR="002A59B5" w:rsidRPr="005F4560" w:rsidRDefault="002A59B5" w:rsidP="00027035">
            <w:pPr>
              <w:pStyle w:val="TableHEADER"/>
            </w:pPr>
            <w:r w:rsidRPr="005F4560">
              <w:t>Type of study design*</w:t>
            </w:r>
          </w:p>
        </w:tc>
        <w:tc>
          <w:tcPr>
            <w:tcW w:w="800" w:type="pct"/>
            <w:shd w:val="clear" w:color="auto" w:fill="D9D9D9" w:themeFill="background1" w:themeFillShade="D9"/>
          </w:tcPr>
          <w:p w14:paraId="1F3116ED" w14:textId="77777777" w:rsidR="002A59B5" w:rsidRPr="005F4560" w:rsidRDefault="002A59B5" w:rsidP="00027035">
            <w:pPr>
              <w:pStyle w:val="TableHEADER"/>
            </w:pPr>
            <w:r w:rsidRPr="005F4560">
              <w:t>Title of research (including any trial identifier if relevant)</w:t>
            </w:r>
          </w:p>
        </w:tc>
        <w:tc>
          <w:tcPr>
            <w:tcW w:w="2306" w:type="pct"/>
            <w:shd w:val="clear" w:color="auto" w:fill="D9D9D9" w:themeFill="background1" w:themeFillShade="D9"/>
          </w:tcPr>
          <w:p w14:paraId="230C6878" w14:textId="77777777" w:rsidR="002A59B5" w:rsidRPr="005F4560" w:rsidRDefault="002A59B5" w:rsidP="00027035">
            <w:pPr>
              <w:pStyle w:val="TableHEADER"/>
            </w:pPr>
            <w:r w:rsidRPr="005F4560">
              <w:t>Short description of research (max 50 words)</w:t>
            </w:r>
          </w:p>
          <w:p w14:paraId="394950D9" w14:textId="25F833E1" w:rsidR="00422DBF" w:rsidRPr="005F4560" w:rsidRDefault="005324A6" w:rsidP="00027035">
            <w:pPr>
              <w:pStyle w:val="TableHEADER"/>
            </w:pPr>
            <w:r w:rsidRPr="005F4560">
              <w:t>(</w:t>
            </w:r>
            <w:r w:rsidR="00422DBF" w:rsidRPr="005F4560">
              <w:t xml:space="preserve">Only </w:t>
            </w:r>
            <w:proofErr w:type="spellStart"/>
            <w:r w:rsidR="00DC685F">
              <w:t>Orbera</w:t>
            </w:r>
            <w:proofErr w:type="spellEnd"/>
            <w:r w:rsidR="00DC685F">
              <w:t>™</w:t>
            </w:r>
            <w:r w:rsidRPr="005F4560">
              <w:t xml:space="preserve"> (</w:t>
            </w:r>
            <w:proofErr w:type="spellStart"/>
            <w:r w:rsidRPr="005F4560">
              <w:t>BioEnterics</w:t>
            </w:r>
            <w:proofErr w:type="spellEnd"/>
            <w:r w:rsidRPr="005F4560">
              <w:t xml:space="preserve"> </w:t>
            </w:r>
            <w:proofErr w:type="spellStart"/>
            <w:r w:rsidRPr="005F4560">
              <w:t>Intragastric</w:t>
            </w:r>
            <w:proofErr w:type="spellEnd"/>
            <w:r w:rsidRPr="005F4560">
              <w:t xml:space="preserve"> Balloon (BIB))</w:t>
            </w:r>
            <w:r w:rsidR="00422DBF" w:rsidRPr="005F4560">
              <w:t xml:space="preserve"> studies</w:t>
            </w:r>
            <w:r w:rsidRPr="005F4560">
              <w:t xml:space="preserve"> included)</w:t>
            </w:r>
          </w:p>
        </w:tc>
        <w:tc>
          <w:tcPr>
            <w:tcW w:w="848" w:type="pct"/>
            <w:shd w:val="clear" w:color="auto" w:fill="D9D9D9" w:themeFill="background1" w:themeFillShade="D9"/>
          </w:tcPr>
          <w:p w14:paraId="4CAF6B00" w14:textId="77777777" w:rsidR="002A59B5" w:rsidRPr="005F4560" w:rsidRDefault="002A59B5" w:rsidP="00027035">
            <w:pPr>
              <w:pStyle w:val="TableHEADER"/>
            </w:pPr>
            <w:r w:rsidRPr="005F4560">
              <w:t>Website link to research (if available)</w:t>
            </w:r>
          </w:p>
        </w:tc>
        <w:tc>
          <w:tcPr>
            <w:tcW w:w="388" w:type="pct"/>
            <w:shd w:val="clear" w:color="auto" w:fill="D9D9D9" w:themeFill="background1" w:themeFillShade="D9"/>
          </w:tcPr>
          <w:p w14:paraId="00A8B47F" w14:textId="77777777" w:rsidR="002A59B5" w:rsidRPr="005F4560" w:rsidRDefault="002A59B5" w:rsidP="00027035">
            <w:pPr>
              <w:pStyle w:val="TableHEADER"/>
            </w:pPr>
            <w:r w:rsidRPr="005F4560">
              <w:t>Date</w:t>
            </w:r>
          </w:p>
        </w:tc>
      </w:tr>
      <w:tr w:rsidR="007435A6" w:rsidRPr="005F4560" w14:paraId="2066DCCA" w14:textId="77777777" w:rsidTr="005324A6">
        <w:trPr>
          <w:cantSplit/>
        </w:trPr>
        <w:tc>
          <w:tcPr>
            <w:tcW w:w="156" w:type="pct"/>
          </w:tcPr>
          <w:p w14:paraId="73E570E7" w14:textId="43CAC578" w:rsidR="007435A6" w:rsidRPr="005F4560" w:rsidRDefault="00AF2A29" w:rsidP="00027035">
            <w:pPr>
              <w:pStyle w:val="TableHEADER"/>
              <w:rPr>
                <w:b w:val="0"/>
              </w:rPr>
            </w:pPr>
            <w:r w:rsidRPr="005F4560">
              <w:rPr>
                <w:b w:val="0"/>
              </w:rPr>
              <w:t>1</w:t>
            </w:r>
          </w:p>
        </w:tc>
        <w:tc>
          <w:tcPr>
            <w:tcW w:w="502" w:type="pct"/>
          </w:tcPr>
          <w:p w14:paraId="44294C66" w14:textId="2B18557A" w:rsidR="007435A6" w:rsidRPr="005F4560" w:rsidRDefault="00AF2A29" w:rsidP="00027035">
            <w:pPr>
              <w:pStyle w:val="TableHEADER"/>
              <w:rPr>
                <w:b w:val="0"/>
              </w:rPr>
            </w:pPr>
            <w:r w:rsidRPr="005F4560">
              <w:rPr>
                <w:b w:val="0"/>
              </w:rPr>
              <w:t>Observational, Prospective</w:t>
            </w:r>
          </w:p>
        </w:tc>
        <w:tc>
          <w:tcPr>
            <w:tcW w:w="800" w:type="pct"/>
          </w:tcPr>
          <w:p w14:paraId="7F64AFE8" w14:textId="0465852E" w:rsidR="007435A6" w:rsidRPr="005F4560" w:rsidRDefault="00AF2A29" w:rsidP="00027035">
            <w:pPr>
              <w:pStyle w:val="TableHEADER"/>
              <w:rPr>
                <w:b w:val="0"/>
              </w:rPr>
            </w:pPr>
            <w:r w:rsidRPr="005F4560">
              <w:rPr>
                <w:b w:val="0"/>
              </w:rPr>
              <w:t xml:space="preserve">NCT02828657: </w:t>
            </w:r>
            <w:proofErr w:type="spellStart"/>
            <w:r w:rsidR="00DC685F">
              <w:rPr>
                <w:b w:val="0"/>
              </w:rPr>
              <w:t>Orbera</w:t>
            </w:r>
            <w:proofErr w:type="spellEnd"/>
            <w:r w:rsidRPr="005F4560">
              <w:rPr>
                <w:b w:val="0"/>
              </w:rPr>
              <w:t>™ Post-Approval Study</w:t>
            </w:r>
          </w:p>
        </w:tc>
        <w:tc>
          <w:tcPr>
            <w:tcW w:w="2306" w:type="pct"/>
          </w:tcPr>
          <w:p w14:paraId="7872846E" w14:textId="5BF2FAC7" w:rsidR="007435A6" w:rsidRPr="005F4560" w:rsidRDefault="00AF2A29">
            <w:pPr>
              <w:pStyle w:val="TableHEADER"/>
              <w:rPr>
                <w:b w:val="0"/>
              </w:rPr>
            </w:pPr>
            <w:r w:rsidRPr="005F4560">
              <w:rPr>
                <w:b w:val="0"/>
              </w:rPr>
              <w:t xml:space="preserve">FDA post-approval study designed to demonstrate the safety and effectiveness of </w:t>
            </w:r>
            <w:r w:rsidR="00DC685F">
              <w:rPr>
                <w:b w:val="0"/>
              </w:rPr>
              <w:t>ORBERA</w:t>
            </w:r>
            <w:r w:rsidRPr="005F4560">
              <w:rPr>
                <w:b w:val="0"/>
              </w:rPr>
              <w:t xml:space="preserve">™ as an adjunct to weight reduction for obese adults (22 years of age and older) with a Body Mass Index (BMI) of ≥ 30 kg/m2 and BMI ≤ 40 kg/m2. </w:t>
            </w:r>
            <w:proofErr w:type="spellStart"/>
            <w:r w:rsidRPr="005F4560">
              <w:rPr>
                <w:b w:val="0"/>
              </w:rPr>
              <w:t>Behavioral</w:t>
            </w:r>
            <w:proofErr w:type="spellEnd"/>
            <w:r w:rsidRPr="005F4560">
              <w:rPr>
                <w:b w:val="0"/>
              </w:rPr>
              <w:t xml:space="preserve"> modification program in conjunction with endoscopic placement of a single </w:t>
            </w:r>
            <w:r w:rsidR="00DC685F">
              <w:rPr>
                <w:b w:val="0"/>
              </w:rPr>
              <w:t>ORBERA</w:t>
            </w:r>
            <w:r w:rsidRPr="005F4560">
              <w:rPr>
                <w:b w:val="0"/>
              </w:rPr>
              <w:t xml:space="preserve">™ </w:t>
            </w:r>
          </w:p>
          <w:p w14:paraId="6E2B5E2E" w14:textId="77777777" w:rsidR="009D06B1" w:rsidRPr="005F4560" w:rsidRDefault="009D06B1">
            <w:pPr>
              <w:pStyle w:val="TableHEADER"/>
              <w:rPr>
                <w:b w:val="0"/>
              </w:rPr>
            </w:pPr>
            <w:r w:rsidRPr="005F4560">
              <w:rPr>
                <w:b w:val="0"/>
              </w:rPr>
              <w:t>Study is currently recruiting participants</w:t>
            </w:r>
          </w:p>
          <w:p w14:paraId="54BD42BA" w14:textId="1E124450" w:rsidR="005324A6" w:rsidRPr="005F4560" w:rsidRDefault="005324A6">
            <w:pPr>
              <w:pStyle w:val="TableHEADER"/>
              <w:rPr>
                <w:b w:val="0"/>
              </w:rPr>
            </w:pPr>
            <w:r w:rsidRPr="005F4560">
              <w:rPr>
                <w:b w:val="0"/>
              </w:rPr>
              <w:t xml:space="preserve">Device: </w:t>
            </w:r>
            <w:proofErr w:type="spellStart"/>
            <w:r w:rsidR="00DC685F">
              <w:rPr>
                <w:b w:val="0"/>
              </w:rPr>
              <w:t>Orbera</w:t>
            </w:r>
            <w:proofErr w:type="spellEnd"/>
            <w:r w:rsidR="00DC685F">
              <w:rPr>
                <w:b w:val="0"/>
              </w:rPr>
              <w:t>™</w:t>
            </w:r>
          </w:p>
        </w:tc>
        <w:tc>
          <w:tcPr>
            <w:tcW w:w="848" w:type="pct"/>
          </w:tcPr>
          <w:p w14:paraId="3FE205B5" w14:textId="4EE83D44" w:rsidR="007435A6" w:rsidRDefault="009878BB" w:rsidP="00027035">
            <w:pPr>
              <w:pStyle w:val="TableHEADER"/>
              <w:rPr>
                <w:b w:val="0"/>
              </w:rPr>
            </w:pPr>
            <w:hyperlink r:id="rId39" w:tooltip="US National Library of Medicine Clinical trial" w:history="1">
              <w:r w:rsidR="002550EE" w:rsidRPr="00D44965">
                <w:rPr>
                  <w:rStyle w:val="Hyperlink"/>
                  <w:b w:val="0"/>
                </w:rPr>
                <w:t>https://www.clinicaltrials.gov/ct2/show/NCT02828657?cord=Orbera&amp;rank=1</w:t>
              </w:r>
            </w:hyperlink>
          </w:p>
          <w:p w14:paraId="7BB5C5B0" w14:textId="07681B0A" w:rsidR="002550EE" w:rsidRPr="005F4560" w:rsidRDefault="002550EE" w:rsidP="00027035">
            <w:pPr>
              <w:pStyle w:val="TableHEADER"/>
              <w:rPr>
                <w:b w:val="0"/>
              </w:rPr>
            </w:pPr>
          </w:p>
        </w:tc>
        <w:tc>
          <w:tcPr>
            <w:tcW w:w="388" w:type="pct"/>
          </w:tcPr>
          <w:p w14:paraId="076DF544" w14:textId="73C47CD5" w:rsidR="007435A6" w:rsidRPr="005F4560" w:rsidRDefault="00AF2A29" w:rsidP="00027035">
            <w:pPr>
              <w:pStyle w:val="TableHEADER"/>
              <w:rPr>
                <w:b w:val="0"/>
              </w:rPr>
            </w:pPr>
            <w:r w:rsidRPr="005F4560">
              <w:rPr>
                <w:b w:val="0"/>
              </w:rPr>
              <w:t>June 2018</w:t>
            </w:r>
          </w:p>
        </w:tc>
      </w:tr>
      <w:tr w:rsidR="00AF2A29" w:rsidRPr="005F4560" w14:paraId="5024DDD2" w14:textId="77777777" w:rsidTr="005324A6">
        <w:trPr>
          <w:cantSplit/>
        </w:trPr>
        <w:tc>
          <w:tcPr>
            <w:tcW w:w="156" w:type="pct"/>
          </w:tcPr>
          <w:p w14:paraId="48A93CDD" w14:textId="2617F131" w:rsidR="00AF2A29" w:rsidRPr="005F4560" w:rsidRDefault="00AF2A29" w:rsidP="00027035">
            <w:pPr>
              <w:pStyle w:val="TableHEADER"/>
              <w:rPr>
                <w:b w:val="0"/>
              </w:rPr>
            </w:pPr>
            <w:r w:rsidRPr="005F4560">
              <w:rPr>
                <w:b w:val="0"/>
              </w:rPr>
              <w:t>2</w:t>
            </w:r>
          </w:p>
        </w:tc>
        <w:tc>
          <w:tcPr>
            <w:tcW w:w="502" w:type="pct"/>
          </w:tcPr>
          <w:p w14:paraId="1F90C660" w14:textId="4CEDE0BB" w:rsidR="00AF2A29" w:rsidRPr="005F4560" w:rsidRDefault="00AF2A29" w:rsidP="00027035">
            <w:pPr>
              <w:pStyle w:val="TableHEADER"/>
              <w:rPr>
                <w:b w:val="0"/>
              </w:rPr>
            </w:pPr>
            <w:r w:rsidRPr="005F4560">
              <w:rPr>
                <w:b w:val="0"/>
              </w:rPr>
              <w:t>Interventional, Randomised</w:t>
            </w:r>
          </w:p>
        </w:tc>
        <w:tc>
          <w:tcPr>
            <w:tcW w:w="800" w:type="pct"/>
          </w:tcPr>
          <w:p w14:paraId="10170D6C" w14:textId="0FD620AA" w:rsidR="00AF2A29" w:rsidRPr="005F4560" w:rsidRDefault="00AF2A29" w:rsidP="00027035">
            <w:pPr>
              <w:pStyle w:val="TableHEADER"/>
              <w:rPr>
                <w:b w:val="0"/>
              </w:rPr>
            </w:pPr>
            <w:r w:rsidRPr="005F4560">
              <w:rPr>
                <w:b w:val="0"/>
              </w:rPr>
              <w:t xml:space="preserve">NCT01998243; Usefulness and Safeness of </w:t>
            </w:r>
            <w:proofErr w:type="spellStart"/>
            <w:r w:rsidRPr="005F4560">
              <w:rPr>
                <w:b w:val="0"/>
              </w:rPr>
              <w:t>Intragastric</w:t>
            </w:r>
            <w:proofErr w:type="spellEnd"/>
            <w:r w:rsidRPr="005F4560">
              <w:rPr>
                <w:b w:val="0"/>
              </w:rPr>
              <w:t xml:space="preserve"> Balloon Before Bariatric Surgery in Morbid Obesity</w:t>
            </w:r>
          </w:p>
        </w:tc>
        <w:tc>
          <w:tcPr>
            <w:tcW w:w="2306" w:type="pct"/>
          </w:tcPr>
          <w:p w14:paraId="168C82E4" w14:textId="77777777" w:rsidR="00AF2A29" w:rsidRPr="005F4560" w:rsidRDefault="00AF2A29" w:rsidP="00AF2A29">
            <w:pPr>
              <w:pStyle w:val="TableHEADER"/>
              <w:rPr>
                <w:b w:val="0"/>
              </w:rPr>
            </w:pPr>
            <w:r w:rsidRPr="005F4560">
              <w:rPr>
                <w:b w:val="0"/>
              </w:rPr>
              <w:t xml:space="preserve">This study is designed to </w:t>
            </w:r>
            <w:r w:rsidR="009D06B1" w:rsidRPr="005F4560">
              <w:rPr>
                <w:b w:val="0"/>
              </w:rPr>
              <w:t>study whether the use of an IGB before bariatric surgery decreases surgical morbidity as well as other secondary outcomes including decreases mortality, and hospital stay.</w:t>
            </w:r>
          </w:p>
          <w:p w14:paraId="12D26653" w14:textId="77777777" w:rsidR="009D06B1" w:rsidRPr="005F4560" w:rsidRDefault="009D06B1" w:rsidP="00AF2A29">
            <w:pPr>
              <w:pStyle w:val="TableHEADER"/>
              <w:rPr>
                <w:b w:val="0"/>
              </w:rPr>
            </w:pPr>
            <w:r w:rsidRPr="005F4560">
              <w:rPr>
                <w:b w:val="0"/>
              </w:rPr>
              <w:t>Study is currently recruiting participants</w:t>
            </w:r>
          </w:p>
          <w:p w14:paraId="5F6A92B8" w14:textId="33D2E2B5" w:rsidR="005324A6" w:rsidRPr="005F4560" w:rsidRDefault="005324A6" w:rsidP="00AF2A29">
            <w:pPr>
              <w:pStyle w:val="TableHEADER"/>
              <w:rPr>
                <w:b w:val="0"/>
              </w:rPr>
            </w:pPr>
            <w:r w:rsidRPr="005F4560">
              <w:rPr>
                <w:b w:val="0"/>
              </w:rPr>
              <w:t>Device</w:t>
            </w:r>
            <w:r w:rsidR="007A487A" w:rsidRPr="005F4560">
              <w:rPr>
                <w:b w:val="0"/>
              </w:rPr>
              <w:t>:</w:t>
            </w:r>
            <w:r w:rsidRPr="005F4560">
              <w:rPr>
                <w:b w:val="0"/>
              </w:rPr>
              <w:t xml:space="preserve"> </w:t>
            </w:r>
            <w:proofErr w:type="spellStart"/>
            <w:r w:rsidRPr="005F4560">
              <w:rPr>
                <w:b w:val="0"/>
              </w:rPr>
              <w:t>BioEnterics</w:t>
            </w:r>
            <w:proofErr w:type="spellEnd"/>
            <w:r w:rsidRPr="005F4560">
              <w:rPr>
                <w:b w:val="0"/>
              </w:rPr>
              <w:t xml:space="preserve"> </w:t>
            </w:r>
            <w:proofErr w:type="spellStart"/>
            <w:r w:rsidRPr="005F4560">
              <w:rPr>
                <w:b w:val="0"/>
              </w:rPr>
              <w:t>Intragastric</w:t>
            </w:r>
            <w:proofErr w:type="spellEnd"/>
            <w:r w:rsidRPr="005F4560">
              <w:rPr>
                <w:b w:val="0"/>
              </w:rPr>
              <w:t xml:space="preserve"> Balloon</w:t>
            </w:r>
          </w:p>
        </w:tc>
        <w:tc>
          <w:tcPr>
            <w:tcW w:w="848" w:type="pct"/>
          </w:tcPr>
          <w:p w14:paraId="600BB9C9" w14:textId="7739FD8A" w:rsidR="00AF2A29" w:rsidRDefault="009878BB" w:rsidP="00027035">
            <w:pPr>
              <w:pStyle w:val="TableHEADER"/>
              <w:rPr>
                <w:b w:val="0"/>
              </w:rPr>
            </w:pPr>
            <w:hyperlink r:id="rId40" w:tooltip="US National Library of Medicine Clinical trial" w:history="1">
              <w:r w:rsidR="002550EE" w:rsidRPr="00D44965">
                <w:rPr>
                  <w:rStyle w:val="Hyperlink"/>
                  <w:b w:val="0"/>
                </w:rPr>
                <w:t>https://www.clinicaltrials.gov/ct2/show/study/NCT01998243?cond=intragastric+balloon&amp;draw=1&amp;rank=5</w:t>
              </w:r>
            </w:hyperlink>
          </w:p>
          <w:p w14:paraId="168B7650" w14:textId="387E4AE3" w:rsidR="002550EE" w:rsidRPr="005F4560" w:rsidRDefault="002550EE" w:rsidP="00027035">
            <w:pPr>
              <w:pStyle w:val="TableHEADER"/>
              <w:rPr>
                <w:b w:val="0"/>
              </w:rPr>
            </w:pPr>
          </w:p>
        </w:tc>
        <w:tc>
          <w:tcPr>
            <w:tcW w:w="388" w:type="pct"/>
          </w:tcPr>
          <w:p w14:paraId="7F4689E4" w14:textId="1D361B8E" w:rsidR="00AF2A29" w:rsidRPr="005F4560" w:rsidRDefault="00AF2A29" w:rsidP="00027035">
            <w:pPr>
              <w:pStyle w:val="TableHEADER"/>
              <w:rPr>
                <w:b w:val="0"/>
              </w:rPr>
            </w:pPr>
            <w:r w:rsidRPr="005F4560">
              <w:rPr>
                <w:b w:val="0"/>
              </w:rPr>
              <w:t>December 2016</w:t>
            </w:r>
          </w:p>
        </w:tc>
      </w:tr>
      <w:tr w:rsidR="002A59B5" w:rsidRPr="005F4560" w14:paraId="33A088CB" w14:textId="77777777" w:rsidTr="005324A6">
        <w:trPr>
          <w:cantSplit/>
        </w:trPr>
        <w:tc>
          <w:tcPr>
            <w:tcW w:w="156" w:type="pct"/>
          </w:tcPr>
          <w:p w14:paraId="137EA693" w14:textId="38FA5398" w:rsidR="002A59B5" w:rsidRPr="005F4560" w:rsidRDefault="002A59B5" w:rsidP="00027035">
            <w:pPr>
              <w:rPr>
                <w:szCs w:val="20"/>
              </w:rPr>
            </w:pPr>
            <w:r w:rsidRPr="005F4560">
              <w:rPr>
                <w:szCs w:val="20"/>
              </w:rPr>
              <w:t>3</w:t>
            </w:r>
          </w:p>
        </w:tc>
        <w:tc>
          <w:tcPr>
            <w:tcW w:w="502" w:type="pct"/>
          </w:tcPr>
          <w:p w14:paraId="7CC91A42" w14:textId="77777777" w:rsidR="002A59B5" w:rsidRPr="005F4560" w:rsidRDefault="002A59B5" w:rsidP="00027035">
            <w:pPr>
              <w:rPr>
                <w:b/>
                <w:szCs w:val="20"/>
              </w:rPr>
            </w:pPr>
            <w:r w:rsidRPr="005F4560">
              <w:t>Open label, single group assignment</w:t>
            </w:r>
          </w:p>
        </w:tc>
        <w:tc>
          <w:tcPr>
            <w:tcW w:w="800" w:type="pct"/>
          </w:tcPr>
          <w:p w14:paraId="4A015368" w14:textId="77777777" w:rsidR="002A59B5" w:rsidRPr="005F4560" w:rsidRDefault="002A59B5" w:rsidP="00027035">
            <w:pPr>
              <w:rPr>
                <w:b/>
                <w:szCs w:val="20"/>
              </w:rPr>
            </w:pPr>
            <w:r w:rsidRPr="005F4560">
              <w:t xml:space="preserve">NCT02880189: Combined Endoscopic Ultrasound Guided Core Liver Biopsy and </w:t>
            </w:r>
            <w:proofErr w:type="spellStart"/>
            <w:r w:rsidRPr="005F4560">
              <w:t>Intragastric</w:t>
            </w:r>
            <w:proofErr w:type="spellEnd"/>
            <w:r w:rsidRPr="005F4560">
              <w:t xml:space="preserve"> Balloon Placement for the Diagnosis and Management of </w:t>
            </w:r>
            <w:proofErr w:type="spellStart"/>
            <w:r w:rsidRPr="005F4560">
              <w:t>Nonalcoholic</w:t>
            </w:r>
            <w:proofErr w:type="spellEnd"/>
            <w:r w:rsidRPr="005F4560">
              <w:t xml:space="preserve"> </w:t>
            </w:r>
            <w:proofErr w:type="spellStart"/>
            <w:r w:rsidRPr="005F4560">
              <w:t>Steatohepatitis</w:t>
            </w:r>
            <w:proofErr w:type="spellEnd"/>
            <w:r w:rsidRPr="005F4560">
              <w:t xml:space="preserve"> and Obesity</w:t>
            </w:r>
          </w:p>
        </w:tc>
        <w:tc>
          <w:tcPr>
            <w:tcW w:w="2306" w:type="pct"/>
          </w:tcPr>
          <w:p w14:paraId="2FE99952" w14:textId="77777777" w:rsidR="002A59B5" w:rsidRPr="005F4560" w:rsidRDefault="002A59B5" w:rsidP="00027035">
            <w:r w:rsidRPr="005F4560">
              <w:t>This study is designed to investigate the impact of weight loss achieved with the IGB on NASH with early fibrosis in a select cohort of patients with obesity preselected to have a high pre-test probability of having NASH with early fibrosis based on MRE-</w:t>
            </w:r>
            <w:proofErr w:type="spellStart"/>
            <w:r w:rsidRPr="005F4560">
              <w:t>Hepatogram</w:t>
            </w:r>
            <w:proofErr w:type="spellEnd"/>
            <w:r w:rsidRPr="005F4560">
              <w:t>. In addition, this study will explore potential non-invasive imaging criteria for NASH and early fibrosis using EUS-</w:t>
            </w:r>
            <w:proofErr w:type="spellStart"/>
            <w:r w:rsidRPr="005F4560">
              <w:t>Elastography</w:t>
            </w:r>
            <w:proofErr w:type="spellEnd"/>
            <w:r w:rsidRPr="005F4560">
              <w:t>.</w:t>
            </w:r>
          </w:p>
          <w:p w14:paraId="299BACAF" w14:textId="77777777" w:rsidR="002A59B5" w:rsidRPr="005F4560" w:rsidRDefault="002A59B5" w:rsidP="00027035">
            <w:r w:rsidRPr="005F4560">
              <w:t>Study not yet open</w:t>
            </w:r>
          </w:p>
          <w:p w14:paraId="2FAB9EC7" w14:textId="08383A35" w:rsidR="005324A6" w:rsidRPr="005F4560" w:rsidRDefault="005324A6" w:rsidP="00027035">
            <w:pPr>
              <w:rPr>
                <w:szCs w:val="20"/>
              </w:rPr>
            </w:pPr>
            <w:r w:rsidRPr="005F4560">
              <w:t xml:space="preserve">Device: </w:t>
            </w:r>
            <w:proofErr w:type="spellStart"/>
            <w:r w:rsidR="00DC685F">
              <w:t>Orbera</w:t>
            </w:r>
            <w:proofErr w:type="spellEnd"/>
            <w:r w:rsidR="00DC685F">
              <w:t>™</w:t>
            </w:r>
          </w:p>
        </w:tc>
        <w:tc>
          <w:tcPr>
            <w:tcW w:w="848" w:type="pct"/>
          </w:tcPr>
          <w:p w14:paraId="65F716C7" w14:textId="3A824298" w:rsidR="002A59B5" w:rsidRPr="005F4560" w:rsidRDefault="009878BB" w:rsidP="00027035">
            <w:pPr>
              <w:rPr>
                <w:b/>
                <w:szCs w:val="20"/>
              </w:rPr>
            </w:pPr>
            <w:hyperlink r:id="rId41" w:tooltip="US National Library of Medicine Clinical trial NCT02880189" w:history="1">
              <w:r w:rsidR="00DC685F" w:rsidRPr="004C661E">
                <w:rPr>
                  <w:rStyle w:val="Hyperlink"/>
                </w:rPr>
                <w:t>https://www.clinicaltrials.gov/ct2/show/NCT02880189?cond=Orbera&amp;rank=3</w:t>
              </w:r>
            </w:hyperlink>
          </w:p>
        </w:tc>
        <w:tc>
          <w:tcPr>
            <w:tcW w:w="388" w:type="pct"/>
          </w:tcPr>
          <w:p w14:paraId="5331AC01" w14:textId="77777777" w:rsidR="002A59B5" w:rsidRPr="005F4560" w:rsidRDefault="002A59B5" w:rsidP="00027035">
            <w:pPr>
              <w:rPr>
                <w:b/>
                <w:szCs w:val="20"/>
              </w:rPr>
            </w:pPr>
            <w:r w:rsidRPr="005F4560">
              <w:t>May 2017</w:t>
            </w:r>
          </w:p>
        </w:tc>
      </w:tr>
      <w:tr w:rsidR="002A59B5" w:rsidRPr="005F4560" w14:paraId="45CF8F2A" w14:textId="43600C23" w:rsidTr="005324A6">
        <w:trPr>
          <w:cantSplit/>
        </w:trPr>
        <w:tc>
          <w:tcPr>
            <w:tcW w:w="156" w:type="pct"/>
          </w:tcPr>
          <w:p w14:paraId="30AC92D6" w14:textId="3D50C384" w:rsidR="002A59B5" w:rsidRPr="005F4560" w:rsidRDefault="002A59B5" w:rsidP="00027035">
            <w:pPr>
              <w:rPr>
                <w:szCs w:val="20"/>
              </w:rPr>
            </w:pPr>
            <w:r w:rsidRPr="005F4560">
              <w:rPr>
                <w:szCs w:val="20"/>
              </w:rPr>
              <w:lastRenderedPageBreak/>
              <w:t>4</w:t>
            </w:r>
          </w:p>
        </w:tc>
        <w:tc>
          <w:tcPr>
            <w:tcW w:w="502" w:type="pct"/>
          </w:tcPr>
          <w:p w14:paraId="6789F355" w14:textId="51A2D110" w:rsidR="002A59B5" w:rsidRPr="005F4560" w:rsidRDefault="002A59B5" w:rsidP="00027035">
            <w:pPr>
              <w:rPr>
                <w:b/>
                <w:szCs w:val="20"/>
              </w:rPr>
            </w:pPr>
            <w:r w:rsidRPr="005F4560">
              <w:t>RCT, double blind</w:t>
            </w:r>
          </w:p>
        </w:tc>
        <w:tc>
          <w:tcPr>
            <w:tcW w:w="800" w:type="pct"/>
          </w:tcPr>
          <w:p w14:paraId="3248EAAF" w14:textId="7681EDF6" w:rsidR="002A59B5" w:rsidRPr="005F4560" w:rsidRDefault="002A59B5" w:rsidP="00027035">
            <w:pPr>
              <w:rPr>
                <w:b/>
                <w:szCs w:val="20"/>
              </w:rPr>
            </w:pPr>
            <w:r w:rsidRPr="005F4560">
              <w:t xml:space="preserve">NCT00355979: Randomized Trial of </w:t>
            </w:r>
            <w:proofErr w:type="spellStart"/>
            <w:r w:rsidRPr="005F4560">
              <w:t>Intragastric</w:t>
            </w:r>
            <w:proofErr w:type="spellEnd"/>
            <w:r w:rsidRPr="005F4560">
              <w:t xml:space="preserve"> Balloon and Pharmacotherapy for Non-Morbid Obesity</w:t>
            </w:r>
          </w:p>
        </w:tc>
        <w:tc>
          <w:tcPr>
            <w:tcW w:w="2306" w:type="pct"/>
          </w:tcPr>
          <w:p w14:paraId="325FF725" w14:textId="2EE486F5" w:rsidR="002A59B5" w:rsidRPr="005F4560" w:rsidRDefault="002A59B5" w:rsidP="00027035">
            <w:r w:rsidRPr="005F4560">
              <w:t xml:space="preserve">The study aimed to compare the newer design balloon (BIB) is more reliable and predictable vs. </w:t>
            </w:r>
            <w:proofErr w:type="spellStart"/>
            <w:r w:rsidRPr="005F4560">
              <w:t>Sibutramine</w:t>
            </w:r>
            <w:proofErr w:type="spellEnd"/>
            <w:r w:rsidRPr="005F4560">
              <w:t xml:space="preserve"> (</w:t>
            </w:r>
            <w:proofErr w:type="spellStart"/>
            <w:r w:rsidRPr="005F4560">
              <w:t>Reductil</w:t>
            </w:r>
            <w:proofErr w:type="spellEnd"/>
            <w:r w:rsidRPr="005F4560">
              <w:t>®), a serotonin and noradrenaline reuptake inhibitor. Since these two types of therapy are most efficient in non-morbid obese patients, the trial was designed to compare the effect of the two different weight reduction therapies in this group of patients in a randomised double-blind manner.</w:t>
            </w:r>
          </w:p>
          <w:p w14:paraId="656ABFA5" w14:textId="77777777" w:rsidR="002A59B5" w:rsidRPr="005F4560" w:rsidRDefault="002A59B5" w:rsidP="00027035">
            <w:r w:rsidRPr="005F4560">
              <w:t>Recruitment Status: unknown</w:t>
            </w:r>
            <w:r w:rsidR="00422DBF" w:rsidRPr="005F4560">
              <w:t xml:space="preserve"> (likely terminated)</w:t>
            </w:r>
          </w:p>
          <w:p w14:paraId="2699096E" w14:textId="00E99432" w:rsidR="007A487A" w:rsidRPr="005F4560" w:rsidRDefault="007A487A" w:rsidP="00027035">
            <w:pPr>
              <w:rPr>
                <w:b/>
                <w:szCs w:val="20"/>
              </w:rPr>
            </w:pPr>
            <w:r w:rsidRPr="005F4560">
              <w:t xml:space="preserve">Device: </w:t>
            </w:r>
            <w:proofErr w:type="spellStart"/>
            <w:r w:rsidRPr="005F4560">
              <w:t>BioEnterics</w:t>
            </w:r>
            <w:proofErr w:type="spellEnd"/>
            <w:r w:rsidRPr="005F4560">
              <w:t xml:space="preserve"> </w:t>
            </w:r>
            <w:proofErr w:type="spellStart"/>
            <w:r w:rsidRPr="005F4560">
              <w:t>Intragastric</w:t>
            </w:r>
            <w:proofErr w:type="spellEnd"/>
            <w:r w:rsidRPr="005F4560">
              <w:t xml:space="preserve"> Balloon</w:t>
            </w:r>
          </w:p>
        </w:tc>
        <w:tc>
          <w:tcPr>
            <w:tcW w:w="848" w:type="pct"/>
          </w:tcPr>
          <w:p w14:paraId="580B8345" w14:textId="194807E9" w:rsidR="002A59B5" w:rsidRPr="005F4560" w:rsidRDefault="009878BB" w:rsidP="00027035">
            <w:pPr>
              <w:rPr>
                <w:b/>
                <w:szCs w:val="20"/>
              </w:rPr>
            </w:pPr>
            <w:hyperlink r:id="rId42" w:tooltip="US National Library of Medicine Clinical trial NCT00355979" w:history="1">
              <w:r w:rsidR="002A59B5" w:rsidRPr="005F4560">
                <w:rPr>
                  <w:rStyle w:val="Hyperlink"/>
                  <w:color w:val="auto"/>
                </w:rPr>
                <w:t>https://www.clinicaltrials.gov/ct2/show/NCT00355979?cond=Intragastric+Balloon&amp;draw=1&amp;rank=3</w:t>
              </w:r>
            </w:hyperlink>
          </w:p>
        </w:tc>
        <w:tc>
          <w:tcPr>
            <w:tcW w:w="388" w:type="pct"/>
          </w:tcPr>
          <w:p w14:paraId="4CB7E4C1" w14:textId="238F1687" w:rsidR="002A59B5" w:rsidRPr="005F4560" w:rsidRDefault="002A59B5" w:rsidP="00027035">
            <w:pPr>
              <w:rPr>
                <w:b/>
                <w:szCs w:val="20"/>
              </w:rPr>
            </w:pPr>
            <w:r w:rsidRPr="005F4560">
              <w:t>Oct 2006</w:t>
            </w:r>
          </w:p>
        </w:tc>
      </w:tr>
      <w:tr w:rsidR="002A59B5" w:rsidRPr="005F4560" w14:paraId="5D1333FD" w14:textId="27BC7570" w:rsidTr="005324A6">
        <w:trPr>
          <w:cantSplit/>
        </w:trPr>
        <w:tc>
          <w:tcPr>
            <w:tcW w:w="156" w:type="pct"/>
          </w:tcPr>
          <w:p w14:paraId="46B409EF" w14:textId="2452DD8B" w:rsidR="002A59B5" w:rsidRPr="005F4560" w:rsidRDefault="005324A6" w:rsidP="00027035">
            <w:pPr>
              <w:rPr>
                <w:szCs w:val="20"/>
              </w:rPr>
            </w:pPr>
            <w:r w:rsidRPr="005F4560">
              <w:rPr>
                <w:szCs w:val="20"/>
              </w:rPr>
              <w:t>5</w:t>
            </w:r>
          </w:p>
        </w:tc>
        <w:tc>
          <w:tcPr>
            <w:tcW w:w="502" w:type="pct"/>
          </w:tcPr>
          <w:p w14:paraId="03EE0133" w14:textId="7AA08428" w:rsidR="002A59B5" w:rsidRPr="005F4560" w:rsidRDefault="002A59B5" w:rsidP="00027035">
            <w:pPr>
              <w:rPr>
                <w:b/>
                <w:szCs w:val="20"/>
              </w:rPr>
            </w:pPr>
            <w:r w:rsidRPr="005F4560">
              <w:t>Randomised, double blind, parallel assignment</w:t>
            </w:r>
          </w:p>
        </w:tc>
        <w:tc>
          <w:tcPr>
            <w:tcW w:w="800" w:type="pct"/>
          </w:tcPr>
          <w:p w14:paraId="5CB0C02A" w14:textId="07BD8DF1" w:rsidR="002A59B5" w:rsidRPr="005F4560" w:rsidRDefault="002A59B5" w:rsidP="00027035">
            <w:pPr>
              <w:rPr>
                <w:b/>
                <w:szCs w:val="20"/>
              </w:rPr>
            </w:pPr>
            <w:r w:rsidRPr="005F4560">
              <w:t xml:space="preserve">NCT02129296: </w:t>
            </w:r>
            <w:proofErr w:type="spellStart"/>
            <w:r w:rsidRPr="005F4560">
              <w:t>Intragastric</w:t>
            </w:r>
            <w:proofErr w:type="spellEnd"/>
            <w:r w:rsidRPr="005F4560">
              <w:t xml:space="preserve"> Balloon, Air Versus Fluid Filled: Randomized Prospective Study</w:t>
            </w:r>
          </w:p>
        </w:tc>
        <w:tc>
          <w:tcPr>
            <w:tcW w:w="2306" w:type="pct"/>
          </w:tcPr>
          <w:p w14:paraId="03C905C5" w14:textId="73D073CC" w:rsidR="002A59B5" w:rsidRPr="005F4560" w:rsidRDefault="002A59B5" w:rsidP="00027035">
            <w:r w:rsidRPr="005F4560">
              <w:t xml:space="preserve">Morbidly obese patients are categorized into two groups: the 1st group to whom </w:t>
            </w:r>
            <w:proofErr w:type="spellStart"/>
            <w:r w:rsidRPr="005F4560">
              <w:t>intragastric</w:t>
            </w:r>
            <w:proofErr w:type="spellEnd"/>
            <w:r w:rsidRPr="005F4560">
              <w:t xml:space="preserve"> air filled balloon and the 2nd group to whom saline filled balloon is applied for treatment of their morbid obesity. The aim of study is to compare both types of balloons regarding safety, efficacy and tolerance.</w:t>
            </w:r>
          </w:p>
          <w:p w14:paraId="6E47E536" w14:textId="77777777" w:rsidR="002A59B5" w:rsidRPr="005F4560" w:rsidRDefault="002A59B5" w:rsidP="00027035">
            <w:r w:rsidRPr="005F4560">
              <w:t>Recruitment status unknown.</w:t>
            </w:r>
          </w:p>
          <w:p w14:paraId="51EF095E" w14:textId="4D1179E8" w:rsidR="007A487A" w:rsidRPr="005F4560" w:rsidRDefault="007A487A" w:rsidP="00027035">
            <w:pPr>
              <w:rPr>
                <w:b/>
                <w:szCs w:val="20"/>
              </w:rPr>
            </w:pPr>
            <w:r w:rsidRPr="005F4560">
              <w:t xml:space="preserve">Device: </w:t>
            </w:r>
            <w:proofErr w:type="spellStart"/>
            <w:r w:rsidRPr="005F4560">
              <w:t>BioEnterics</w:t>
            </w:r>
            <w:proofErr w:type="spellEnd"/>
            <w:r w:rsidRPr="005F4560">
              <w:t xml:space="preserve"> </w:t>
            </w:r>
            <w:proofErr w:type="spellStart"/>
            <w:r w:rsidRPr="005F4560">
              <w:t>Intragastric</w:t>
            </w:r>
            <w:proofErr w:type="spellEnd"/>
            <w:r w:rsidRPr="005F4560">
              <w:t xml:space="preserve"> Balloon</w:t>
            </w:r>
          </w:p>
        </w:tc>
        <w:tc>
          <w:tcPr>
            <w:tcW w:w="848" w:type="pct"/>
          </w:tcPr>
          <w:p w14:paraId="5A473AD5" w14:textId="41E9A942" w:rsidR="002A59B5" w:rsidRPr="005F4560" w:rsidRDefault="009878BB" w:rsidP="00027035">
            <w:pPr>
              <w:rPr>
                <w:b/>
                <w:szCs w:val="20"/>
              </w:rPr>
            </w:pPr>
            <w:hyperlink r:id="rId43" w:tooltip="US National Library of Medicine Clinical trial NCT02129296" w:history="1">
              <w:r w:rsidR="002A59B5" w:rsidRPr="005F4560">
                <w:rPr>
                  <w:rStyle w:val="Hyperlink"/>
                  <w:color w:val="auto"/>
                </w:rPr>
                <w:t>https://www.clinicaltrials.gov/ct2/show/NCT02129296?cond=Intragastric+Balloon&amp;draw=1&amp;rank=7</w:t>
              </w:r>
            </w:hyperlink>
          </w:p>
        </w:tc>
        <w:tc>
          <w:tcPr>
            <w:tcW w:w="388" w:type="pct"/>
          </w:tcPr>
          <w:p w14:paraId="79A8D57E" w14:textId="52447800" w:rsidR="002A59B5" w:rsidRPr="005F4560" w:rsidRDefault="002A59B5" w:rsidP="00027035">
            <w:pPr>
              <w:rPr>
                <w:b/>
                <w:szCs w:val="20"/>
              </w:rPr>
            </w:pPr>
            <w:r w:rsidRPr="005F4560">
              <w:t>August 2016</w:t>
            </w:r>
          </w:p>
        </w:tc>
      </w:tr>
    </w:tbl>
    <w:p w14:paraId="44BE5C6F" w14:textId="27A1BCD2" w:rsidR="00EF037A" w:rsidRPr="005F4560" w:rsidRDefault="00EF037A" w:rsidP="00EF037A">
      <w:r w:rsidRPr="005F4560">
        <w:t>BMI, body mass index; BPD, biliopancreatic diversion; FBG, fasting blood glucose; EBL, excess BMI lost; EWL, excess weight loss; GERD, gastroesophageal reflux disease; HbA1c, glycosylated haemoglobin; LAGB, laparoscopic adjustable gastric lap-banding; LSG, laparoscopic sleeve gastrectomy; OSA, obstructive sleep apnoea; PIVI, Preservation and Incorporation of Valuable endoscopic Innovation; RYGB, Roux-</w:t>
      </w:r>
      <w:proofErr w:type="spellStart"/>
      <w:r w:rsidRPr="005F4560">
        <w:t>en</w:t>
      </w:r>
      <w:proofErr w:type="spellEnd"/>
      <w:r w:rsidRPr="005F4560">
        <w:t>-Y gastric bypass; SG, sleeve gastrectomy; T2DM, type 2 diabetes mellitus; VLED, very low energy diet</w:t>
      </w:r>
    </w:p>
    <w:p w14:paraId="55ECDAE6" w14:textId="77777777" w:rsidR="00EF037A" w:rsidRPr="005F4560" w:rsidRDefault="00EF037A">
      <w:pPr>
        <w:rPr>
          <w:b/>
          <w:sz w:val="32"/>
          <w:szCs w:val="32"/>
        </w:rPr>
      </w:pPr>
    </w:p>
    <w:p w14:paraId="7A969BD1" w14:textId="77777777" w:rsidR="00DD308E" w:rsidRPr="005F4560" w:rsidRDefault="00DD308E">
      <w:pPr>
        <w:rPr>
          <w:b/>
          <w:sz w:val="32"/>
          <w:szCs w:val="32"/>
        </w:rPr>
        <w:sectPr w:rsidR="00DD308E" w:rsidRPr="005F4560" w:rsidSect="00DD308E">
          <w:pgSz w:w="16838" w:h="11906" w:orient="landscape"/>
          <w:pgMar w:top="1440" w:right="1440" w:bottom="1440" w:left="1440" w:header="708" w:footer="708" w:gutter="0"/>
          <w:cols w:space="708"/>
          <w:docGrid w:linePitch="360"/>
        </w:sectPr>
      </w:pPr>
    </w:p>
    <w:p w14:paraId="7EE4A133" w14:textId="77777777" w:rsidR="00E82F54" w:rsidRPr="005F4560" w:rsidRDefault="005C3AE7" w:rsidP="00CA26DD">
      <w:pPr>
        <w:pStyle w:val="Heading1"/>
        <w:rPr>
          <w:color w:val="auto"/>
        </w:rPr>
      </w:pPr>
      <w:r w:rsidRPr="005F4560">
        <w:rPr>
          <w:color w:val="auto"/>
        </w:rPr>
        <w:lastRenderedPageBreak/>
        <w:t>PART 5</w:t>
      </w:r>
      <w:r w:rsidR="00F93784" w:rsidRPr="005F4560">
        <w:rPr>
          <w:color w:val="auto"/>
        </w:rPr>
        <w:t xml:space="preserve"> – </w:t>
      </w:r>
      <w:r w:rsidR="00E82F54" w:rsidRPr="005F4560">
        <w:rPr>
          <w:color w:val="auto"/>
        </w:rPr>
        <w:t>CLINICAL ENDORSEMENT AND CONSUMER INFORMATION</w:t>
      </w:r>
    </w:p>
    <w:p w14:paraId="24092088" w14:textId="77777777" w:rsidR="00E82F54" w:rsidRPr="005F4560" w:rsidRDefault="00E82F54" w:rsidP="005C3AE7">
      <w:pPr>
        <w:pStyle w:val="Heading2"/>
      </w:pPr>
      <w:r w:rsidRPr="005F4560">
        <w:t xml:space="preserve">List </w:t>
      </w:r>
      <w:r w:rsidR="00EA173C" w:rsidRPr="005F4560">
        <w:t>all appropriate professional bodies / organisations</w:t>
      </w:r>
      <w:r w:rsidRPr="005F4560">
        <w:t xml:space="preserve"> representing the group(s) of health profess</w:t>
      </w:r>
      <w:r w:rsidR="00EA173C" w:rsidRPr="005F4560">
        <w:t xml:space="preserve">ionals who provide the service </w:t>
      </w:r>
      <w:r w:rsidR="00F93784" w:rsidRPr="005F4560">
        <w:t xml:space="preserve">(please </w:t>
      </w:r>
      <w:r w:rsidR="00EA173C" w:rsidRPr="005F4560">
        <w:t>attach</w:t>
      </w:r>
      <w:r w:rsidR="00F93784" w:rsidRPr="005F4560">
        <w:t xml:space="preserve"> a </w:t>
      </w:r>
      <w:r w:rsidR="00254813" w:rsidRPr="005F4560">
        <w:t>statement of clinical relevance from</w:t>
      </w:r>
      <w:r w:rsidR="00EA173C" w:rsidRPr="005F4560">
        <w:t xml:space="preserve"> each </w:t>
      </w:r>
      <w:r w:rsidR="00F93784" w:rsidRPr="005F4560">
        <w:t>group</w:t>
      </w:r>
      <w:r w:rsidR="00EA173C" w:rsidRPr="005F4560">
        <w:t xml:space="preserve"> nominated</w:t>
      </w:r>
      <w:r w:rsidR="00F93784" w:rsidRPr="005F4560">
        <w:t>)</w:t>
      </w:r>
      <w:r w:rsidR="00A727B6" w:rsidRPr="005F4560">
        <w:t>:</w:t>
      </w:r>
    </w:p>
    <w:p w14:paraId="0D31D6C1" w14:textId="77777777" w:rsidR="00A727B6" w:rsidRPr="005F4560" w:rsidRDefault="00766682" w:rsidP="00A727B6">
      <w:pPr>
        <w:ind w:left="426"/>
        <w:rPr>
          <w:rFonts w:cstheme="minorHAnsi"/>
          <w:szCs w:val="20"/>
        </w:rPr>
      </w:pPr>
      <w:r w:rsidRPr="005F4560">
        <w:rPr>
          <w:rFonts w:cstheme="minorHAnsi"/>
          <w:szCs w:val="20"/>
        </w:rPr>
        <w:t>A list of relevant information is provided in the table below.</w:t>
      </w:r>
    </w:p>
    <w:tbl>
      <w:tblPr>
        <w:tblStyle w:val="TableGrid"/>
        <w:tblW w:w="8744" w:type="dxa"/>
        <w:tblInd w:w="607" w:type="dxa"/>
        <w:tblLook w:val="04A0" w:firstRow="1" w:lastRow="0" w:firstColumn="1" w:lastColumn="0" w:noHBand="0" w:noVBand="1"/>
        <w:tblCaption w:val="Professional Bodies who Provide the Service"/>
        <w:tblDescription w:val="Professional Bodies who Provide the Service&#10;The Obesity Surgery Society of Australia and New Zealand (OSSANZ)The Clinical Objectives are:&#10;- To promote the advancement of knowledge, and maintain standards, in the clinical area of the diagnosis and the treatment of the disease of obesity, with particular emphasis on the use of surgical procedures;&#10;- To promote and foster research in the basic and clinical sciences related to the disease of obesity and its treatment;&#10;- To provide guidelines to relevant professional associations and colleges, as well as governments, on the training of clinicians and the practice of obesity surgery in Australasia;&#10;- To facilitate contact between persons interested in this and allied fields; and&#10;- To disseminate widely all information and new knowledge obtained.&#10;- To form a closer association of the obesity surgeons of Australia &amp; New Zealand for the advancement of the obesity surgery &amp; management.&#10;- It shall strive to maintain the character and standards of obesity surgery as outlined by The International Federation for the Surgery of Obesity.&#10;"/>
      </w:tblPr>
      <w:tblGrid>
        <w:gridCol w:w="1515"/>
        <w:gridCol w:w="1310"/>
        <w:gridCol w:w="5919"/>
      </w:tblGrid>
      <w:tr w:rsidR="00766682" w:rsidRPr="005F4560" w14:paraId="56EC2BFE" w14:textId="77777777" w:rsidTr="00BB4539">
        <w:trPr>
          <w:trHeight w:val="1345"/>
          <w:tblHeader/>
        </w:trPr>
        <w:tc>
          <w:tcPr>
            <w:tcW w:w="1515" w:type="dxa"/>
            <w:shd w:val="clear" w:color="auto" w:fill="E6E6E6"/>
            <w:vAlign w:val="center"/>
          </w:tcPr>
          <w:p w14:paraId="4C085951" w14:textId="77777777" w:rsidR="00766682" w:rsidRPr="005F4560" w:rsidRDefault="00766682" w:rsidP="00766682">
            <w:pPr>
              <w:pStyle w:val="Heading1"/>
              <w:spacing w:before="40" w:after="40"/>
              <w:jc w:val="center"/>
              <w:outlineLvl w:val="0"/>
              <w:rPr>
                <w:rFonts w:cstheme="minorHAnsi"/>
                <w:color w:val="auto"/>
                <w:sz w:val="20"/>
                <w:szCs w:val="20"/>
              </w:rPr>
            </w:pPr>
            <w:r w:rsidRPr="005F4560">
              <w:rPr>
                <w:rFonts w:cstheme="minorHAnsi"/>
                <w:color w:val="auto"/>
                <w:sz w:val="20"/>
                <w:szCs w:val="20"/>
              </w:rPr>
              <w:t>Professional Body / Organisation</w:t>
            </w:r>
          </w:p>
        </w:tc>
        <w:tc>
          <w:tcPr>
            <w:tcW w:w="1310" w:type="dxa"/>
            <w:shd w:val="clear" w:color="auto" w:fill="E6E6E6"/>
            <w:vAlign w:val="center"/>
          </w:tcPr>
          <w:p w14:paraId="775762E5" w14:textId="77777777" w:rsidR="00766682" w:rsidRPr="005F4560" w:rsidRDefault="00766682" w:rsidP="00766682">
            <w:pPr>
              <w:pStyle w:val="Heading1"/>
              <w:spacing w:before="40" w:after="40"/>
              <w:jc w:val="center"/>
              <w:outlineLvl w:val="0"/>
              <w:rPr>
                <w:rFonts w:cstheme="minorHAnsi"/>
                <w:color w:val="auto"/>
                <w:sz w:val="20"/>
                <w:szCs w:val="20"/>
              </w:rPr>
            </w:pPr>
            <w:r w:rsidRPr="005F4560">
              <w:rPr>
                <w:rFonts w:cstheme="minorHAnsi"/>
                <w:color w:val="auto"/>
                <w:sz w:val="20"/>
                <w:szCs w:val="20"/>
              </w:rPr>
              <w:t>HCP Representing</w:t>
            </w:r>
          </w:p>
        </w:tc>
        <w:tc>
          <w:tcPr>
            <w:tcW w:w="5919" w:type="dxa"/>
            <w:shd w:val="clear" w:color="auto" w:fill="E6E6E6"/>
            <w:vAlign w:val="center"/>
          </w:tcPr>
          <w:p w14:paraId="6E79EFAA" w14:textId="77777777" w:rsidR="00766682" w:rsidRPr="005F4560" w:rsidRDefault="00766682" w:rsidP="00766682">
            <w:pPr>
              <w:pStyle w:val="Heading1"/>
              <w:spacing w:before="40" w:after="40"/>
              <w:jc w:val="center"/>
              <w:outlineLvl w:val="0"/>
              <w:rPr>
                <w:rFonts w:cstheme="minorHAnsi"/>
                <w:color w:val="auto"/>
                <w:sz w:val="20"/>
                <w:szCs w:val="20"/>
              </w:rPr>
            </w:pPr>
            <w:r w:rsidRPr="005F4560">
              <w:rPr>
                <w:rFonts w:cstheme="minorHAnsi"/>
                <w:color w:val="auto"/>
                <w:sz w:val="20"/>
                <w:szCs w:val="20"/>
              </w:rPr>
              <w:t>Statement</w:t>
            </w:r>
          </w:p>
        </w:tc>
      </w:tr>
      <w:tr w:rsidR="00766682" w:rsidRPr="005F4560" w14:paraId="5EC7DAE7" w14:textId="77777777" w:rsidTr="00BB4539">
        <w:trPr>
          <w:trHeight w:val="3458"/>
          <w:tblHeader/>
        </w:trPr>
        <w:tc>
          <w:tcPr>
            <w:tcW w:w="1515" w:type="dxa"/>
          </w:tcPr>
          <w:p w14:paraId="3AB5B548" w14:textId="77777777" w:rsidR="00766682" w:rsidRPr="005F4560" w:rsidRDefault="00766682" w:rsidP="00766682">
            <w:pPr>
              <w:pStyle w:val="Heading1"/>
              <w:spacing w:before="40" w:after="40"/>
              <w:outlineLvl w:val="0"/>
              <w:rPr>
                <w:rFonts w:cstheme="minorHAnsi"/>
                <w:b/>
                <w:color w:val="auto"/>
                <w:sz w:val="20"/>
                <w:szCs w:val="20"/>
              </w:rPr>
            </w:pPr>
            <w:r w:rsidRPr="005F4560">
              <w:rPr>
                <w:rFonts w:cstheme="minorHAnsi"/>
                <w:color w:val="auto"/>
                <w:sz w:val="20"/>
                <w:szCs w:val="20"/>
              </w:rPr>
              <w:t>The Obesity Surgery Society of Australia and New Zealand (OSSANZ)</w:t>
            </w:r>
          </w:p>
        </w:tc>
        <w:tc>
          <w:tcPr>
            <w:tcW w:w="1310" w:type="dxa"/>
          </w:tcPr>
          <w:p w14:paraId="67F86B4A" w14:textId="77777777" w:rsidR="00766682" w:rsidRPr="005F4560" w:rsidRDefault="00766682" w:rsidP="00766682">
            <w:pPr>
              <w:pStyle w:val="Heading1"/>
              <w:spacing w:before="40" w:after="40"/>
              <w:outlineLvl w:val="0"/>
              <w:rPr>
                <w:rFonts w:cstheme="minorHAnsi"/>
                <w:b/>
                <w:color w:val="auto"/>
                <w:sz w:val="20"/>
                <w:szCs w:val="20"/>
              </w:rPr>
            </w:pPr>
            <w:r w:rsidRPr="005F4560">
              <w:rPr>
                <w:rFonts w:cstheme="minorHAnsi"/>
                <w:color w:val="auto"/>
                <w:sz w:val="20"/>
                <w:szCs w:val="20"/>
              </w:rPr>
              <w:t>Bariatric Surgeons</w:t>
            </w:r>
          </w:p>
        </w:tc>
        <w:tc>
          <w:tcPr>
            <w:tcW w:w="5919" w:type="dxa"/>
          </w:tcPr>
          <w:p w14:paraId="047AE74B" w14:textId="77777777" w:rsidR="00CB4858" w:rsidRPr="005F4560" w:rsidRDefault="00CB4858" w:rsidP="00CB4858">
            <w:pPr>
              <w:pStyle w:val="Heading1"/>
              <w:spacing w:before="40" w:after="40"/>
              <w:outlineLvl w:val="0"/>
              <w:rPr>
                <w:rFonts w:cstheme="minorHAnsi"/>
                <w:color w:val="auto"/>
                <w:sz w:val="20"/>
                <w:szCs w:val="20"/>
              </w:rPr>
            </w:pPr>
            <w:r w:rsidRPr="005F4560">
              <w:rPr>
                <w:rFonts w:cstheme="minorHAnsi"/>
                <w:color w:val="auto"/>
                <w:sz w:val="20"/>
                <w:szCs w:val="20"/>
              </w:rPr>
              <w:t>OSSANZ</w:t>
            </w:r>
          </w:p>
          <w:p w14:paraId="7A07C910" w14:textId="77777777" w:rsidR="00CB4858" w:rsidRPr="005F4560" w:rsidRDefault="00CB4858" w:rsidP="00CB4858">
            <w:pPr>
              <w:pStyle w:val="Heading1"/>
              <w:spacing w:before="40" w:after="40"/>
              <w:outlineLvl w:val="0"/>
              <w:rPr>
                <w:rFonts w:cstheme="minorHAnsi"/>
                <w:color w:val="auto"/>
                <w:sz w:val="20"/>
                <w:szCs w:val="20"/>
              </w:rPr>
            </w:pPr>
            <w:r w:rsidRPr="005F4560">
              <w:rPr>
                <w:rFonts w:cstheme="minorHAnsi"/>
                <w:color w:val="auto"/>
                <w:sz w:val="20"/>
                <w:szCs w:val="20"/>
              </w:rPr>
              <w:t>The Obesity Surgical Society of Australia and New Zealand</w:t>
            </w:r>
          </w:p>
          <w:p w14:paraId="17B95A15" w14:textId="77777777" w:rsidR="00CB4858" w:rsidRPr="005F4560" w:rsidRDefault="00CB4858" w:rsidP="00CB4858">
            <w:pPr>
              <w:pStyle w:val="Heading1"/>
              <w:spacing w:before="40" w:after="40"/>
              <w:outlineLvl w:val="0"/>
              <w:rPr>
                <w:rFonts w:cstheme="minorHAnsi"/>
                <w:color w:val="auto"/>
                <w:sz w:val="20"/>
                <w:szCs w:val="20"/>
              </w:rPr>
            </w:pPr>
          </w:p>
          <w:p w14:paraId="3CC1A76E" w14:textId="5B4D1220" w:rsidR="00CB4858" w:rsidRPr="005F4560" w:rsidRDefault="009878BB" w:rsidP="00CB4858">
            <w:pPr>
              <w:pStyle w:val="Heading1"/>
              <w:spacing w:before="40" w:after="40"/>
              <w:outlineLvl w:val="0"/>
              <w:rPr>
                <w:rFonts w:cstheme="minorHAnsi"/>
                <w:color w:val="auto"/>
                <w:sz w:val="20"/>
                <w:szCs w:val="20"/>
              </w:rPr>
            </w:pPr>
            <w:hyperlink r:id="rId44" w:history="1">
              <w:r w:rsidR="00CB4858" w:rsidRPr="005F4560">
                <w:rPr>
                  <w:rStyle w:val="Hyperlink"/>
                  <w:rFonts w:cstheme="minorHAnsi"/>
                  <w:color w:val="auto"/>
                  <w:sz w:val="20"/>
                  <w:szCs w:val="20"/>
                </w:rPr>
                <w:t>The Clinical Objectives are</w:t>
              </w:r>
            </w:hyperlink>
            <w:r w:rsidR="00CB4858" w:rsidRPr="005F4560">
              <w:rPr>
                <w:rFonts w:cstheme="minorHAnsi"/>
                <w:color w:val="auto"/>
                <w:sz w:val="20"/>
                <w:szCs w:val="20"/>
              </w:rPr>
              <w:t>:</w:t>
            </w:r>
          </w:p>
          <w:p w14:paraId="6C40EB98" w14:textId="77777777" w:rsidR="00CB4858" w:rsidRPr="005F4560" w:rsidRDefault="00CB4858" w:rsidP="00CB4858">
            <w:pPr>
              <w:pStyle w:val="Heading1"/>
              <w:numPr>
                <w:ilvl w:val="0"/>
                <w:numId w:val="49"/>
              </w:numPr>
              <w:spacing w:before="40" w:after="40"/>
              <w:ind w:left="430" w:hanging="283"/>
              <w:outlineLvl w:val="0"/>
              <w:rPr>
                <w:rFonts w:cstheme="minorHAnsi"/>
                <w:color w:val="auto"/>
                <w:sz w:val="20"/>
                <w:szCs w:val="20"/>
              </w:rPr>
            </w:pPr>
            <w:r w:rsidRPr="005F4560">
              <w:rPr>
                <w:rFonts w:cstheme="minorHAnsi"/>
                <w:color w:val="auto"/>
                <w:sz w:val="20"/>
                <w:szCs w:val="20"/>
              </w:rPr>
              <w:t>To promote the advancement of knowledge, and maintain standards, in the clinical area of the diagnosis and the treatment of the disease of obesity, with particular emphasis on the use of surgical procedures;</w:t>
            </w:r>
          </w:p>
          <w:p w14:paraId="119B0EBF" w14:textId="77777777" w:rsidR="00CB4858" w:rsidRPr="005F4560" w:rsidRDefault="00CB4858" w:rsidP="00CB4858">
            <w:pPr>
              <w:pStyle w:val="Heading1"/>
              <w:numPr>
                <w:ilvl w:val="0"/>
                <w:numId w:val="49"/>
              </w:numPr>
              <w:spacing w:before="40" w:after="40"/>
              <w:ind w:left="430" w:hanging="283"/>
              <w:outlineLvl w:val="0"/>
              <w:rPr>
                <w:rFonts w:cstheme="minorHAnsi"/>
                <w:color w:val="auto"/>
                <w:sz w:val="20"/>
                <w:szCs w:val="20"/>
              </w:rPr>
            </w:pPr>
            <w:r w:rsidRPr="005F4560">
              <w:rPr>
                <w:rFonts w:cstheme="minorHAnsi"/>
                <w:color w:val="auto"/>
                <w:sz w:val="20"/>
                <w:szCs w:val="20"/>
              </w:rPr>
              <w:t>To promote and foster research in the basic and clinical sciences related to the disease of obesity and its treatment;</w:t>
            </w:r>
          </w:p>
          <w:p w14:paraId="049177DA" w14:textId="77777777" w:rsidR="00CB4858" w:rsidRPr="005F4560" w:rsidRDefault="00CB4858" w:rsidP="00CB4858">
            <w:pPr>
              <w:pStyle w:val="Heading1"/>
              <w:numPr>
                <w:ilvl w:val="0"/>
                <w:numId w:val="49"/>
              </w:numPr>
              <w:spacing w:before="40" w:after="40"/>
              <w:ind w:left="430" w:hanging="283"/>
              <w:outlineLvl w:val="0"/>
              <w:rPr>
                <w:rFonts w:cstheme="minorHAnsi"/>
                <w:color w:val="auto"/>
                <w:sz w:val="20"/>
                <w:szCs w:val="20"/>
              </w:rPr>
            </w:pPr>
            <w:r w:rsidRPr="005F4560">
              <w:rPr>
                <w:rFonts w:cstheme="minorHAnsi"/>
                <w:color w:val="auto"/>
                <w:sz w:val="20"/>
                <w:szCs w:val="20"/>
              </w:rPr>
              <w:t>To provide guidelines to relevant professional associations and colleges, as well as governments, on the training of clinicians and the practice of obesity surgery in Australasia;</w:t>
            </w:r>
          </w:p>
          <w:p w14:paraId="5BAF9E17" w14:textId="77777777" w:rsidR="00CB4858" w:rsidRPr="005F4560" w:rsidRDefault="00CB4858" w:rsidP="00CB4858">
            <w:pPr>
              <w:pStyle w:val="Heading1"/>
              <w:numPr>
                <w:ilvl w:val="0"/>
                <w:numId w:val="49"/>
              </w:numPr>
              <w:spacing w:before="40" w:after="40"/>
              <w:ind w:left="430" w:hanging="283"/>
              <w:outlineLvl w:val="0"/>
              <w:rPr>
                <w:rFonts w:cstheme="minorHAnsi"/>
                <w:color w:val="auto"/>
                <w:sz w:val="20"/>
                <w:szCs w:val="20"/>
              </w:rPr>
            </w:pPr>
            <w:r w:rsidRPr="005F4560">
              <w:rPr>
                <w:rFonts w:cstheme="minorHAnsi"/>
                <w:color w:val="auto"/>
                <w:sz w:val="20"/>
                <w:szCs w:val="20"/>
              </w:rPr>
              <w:t>To facilitate contact between persons interested in this and allied fields; and</w:t>
            </w:r>
          </w:p>
          <w:p w14:paraId="7B50C586" w14:textId="77777777" w:rsidR="00CB4858" w:rsidRPr="005F4560" w:rsidRDefault="00CB4858" w:rsidP="00CB4858">
            <w:pPr>
              <w:pStyle w:val="Heading1"/>
              <w:numPr>
                <w:ilvl w:val="0"/>
                <w:numId w:val="49"/>
              </w:numPr>
              <w:spacing w:before="40" w:after="40"/>
              <w:ind w:left="430" w:hanging="283"/>
              <w:outlineLvl w:val="0"/>
              <w:rPr>
                <w:rFonts w:cstheme="minorHAnsi"/>
                <w:color w:val="auto"/>
                <w:sz w:val="20"/>
                <w:szCs w:val="20"/>
              </w:rPr>
            </w:pPr>
            <w:r w:rsidRPr="005F4560">
              <w:rPr>
                <w:rFonts w:cstheme="minorHAnsi"/>
                <w:color w:val="auto"/>
                <w:sz w:val="20"/>
                <w:szCs w:val="20"/>
              </w:rPr>
              <w:t>To disseminate widely all information and new knowledge obtained.</w:t>
            </w:r>
          </w:p>
          <w:p w14:paraId="64B69878" w14:textId="77777777" w:rsidR="00CB4858" w:rsidRPr="005F4560" w:rsidRDefault="00CB4858" w:rsidP="00CB4858">
            <w:pPr>
              <w:pStyle w:val="Heading1"/>
              <w:numPr>
                <w:ilvl w:val="0"/>
                <w:numId w:val="49"/>
              </w:numPr>
              <w:spacing w:before="40" w:after="40"/>
              <w:ind w:left="430" w:hanging="283"/>
              <w:outlineLvl w:val="0"/>
              <w:rPr>
                <w:rFonts w:cstheme="minorHAnsi"/>
                <w:color w:val="auto"/>
                <w:sz w:val="20"/>
                <w:szCs w:val="20"/>
              </w:rPr>
            </w:pPr>
            <w:r w:rsidRPr="005F4560">
              <w:rPr>
                <w:rFonts w:cstheme="minorHAnsi"/>
                <w:color w:val="auto"/>
                <w:sz w:val="20"/>
                <w:szCs w:val="20"/>
              </w:rPr>
              <w:t>To form a closer association of the obesity surgeons of Australia &amp; New Zealand for the advancement of the obesity surgery &amp; management.</w:t>
            </w:r>
          </w:p>
          <w:p w14:paraId="4038D172" w14:textId="7A70B395" w:rsidR="00766682" w:rsidRPr="005F4560" w:rsidRDefault="00CB4858" w:rsidP="00CB4858">
            <w:pPr>
              <w:pStyle w:val="Heading1"/>
              <w:numPr>
                <w:ilvl w:val="0"/>
                <w:numId w:val="49"/>
              </w:numPr>
              <w:spacing w:before="40" w:after="40"/>
              <w:ind w:left="430" w:hanging="283"/>
              <w:outlineLvl w:val="0"/>
              <w:rPr>
                <w:rFonts w:cstheme="minorHAnsi"/>
                <w:color w:val="auto"/>
                <w:sz w:val="20"/>
                <w:szCs w:val="20"/>
              </w:rPr>
            </w:pPr>
            <w:r w:rsidRPr="005F4560">
              <w:rPr>
                <w:rFonts w:cstheme="minorHAnsi"/>
                <w:color w:val="auto"/>
                <w:sz w:val="20"/>
                <w:szCs w:val="20"/>
              </w:rPr>
              <w:t>It shall strive to maintain the character and standards of obesity surgery as outlined by The International Federation for the Surgery of Obesity.</w:t>
            </w:r>
          </w:p>
        </w:tc>
      </w:tr>
    </w:tbl>
    <w:p w14:paraId="3DB9FF07" w14:textId="77777777" w:rsidR="00766682" w:rsidRPr="005F4560" w:rsidRDefault="00766682" w:rsidP="00A727B6">
      <w:pPr>
        <w:ind w:left="426"/>
        <w:rPr>
          <w:rFonts w:cstheme="minorHAnsi"/>
          <w:szCs w:val="20"/>
        </w:rPr>
      </w:pPr>
    </w:p>
    <w:p w14:paraId="23797D65" w14:textId="77777777" w:rsidR="00EA173C" w:rsidRPr="005F4560" w:rsidRDefault="00EA173C" w:rsidP="00530204">
      <w:pPr>
        <w:pStyle w:val="Heading2"/>
      </w:pPr>
      <w:r w:rsidRPr="005F4560">
        <w:t>List any professional bodies / organisations that may be impacted by this medical service</w:t>
      </w:r>
      <w:r w:rsidR="00F93784" w:rsidRPr="005F4560">
        <w:t xml:space="preserve"> (i.e. those who provide the comparator service)</w:t>
      </w:r>
      <w:r w:rsidR="00197D29" w:rsidRPr="005F4560">
        <w:t>:</w:t>
      </w:r>
    </w:p>
    <w:p w14:paraId="06CC5AF8" w14:textId="4CCDC29C" w:rsidR="00EA173C" w:rsidRPr="005F4560" w:rsidRDefault="005D27B7" w:rsidP="00A727B6">
      <w:pPr>
        <w:ind w:left="426"/>
        <w:rPr>
          <w:rFonts w:cstheme="minorHAnsi"/>
          <w:szCs w:val="20"/>
        </w:rPr>
      </w:pPr>
      <w:r w:rsidRPr="005F4560">
        <w:rPr>
          <w:rFonts w:cstheme="minorHAnsi"/>
          <w:szCs w:val="20"/>
        </w:rPr>
        <w:t>Australian &amp; New Zealand Obesity Society; Obesity Surgery Society of Australia and New Zealand; Gastroenterological Society of Australia; Australia &amp; New Zealand Gastric &amp; Oesophageal Surgery Association</w:t>
      </w:r>
    </w:p>
    <w:p w14:paraId="68CA9650" w14:textId="77777777" w:rsidR="00E82F54" w:rsidRPr="005F4560" w:rsidRDefault="00E82F54" w:rsidP="00530204">
      <w:pPr>
        <w:pStyle w:val="Heading2"/>
      </w:pPr>
      <w:r w:rsidRPr="005F4560">
        <w:t>List the relevant consumer organisations relevant to the proposed medical service</w:t>
      </w:r>
      <w:r w:rsidR="00C12C5C" w:rsidRPr="005F4560">
        <w:t xml:space="preserve"> (please attach a letter of support for each consumer organisation nominated)</w:t>
      </w:r>
      <w:r w:rsidR="00197D29" w:rsidRPr="005F4560">
        <w:t>:</w:t>
      </w:r>
    </w:p>
    <w:p w14:paraId="3EF55A12" w14:textId="247E247A" w:rsidR="00E82F54" w:rsidRPr="005F4560" w:rsidRDefault="006B5817" w:rsidP="00A727B6">
      <w:pPr>
        <w:ind w:left="426"/>
        <w:rPr>
          <w:rFonts w:cstheme="minorHAnsi"/>
          <w:szCs w:val="20"/>
        </w:rPr>
      </w:pPr>
      <w:r w:rsidRPr="005F4560">
        <w:rPr>
          <w:rFonts w:cstheme="minorHAnsi"/>
          <w:szCs w:val="20"/>
        </w:rPr>
        <w:t>There is no relevant consumer organisation.</w:t>
      </w:r>
    </w:p>
    <w:p w14:paraId="658D4AAA" w14:textId="77777777" w:rsidR="003433D1" w:rsidRPr="005F4560" w:rsidRDefault="003433D1" w:rsidP="00530204">
      <w:pPr>
        <w:pStyle w:val="Heading2"/>
      </w:pPr>
      <w:r w:rsidRPr="005F4560">
        <w:t xml:space="preserve">List the relevant sponsor(s) and / or manufacturer(s) who produce similar products relevant </w:t>
      </w:r>
      <w:r w:rsidR="00197D29" w:rsidRPr="005F4560">
        <w:t>to the proposed medical service:</w:t>
      </w:r>
    </w:p>
    <w:p w14:paraId="78764BB3" w14:textId="701E19F8" w:rsidR="0088764D" w:rsidRPr="005F4560" w:rsidRDefault="005D27B7" w:rsidP="00062F0B">
      <w:pPr>
        <w:ind w:left="426"/>
        <w:rPr>
          <w:rFonts w:cstheme="minorHAnsi"/>
          <w:szCs w:val="20"/>
        </w:rPr>
      </w:pPr>
      <w:r w:rsidRPr="005F4560">
        <w:rPr>
          <w:rFonts w:cstheme="minorHAnsi"/>
          <w:szCs w:val="20"/>
        </w:rPr>
        <w:lastRenderedPageBreak/>
        <w:t>Spatz3 Balloon: ARTG 174506; Emergo Asia Pacific Pty Ltd – T/</w:t>
      </w:r>
      <w:proofErr w:type="gramStart"/>
      <w:r w:rsidRPr="005F4560">
        <w:rPr>
          <w:rFonts w:cstheme="minorHAnsi"/>
          <w:szCs w:val="20"/>
        </w:rPr>
        <w:t>a</w:t>
      </w:r>
      <w:proofErr w:type="gramEnd"/>
      <w:r w:rsidRPr="005F4560">
        <w:rPr>
          <w:rFonts w:cstheme="minorHAnsi"/>
          <w:szCs w:val="20"/>
        </w:rPr>
        <w:t xml:space="preserve"> Emergo Australia</w:t>
      </w:r>
      <w:r w:rsidR="00A37EEA" w:rsidRPr="005F4560">
        <w:rPr>
          <w:rFonts w:cstheme="minorHAnsi"/>
          <w:szCs w:val="20"/>
        </w:rPr>
        <w:t xml:space="preserve"> </w:t>
      </w:r>
    </w:p>
    <w:p w14:paraId="6D42FA1A" w14:textId="77777777" w:rsidR="00E82F54" w:rsidRPr="005F4560" w:rsidRDefault="00E82F54" w:rsidP="00530204">
      <w:pPr>
        <w:pStyle w:val="Heading2"/>
      </w:pPr>
      <w:r w:rsidRPr="005F4560">
        <w:t>Nominate two experts who could be approached about the proposed medical service and the current clinical management of the service(s):</w:t>
      </w:r>
    </w:p>
    <w:p w14:paraId="3D819CD3" w14:textId="6159E359" w:rsidR="00987ABE" w:rsidRPr="005F4560" w:rsidRDefault="00987ABE" w:rsidP="00987ABE">
      <w:pPr>
        <w:ind w:left="426"/>
        <w:rPr>
          <w:b/>
          <w:szCs w:val="20"/>
        </w:rPr>
      </w:pPr>
      <w:r w:rsidRPr="005F4560">
        <w:rPr>
          <w:b/>
          <w:szCs w:val="20"/>
        </w:rPr>
        <w:t>Name of expe</w:t>
      </w:r>
      <w:r w:rsidR="00277ECD" w:rsidRPr="005F4560">
        <w:rPr>
          <w:b/>
          <w:szCs w:val="20"/>
        </w:rPr>
        <w:t xml:space="preserve">rt 1: </w:t>
      </w:r>
      <w:r w:rsidR="003B4101" w:rsidRPr="003B4101">
        <w:rPr>
          <w:b/>
          <w:color w:val="FF0000"/>
          <w:szCs w:val="20"/>
        </w:rPr>
        <w:t>REDACTED</w:t>
      </w:r>
    </w:p>
    <w:p w14:paraId="306A1B5A" w14:textId="042283A5" w:rsidR="00987ABE" w:rsidRPr="005F4560" w:rsidRDefault="00987ABE" w:rsidP="00987ABE">
      <w:pPr>
        <w:ind w:left="426"/>
        <w:rPr>
          <w:rFonts w:cstheme="minorHAnsi"/>
          <w:szCs w:val="20"/>
        </w:rPr>
      </w:pPr>
      <w:r w:rsidRPr="005F4560">
        <w:rPr>
          <w:rFonts w:cstheme="minorHAnsi"/>
          <w:szCs w:val="20"/>
        </w:rPr>
        <w:t xml:space="preserve">Telephone number(s): </w:t>
      </w:r>
      <w:r w:rsidR="003B4101" w:rsidRPr="003B4101">
        <w:rPr>
          <w:rFonts w:cstheme="minorHAnsi"/>
          <w:color w:val="FF0000"/>
          <w:szCs w:val="20"/>
        </w:rPr>
        <w:t>REDACTED</w:t>
      </w:r>
    </w:p>
    <w:p w14:paraId="71A81738" w14:textId="7E489C4E" w:rsidR="00987ABE" w:rsidRPr="005F4560" w:rsidRDefault="00987ABE" w:rsidP="00987ABE">
      <w:pPr>
        <w:ind w:left="426"/>
        <w:rPr>
          <w:rFonts w:cstheme="minorHAnsi"/>
          <w:szCs w:val="20"/>
        </w:rPr>
      </w:pPr>
      <w:r w:rsidRPr="005F4560">
        <w:rPr>
          <w:rFonts w:cstheme="minorHAnsi"/>
          <w:szCs w:val="20"/>
        </w:rPr>
        <w:t xml:space="preserve">Email address: </w:t>
      </w:r>
      <w:r w:rsidR="003B4101" w:rsidRPr="003B4101">
        <w:rPr>
          <w:rFonts w:cstheme="minorHAnsi"/>
          <w:color w:val="FF0000"/>
          <w:szCs w:val="20"/>
        </w:rPr>
        <w:t>REDACTED</w:t>
      </w:r>
    </w:p>
    <w:p w14:paraId="588FC324" w14:textId="427F166E" w:rsidR="00987ABE" w:rsidRPr="005F4560" w:rsidRDefault="00987ABE" w:rsidP="00987ABE">
      <w:pPr>
        <w:ind w:left="426"/>
        <w:rPr>
          <w:rFonts w:cstheme="minorHAnsi"/>
          <w:szCs w:val="20"/>
        </w:rPr>
      </w:pPr>
      <w:r w:rsidRPr="005F4560">
        <w:rPr>
          <w:rFonts w:cstheme="minorHAnsi"/>
          <w:szCs w:val="20"/>
        </w:rPr>
        <w:t xml:space="preserve">Justification of expertise: </w:t>
      </w:r>
      <w:r w:rsidR="003B4101" w:rsidRPr="003B4101">
        <w:rPr>
          <w:rFonts w:cstheme="minorHAnsi"/>
          <w:color w:val="FF0000"/>
          <w:szCs w:val="20"/>
        </w:rPr>
        <w:t>REDACTED</w:t>
      </w:r>
    </w:p>
    <w:p w14:paraId="1E3E2967" w14:textId="77777777" w:rsidR="00987ABE" w:rsidRPr="005F4560" w:rsidRDefault="00987ABE" w:rsidP="00987ABE">
      <w:pPr>
        <w:ind w:left="426"/>
        <w:rPr>
          <w:szCs w:val="20"/>
        </w:rPr>
      </w:pPr>
    </w:p>
    <w:p w14:paraId="51C7086B" w14:textId="42C54DA7" w:rsidR="00987ABE" w:rsidRPr="005F4560" w:rsidRDefault="00987ABE" w:rsidP="00987ABE">
      <w:pPr>
        <w:ind w:left="426"/>
        <w:rPr>
          <w:b/>
          <w:szCs w:val="20"/>
        </w:rPr>
      </w:pPr>
      <w:r w:rsidRPr="005F4560">
        <w:rPr>
          <w:b/>
          <w:szCs w:val="20"/>
        </w:rPr>
        <w:t xml:space="preserve">Name of expert 2: </w:t>
      </w:r>
      <w:r w:rsidR="003B4101" w:rsidRPr="003B4101">
        <w:rPr>
          <w:b/>
          <w:color w:val="FF0000"/>
          <w:szCs w:val="20"/>
        </w:rPr>
        <w:t>REDACTED</w:t>
      </w:r>
    </w:p>
    <w:p w14:paraId="5B9ACCF5" w14:textId="21667C15" w:rsidR="00987ABE" w:rsidRPr="005F4560" w:rsidRDefault="00987ABE" w:rsidP="00987ABE">
      <w:pPr>
        <w:ind w:left="426"/>
        <w:rPr>
          <w:szCs w:val="20"/>
        </w:rPr>
      </w:pPr>
      <w:r w:rsidRPr="005F4560">
        <w:rPr>
          <w:szCs w:val="20"/>
        </w:rPr>
        <w:t>Telephone number(s):</w:t>
      </w:r>
      <w:r w:rsidR="00277ECD" w:rsidRPr="005F4560">
        <w:rPr>
          <w:szCs w:val="20"/>
        </w:rPr>
        <w:t xml:space="preserve"> </w:t>
      </w:r>
      <w:r w:rsidR="003B4101" w:rsidRPr="003B4101">
        <w:rPr>
          <w:color w:val="FF0000"/>
          <w:szCs w:val="20"/>
        </w:rPr>
        <w:t>REDACTED</w:t>
      </w:r>
    </w:p>
    <w:p w14:paraId="5CB5B5E8" w14:textId="31EF2444" w:rsidR="00987ABE" w:rsidRPr="005F4560" w:rsidRDefault="00987ABE" w:rsidP="00987ABE">
      <w:pPr>
        <w:ind w:left="426"/>
        <w:rPr>
          <w:szCs w:val="20"/>
        </w:rPr>
      </w:pPr>
      <w:r w:rsidRPr="005F4560">
        <w:rPr>
          <w:szCs w:val="20"/>
        </w:rPr>
        <w:t xml:space="preserve">Email address: </w:t>
      </w:r>
      <w:hyperlink r:id="rId45" w:history="1">
        <w:r w:rsidR="003B4101" w:rsidRPr="003B4101">
          <w:rPr>
            <w:rFonts w:cstheme="minorHAnsi"/>
            <w:color w:val="FF0000"/>
            <w:szCs w:val="20"/>
          </w:rPr>
          <w:t>REDACTED</w:t>
        </w:r>
      </w:hyperlink>
    </w:p>
    <w:p w14:paraId="42107C7E" w14:textId="79796D03" w:rsidR="00E82F54" w:rsidRPr="005F4560" w:rsidRDefault="00987ABE" w:rsidP="00987ABE">
      <w:pPr>
        <w:ind w:left="426"/>
        <w:rPr>
          <w:szCs w:val="20"/>
        </w:rPr>
      </w:pPr>
      <w:r w:rsidRPr="005F4560">
        <w:rPr>
          <w:szCs w:val="20"/>
        </w:rPr>
        <w:t xml:space="preserve">Justification of expertise: </w:t>
      </w:r>
      <w:r w:rsidR="003B4101" w:rsidRPr="003B4101">
        <w:rPr>
          <w:color w:val="FF0000"/>
        </w:rPr>
        <w:t>REDACTED</w:t>
      </w:r>
      <w:r w:rsidR="00277ECD" w:rsidRPr="005F4560">
        <w:t xml:space="preserve"> </w:t>
      </w:r>
    </w:p>
    <w:p w14:paraId="39DC445B" w14:textId="6E023E3E" w:rsidR="003433D1" w:rsidRPr="005F4560" w:rsidRDefault="003433D1" w:rsidP="00460F6C">
      <w:pPr>
        <w:ind w:left="426"/>
        <w:rPr>
          <w:b/>
          <w:sz w:val="32"/>
          <w:szCs w:val="32"/>
        </w:rPr>
      </w:pPr>
      <w:r w:rsidRPr="005F4560">
        <w:rPr>
          <w:b/>
          <w:sz w:val="32"/>
          <w:szCs w:val="32"/>
        </w:rPr>
        <w:br w:type="page"/>
      </w:r>
    </w:p>
    <w:p w14:paraId="52371EB0" w14:textId="77777777" w:rsidR="00E82F54" w:rsidRPr="005F4560" w:rsidRDefault="00F93784" w:rsidP="00A96329">
      <w:pPr>
        <w:pStyle w:val="Heading1"/>
        <w:rPr>
          <w:color w:val="auto"/>
        </w:rPr>
      </w:pPr>
      <w:r w:rsidRPr="005F4560">
        <w:rPr>
          <w:color w:val="auto"/>
        </w:rPr>
        <w:lastRenderedPageBreak/>
        <w:t>PAR</w:t>
      </w:r>
      <w:r w:rsidR="005C3AE7" w:rsidRPr="005F4560">
        <w:rPr>
          <w:color w:val="auto"/>
        </w:rPr>
        <w:t>T 6</w:t>
      </w:r>
      <w:r w:rsidRPr="005F4560">
        <w:rPr>
          <w:color w:val="auto"/>
        </w:rPr>
        <w:t xml:space="preserve"> – POPULATION</w:t>
      </w:r>
      <w:r w:rsidR="000525BC" w:rsidRPr="005F4560">
        <w:rPr>
          <w:color w:val="auto"/>
        </w:rPr>
        <w:t xml:space="preserve"> (AND PRIOR TESTS)</w:t>
      </w:r>
      <w:r w:rsidRPr="005F4560">
        <w:rPr>
          <w:color w:val="auto"/>
        </w:rPr>
        <w:t>, INDICATION, COMPARATOR, OUTCOME (PICO)</w:t>
      </w:r>
    </w:p>
    <w:p w14:paraId="27A138A8" w14:textId="77777777" w:rsidR="0021185D" w:rsidRPr="005F4560" w:rsidRDefault="005C3AE7" w:rsidP="005C3AE7">
      <w:pPr>
        <w:pStyle w:val="Subtitle"/>
      </w:pPr>
      <w:r w:rsidRPr="005F4560">
        <w:t xml:space="preserve">PART 6a – </w:t>
      </w:r>
      <w:r w:rsidR="0021185D" w:rsidRPr="005F4560">
        <w:t>INFORMATION ABOUT THE PROPOSED POPULATION</w:t>
      </w:r>
    </w:p>
    <w:p w14:paraId="6F073C07" w14:textId="77777777" w:rsidR="0021185D" w:rsidRPr="005F4560" w:rsidRDefault="0021185D" w:rsidP="005C3AE7">
      <w:pPr>
        <w:pStyle w:val="Heading2"/>
      </w:pPr>
      <w:r w:rsidRPr="00BB4539">
        <w:t>Define the medical condition, including providing information</w:t>
      </w:r>
      <w:r w:rsidR="00DF0C51" w:rsidRPr="00BB4539">
        <w:t xml:space="preserve"> on the natural history of the </w:t>
      </w:r>
      <w:r w:rsidRPr="00BB4539">
        <w:t>condition</w:t>
      </w:r>
      <w:r w:rsidR="0018630F" w:rsidRPr="00BB4539">
        <w:t xml:space="preserve"> and a high</w:t>
      </w:r>
      <w:r w:rsidR="00DD2CA1" w:rsidRPr="00BB4539">
        <w:t>-</w:t>
      </w:r>
      <w:r w:rsidR="0018630F" w:rsidRPr="00BB4539">
        <w:t>level</w:t>
      </w:r>
      <w:r w:rsidR="009C03FB" w:rsidRPr="00BB4539">
        <w:t xml:space="preserve"> summary of associated </w:t>
      </w:r>
      <w:r w:rsidR="0018630F" w:rsidRPr="00BB4539">
        <w:t>burden of disea</w:t>
      </w:r>
      <w:r w:rsidR="009C03FB" w:rsidRPr="00BB4539">
        <w:t>se</w:t>
      </w:r>
      <w:r w:rsidR="0054594B" w:rsidRPr="00BB4539">
        <w:t xml:space="preserve"> in terms of both morbidity and mortality</w:t>
      </w:r>
      <w:r w:rsidR="00197D29" w:rsidRPr="005F4560">
        <w:t>:</w:t>
      </w:r>
    </w:p>
    <w:p w14:paraId="0396BED3" w14:textId="58CC9E4F" w:rsidR="00170C7D" w:rsidRPr="005F4560" w:rsidRDefault="00DA4341" w:rsidP="00BB4539">
      <w:pPr>
        <w:pStyle w:val="KMC16-NumLists"/>
        <w:ind w:left="426" w:firstLine="0"/>
        <w:rPr>
          <w:rFonts w:cstheme="minorHAnsi"/>
          <w:szCs w:val="20"/>
        </w:rPr>
      </w:pPr>
      <w:r w:rsidRPr="00BB4539">
        <w:rPr>
          <w:rFonts w:asciiTheme="minorHAnsi" w:hAnsiTheme="minorHAnsi" w:cstheme="minorHAnsi"/>
          <w:color w:val="auto"/>
          <w:sz w:val="20"/>
          <w:szCs w:val="20"/>
        </w:rPr>
        <w:t xml:space="preserve">A staggering </w:t>
      </w:r>
      <w:r w:rsidR="009961D3" w:rsidRPr="00BB4539">
        <w:rPr>
          <w:rFonts w:asciiTheme="minorHAnsi" w:hAnsiTheme="minorHAnsi" w:cstheme="minorHAnsi"/>
          <w:color w:val="auto"/>
          <w:sz w:val="20"/>
          <w:szCs w:val="20"/>
        </w:rPr>
        <w:t xml:space="preserve">28.3% of Australians are classified as obese according to the latest </w:t>
      </w:r>
      <w:hyperlink r:id="rId46" w:history="1">
        <w:r w:rsidR="009961D3" w:rsidRPr="00BB4539">
          <w:rPr>
            <w:rFonts w:asciiTheme="minorHAnsi" w:hAnsiTheme="minorHAnsi"/>
            <w:sz w:val="20"/>
          </w:rPr>
          <w:t>Australian Health Survey</w:t>
        </w:r>
      </w:hyperlink>
      <w:r w:rsidR="009961D3" w:rsidRPr="00BB4539">
        <w:rPr>
          <w:rFonts w:asciiTheme="minorHAnsi" w:hAnsiTheme="minorHAnsi" w:cstheme="minorHAnsi"/>
          <w:color w:val="auto"/>
          <w:sz w:val="20"/>
          <w:szCs w:val="20"/>
        </w:rPr>
        <w:t xml:space="preserve">  </w:t>
      </w:r>
      <w:r w:rsidR="00F9261C" w:rsidRPr="00BB4539">
        <w:rPr>
          <w:rFonts w:asciiTheme="minorHAnsi" w:hAnsiTheme="minorHAnsi" w:cstheme="minorHAnsi"/>
          <w:color w:val="auto"/>
          <w:sz w:val="20"/>
          <w:szCs w:val="20"/>
        </w:rPr>
        <w:t xml:space="preserve">(comparable to the ABS’s estimate of 27.9%).  </w:t>
      </w:r>
      <w:r w:rsidR="00C5434A" w:rsidRPr="00BB4539">
        <w:rPr>
          <w:rFonts w:asciiTheme="minorHAnsi" w:hAnsiTheme="minorHAnsi" w:cstheme="minorHAnsi"/>
          <w:color w:val="auto"/>
          <w:sz w:val="20"/>
          <w:szCs w:val="20"/>
        </w:rPr>
        <w:t>A number of factors are known to increase the risk of developing CVD</w:t>
      </w:r>
      <w:r w:rsidR="0012273C" w:rsidRPr="00BB4539">
        <w:rPr>
          <w:rFonts w:asciiTheme="minorHAnsi" w:hAnsiTheme="minorHAnsi" w:cstheme="minorHAnsi"/>
          <w:color w:val="auto"/>
          <w:sz w:val="20"/>
          <w:szCs w:val="20"/>
        </w:rPr>
        <w:t xml:space="preserve"> (cardiovascular disease)</w:t>
      </w:r>
      <w:r w:rsidR="00C5434A" w:rsidRPr="00BB4539">
        <w:rPr>
          <w:rFonts w:asciiTheme="minorHAnsi" w:hAnsiTheme="minorHAnsi" w:cstheme="minorHAnsi"/>
          <w:color w:val="auto"/>
          <w:sz w:val="20"/>
          <w:szCs w:val="20"/>
        </w:rPr>
        <w:t>. These include overweight and obesity</w:t>
      </w:r>
      <w:r w:rsidR="00170C7D" w:rsidRPr="00BB4539">
        <w:rPr>
          <w:rFonts w:asciiTheme="minorHAnsi" w:hAnsiTheme="minorHAnsi" w:cstheme="minorHAnsi"/>
          <w:color w:val="auto"/>
          <w:sz w:val="20"/>
          <w:szCs w:val="20"/>
        </w:rPr>
        <w:t xml:space="preserve"> (defined as a BMI</w:t>
      </w:r>
      <w:r w:rsidR="00170C7D" w:rsidRPr="00BB4539">
        <w:rPr>
          <w:rFonts w:asciiTheme="minorHAnsi" w:hAnsiTheme="minorHAnsi" w:cstheme="minorHAnsi"/>
          <w:color w:val="auto"/>
          <w:sz w:val="20"/>
          <w:szCs w:val="20"/>
        </w:rPr>
        <w:sym w:font="Symbol" w:char="F0B3"/>
      </w:r>
      <w:r w:rsidR="00170C7D" w:rsidRPr="00BB4539">
        <w:rPr>
          <w:rFonts w:asciiTheme="minorHAnsi" w:hAnsiTheme="minorHAnsi" w:cstheme="minorHAnsi"/>
          <w:color w:val="auto"/>
          <w:sz w:val="20"/>
          <w:szCs w:val="20"/>
        </w:rPr>
        <w:t>30 kg/m2)</w:t>
      </w:r>
      <w:r w:rsidR="00C5434A" w:rsidRPr="00BB4539">
        <w:rPr>
          <w:rFonts w:asciiTheme="minorHAnsi" w:hAnsiTheme="minorHAnsi" w:cstheme="minorHAnsi"/>
          <w:color w:val="auto"/>
          <w:sz w:val="20"/>
          <w:szCs w:val="20"/>
        </w:rPr>
        <w:t>, tobacco smoking, high blood pressure, high blood cholesterol, insufficient physical activity, poor nutrition and diabetes.</w:t>
      </w:r>
      <w:r w:rsidR="00C5434A" w:rsidRPr="00BB4539">
        <w:rPr>
          <w:rFonts w:asciiTheme="minorHAnsi" w:hAnsiTheme="minorHAnsi" w:cstheme="minorHAnsi"/>
          <w:color w:val="auto"/>
          <w:sz w:val="20"/>
          <w:szCs w:val="20"/>
        </w:rPr>
        <w:footnoteReference w:id="2"/>
      </w:r>
      <w:r w:rsidR="00C5434A" w:rsidRPr="00BB4539">
        <w:rPr>
          <w:rFonts w:asciiTheme="minorHAnsi" w:hAnsiTheme="minorHAnsi" w:cstheme="minorHAnsi"/>
          <w:color w:val="auto"/>
          <w:sz w:val="20"/>
          <w:szCs w:val="20"/>
        </w:rPr>
        <w:t xml:space="preserve"> </w:t>
      </w:r>
      <w:r w:rsidR="00C5434A" w:rsidRPr="005F4560">
        <w:rPr>
          <w:rFonts w:cstheme="minorHAnsi"/>
          <w:szCs w:val="20"/>
        </w:rPr>
        <w:t xml:space="preserve"> </w:t>
      </w:r>
    </w:p>
    <w:p w14:paraId="3CE227FF" w14:textId="3B50855D" w:rsidR="00796748" w:rsidRPr="005F4560" w:rsidRDefault="00796748" w:rsidP="00192AA7">
      <w:pPr>
        <w:ind w:left="426"/>
        <w:jc w:val="both"/>
        <w:rPr>
          <w:rFonts w:cstheme="minorHAnsi"/>
          <w:szCs w:val="20"/>
        </w:rPr>
      </w:pPr>
      <w:r w:rsidRPr="005F4560">
        <w:rPr>
          <w:rFonts w:cstheme="minorHAnsi"/>
          <w:szCs w:val="20"/>
        </w:rPr>
        <w:t>The population for which the MBS item is requested is as follows:</w:t>
      </w:r>
    </w:p>
    <w:p w14:paraId="5E76478D" w14:textId="76F26EAB" w:rsidR="00490B47" w:rsidRPr="005F4560" w:rsidRDefault="00490B47" w:rsidP="00490B47">
      <w:pPr>
        <w:pStyle w:val="KMC16-NumLists"/>
        <w:numPr>
          <w:ilvl w:val="0"/>
          <w:numId w:val="16"/>
        </w:numPr>
        <w:ind w:left="426" w:firstLine="0"/>
        <w:rPr>
          <w:rFonts w:asciiTheme="minorHAnsi" w:hAnsiTheme="minorHAnsi" w:cstheme="minorHAnsi"/>
          <w:color w:val="auto"/>
          <w:sz w:val="20"/>
          <w:szCs w:val="20"/>
        </w:rPr>
      </w:pPr>
      <w:r w:rsidRPr="005F4560">
        <w:rPr>
          <w:rFonts w:asciiTheme="minorHAnsi" w:hAnsiTheme="minorHAnsi" w:cstheme="minorHAnsi"/>
          <w:color w:val="auto"/>
          <w:sz w:val="20"/>
          <w:szCs w:val="20"/>
        </w:rPr>
        <w:t xml:space="preserve">People with </w:t>
      </w:r>
      <w:r w:rsidRPr="005F4560" w:rsidDel="00DC48B1">
        <w:rPr>
          <w:rFonts w:asciiTheme="minorHAnsi" w:hAnsiTheme="minorHAnsi" w:cstheme="minorHAnsi"/>
          <w:color w:val="auto"/>
          <w:sz w:val="20"/>
          <w:szCs w:val="20"/>
        </w:rPr>
        <w:t xml:space="preserve">BMI </w:t>
      </w:r>
      <w:r w:rsidRPr="005F4560">
        <w:rPr>
          <w:rFonts w:asciiTheme="minorHAnsi" w:hAnsiTheme="minorHAnsi" w:cstheme="minorHAnsi"/>
          <w:color w:val="auto"/>
          <w:sz w:val="20"/>
          <w:szCs w:val="20"/>
        </w:rPr>
        <w:t>≥30&lt;</w:t>
      </w:r>
      <w:r w:rsidRPr="005F4560" w:rsidDel="00DC48B1">
        <w:rPr>
          <w:rFonts w:asciiTheme="minorHAnsi" w:hAnsiTheme="minorHAnsi" w:cstheme="minorHAnsi"/>
          <w:color w:val="auto"/>
          <w:sz w:val="20"/>
          <w:szCs w:val="20"/>
        </w:rPr>
        <w:t>35 kg/m</w:t>
      </w:r>
      <w:r w:rsidRPr="005F4560" w:rsidDel="00DC48B1">
        <w:rPr>
          <w:rFonts w:asciiTheme="minorHAnsi" w:hAnsiTheme="minorHAnsi" w:cstheme="minorHAnsi"/>
          <w:color w:val="auto"/>
          <w:sz w:val="20"/>
          <w:szCs w:val="20"/>
          <w:vertAlign w:val="superscript"/>
        </w:rPr>
        <w:t>2</w:t>
      </w:r>
      <w:r w:rsidRPr="005F4560">
        <w:rPr>
          <w:rFonts w:cstheme="minorHAnsi"/>
          <w:color w:val="auto"/>
          <w:szCs w:val="20"/>
        </w:rPr>
        <w:t xml:space="preserve"> </w:t>
      </w:r>
      <w:r w:rsidRPr="005F4560">
        <w:rPr>
          <w:rFonts w:asciiTheme="minorHAnsi" w:hAnsiTheme="minorHAnsi" w:cstheme="minorHAnsi"/>
          <w:color w:val="auto"/>
          <w:sz w:val="20"/>
          <w:szCs w:val="20"/>
        </w:rPr>
        <w:t xml:space="preserve">who have co-morbidities </w:t>
      </w:r>
      <w:r w:rsidR="00926623" w:rsidRPr="005F4560">
        <w:rPr>
          <w:rFonts w:asciiTheme="minorHAnsi" w:hAnsiTheme="minorHAnsi" w:cstheme="minorHAnsi"/>
          <w:color w:val="auto"/>
          <w:sz w:val="20"/>
          <w:szCs w:val="20"/>
        </w:rPr>
        <w:t>(in particular, have poorly controlled type 2 diabetes) and who have failed first line treatments</w:t>
      </w:r>
      <w:r w:rsidRPr="005F4560">
        <w:rPr>
          <w:rFonts w:asciiTheme="minorHAnsi" w:hAnsiTheme="minorHAnsi" w:cstheme="minorHAnsi"/>
          <w:color w:val="auto"/>
          <w:sz w:val="20"/>
          <w:szCs w:val="20"/>
        </w:rPr>
        <w:t>.</w:t>
      </w:r>
    </w:p>
    <w:p w14:paraId="492355E1" w14:textId="77777777" w:rsidR="009961D3" w:rsidRPr="005F4560" w:rsidRDefault="0043271F" w:rsidP="00192AA7">
      <w:pPr>
        <w:ind w:left="426"/>
        <w:jc w:val="both"/>
        <w:rPr>
          <w:rFonts w:cstheme="minorHAnsi"/>
          <w:szCs w:val="20"/>
        </w:rPr>
      </w:pPr>
      <w:r w:rsidRPr="005F4560">
        <w:rPr>
          <w:rFonts w:cstheme="minorHAnsi"/>
          <w:szCs w:val="20"/>
        </w:rPr>
        <w:t xml:space="preserve">Obesity imposes a considerable economic burden on society. Weight loss improves obesity-related comorbidities and may have a mortality benefit. </w:t>
      </w:r>
      <w:r w:rsidR="009202C5" w:rsidRPr="005F4560">
        <w:rPr>
          <w:rFonts w:cstheme="minorHAnsi"/>
          <w:szCs w:val="20"/>
        </w:rPr>
        <w:t xml:space="preserve"> </w:t>
      </w:r>
    </w:p>
    <w:p w14:paraId="6BA27F8A" w14:textId="3ED440FA" w:rsidR="00DD2CA1" w:rsidRPr="005F4560" w:rsidRDefault="00DD2CA1" w:rsidP="00DD2CA1">
      <w:pPr>
        <w:ind w:left="426"/>
        <w:jc w:val="both"/>
        <w:rPr>
          <w:rFonts w:cstheme="minorHAnsi"/>
          <w:szCs w:val="20"/>
        </w:rPr>
      </w:pPr>
      <w:r w:rsidRPr="005F4560">
        <w:rPr>
          <w:rFonts w:cstheme="minorHAnsi"/>
          <w:szCs w:val="20"/>
        </w:rPr>
        <w:t xml:space="preserve">Evidence indicates that sustained weight loss delivers a variety of benefits, </w:t>
      </w:r>
      <w:r w:rsidR="00A37EEA" w:rsidRPr="005F4560">
        <w:rPr>
          <w:rFonts w:cstheme="minorHAnsi"/>
          <w:szCs w:val="20"/>
        </w:rPr>
        <w:t xml:space="preserve">both cardiovascular and non-cardiovascular, with a positive incremental benefit in terms of quality of life, </w:t>
      </w:r>
      <w:r w:rsidRPr="005F4560">
        <w:rPr>
          <w:rFonts w:cstheme="minorHAnsi"/>
          <w:szCs w:val="20"/>
        </w:rPr>
        <w:t xml:space="preserve">and these are reported below (as reported in </w:t>
      </w:r>
      <w:hyperlink r:id="rId47" w:history="1">
        <w:r w:rsidRPr="005F4560">
          <w:rPr>
            <w:rStyle w:val="Hyperlink"/>
            <w:rFonts w:cstheme="minorHAnsi"/>
            <w:color w:val="auto"/>
            <w:szCs w:val="20"/>
          </w:rPr>
          <w:t>NHMRC, 2013</w:t>
        </w:r>
      </w:hyperlink>
      <w:r w:rsidR="005D48DB">
        <w:rPr>
          <w:rFonts w:cstheme="minorHAnsi"/>
          <w:szCs w:val="20"/>
        </w:rPr>
        <w:t>)</w:t>
      </w:r>
      <w:r w:rsidRPr="005F4560">
        <w:rPr>
          <w:rFonts w:cstheme="minorHAnsi"/>
          <w:szCs w:val="20"/>
        </w:rPr>
        <w:t>:</w:t>
      </w:r>
    </w:p>
    <w:tbl>
      <w:tblPr>
        <w:tblStyle w:val="TableGrid"/>
        <w:tblW w:w="0" w:type="auto"/>
        <w:tblInd w:w="426" w:type="dxa"/>
        <w:tblLook w:val="04A0" w:firstRow="1" w:lastRow="0" w:firstColumn="1" w:lastColumn="0" w:noHBand="0" w:noVBand="1"/>
        <w:tblCaption w:val="Benefits of the Proposed Medical Service"/>
        <w:tblDescription w:val="- Reduced cardiovascular risk&#10;- Prevention and improved control of Type 2 diabetes&#10;- Improvements in other conditions (sleep apnoea, kidney disease)&#10;- Improvements in quality of life, self-esteem and depression&#10;"/>
      </w:tblPr>
      <w:tblGrid>
        <w:gridCol w:w="2971"/>
        <w:gridCol w:w="4536"/>
        <w:gridCol w:w="1083"/>
      </w:tblGrid>
      <w:tr w:rsidR="00DD2CA1" w:rsidRPr="005F4560" w14:paraId="41855A41" w14:textId="77777777" w:rsidTr="00043105">
        <w:trPr>
          <w:tblHeader/>
        </w:trPr>
        <w:tc>
          <w:tcPr>
            <w:tcW w:w="2971" w:type="dxa"/>
            <w:shd w:val="clear" w:color="auto" w:fill="A6A6A6" w:themeFill="background1" w:themeFillShade="A6"/>
          </w:tcPr>
          <w:p w14:paraId="5403B310" w14:textId="77777777" w:rsidR="00DD2CA1" w:rsidRPr="005F4560" w:rsidRDefault="00DD2CA1" w:rsidP="006952C9">
            <w:pPr>
              <w:spacing w:before="40" w:after="40"/>
              <w:jc w:val="both"/>
              <w:rPr>
                <w:rFonts w:ascii="Arial Narrow" w:hAnsi="Arial Narrow"/>
                <w:b/>
                <w:szCs w:val="20"/>
              </w:rPr>
            </w:pPr>
            <w:r w:rsidRPr="005F4560">
              <w:rPr>
                <w:b/>
              </w:rPr>
              <w:t>Benefit</w:t>
            </w:r>
          </w:p>
        </w:tc>
        <w:tc>
          <w:tcPr>
            <w:tcW w:w="4536" w:type="dxa"/>
            <w:shd w:val="clear" w:color="auto" w:fill="A6A6A6" w:themeFill="background1" w:themeFillShade="A6"/>
          </w:tcPr>
          <w:p w14:paraId="2CF9563D" w14:textId="77777777" w:rsidR="00DD2CA1" w:rsidRPr="005F4560" w:rsidRDefault="00DD2CA1" w:rsidP="006952C9">
            <w:pPr>
              <w:spacing w:before="40" w:after="40"/>
              <w:jc w:val="both"/>
              <w:rPr>
                <w:rFonts w:ascii="Arial Narrow" w:hAnsi="Arial Narrow"/>
                <w:b/>
                <w:szCs w:val="20"/>
              </w:rPr>
            </w:pPr>
            <w:r w:rsidRPr="005F4560">
              <w:rPr>
                <w:rFonts w:ascii="Arial Narrow" w:hAnsi="Arial Narrow"/>
                <w:b/>
                <w:szCs w:val="20"/>
              </w:rPr>
              <w:t>References</w:t>
            </w:r>
          </w:p>
        </w:tc>
        <w:tc>
          <w:tcPr>
            <w:tcW w:w="1083" w:type="dxa"/>
            <w:shd w:val="clear" w:color="auto" w:fill="A6A6A6" w:themeFill="background1" w:themeFillShade="A6"/>
          </w:tcPr>
          <w:p w14:paraId="746E2B70" w14:textId="77777777" w:rsidR="00DD2CA1" w:rsidRPr="005F4560" w:rsidRDefault="00DD2CA1" w:rsidP="006952C9">
            <w:pPr>
              <w:spacing w:before="40" w:after="40"/>
              <w:jc w:val="both"/>
              <w:rPr>
                <w:rFonts w:ascii="Arial Narrow" w:hAnsi="Arial Narrow"/>
                <w:b/>
                <w:szCs w:val="20"/>
              </w:rPr>
            </w:pPr>
            <w:r w:rsidRPr="005F4560">
              <w:rPr>
                <w:rFonts w:ascii="Arial Narrow" w:hAnsi="Arial Narrow"/>
                <w:b/>
                <w:szCs w:val="20"/>
              </w:rPr>
              <w:t>Evidence Grade</w:t>
            </w:r>
          </w:p>
        </w:tc>
      </w:tr>
      <w:tr w:rsidR="00DD2CA1" w:rsidRPr="005F4560" w14:paraId="675D144E" w14:textId="77777777" w:rsidTr="00043105">
        <w:tc>
          <w:tcPr>
            <w:tcW w:w="2971" w:type="dxa"/>
          </w:tcPr>
          <w:p w14:paraId="3DE3C80A" w14:textId="649392A0" w:rsidR="00DD2CA1" w:rsidRPr="00043105" w:rsidRDefault="00043105" w:rsidP="0088764D">
            <w:pPr>
              <w:spacing w:before="40" w:after="40"/>
              <w:rPr>
                <w:rFonts w:cstheme="minorHAnsi"/>
                <w:b/>
                <w:szCs w:val="20"/>
              </w:rPr>
            </w:pPr>
            <w:r>
              <w:rPr>
                <w:rFonts w:cstheme="minorHAnsi"/>
                <w:b/>
                <w:szCs w:val="20"/>
              </w:rPr>
              <w:t>Reduced cardiovascular risk</w:t>
            </w:r>
          </w:p>
        </w:tc>
        <w:tc>
          <w:tcPr>
            <w:tcW w:w="4536" w:type="dxa"/>
          </w:tcPr>
          <w:p w14:paraId="667E0EE2" w14:textId="7526761E" w:rsidR="00DD2CA1" w:rsidRPr="005F4560" w:rsidRDefault="000936EC" w:rsidP="0088764D">
            <w:pPr>
              <w:spacing w:before="40" w:after="40"/>
              <w:rPr>
                <w:rFonts w:cstheme="minorHAnsi"/>
                <w:szCs w:val="20"/>
              </w:rPr>
            </w:pPr>
            <w:r>
              <w:rPr>
                <w:rFonts w:cstheme="minorHAnsi"/>
                <w:szCs w:val="20"/>
              </w:rPr>
              <w:t>-</w:t>
            </w:r>
          </w:p>
        </w:tc>
        <w:tc>
          <w:tcPr>
            <w:tcW w:w="1083" w:type="dxa"/>
          </w:tcPr>
          <w:p w14:paraId="0D0DD97C" w14:textId="1E7FC436" w:rsidR="00DD2CA1" w:rsidRPr="005F4560" w:rsidRDefault="000936EC" w:rsidP="0088764D">
            <w:pPr>
              <w:spacing w:before="40" w:after="40"/>
              <w:rPr>
                <w:rFonts w:cstheme="minorHAnsi"/>
                <w:szCs w:val="20"/>
              </w:rPr>
            </w:pPr>
            <w:r>
              <w:rPr>
                <w:rFonts w:cstheme="minorHAnsi"/>
                <w:szCs w:val="20"/>
              </w:rPr>
              <w:t>-</w:t>
            </w:r>
          </w:p>
        </w:tc>
      </w:tr>
      <w:tr w:rsidR="00043105" w:rsidRPr="005F4560" w14:paraId="76DAA305" w14:textId="77777777" w:rsidTr="00043105">
        <w:tc>
          <w:tcPr>
            <w:tcW w:w="2971" w:type="dxa"/>
          </w:tcPr>
          <w:p w14:paraId="76CB1846" w14:textId="6A77A34D" w:rsidR="00043105" w:rsidRPr="005F4560" w:rsidRDefault="00043105" w:rsidP="00043105">
            <w:pPr>
              <w:spacing w:before="40" w:after="40"/>
              <w:rPr>
                <w:rFonts w:cstheme="minorHAnsi"/>
                <w:szCs w:val="20"/>
              </w:rPr>
            </w:pPr>
            <w:r w:rsidRPr="005F4560">
              <w:rPr>
                <w:rFonts w:cstheme="minorHAnsi"/>
                <w:szCs w:val="20"/>
              </w:rPr>
              <w:t>Reduced systolic blood pressure with weight loss of at least 2 kg</w:t>
            </w:r>
          </w:p>
        </w:tc>
        <w:tc>
          <w:tcPr>
            <w:tcW w:w="4536" w:type="dxa"/>
          </w:tcPr>
          <w:p w14:paraId="686F1CE7" w14:textId="0AC0C3E0" w:rsidR="00043105" w:rsidRDefault="009878BB" w:rsidP="00043105">
            <w:pPr>
              <w:spacing w:before="40" w:after="40"/>
            </w:pPr>
            <w:hyperlink r:id="rId48" w:history="1">
              <w:proofErr w:type="spellStart"/>
              <w:r w:rsidR="00043105" w:rsidRPr="005F4560">
                <w:rPr>
                  <w:rStyle w:val="Hyperlink"/>
                  <w:rFonts w:cstheme="minorHAnsi"/>
                  <w:color w:val="auto"/>
                  <w:szCs w:val="20"/>
                </w:rPr>
                <w:t>Aucott</w:t>
              </w:r>
              <w:proofErr w:type="spellEnd"/>
              <w:r w:rsidR="00043105" w:rsidRPr="005F4560">
                <w:rPr>
                  <w:rStyle w:val="Hyperlink"/>
                  <w:rFonts w:cstheme="minorHAnsi"/>
                  <w:color w:val="auto"/>
                  <w:szCs w:val="20"/>
                </w:rPr>
                <w:t xml:space="preserve"> et al. 2009</w:t>
              </w:r>
            </w:hyperlink>
            <w:r w:rsidR="00043105" w:rsidRPr="005F4560">
              <w:rPr>
                <w:rFonts w:cstheme="minorHAnsi"/>
                <w:szCs w:val="20"/>
              </w:rPr>
              <w:t xml:space="preserve">; </w:t>
            </w:r>
            <w:hyperlink r:id="rId49" w:history="1">
              <w:proofErr w:type="spellStart"/>
              <w:r w:rsidR="00043105" w:rsidRPr="005F4560">
                <w:rPr>
                  <w:rStyle w:val="Hyperlink"/>
                  <w:rFonts w:cstheme="minorHAnsi"/>
                  <w:color w:val="auto"/>
                  <w:szCs w:val="20"/>
                </w:rPr>
                <w:t>Azadbakht</w:t>
              </w:r>
              <w:proofErr w:type="spellEnd"/>
              <w:r w:rsidR="00043105" w:rsidRPr="005F4560">
                <w:rPr>
                  <w:rStyle w:val="Hyperlink"/>
                  <w:rFonts w:cstheme="minorHAnsi"/>
                  <w:color w:val="auto"/>
                  <w:szCs w:val="20"/>
                </w:rPr>
                <w:t xml:space="preserve"> et al 2007</w:t>
              </w:r>
            </w:hyperlink>
            <w:r w:rsidR="00043105" w:rsidRPr="005F4560">
              <w:rPr>
                <w:rFonts w:cstheme="minorHAnsi"/>
                <w:szCs w:val="20"/>
              </w:rPr>
              <w:t xml:space="preserve">; </w:t>
            </w:r>
            <w:hyperlink r:id="rId50" w:history="1">
              <w:proofErr w:type="spellStart"/>
              <w:r w:rsidR="00043105" w:rsidRPr="005F4560">
                <w:rPr>
                  <w:rStyle w:val="Hyperlink"/>
                  <w:rFonts w:cstheme="minorHAnsi"/>
                  <w:color w:val="auto"/>
                  <w:szCs w:val="20"/>
                </w:rPr>
                <w:t>Galani</w:t>
              </w:r>
              <w:proofErr w:type="spellEnd"/>
              <w:r w:rsidR="00043105" w:rsidRPr="005F4560">
                <w:rPr>
                  <w:rStyle w:val="Hyperlink"/>
                  <w:rFonts w:cstheme="minorHAnsi"/>
                  <w:color w:val="auto"/>
                  <w:szCs w:val="20"/>
                </w:rPr>
                <w:t xml:space="preserve"> &amp; Schneider 2007</w:t>
              </w:r>
            </w:hyperlink>
            <w:r w:rsidR="00043105" w:rsidRPr="005F4560">
              <w:rPr>
                <w:rFonts w:cstheme="minorHAnsi"/>
                <w:szCs w:val="20"/>
              </w:rPr>
              <w:t xml:space="preserve">; </w:t>
            </w:r>
            <w:hyperlink r:id="rId51" w:history="1">
              <w:proofErr w:type="spellStart"/>
              <w:r w:rsidR="00043105" w:rsidRPr="005F4560">
                <w:rPr>
                  <w:rStyle w:val="Hyperlink"/>
                  <w:rFonts w:cstheme="minorHAnsi"/>
                  <w:color w:val="auto"/>
                  <w:szCs w:val="20"/>
                </w:rPr>
                <w:t>Groeneveld</w:t>
              </w:r>
              <w:proofErr w:type="spellEnd"/>
              <w:r w:rsidR="00043105" w:rsidRPr="005F4560">
                <w:rPr>
                  <w:rStyle w:val="Hyperlink"/>
                  <w:rFonts w:cstheme="minorHAnsi"/>
                  <w:color w:val="auto"/>
                  <w:szCs w:val="20"/>
                </w:rPr>
                <w:t xml:space="preserve"> et al. 2010</w:t>
              </w:r>
            </w:hyperlink>
            <w:r w:rsidR="00043105" w:rsidRPr="005F4560">
              <w:rPr>
                <w:rFonts w:cstheme="minorHAnsi"/>
                <w:szCs w:val="20"/>
              </w:rPr>
              <w:t xml:space="preserve">; </w:t>
            </w:r>
            <w:hyperlink r:id="rId52" w:history="1">
              <w:r w:rsidR="00043105" w:rsidRPr="005F4560">
                <w:rPr>
                  <w:rStyle w:val="Hyperlink"/>
                  <w:rFonts w:cstheme="minorHAnsi"/>
                  <w:color w:val="auto"/>
                  <w:szCs w:val="20"/>
                </w:rPr>
                <w:t>Shaw et al. 2006</w:t>
              </w:r>
            </w:hyperlink>
            <w:r w:rsidR="00043105" w:rsidRPr="005F4560">
              <w:rPr>
                <w:rFonts w:cstheme="minorHAnsi"/>
                <w:szCs w:val="20"/>
              </w:rPr>
              <w:t xml:space="preserve">; </w:t>
            </w:r>
            <w:hyperlink r:id="rId53" w:history="1">
              <w:r w:rsidR="00043105" w:rsidRPr="005F4560">
                <w:rPr>
                  <w:rStyle w:val="Hyperlink"/>
                  <w:rFonts w:cstheme="minorHAnsi"/>
                  <w:color w:val="auto"/>
                  <w:szCs w:val="20"/>
                </w:rPr>
                <w:t xml:space="preserve">Witham &amp; </w:t>
              </w:r>
              <w:proofErr w:type="spellStart"/>
              <w:r w:rsidR="00043105" w:rsidRPr="005F4560">
                <w:rPr>
                  <w:rStyle w:val="Hyperlink"/>
                  <w:rFonts w:cstheme="minorHAnsi"/>
                  <w:color w:val="auto"/>
                  <w:szCs w:val="20"/>
                </w:rPr>
                <w:t>Avenell</w:t>
              </w:r>
              <w:proofErr w:type="spellEnd"/>
              <w:r w:rsidR="00043105" w:rsidRPr="005F4560">
                <w:rPr>
                  <w:rStyle w:val="Hyperlink"/>
                  <w:rFonts w:cstheme="minorHAnsi"/>
                  <w:color w:val="auto"/>
                  <w:szCs w:val="20"/>
                </w:rPr>
                <w:t xml:space="preserve"> 2010</w:t>
              </w:r>
            </w:hyperlink>
          </w:p>
        </w:tc>
        <w:tc>
          <w:tcPr>
            <w:tcW w:w="1083" w:type="dxa"/>
          </w:tcPr>
          <w:p w14:paraId="09B4C448" w14:textId="2027285E" w:rsidR="00043105" w:rsidRPr="005F4560" w:rsidRDefault="00043105" w:rsidP="00043105">
            <w:pPr>
              <w:spacing w:before="40" w:after="40"/>
              <w:rPr>
                <w:rFonts w:cstheme="minorHAnsi"/>
                <w:szCs w:val="20"/>
              </w:rPr>
            </w:pPr>
            <w:r w:rsidRPr="005F4560">
              <w:rPr>
                <w:rFonts w:cstheme="minorHAnsi"/>
                <w:szCs w:val="20"/>
              </w:rPr>
              <w:t>A</w:t>
            </w:r>
          </w:p>
        </w:tc>
      </w:tr>
      <w:tr w:rsidR="00043105" w:rsidRPr="005F4560" w14:paraId="4EB89873" w14:textId="77777777" w:rsidTr="00043105">
        <w:tc>
          <w:tcPr>
            <w:tcW w:w="2971" w:type="dxa"/>
          </w:tcPr>
          <w:p w14:paraId="78E0DF41" w14:textId="77777777" w:rsidR="00043105" w:rsidRPr="005F4560" w:rsidRDefault="00043105" w:rsidP="00043105">
            <w:pPr>
              <w:spacing w:before="40" w:after="40"/>
              <w:rPr>
                <w:rFonts w:cstheme="minorHAnsi"/>
                <w:szCs w:val="20"/>
              </w:rPr>
            </w:pPr>
            <w:r w:rsidRPr="005F4560">
              <w:rPr>
                <w:rFonts w:cstheme="minorHAnsi"/>
                <w:szCs w:val="20"/>
              </w:rPr>
              <w:t>Small improvements in lipid profiles with sustained weight loss</w:t>
            </w:r>
          </w:p>
        </w:tc>
        <w:tc>
          <w:tcPr>
            <w:tcW w:w="4536" w:type="dxa"/>
          </w:tcPr>
          <w:p w14:paraId="65E1C888" w14:textId="5B6CB936" w:rsidR="00043105" w:rsidRPr="005F4560" w:rsidRDefault="009878BB" w:rsidP="00043105">
            <w:pPr>
              <w:spacing w:before="40" w:after="40"/>
              <w:rPr>
                <w:rFonts w:cstheme="minorHAnsi"/>
                <w:szCs w:val="20"/>
              </w:rPr>
            </w:pPr>
            <w:hyperlink r:id="rId54" w:history="1">
              <w:proofErr w:type="spellStart"/>
              <w:r w:rsidR="00043105" w:rsidRPr="005F4560">
                <w:rPr>
                  <w:rStyle w:val="Hyperlink"/>
                  <w:rFonts w:cstheme="minorHAnsi"/>
                  <w:color w:val="auto"/>
                  <w:szCs w:val="20"/>
                </w:rPr>
                <w:t>Aucott</w:t>
              </w:r>
              <w:proofErr w:type="spellEnd"/>
              <w:r w:rsidR="00043105" w:rsidRPr="005F4560">
                <w:rPr>
                  <w:rStyle w:val="Hyperlink"/>
                  <w:rFonts w:cstheme="minorHAnsi"/>
                  <w:color w:val="auto"/>
                  <w:szCs w:val="20"/>
                </w:rPr>
                <w:t xml:space="preserve"> et al. 2009</w:t>
              </w:r>
            </w:hyperlink>
            <w:r w:rsidR="00043105" w:rsidRPr="005F4560">
              <w:rPr>
                <w:rFonts w:cstheme="minorHAnsi"/>
                <w:szCs w:val="20"/>
              </w:rPr>
              <w:t xml:space="preserve">; </w:t>
            </w:r>
            <w:hyperlink r:id="rId55" w:history="1">
              <w:proofErr w:type="spellStart"/>
              <w:r w:rsidR="00043105" w:rsidRPr="005F4560">
                <w:rPr>
                  <w:rStyle w:val="Hyperlink"/>
                  <w:rFonts w:cstheme="minorHAnsi"/>
                  <w:color w:val="auto"/>
                  <w:szCs w:val="20"/>
                </w:rPr>
                <w:t>Galani</w:t>
              </w:r>
              <w:proofErr w:type="spellEnd"/>
              <w:r w:rsidR="00043105" w:rsidRPr="005F4560">
                <w:rPr>
                  <w:rStyle w:val="Hyperlink"/>
                  <w:rFonts w:cstheme="minorHAnsi"/>
                  <w:color w:val="auto"/>
                  <w:szCs w:val="20"/>
                </w:rPr>
                <w:t xml:space="preserve"> &amp; Schneider 2007</w:t>
              </w:r>
            </w:hyperlink>
            <w:r w:rsidR="00043105" w:rsidRPr="005F4560">
              <w:rPr>
                <w:rFonts w:cstheme="minorHAnsi"/>
                <w:szCs w:val="20"/>
              </w:rPr>
              <w:t xml:space="preserve">; </w:t>
            </w:r>
            <w:hyperlink r:id="rId56" w:history="1">
              <w:r w:rsidR="00043105" w:rsidRPr="005F4560">
                <w:rPr>
                  <w:rStyle w:val="Hyperlink"/>
                  <w:rFonts w:cstheme="minorHAnsi"/>
                  <w:color w:val="auto"/>
                  <w:szCs w:val="20"/>
                </w:rPr>
                <w:t>Norris et al. 2005a</w:t>
              </w:r>
            </w:hyperlink>
            <w:r w:rsidR="00043105" w:rsidRPr="005F4560">
              <w:rPr>
                <w:rFonts w:cstheme="minorHAnsi"/>
                <w:szCs w:val="20"/>
              </w:rPr>
              <w:t xml:space="preserve">; </w:t>
            </w:r>
            <w:hyperlink r:id="rId57" w:history="1">
              <w:r w:rsidR="00043105" w:rsidRPr="005F4560">
                <w:rPr>
                  <w:rStyle w:val="Hyperlink"/>
                  <w:rFonts w:cstheme="minorHAnsi"/>
                  <w:color w:val="auto"/>
                  <w:szCs w:val="20"/>
                </w:rPr>
                <w:t>Shaw et al. 2006</w:t>
              </w:r>
            </w:hyperlink>
            <w:r w:rsidR="00043105" w:rsidRPr="005F4560">
              <w:rPr>
                <w:rFonts w:cstheme="minorHAnsi"/>
                <w:szCs w:val="20"/>
              </w:rPr>
              <w:t xml:space="preserve">; </w:t>
            </w:r>
            <w:hyperlink r:id="rId58" w:history="1">
              <w:r w:rsidR="00043105" w:rsidRPr="005F4560">
                <w:rPr>
                  <w:rStyle w:val="Hyperlink"/>
                  <w:rFonts w:cstheme="minorHAnsi"/>
                  <w:color w:val="auto"/>
                  <w:szCs w:val="20"/>
                </w:rPr>
                <w:t xml:space="preserve">Witham &amp; </w:t>
              </w:r>
              <w:proofErr w:type="spellStart"/>
              <w:r w:rsidR="00043105" w:rsidRPr="005F4560">
                <w:rPr>
                  <w:rStyle w:val="Hyperlink"/>
                  <w:rFonts w:cstheme="minorHAnsi"/>
                  <w:color w:val="auto"/>
                  <w:szCs w:val="20"/>
                </w:rPr>
                <w:t>Avenell</w:t>
              </w:r>
              <w:proofErr w:type="spellEnd"/>
              <w:r w:rsidR="00043105" w:rsidRPr="005F4560">
                <w:rPr>
                  <w:rStyle w:val="Hyperlink"/>
                  <w:rFonts w:cstheme="minorHAnsi"/>
                  <w:color w:val="auto"/>
                  <w:szCs w:val="20"/>
                </w:rPr>
                <w:t xml:space="preserve"> et al. 2010</w:t>
              </w:r>
            </w:hyperlink>
          </w:p>
        </w:tc>
        <w:tc>
          <w:tcPr>
            <w:tcW w:w="1083" w:type="dxa"/>
          </w:tcPr>
          <w:p w14:paraId="21D6F66E" w14:textId="77777777" w:rsidR="00043105" w:rsidRPr="005F4560" w:rsidRDefault="00043105" w:rsidP="00043105">
            <w:pPr>
              <w:spacing w:before="40" w:after="40"/>
              <w:rPr>
                <w:rFonts w:cstheme="minorHAnsi"/>
                <w:szCs w:val="20"/>
              </w:rPr>
            </w:pPr>
            <w:r w:rsidRPr="005F4560">
              <w:rPr>
                <w:rFonts w:cstheme="minorHAnsi"/>
                <w:szCs w:val="20"/>
              </w:rPr>
              <w:t>A</w:t>
            </w:r>
          </w:p>
        </w:tc>
      </w:tr>
      <w:tr w:rsidR="00043105" w:rsidRPr="005F4560" w14:paraId="5A438274" w14:textId="77777777" w:rsidTr="00043105">
        <w:tc>
          <w:tcPr>
            <w:tcW w:w="2971" w:type="dxa"/>
          </w:tcPr>
          <w:p w14:paraId="1ABD605A" w14:textId="77777777" w:rsidR="00043105" w:rsidRPr="005F4560" w:rsidRDefault="00043105" w:rsidP="00043105">
            <w:pPr>
              <w:spacing w:before="40" w:after="40"/>
              <w:rPr>
                <w:rFonts w:cstheme="minorHAnsi"/>
                <w:szCs w:val="20"/>
              </w:rPr>
            </w:pPr>
            <w:r w:rsidRPr="005F4560">
              <w:rPr>
                <w:rFonts w:cstheme="minorHAnsi"/>
                <w:szCs w:val="20"/>
              </w:rPr>
              <w:t>Reduced cardiovascular and all-cause mortality</w:t>
            </w:r>
          </w:p>
        </w:tc>
        <w:tc>
          <w:tcPr>
            <w:tcW w:w="4536" w:type="dxa"/>
          </w:tcPr>
          <w:p w14:paraId="6E2617BC" w14:textId="04DFC4E5" w:rsidR="00043105" w:rsidRPr="005F4560" w:rsidRDefault="009878BB" w:rsidP="00043105">
            <w:pPr>
              <w:spacing w:before="40" w:after="40"/>
              <w:rPr>
                <w:rFonts w:cstheme="minorHAnsi"/>
                <w:szCs w:val="20"/>
              </w:rPr>
            </w:pPr>
            <w:hyperlink r:id="rId59" w:history="1">
              <w:proofErr w:type="spellStart"/>
              <w:r w:rsidR="00043105" w:rsidRPr="005F4560">
                <w:rPr>
                  <w:rStyle w:val="Hyperlink"/>
                  <w:rFonts w:cstheme="minorHAnsi"/>
                  <w:color w:val="auto"/>
                  <w:szCs w:val="20"/>
                </w:rPr>
                <w:t>Shea</w:t>
              </w:r>
              <w:proofErr w:type="spellEnd"/>
              <w:r w:rsidR="00043105" w:rsidRPr="005F4560">
                <w:rPr>
                  <w:rStyle w:val="Hyperlink"/>
                  <w:rFonts w:cstheme="minorHAnsi"/>
                  <w:color w:val="auto"/>
                  <w:szCs w:val="20"/>
                </w:rPr>
                <w:t xml:space="preserve"> et al. 2010</w:t>
              </w:r>
            </w:hyperlink>
            <w:r w:rsidR="00043105" w:rsidRPr="005F4560">
              <w:rPr>
                <w:rFonts w:cstheme="minorHAnsi"/>
                <w:szCs w:val="20"/>
              </w:rPr>
              <w:t xml:space="preserve">; </w:t>
            </w:r>
            <w:hyperlink r:id="rId60" w:history="1">
              <w:proofErr w:type="spellStart"/>
              <w:r w:rsidR="00043105" w:rsidRPr="005F4560">
                <w:rPr>
                  <w:rStyle w:val="Hyperlink"/>
                  <w:rFonts w:cstheme="minorHAnsi"/>
                  <w:color w:val="auto"/>
                  <w:szCs w:val="20"/>
                </w:rPr>
                <w:t>Siebenhofer</w:t>
              </w:r>
              <w:proofErr w:type="spellEnd"/>
              <w:r w:rsidR="00043105" w:rsidRPr="005F4560">
                <w:rPr>
                  <w:rStyle w:val="Hyperlink"/>
                  <w:rFonts w:cstheme="minorHAnsi"/>
                  <w:color w:val="auto"/>
                  <w:szCs w:val="20"/>
                </w:rPr>
                <w:t xml:space="preserve"> et al. 2009</w:t>
              </w:r>
            </w:hyperlink>
            <w:r w:rsidR="00043105" w:rsidRPr="005F4560">
              <w:rPr>
                <w:rFonts w:cstheme="minorHAnsi"/>
                <w:szCs w:val="20"/>
              </w:rPr>
              <w:t xml:space="preserve">; </w:t>
            </w:r>
            <w:hyperlink r:id="rId61" w:history="1">
              <w:proofErr w:type="spellStart"/>
              <w:r w:rsidR="00043105" w:rsidRPr="005F4560">
                <w:rPr>
                  <w:rStyle w:val="Hyperlink"/>
                  <w:rFonts w:cstheme="minorHAnsi"/>
                  <w:color w:val="auto"/>
                  <w:szCs w:val="20"/>
                </w:rPr>
                <w:t>Pontiroli</w:t>
              </w:r>
              <w:proofErr w:type="spellEnd"/>
              <w:r w:rsidR="00043105" w:rsidRPr="005F4560">
                <w:rPr>
                  <w:rStyle w:val="Hyperlink"/>
                  <w:rFonts w:cstheme="minorHAnsi"/>
                  <w:color w:val="auto"/>
                  <w:szCs w:val="20"/>
                </w:rPr>
                <w:t xml:space="preserve"> &amp; </w:t>
              </w:r>
              <w:proofErr w:type="spellStart"/>
              <w:r w:rsidR="00043105" w:rsidRPr="005F4560">
                <w:rPr>
                  <w:rStyle w:val="Hyperlink"/>
                  <w:rFonts w:cstheme="minorHAnsi"/>
                  <w:color w:val="auto"/>
                  <w:szCs w:val="20"/>
                </w:rPr>
                <w:t>Morabito</w:t>
              </w:r>
              <w:proofErr w:type="spellEnd"/>
              <w:r w:rsidR="00043105" w:rsidRPr="005F4560">
                <w:rPr>
                  <w:rStyle w:val="Hyperlink"/>
                  <w:rFonts w:cstheme="minorHAnsi"/>
                  <w:color w:val="auto"/>
                  <w:szCs w:val="20"/>
                </w:rPr>
                <w:t xml:space="preserve"> 2011</w:t>
              </w:r>
            </w:hyperlink>
            <w:r w:rsidR="00043105" w:rsidRPr="005F4560">
              <w:rPr>
                <w:rFonts w:cstheme="minorHAnsi"/>
                <w:szCs w:val="20"/>
              </w:rPr>
              <w:t xml:space="preserve">; </w:t>
            </w:r>
            <w:hyperlink r:id="rId62" w:history="1">
              <w:proofErr w:type="spellStart"/>
              <w:r w:rsidR="00043105" w:rsidRPr="005F4560">
                <w:rPr>
                  <w:rStyle w:val="Hyperlink"/>
                  <w:rFonts w:cstheme="minorHAnsi"/>
                  <w:color w:val="auto"/>
                  <w:szCs w:val="20"/>
                </w:rPr>
                <w:t>Uusitupa</w:t>
              </w:r>
              <w:proofErr w:type="spellEnd"/>
              <w:r w:rsidR="00043105" w:rsidRPr="005F4560">
                <w:rPr>
                  <w:rStyle w:val="Hyperlink"/>
                  <w:rFonts w:cstheme="minorHAnsi"/>
                  <w:color w:val="auto"/>
                  <w:szCs w:val="20"/>
                </w:rPr>
                <w:t xml:space="preserve"> et al. 2009</w:t>
              </w:r>
            </w:hyperlink>
          </w:p>
        </w:tc>
        <w:tc>
          <w:tcPr>
            <w:tcW w:w="1083" w:type="dxa"/>
          </w:tcPr>
          <w:p w14:paraId="46698C98" w14:textId="77777777" w:rsidR="00043105" w:rsidRPr="005F4560" w:rsidRDefault="00043105" w:rsidP="00043105">
            <w:pPr>
              <w:spacing w:before="40" w:after="40"/>
              <w:rPr>
                <w:rFonts w:cstheme="minorHAnsi"/>
                <w:szCs w:val="20"/>
              </w:rPr>
            </w:pPr>
            <w:r w:rsidRPr="005F4560">
              <w:rPr>
                <w:rFonts w:cstheme="minorHAnsi"/>
                <w:szCs w:val="20"/>
              </w:rPr>
              <w:t>C</w:t>
            </w:r>
          </w:p>
        </w:tc>
      </w:tr>
      <w:tr w:rsidR="00043105" w:rsidRPr="005F4560" w14:paraId="5FF3CA08" w14:textId="77777777" w:rsidTr="00043105">
        <w:tc>
          <w:tcPr>
            <w:tcW w:w="2971" w:type="dxa"/>
          </w:tcPr>
          <w:p w14:paraId="0805F392" w14:textId="701EFC85" w:rsidR="00043105" w:rsidRPr="00043105" w:rsidRDefault="00043105" w:rsidP="00043105">
            <w:pPr>
              <w:spacing w:before="40" w:after="40"/>
              <w:rPr>
                <w:rFonts w:cstheme="minorHAnsi"/>
                <w:b/>
                <w:szCs w:val="20"/>
              </w:rPr>
            </w:pPr>
            <w:r>
              <w:rPr>
                <w:rFonts w:cstheme="minorHAnsi"/>
                <w:b/>
                <w:szCs w:val="20"/>
              </w:rPr>
              <w:t>Prevention and improved control of Type 2 diabetes</w:t>
            </w:r>
          </w:p>
        </w:tc>
        <w:tc>
          <w:tcPr>
            <w:tcW w:w="4536" w:type="dxa"/>
          </w:tcPr>
          <w:p w14:paraId="675DE361" w14:textId="7C7E47F8" w:rsidR="00043105" w:rsidRPr="005F4560" w:rsidRDefault="000936EC" w:rsidP="00043105">
            <w:pPr>
              <w:spacing w:before="40" w:after="40"/>
              <w:rPr>
                <w:rFonts w:cstheme="minorHAnsi"/>
                <w:szCs w:val="20"/>
              </w:rPr>
            </w:pPr>
            <w:r>
              <w:rPr>
                <w:rFonts w:cstheme="minorHAnsi"/>
                <w:szCs w:val="20"/>
              </w:rPr>
              <w:t>-</w:t>
            </w:r>
          </w:p>
        </w:tc>
        <w:tc>
          <w:tcPr>
            <w:tcW w:w="1083" w:type="dxa"/>
          </w:tcPr>
          <w:p w14:paraId="17E8FB0C" w14:textId="1E30A123" w:rsidR="00043105" w:rsidRPr="005F4560" w:rsidRDefault="000936EC" w:rsidP="00043105">
            <w:pPr>
              <w:spacing w:before="40" w:after="40"/>
              <w:rPr>
                <w:rFonts w:cstheme="minorHAnsi"/>
                <w:szCs w:val="20"/>
              </w:rPr>
            </w:pPr>
            <w:r>
              <w:rPr>
                <w:rFonts w:cstheme="minorHAnsi"/>
                <w:szCs w:val="20"/>
              </w:rPr>
              <w:t>-</w:t>
            </w:r>
          </w:p>
        </w:tc>
      </w:tr>
      <w:tr w:rsidR="00043105" w:rsidRPr="005F4560" w14:paraId="51D69B1E" w14:textId="77777777" w:rsidTr="00043105">
        <w:tc>
          <w:tcPr>
            <w:tcW w:w="2971" w:type="dxa"/>
          </w:tcPr>
          <w:p w14:paraId="5B02F4BC" w14:textId="0A37BCDA" w:rsidR="00043105" w:rsidRPr="005F4560" w:rsidRDefault="00043105" w:rsidP="00043105">
            <w:pPr>
              <w:spacing w:before="40" w:after="40"/>
              <w:rPr>
                <w:rFonts w:cstheme="minorHAnsi"/>
                <w:szCs w:val="20"/>
              </w:rPr>
            </w:pPr>
            <w:r w:rsidRPr="005F4560">
              <w:rPr>
                <w:rFonts w:cstheme="minorHAnsi"/>
                <w:szCs w:val="20"/>
              </w:rPr>
              <w:t>Prevention or delayed progression of type 2 diabetes</w:t>
            </w:r>
          </w:p>
        </w:tc>
        <w:tc>
          <w:tcPr>
            <w:tcW w:w="4536" w:type="dxa"/>
          </w:tcPr>
          <w:p w14:paraId="1B73A4D2" w14:textId="17549B3D" w:rsidR="00043105" w:rsidRDefault="009878BB" w:rsidP="00043105">
            <w:pPr>
              <w:spacing w:before="40" w:after="40"/>
            </w:pPr>
            <w:hyperlink r:id="rId63" w:history="1">
              <w:r w:rsidR="00043105" w:rsidRPr="005F4560">
                <w:rPr>
                  <w:rStyle w:val="Hyperlink"/>
                  <w:rFonts w:cstheme="minorHAnsi"/>
                  <w:color w:val="auto"/>
                  <w:szCs w:val="20"/>
                </w:rPr>
                <w:t>Dale et al. 2008</w:t>
              </w:r>
            </w:hyperlink>
            <w:r w:rsidR="00043105" w:rsidRPr="005F4560">
              <w:rPr>
                <w:rFonts w:cstheme="minorHAnsi"/>
                <w:szCs w:val="20"/>
              </w:rPr>
              <w:t xml:space="preserve">; </w:t>
            </w:r>
            <w:hyperlink r:id="rId64" w:history="1">
              <w:proofErr w:type="spellStart"/>
              <w:r w:rsidR="00043105" w:rsidRPr="005F4560">
                <w:rPr>
                  <w:rStyle w:val="Hyperlink"/>
                  <w:rFonts w:cstheme="minorHAnsi"/>
                  <w:color w:val="auto"/>
                  <w:szCs w:val="20"/>
                </w:rPr>
                <w:t>Galani</w:t>
              </w:r>
              <w:proofErr w:type="spellEnd"/>
              <w:r w:rsidR="00043105" w:rsidRPr="005F4560">
                <w:rPr>
                  <w:rStyle w:val="Hyperlink"/>
                  <w:rFonts w:cstheme="minorHAnsi"/>
                  <w:color w:val="auto"/>
                  <w:szCs w:val="20"/>
                </w:rPr>
                <w:t xml:space="preserve"> &amp; Schneider 2007</w:t>
              </w:r>
            </w:hyperlink>
            <w:r w:rsidR="00043105" w:rsidRPr="005F4560">
              <w:rPr>
                <w:rFonts w:cstheme="minorHAnsi"/>
                <w:szCs w:val="20"/>
              </w:rPr>
              <w:t xml:space="preserve">; </w:t>
            </w:r>
            <w:hyperlink r:id="rId65" w:history="1">
              <w:proofErr w:type="spellStart"/>
              <w:r w:rsidR="00043105" w:rsidRPr="005F4560">
                <w:rPr>
                  <w:rStyle w:val="Hyperlink"/>
                  <w:rFonts w:cstheme="minorHAnsi"/>
                  <w:color w:val="auto"/>
                  <w:szCs w:val="20"/>
                </w:rPr>
                <w:t>Knowler</w:t>
              </w:r>
              <w:proofErr w:type="spellEnd"/>
              <w:r w:rsidR="00043105" w:rsidRPr="005F4560">
                <w:rPr>
                  <w:rStyle w:val="Hyperlink"/>
                  <w:rFonts w:cstheme="minorHAnsi"/>
                  <w:color w:val="auto"/>
                  <w:szCs w:val="20"/>
                </w:rPr>
                <w:t xml:space="preserve"> et al. 2009</w:t>
              </w:r>
            </w:hyperlink>
            <w:r w:rsidR="00043105" w:rsidRPr="005F4560">
              <w:rPr>
                <w:rFonts w:cstheme="minorHAnsi"/>
                <w:szCs w:val="20"/>
              </w:rPr>
              <w:t xml:space="preserve">; </w:t>
            </w:r>
            <w:hyperlink r:id="rId66" w:history="1">
              <w:r w:rsidR="00043105" w:rsidRPr="005F4560">
                <w:rPr>
                  <w:rStyle w:val="Hyperlink"/>
                  <w:rFonts w:cstheme="minorHAnsi"/>
                  <w:color w:val="auto"/>
                  <w:szCs w:val="20"/>
                </w:rPr>
                <w:t>Norris et al. 2005a</w:t>
              </w:r>
            </w:hyperlink>
            <w:r w:rsidR="00043105" w:rsidRPr="005F4560">
              <w:rPr>
                <w:rFonts w:cstheme="minorHAnsi"/>
                <w:szCs w:val="20"/>
              </w:rPr>
              <w:t xml:space="preserve">; </w:t>
            </w:r>
            <w:hyperlink r:id="rId67" w:history="1">
              <w:proofErr w:type="spellStart"/>
              <w:r w:rsidR="00043105" w:rsidRPr="005F4560">
                <w:rPr>
                  <w:rStyle w:val="Hyperlink"/>
                  <w:rFonts w:cstheme="minorHAnsi"/>
                  <w:color w:val="auto"/>
                  <w:szCs w:val="20"/>
                </w:rPr>
                <w:t>Uusitupa</w:t>
              </w:r>
              <w:proofErr w:type="spellEnd"/>
              <w:r w:rsidR="00043105" w:rsidRPr="005F4560">
                <w:rPr>
                  <w:rStyle w:val="Hyperlink"/>
                  <w:rFonts w:cstheme="minorHAnsi"/>
                  <w:color w:val="auto"/>
                  <w:szCs w:val="20"/>
                </w:rPr>
                <w:t xml:space="preserve"> et al. 2009</w:t>
              </w:r>
            </w:hyperlink>
          </w:p>
        </w:tc>
        <w:tc>
          <w:tcPr>
            <w:tcW w:w="1083" w:type="dxa"/>
          </w:tcPr>
          <w:p w14:paraId="3E86BB92" w14:textId="23D434CD" w:rsidR="00043105" w:rsidRPr="005F4560" w:rsidRDefault="00043105" w:rsidP="00043105">
            <w:pPr>
              <w:spacing w:before="40" w:after="40"/>
              <w:rPr>
                <w:rFonts w:cstheme="minorHAnsi"/>
                <w:szCs w:val="20"/>
              </w:rPr>
            </w:pPr>
            <w:r w:rsidRPr="005F4560">
              <w:rPr>
                <w:rFonts w:cstheme="minorHAnsi"/>
                <w:szCs w:val="20"/>
              </w:rPr>
              <w:t>A</w:t>
            </w:r>
          </w:p>
        </w:tc>
      </w:tr>
      <w:tr w:rsidR="00043105" w:rsidRPr="005F4560" w14:paraId="3D6F885B" w14:textId="77777777" w:rsidTr="00043105">
        <w:tc>
          <w:tcPr>
            <w:tcW w:w="2971" w:type="dxa"/>
          </w:tcPr>
          <w:p w14:paraId="269A8A78" w14:textId="77777777" w:rsidR="00043105" w:rsidRPr="005F4560" w:rsidRDefault="00043105" w:rsidP="00043105">
            <w:pPr>
              <w:spacing w:before="40" w:after="40"/>
              <w:rPr>
                <w:rFonts w:cstheme="minorHAnsi"/>
                <w:szCs w:val="20"/>
              </w:rPr>
            </w:pPr>
            <w:r w:rsidRPr="005F4560">
              <w:rPr>
                <w:rFonts w:cstheme="minorHAnsi"/>
                <w:szCs w:val="20"/>
              </w:rPr>
              <w:t>Improved glycaemic control with a sustained weight reduction of 5 kg in adults with type 2 diabetes</w:t>
            </w:r>
          </w:p>
        </w:tc>
        <w:tc>
          <w:tcPr>
            <w:tcW w:w="4536" w:type="dxa"/>
          </w:tcPr>
          <w:p w14:paraId="11BEF736" w14:textId="6583F096" w:rsidR="00043105" w:rsidRPr="005F4560" w:rsidRDefault="009878BB" w:rsidP="00043105">
            <w:pPr>
              <w:spacing w:before="40" w:after="40"/>
              <w:rPr>
                <w:rFonts w:cstheme="minorHAnsi"/>
                <w:szCs w:val="20"/>
              </w:rPr>
            </w:pPr>
            <w:hyperlink r:id="rId68" w:history="1">
              <w:proofErr w:type="spellStart"/>
              <w:r w:rsidR="00043105" w:rsidRPr="005F4560">
                <w:rPr>
                  <w:rStyle w:val="Hyperlink"/>
                  <w:rFonts w:cstheme="minorHAnsi"/>
                  <w:color w:val="auto"/>
                  <w:szCs w:val="20"/>
                </w:rPr>
                <w:t>Belalcazar</w:t>
              </w:r>
              <w:proofErr w:type="spellEnd"/>
              <w:r w:rsidR="00043105" w:rsidRPr="005F4560">
                <w:rPr>
                  <w:rStyle w:val="Hyperlink"/>
                  <w:rFonts w:cstheme="minorHAnsi"/>
                  <w:color w:val="auto"/>
                  <w:szCs w:val="20"/>
                </w:rPr>
                <w:t xml:space="preserve"> et al. 2010</w:t>
              </w:r>
            </w:hyperlink>
            <w:r w:rsidR="00043105" w:rsidRPr="005F4560">
              <w:rPr>
                <w:rFonts w:cstheme="minorHAnsi"/>
                <w:szCs w:val="20"/>
              </w:rPr>
              <w:t xml:space="preserve">; </w:t>
            </w:r>
            <w:hyperlink r:id="rId69" w:history="1">
              <w:r w:rsidR="00043105" w:rsidRPr="005F4560">
                <w:rPr>
                  <w:rStyle w:val="Hyperlink"/>
                  <w:rFonts w:cstheme="minorHAnsi"/>
                  <w:color w:val="auto"/>
                  <w:szCs w:val="20"/>
                </w:rPr>
                <w:t>Buchwald et al. 2009</w:t>
              </w:r>
            </w:hyperlink>
            <w:r w:rsidR="00043105" w:rsidRPr="005F4560">
              <w:rPr>
                <w:rFonts w:cstheme="minorHAnsi"/>
                <w:szCs w:val="20"/>
              </w:rPr>
              <w:t xml:space="preserve">; </w:t>
            </w:r>
            <w:hyperlink r:id="rId70" w:history="1">
              <w:proofErr w:type="spellStart"/>
              <w:r w:rsidR="00043105" w:rsidRPr="005F4560">
                <w:rPr>
                  <w:rStyle w:val="Hyperlink"/>
                  <w:rFonts w:cstheme="minorHAnsi"/>
                  <w:color w:val="auto"/>
                  <w:szCs w:val="20"/>
                </w:rPr>
                <w:t>Cheskin</w:t>
              </w:r>
              <w:proofErr w:type="spellEnd"/>
              <w:r w:rsidR="00043105" w:rsidRPr="005F4560">
                <w:rPr>
                  <w:rStyle w:val="Hyperlink"/>
                  <w:rFonts w:cstheme="minorHAnsi"/>
                  <w:color w:val="auto"/>
                  <w:szCs w:val="20"/>
                </w:rPr>
                <w:t xml:space="preserve"> et al. 2008</w:t>
              </w:r>
            </w:hyperlink>
            <w:r w:rsidR="00043105" w:rsidRPr="005F4560">
              <w:rPr>
                <w:rFonts w:cstheme="minorHAnsi"/>
                <w:szCs w:val="20"/>
              </w:rPr>
              <w:t xml:space="preserve">; </w:t>
            </w:r>
            <w:hyperlink r:id="rId71" w:history="1">
              <w:r w:rsidR="00043105" w:rsidRPr="005F4560">
                <w:rPr>
                  <w:rStyle w:val="Hyperlink"/>
                  <w:rFonts w:cstheme="minorHAnsi"/>
                  <w:color w:val="auto"/>
                  <w:szCs w:val="20"/>
                </w:rPr>
                <w:t>Christian et al. 2008</w:t>
              </w:r>
            </w:hyperlink>
            <w:hyperlink r:id="rId72" w:history="1">
              <w:r w:rsidR="00043105" w:rsidRPr="005F4560">
                <w:rPr>
                  <w:rStyle w:val="Hyperlink"/>
                  <w:rFonts w:cstheme="minorHAnsi"/>
                  <w:color w:val="auto"/>
                  <w:szCs w:val="20"/>
                </w:rPr>
                <w:t>; Dixon et al. 2008</w:t>
              </w:r>
            </w:hyperlink>
            <w:hyperlink r:id="rId73" w:history="1">
              <w:r w:rsidR="00043105" w:rsidRPr="005F4560">
                <w:rPr>
                  <w:rStyle w:val="Hyperlink"/>
                  <w:rFonts w:cstheme="minorHAnsi"/>
                  <w:color w:val="auto"/>
                  <w:szCs w:val="20"/>
                </w:rPr>
                <w:t>; Fried et al. 2010</w:t>
              </w:r>
            </w:hyperlink>
            <w:r w:rsidR="00043105" w:rsidRPr="005F4560">
              <w:rPr>
                <w:rFonts w:cstheme="minorHAnsi"/>
                <w:szCs w:val="20"/>
              </w:rPr>
              <w:t xml:space="preserve">; </w:t>
            </w:r>
            <w:hyperlink r:id="rId74" w:history="1">
              <w:proofErr w:type="spellStart"/>
              <w:r w:rsidR="00043105" w:rsidRPr="005F4560">
                <w:rPr>
                  <w:rStyle w:val="Hyperlink"/>
                  <w:rFonts w:cstheme="minorHAnsi"/>
                  <w:color w:val="auto"/>
                  <w:szCs w:val="20"/>
                </w:rPr>
                <w:t>Huisman</w:t>
              </w:r>
              <w:proofErr w:type="spellEnd"/>
              <w:r w:rsidR="00043105" w:rsidRPr="005F4560">
                <w:rPr>
                  <w:rStyle w:val="Hyperlink"/>
                  <w:rFonts w:cstheme="minorHAnsi"/>
                  <w:color w:val="auto"/>
                  <w:szCs w:val="20"/>
                </w:rPr>
                <w:t xml:space="preserve"> et al. 2009</w:t>
              </w:r>
            </w:hyperlink>
            <w:r w:rsidR="00043105" w:rsidRPr="005F4560">
              <w:rPr>
                <w:rFonts w:cstheme="minorHAnsi"/>
                <w:szCs w:val="20"/>
              </w:rPr>
              <w:t xml:space="preserve">; </w:t>
            </w:r>
            <w:hyperlink r:id="rId75" w:history="1">
              <w:proofErr w:type="spellStart"/>
              <w:r w:rsidR="00043105" w:rsidRPr="005F4560">
                <w:rPr>
                  <w:rStyle w:val="Hyperlink"/>
                  <w:rFonts w:cstheme="minorHAnsi"/>
                  <w:color w:val="auto"/>
                  <w:szCs w:val="20"/>
                </w:rPr>
                <w:t>Nield</w:t>
              </w:r>
              <w:proofErr w:type="spellEnd"/>
              <w:r w:rsidR="00043105" w:rsidRPr="005F4560">
                <w:rPr>
                  <w:rStyle w:val="Hyperlink"/>
                  <w:rFonts w:cstheme="minorHAnsi"/>
                  <w:color w:val="auto"/>
                  <w:szCs w:val="20"/>
                </w:rPr>
                <w:t xml:space="preserve"> et al. 2007</w:t>
              </w:r>
            </w:hyperlink>
            <w:r w:rsidR="00043105" w:rsidRPr="005F4560">
              <w:rPr>
                <w:rFonts w:cstheme="minorHAnsi"/>
                <w:szCs w:val="20"/>
              </w:rPr>
              <w:t xml:space="preserve">; </w:t>
            </w:r>
            <w:hyperlink r:id="rId76" w:history="1">
              <w:r w:rsidR="00043105" w:rsidRPr="005F4560">
                <w:rPr>
                  <w:rStyle w:val="Hyperlink"/>
                  <w:rFonts w:cstheme="minorHAnsi"/>
                  <w:color w:val="auto"/>
                  <w:szCs w:val="20"/>
                </w:rPr>
                <w:t>Norris et al. 2005b</w:t>
              </w:r>
            </w:hyperlink>
            <w:r w:rsidR="00043105" w:rsidRPr="005F4560">
              <w:rPr>
                <w:rFonts w:cstheme="minorHAnsi"/>
                <w:szCs w:val="20"/>
              </w:rPr>
              <w:t xml:space="preserve">; </w:t>
            </w:r>
            <w:hyperlink r:id="rId77" w:history="1">
              <w:r w:rsidR="00043105" w:rsidRPr="005F4560">
                <w:rPr>
                  <w:rStyle w:val="Hyperlink"/>
                  <w:rFonts w:cstheme="minorHAnsi"/>
                  <w:color w:val="auto"/>
                  <w:szCs w:val="20"/>
                </w:rPr>
                <w:t>Norris et al. 2005c</w:t>
              </w:r>
            </w:hyperlink>
            <w:r w:rsidR="00043105" w:rsidRPr="005F4560">
              <w:rPr>
                <w:rFonts w:cstheme="minorHAnsi"/>
                <w:szCs w:val="20"/>
              </w:rPr>
              <w:t xml:space="preserve">; </w:t>
            </w:r>
            <w:hyperlink r:id="rId78" w:history="1">
              <w:r w:rsidR="00043105" w:rsidRPr="005F4560">
                <w:rPr>
                  <w:rStyle w:val="Hyperlink"/>
                  <w:rFonts w:cstheme="minorHAnsi"/>
                  <w:color w:val="auto"/>
                  <w:szCs w:val="20"/>
                </w:rPr>
                <w:t xml:space="preserve">Pi </w:t>
              </w:r>
              <w:proofErr w:type="spellStart"/>
              <w:r w:rsidR="00043105" w:rsidRPr="005F4560">
                <w:rPr>
                  <w:rStyle w:val="Hyperlink"/>
                  <w:rFonts w:cstheme="minorHAnsi"/>
                  <w:color w:val="auto"/>
                  <w:szCs w:val="20"/>
                </w:rPr>
                <w:t>Sunyer</w:t>
              </w:r>
              <w:proofErr w:type="spellEnd"/>
              <w:r w:rsidR="00043105" w:rsidRPr="005F4560">
                <w:rPr>
                  <w:rStyle w:val="Hyperlink"/>
                  <w:rFonts w:cstheme="minorHAnsi"/>
                  <w:color w:val="auto"/>
                  <w:szCs w:val="20"/>
                </w:rPr>
                <w:t xml:space="preserve"> et al. 2007</w:t>
              </w:r>
            </w:hyperlink>
            <w:r w:rsidR="00043105" w:rsidRPr="005F4560">
              <w:rPr>
                <w:rFonts w:cstheme="minorHAnsi"/>
                <w:szCs w:val="20"/>
              </w:rPr>
              <w:t xml:space="preserve">; </w:t>
            </w:r>
            <w:hyperlink r:id="rId79" w:history="1">
              <w:r w:rsidR="00043105" w:rsidRPr="005F4560">
                <w:rPr>
                  <w:rStyle w:val="Hyperlink"/>
                  <w:rFonts w:cstheme="minorHAnsi"/>
                  <w:color w:val="auto"/>
                  <w:szCs w:val="20"/>
                </w:rPr>
                <w:t>Thomas et al. 2006</w:t>
              </w:r>
            </w:hyperlink>
            <w:r w:rsidR="00043105" w:rsidRPr="005F4560">
              <w:rPr>
                <w:rFonts w:cstheme="minorHAnsi"/>
                <w:szCs w:val="20"/>
              </w:rPr>
              <w:t xml:space="preserve">; </w:t>
            </w:r>
            <w:hyperlink r:id="rId80" w:history="1">
              <w:r w:rsidR="00043105" w:rsidRPr="005F4560">
                <w:rPr>
                  <w:rStyle w:val="Hyperlink"/>
                  <w:rFonts w:cstheme="minorHAnsi"/>
                  <w:color w:val="auto"/>
                  <w:szCs w:val="20"/>
                </w:rPr>
                <w:t>Wing 2010a</w:t>
              </w:r>
            </w:hyperlink>
          </w:p>
        </w:tc>
        <w:tc>
          <w:tcPr>
            <w:tcW w:w="1083" w:type="dxa"/>
          </w:tcPr>
          <w:p w14:paraId="661E8F62" w14:textId="77777777" w:rsidR="00043105" w:rsidRPr="005F4560" w:rsidRDefault="00043105" w:rsidP="00043105">
            <w:pPr>
              <w:spacing w:before="40" w:after="40"/>
              <w:rPr>
                <w:rFonts w:cstheme="minorHAnsi"/>
                <w:szCs w:val="20"/>
              </w:rPr>
            </w:pPr>
            <w:r w:rsidRPr="005F4560">
              <w:rPr>
                <w:rFonts w:cstheme="minorHAnsi"/>
                <w:szCs w:val="20"/>
              </w:rPr>
              <w:t>A</w:t>
            </w:r>
          </w:p>
        </w:tc>
      </w:tr>
      <w:tr w:rsidR="00043105" w:rsidRPr="005F4560" w14:paraId="1FF021B3" w14:textId="77777777" w:rsidTr="00043105">
        <w:trPr>
          <w:trHeight w:val="1521"/>
        </w:trPr>
        <w:tc>
          <w:tcPr>
            <w:tcW w:w="2971" w:type="dxa"/>
          </w:tcPr>
          <w:p w14:paraId="7ACED828" w14:textId="77777777" w:rsidR="00043105" w:rsidRPr="005F4560" w:rsidRDefault="00043105" w:rsidP="00043105">
            <w:pPr>
              <w:spacing w:before="40" w:after="40"/>
              <w:rPr>
                <w:rFonts w:cstheme="minorHAnsi"/>
                <w:szCs w:val="20"/>
              </w:rPr>
            </w:pPr>
            <w:r w:rsidRPr="005F4560">
              <w:rPr>
                <w:rFonts w:cstheme="minorHAnsi"/>
                <w:szCs w:val="20"/>
              </w:rPr>
              <w:lastRenderedPageBreak/>
              <w:t>Clinically meaningful reduction in systolic blood pressure with weight loss of 2–3 kg from lifestyle interventions in adults with a BMI &lt;35 kg/m</w:t>
            </w:r>
            <w:r w:rsidRPr="005F4560">
              <w:rPr>
                <w:rFonts w:cstheme="minorHAnsi"/>
                <w:szCs w:val="20"/>
                <w:vertAlign w:val="superscript"/>
              </w:rPr>
              <w:t>2</w:t>
            </w:r>
            <w:r w:rsidRPr="005F4560">
              <w:rPr>
                <w:rFonts w:cstheme="minorHAnsi"/>
                <w:szCs w:val="20"/>
              </w:rPr>
              <w:t xml:space="preserve"> pre-diabetes or hypertension</w:t>
            </w:r>
          </w:p>
        </w:tc>
        <w:tc>
          <w:tcPr>
            <w:tcW w:w="4536" w:type="dxa"/>
          </w:tcPr>
          <w:p w14:paraId="6C477336" w14:textId="6DE37131" w:rsidR="00043105" w:rsidRPr="005F4560" w:rsidRDefault="009878BB" w:rsidP="00043105">
            <w:pPr>
              <w:spacing w:before="40" w:after="40"/>
              <w:rPr>
                <w:rFonts w:cstheme="minorHAnsi"/>
                <w:szCs w:val="20"/>
              </w:rPr>
            </w:pPr>
            <w:hyperlink r:id="rId81" w:history="1">
              <w:proofErr w:type="spellStart"/>
              <w:r w:rsidR="00043105" w:rsidRPr="005F4560">
                <w:rPr>
                  <w:rStyle w:val="Hyperlink"/>
                  <w:rFonts w:cstheme="minorHAnsi"/>
                  <w:color w:val="auto"/>
                  <w:szCs w:val="20"/>
                </w:rPr>
                <w:t>Cheskin</w:t>
              </w:r>
              <w:proofErr w:type="spellEnd"/>
              <w:r w:rsidR="00043105" w:rsidRPr="005F4560">
                <w:rPr>
                  <w:rStyle w:val="Hyperlink"/>
                  <w:rFonts w:cstheme="minorHAnsi"/>
                  <w:color w:val="auto"/>
                  <w:szCs w:val="20"/>
                </w:rPr>
                <w:t xml:space="preserve"> et al. 2008</w:t>
              </w:r>
            </w:hyperlink>
            <w:r w:rsidR="00043105" w:rsidRPr="005F4560">
              <w:rPr>
                <w:rFonts w:cstheme="minorHAnsi"/>
                <w:szCs w:val="20"/>
              </w:rPr>
              <w:t xml:space="preserve">; </w:t>
            </w:r>
            <w:hyperlink r:id="rId82" w:history="1">
              <w:r w:rsidR="00043105" w:rsidRPr="005F4560">
                <w:rPr>
                  <w:rStyle w:val="Hyperlink"/>
                  <w:rFonts w:cstheme="minorHAnsi"/>
                  <w:color w:val="auto"/>
                  <w:szCs w:val="20"/>
                </w:rPr>
                <w:t>Christian et al. 2008</w:t>
              </w:r>
            </w:hyperlink>
            <w:r w:rsidR="00043105" w:rsidRPr="005F4560">
              <w:rPr>
                <w:rFonts w:cstheme="minorHAnsi"/>
                <w:szCs w:val="20"/>
              </w:rPr>
              <w:t xml:space="preserve">; </w:t>
            </w:r>
            <w:hyperlink r:id="rId83" w:history="1">
              <w:r w:rsidR="00043105" w:rsidRPr="005F4560">
                <w:rPr>
                  <w:rStyle w:val="Hyperlink"/>
                  <w:rFonts w:cstheme="minorHAnsi"/>
                  <w:color w:val="auto"/>
                  <w:szCs w:val="20"/>
                </w:rPr>
                <w:t>Dale et al. 2008</w:t>
              </w:r>
            </w:hyperlink>
            <w:r w:rsidR="00043105" w:rsidRPr="005F4560">
              <w:rPr>
                <w:rFonts w:cstheme="minorHAnsi"/>
                <w:szCs w:val="20"/>
              </w:rPr>
              <w:t xml:space="preserve">; </w:t>
            </w:r>
            <w:hyperlink r:id="rId84" w:history="1">
              <w:r w:rsidR="00043105" w:rsidRPr="005F4560">
                <w:rPr>
                  <w:rStyle w:val="Hyperlink"/>
                  <w:rFonts w:cstheme="minorHAnsi"/>
                  <w:color w:val="auto"/>
                  <w:szCs w:val="20"/>
                </w:rPr>
                <w:t>Dixon et al. 2008</w:t>
              </w:r>
            </w:hyperlink>
            <w:r w:rsidR="00043105" w:rsidRPr="005F4560">
              <w:rPr>
                <w:rFonts w:cstheme="minorHAnsi"/>
                <w:szCs w:val="20"/>
              </w:rPr>
              <w:t xml:space="preserve">; </w:t>
            </w:r>
            <w:hyperlink r:id="rId85" w:history="1">
              <w:proofErr w:type="spellStart"/>
              <w:r w:rsidR="00043105" w:rsidRPr="005F4560">
                <w:rPr>
                  <w:rStyle w:val="Hyperlink"/>
                  <w:rFonts w:cstheme="minorHAnsi"/>
                  <w:color w:val="auto"/>
                  <w:szCs w:val="20"/>
                </w:rPr>
                <w:t>Galani</w:t>
              </w:r>
              <w:proofErr w:type="spellEnd"/>
              <w:r w:rsidR="00043105" w:rsidRPr="005F4560">
                <w:rPr>
                  <w:rStyle w:val="Hyperlink"/>
                  <w:rFonts w:cstheme="minorHAnsi"/>
                  <w:color w:val="auto"/>
                  <w:szCs w:val="20"/>
                </w:rPr>
                <w:t xml:space="preserve"> &amp; Schneider 2007</w:t>
              </w:r>
            </w:hyperlink>
            <w:r w:rsidR="00043105" w:rsidRPr="005F4560">
              <w:rPr>
                <w:rFonts w:cstheme="minorHAnsi"/>
                <w:szCs w:val="20"/>
              </w:rPr>
              <w:t xml:space="preserve">; </w:t>
            </w:r>
            <w:hyperlink r:id="rId86" w:history="1">
              <w:r w:rsidR="00043105" w:rsidRPr="005F4560">
                <w:rPr>
                  <w:rStyle w:val="Hyperlink"/>
                  <w:rFonts w:cstheme="minorHAnsi"/>
                  <w:color w:val="auto"/>
                  <w:szCs w:val="20"/>
                </w:rPr>
                <w:t>Horvath et al. 2008</w:t>
              </w:r>
            </w:hyperlink>
            <w:r w:rsidR="00043105" w:rsidRPr="005F4560">
              <w:rPr>
                <w:rFonts w:cstheme="minorHAnsi"/>
                <w:szCs w:val="20"/>
              </w:rPr>
              <w:t xml:space="preserve">; </w:t>
            </w:r>
            <w:hyperlink r:id="rId87" w:history="1">
              <w:r w:rsidR="00043105" w:rsidRPr="005F4560">
                <w:rPr>
                  <w:rStyle w:val="Hyperlink"/>
                  <w:rFonts w:cstheme="minorHAnsi"/>
                  <w:color w:val="auto"/>
                  <w:szCs w:val="20"/>
                </w:rPr>
                <w:t>Norris et al. 2005a</w:t>
              </w:r>
            </w:hyperlink>
            <w:r w:rsidR="00043105" w:rsidRPr="005F4560">
              <w:rPr>
                <w:rFonts w:cstheme="minorHAnsi"/>
                <w:szCs w:val="20"/>
              </w:rPr>
              <w:t xml:space="preserve">; </w:t>
            </w:r>
            <w:hyperlink r:id="rId88" w:history="1">
              <w:r w:rsidR="00043105" w:rsidRPr="005F4560">
                <w:rPr>
                  <w:rStyle w:val="Hyperlink"/>
                  <w:rFonts w:cstheme="minorHAnsi"/>
                  <w:color w:val="auto"/>
                  <w:szCs w:val="20"/>
                </w:rPr>
                <w:t>Pi-</w:t>
              </w:r>
              <w:proofErr w:type="spellStart"/>
              <w:r w:rsidR="00043105" w:rsidRPr="005F4560">
                <w:rPr>
                  <w:rStyle w:val="Hyperlink"/>
                  <w:rFonts w:cstheme="minorHAnsi"/>
                  <w:color w:val="auto"/>
                  <w:szCs w:val="20"/>
                </w:rPr>
                <w:t>Sunyer</w:t>
              </w:r>
              <w:proofErr w:type="spellEnd"/>
              <w:r w:rsidR="00043105" w:rsidRPr="005F4560">
                <w:rPr>
                  <w:rStyle w:val="Hyperlink"/>
                  <w:rFonts w:cstheme="minorHAnsi"/>
                  <w:color w:val="auto"/>
                  <w:szCs w:val="20"/>
                </w:rPr>
                <w:t xml:space="preserve"> et al. 2007</w:t>
              </w:r>
            </w:hyperlink>
            <w:r w:rsidR="00043105" w:rsidRPr="005F4560">
              <w:rPr>
                <w:rFonts w:cstheme="minorHAnsi"/>
                <w:szCs w:val="20"/>
              </w:rPr>
              <w:t xml:space="preserve">; </w:t>
            </w:r>
            <w:hyperlink r:id="rId89" w:history="1">
              <w:proofErr w:type="spellStart"/>
              <w:r w:rsidR="00043105" w:rsidRPr="005F4560">
                <w:rPr>
                  <w:rStyle w:val="Hyperlink"/>
                  <w:rFonts w:cstheme="minorHAnsi"/>
                  <w:color w:val="auto"/>
                  <w:szCs w:val="20"/>
                </w:rPr>
                <w:t>ter</w:t>
              </w:r>
              <w:proofErr w:type="spellEnd"/>
              <w:r w:rsidR="00043105" w:rsidRPr="005F4560">
                <w:rPr>
                  <w:rStyle w:val="Hyperlink"/>
                  <w:rFonts w:cstheme="minorHAnsi"/>
                  <w:color w:val="auto"/>
                  <w:szCs w:val="20"/>
                </w:rPr>
                <w:t xml:space="preserve"> </w:t>
              </w:r>
              <w:proofErr w:type="spellStart"/>
              <w:r w:rsidR="00043105" w:rsidRPr="005F4560">
                <w:rPr>
                  <w:rStyle w:val="Hyperlink"/>
                  <w:rFonts w:cstheme="minorHAnsi"/>
                  <w:color w:val="auto"/>
                  <w:szCs w:val="20"/>
                </w:rPr>
                <w:t>Bogt</w:t>
              </w:r>
              <w:proofErr w:type="spellEnd"/>
              <w:r w:rsidR="00043105" w:rsidRPr="005F4560">
                <w:rPr>
                  <w:rStyle w:val="Hyperlink"/>
                  <w:rFonts w:cstheme="minorHAnsi"/>
                  <w:color w:val="auto"/>
                  <w:szCs w:val="20"/>
                </w:rPr>
                <w:t xml:space="preserve"> et al. 2009</w:t>
              </w:r>
            </w:hyperlink>
            <w:r w:rsidR="00043105" w:rsidRPr="005F4560">
              <w:rPr>
                <w:rFonts w:cstheme="minorHAnsi"/>
                <w:szCs w:val="20"/>
              </w:rPr>
              <w:t xml:space="preserve">; ; </w:t>
            </w:r>
            <w:hyperlink r:id="rId90" w:history="1">
              <w:proofErr w:type="spellStart"/>
              <w:r w:rsidR="00043105" w:rsidRPr="005F4560">
                <w:rPr>
                  <w:rStyle w:val="Hyperlink"/>
                  <w:rFonts w:cstheme="minorHAnsi"/>
                  <w:color w:val="auto"/>
                  <w:szCs w:val="20"/>
                </w:rPr>
                <w:t>Uusitupa</w:t>
              </w:r>
              <w:proofErr w:type="spellEnd"/>
              <w:r w:rsidR="00043105" w:rsidRPr="005F4560">
                <w:rPr>
                  <w:rStyle w:val="Hyperlink"/>
                  <w:rFonts w:cstheme="minorHAnsi"/>
                  <w:color w:val="auto"/>
                  <w:szCs w:val="20"/>
                </w:rPr>
                <w:t xml:space="preserve"> et al. 2009</w:t>
              </w:r>
            </w:hyperlink>
            <w:r w:rsidR="00043105" w:rsidRPr="005F4560">
              <w:rPr>
                <w:rFonts w:cstheme="minorHAnsi"/>
                <w:szCs w:val="20"/>
              </w:rPr>
              <w:t xml:space="preserve">; </w:t>
            </w:r>
            <w:hyperlink r:id="rId91" w:history="1">
              <w:r w:rsidR="00043105" w:rsidRPr="005F4560">
                <w:rPr>
                  <w:rStyle w:val="Hyperlink"/>
                  <w:rFonts w:cstheme="minorHAnsi"/>
                  <w:color w:val="auto"/>
                  <w:szCs w:val="20"/>
                </w:rPr>
                <w:t>Wing 2010a</w:t>
              </w:r>
            </w:hyperlink>
            <w:r w:rsidR="00043105" w:rsidRPr="005F4560">
              <w:rPr>
                <w:rFonts w:cstheme="minorHAnsi"/>
                <w:szCs w:val="20"/>
              </w:rPr>
              <w:t xml:space="preserve">; </w:t>
            </w:r>
            <w:hyperlink r:id="rId92" w:history="1">
              <w:r w:rsidR="00043105" w:rsidRPr="005F4560">
                <w:rPr>
                  <w:rStyle w:val="Hyperlink"/>
                  <w:rFonts w:cstheme="minorHAnsi"/>
                  <w:color w:val="auto"/>
                  <w:szCs w:val="20"/>
                </w:rPr>
                <w:t xml:space="preserve">Witham &amp; </w:t>
              </w:r>
              <w:proofErr w:type="spellStart"/>
              <w:r w:rsidR="00043105" w:rsidRPr="005F4560">
                <w:rPr>
                  <w:rStyle w:val="Hyperlink"/>
                  <w:rFonts w:cstheme="minorHAnsi"/>
                  <w:color w:val="auto"/>
                  <w:szCs w:val="20"/>
                </w:rPr>
                <w:t>Avenell</w:t>
              </w:r>
              <w:proofErr w:type="spellEnd"/>
              <w:r w:rsidR="00043105" w:rsidRPr="005F4560">
                <w:rPr>
                  <w:rStyle w:val="Hyperlink"/>
                  <w:rFonts w:cstheme="minorHAnsi"/>
                  <w:color w:val="auto"/>
                  <w:szCs w:val="20"/>
                </w:rPr>
                <w:t xml:space="preserve"> 2010</w:t>
              </w:r>
            </w:hyperlink>
          </w:p>
        </w:tc>
        <w:tc>
          <w:tcPr>
            <w:tcW w:w="1083" w:type="dxa"/>
          </w:tcPr>
          <w:p w14:paraId="0C1BC20D" w14:textId="77777777" w:rsidR="00043105" w:rsidRPr="005F4560" w:rsidRDefault="00043105" w:rsidP="00043105">
            <w:pPr>
              <w:spacing w:before="40" w:after="40"/>
              <w:rPr>
                <w:rFonts w:cstheme="minorHAnsi"/>
                <w:szCs w:val="20"/>
              </w:rPr>
            </w:pPr>
            <w:r w:rsidRPr="005F4560">
              <w:rPr>
                <w:rFonts w:cstheme="minorHAnsi"/>
                <w:szCs w:val="20"/>
              </w:rPr>
              <w:t>A</w:t>
            </w:r>
          </w:p>
        </w:tc>
      </w:tr>
      <w:tr w:rsidR="00043105" w:rsidRPr="005F4560" w14:paraId="608DA050" w14:textId="77777777" w:rsidTr="00043105">
        <w:tc>
          <w:tcPr>
            <w:tcW w:w="2971" w:type="dxa"/>
          </w:tcPr>
          <w:p w14:paraId="3F04F8A7" w14:textId="76C6AE71" w:rsidR="00043105" w:rsidRPr="00043105" w:rsidRDefault="00043105" w:rsidP="00043105">
            <w:pPr>
              <w:spacing w:before="40" w:after="40"/>
              <w:rPr>
                <w:rFonts w:cstheme="minorHAnsi"/>
                <w:b/>
                <w:szCs w:val="20"/>
              </w:rPr>
            </w:pPr>
            <w:r>
              <w:rPr>
                <w:rFonts w:cstheme="minorHAnsi"/>
                <w:b/>
                <w:szCs w:val="20"/>
              </w:rPr>
              <w:t>Improvements in other conditions</w:t>
            </w:r>
          </w:p>
        </w:tc>
        <w:tc>
          <w:tcPr>
            <w:tcW w:w="4536" w:type="dxa"/>
          </w:tcPr>
          <w:p w14:paraId="3CC3F0B7" w14:textId="05277067" w:rsidR="00043105" w:rsidRPr="005F4560" w:rsidRDefault="000936EC" w:rsidP="00043105">
            <w:pPr>
              <w:spacing w:before="40" w:after="40"/>
              <w:rPr>
                <w:rFonts w:cstheme="minorHAnsi"/>
                <w:szCs w:val="20"/>
              </w:rPr>
            </w:pPr>
            <w:r>
              <w:rPr>
                <w:rFonts w:cstheme="minorHAnsi"/>
                <w:szCs w:val="20"/>
              </w:rPr>
              <w:t>-</w:t>
            </w:r>
          </w:p>
        </w:tc>
        <w:tc>
          <w:tcPr>
            <w:tcW w:w="1083" w:type="dxa"/>
          </w:tcPr>
          <w:p w14:paraId="43F67259" w14:textId="13C0731D" w:rsidR="00043105" w:rsidRPr="005F4560" w:rsidRDefault="000936EC" w:rsidP="00043105">
            <w:pPr>
              <w:spacing w:before="40" w:after="40"/>
              <w:rPr>
                <w:rFonts w:cstheme="minorHAnsi"/>
                <w:szCs w:val="20"/>
              </w:rPr>
            </w:pPr>
            <w:r>
              <w:rPr>
                <w:rFonts w:cstheme="minorHAnsi"/>
                <w:szCs w:val="20"/>
              </w:rPr>
              <w:t>-</w:t>
            </w:r>
          </w:p>
        </w:tc>
      </w:tr>
      <w:tr w:rsidR="00043105" w:rsidRPr="005F4560" w14:paraId="7049D6D6" w14:textId="77777777" w:rsidTr="00043105">
        <w:tc>
          <w:tcPr>
            <w:tcW w:w="2971" w:type="dxa"/>
          </w:tcPr>
          <w:p w14:paraId="35E49801" w14:textId="2B90F1E2" w:rsidR="00043105" w:rsidRPr="005F4560" w:rsidRDefault="00043105" w:rsidP="00043105">
            <w:pPr>
              <w:spacing w:before="40" w:after="40"/>
              <w:rPr>
                <w:rFonts w:cstheme="minorHAnsi"/>
                <w:szCs w:val="20"/>
              </w:rPr>
            </w:pPr>
            <w:r w:rsidRPr="005F4560">
              <w:rPr>
                <w:rFonts w:cstheme="minorHAnsi"/>
                <w:szCs w:val="20"/>
              </w:rPr>
              <w:t>Improvements in markers of chronic kidney disease</w:t>
            </w:r>
          </w:p>
        </w:tc>
        <w:tc>
          <w:tcPr>
            <w:tcW w:w="4536" w:type="dxa"/>
          </w:tcPr>
          <w:p w14:paraId="1DA82CAB" w14:textId="729C3906" w:rsidR="00043105" w:rsidRDefault="009878BB" w:rsidP="00043105">
            <w:pPr>
              <w:spacing w:before="40" w:after="40"/>
            </w:pPr>
            <w:hyperlink r:id="rId93" w:history="1">
              <w:proofErr w:type="spellStart"/>
              <w:r w:rsidR="00043105" w:rsidRPr="005F4560">
                <w:rPr>
                  <w:rStyle w:val="Hyperlink"/>
                  <w:rFonts w:cstheme="minorHAnsi"/>
                  <w:color w:val="auto"/>
                  <w:szCs w:val="20"/>
                </w:rPr>
                <w:t>Afshinnia</w:t>
              </w:r>
              <w:proofErr w:type="spellEnd"/>
              <w:r w:rsidR="00043105" w:rsidRPr="005F4560">
                <w:rPr>
                  <w:rStyle w:val="Hyperlink"/>
                  <w:rFonts w:cstheme="minorHAnsi"/>
                  <w:color w:val="auto"/>
                  <w:szCs w:val="20"/>
                </w:rPr>
                <w:t xml:space="preserve"> et al. 2010</w:t>
              </w:r>
            </w:hyperlink>
            <w:r w:rsidR="00043105" w:rsidRPr="005F4560">
              <w:rPr>
                <w:rFonts w:cstheme="minorHAnsi"/>
                <w:szCs w:val="20"/>
              </w:rPr>
              <w:t xml:space="preserve">; </w:t>
            </w:r>
            <w:hyperlink r:id="rId94" w:history="1">
              <w:r w:rsidR="00043105" w:rsidRPr="005F4560">
                <w:rPr>
                  <w:rStyle w:val="Hyperlink"/>
                  <w:rFonts w:cstheme="minorHAnsi"/>
                  <w:color w:val="auto"/>
                  <w:szCs w:val="20"/>
                </w:rPr>
                <w:t>Navaneethan et al. 2009</w:t>
              </w:r>
            </w:hyperlink>
          </w:p>
        </w:tc>
        <w:tc>
          <w:tcPr>
            <w:tcW w:w="1083" w:type="dxa"/>
          </w:tcPr>
          <w:p w14:paraId="57C65F7B" w14:textId="6E4497C8" w:rsidR="00043105" w:rsidRPr="005F4560" w:rsidRDefault="00043105" w:rsidP="00043105">
            <w:pPr>
              <w:spacing w:before="40" w:after="40"/>
              <w:rPr>
                <w:rFonts w:cstheme="minorHAnsi"/>
                <w:szCs w:val="20"/>
              </w:rPr>
            </w:pPr>
            <w:r w:rsidRPr="005F4560">
              <w:rPr>
                <w:rFonts w:cstheme="minorHAnsi"/>
                <w:szCs w:val="20"/>
              </w:rPr>
              <w:t>B</w:t>
            </w:r>
          </w:p>
        </w:tc>
      </w:tr>
      <w:tr w:rsidR="00043105" w:rsidRPr="005F4560" w14:paraId="07FBDCE2" w14:textId="77777777" w:rsidTr="00043105">
        <w:tc>
          <w:tcPr>
            <w:tcW w:w="2971" w:type="dxa"/>
          </w:tcPr>
          <w:p w14:paraId="344C110D" w14:textId="77777777" w:rsidR="00043105" w:rsidRPr="005F4560" w:rsidRDefault="00043105" w:rsidP="00043105">
            <w:pPr>
              <w:spacing w:before="40" w:after="40"/>
              <w:rPr>
                <w:rFonts w:cstheme="minorHAnsi"/>
                <w:szCs w:val="20"/>
              </w:rPr>
            </w:pPr>
            <w:r w:rsidRPr="005F4560">
              <w:rPr>
                <w:rFonts w:cstheme="minorHAnsi"/>
                <w:szCs w:val="20"/>
              </w:rPr>
              <w:t>Reduction in obstructive sleep apnoea</w:t>
            </w:r>
          </w:p>
        </w:tc>
        <w:tc>
          <w:tcPr>
            <w:tcW w:w="4536" w:type="dxa"/>
          </w:tcPr>
          <w:p w14:paraId="65370074" w14:textId="0EF7F861" w:rsidR="00043105" w:rsidRPr="005F4560" w:rsidRDefault="009878BB" w:rsidP="00043105">
            <w:pPr>
              <w:spacing w:before="40" w:after="40"/>
              <w:rPr>
                <w:rFonts w:cstheme="minorHAnsi"/>
                <w:szCs w:val="20"/>
              </w:rPr>
            </w:pPr>
            <w:hyperlink r:id="rId95" w:history="1">
              <w:r w:rsidR="00043105" w:rsidRPr="005F4560">
                <w:rPr>
                  <w:rStyle w:val="Hyperlink"/>
                  <w:rFonts w:cstheme="minorHAnsi"/>
                  <w:color w:val="auto"/>
                  <w:szCs w:val="20"/>
                </w:rPr>
                <w:t>Foster et al. 2009</w:t>
              </w:r>
            </w:hyperlink>
            <w:r w:rsidR="00043105" w:rsidRPr="005F4560">
              <w:rPr>
                <w:rFonts w:cstheme="minorHAnsi"/>
                <w:szCs w:val="20"/>
              </w:rPr>
              <w:t xml:space="preserve">; </w:t>
            </w:r>
            <w:hyperlink r:id="rId96" w:history="1">
              <w:r w:rsidR="00043105" w:rsidRPr="005F4560">
                <w:rPr>
                  <w:rStyle w:val="Hyperlink"/>
                  <w:rFonts w:cstheme="minorHAnsi"/>
                  <w:color w:val="auto"/>
                  <w:szCs w:val="20"/>
                </w:rPr>
                <w:t>Greenburg et al. 2009</w:t>
              </w:r>
            </w:hyperlink>
            <w:r w:rsidR="00043105" w:rsidRPr="005F4560">
              <w:rPr>
                <w:rFonts w:cstheme="minorHAnsi"/>
                <w:szCs w:val="20"/>
              </w:rPr>
              <w:t xml:space="preserve">; </w:t>
            </w:r>
            <w:hyperlink r:id="rId97" w:history="1">
              <w:proofErr w:type="spellStart"/>
              <w:r w:rsidR="00043105" w:rsidRPr="005F4560">
                <w:rPr>
                  <w:rStyle w:val="Hyperlink"/>
                  <w:rFonts w:cstheme="minorHAnsi"/>
                  <w:color w:val="auto"/>
                  <w:szCs w:val="20"/>
                </w:rPr>
                <w:t>Tuomilehto</w:t>
              </w:r>
              <w:proofErr w:type="spellEnd"/>
              <w:r w:rsidR="00043105" w:rsidRPr="005F4560">
                <w:rPr>
                  <w:rStyle w:val="Hyperlink"/>
                  <w:rFonts w:cstheme="minorHAnsi"/>
                  <w:color w:val="auto"/>
                  <w:szCs w:val="20"/>
                </w:rPr>
                <w:t xml:space="preserve"> et al. 2009</w:t>
              </w:r>
            </w:hyperlink>
          </w:p>
        </w:tc>
        <w:tc>
          <w:tcPr>
            <w:tcW w:w="1083" w:type="dxa"/>
          </w:tcPr>
          <w:p w14:paraId="0A194F17" w14:textId="77777777" w:rsidR="00043105" w:rsidRPr="005F4560" w:rsidRDefault="00043105" w:rsidP="00043105">
            <w:pPr>
              <w:spacing w:before="40" w:after="40"/>
              <w:rPr>
                <w:rFonts w:cstheme="minorHAnsi"/>
                <w:szCs w:val="20"/>
              </w:rPr>
            </w:pPr>
            <w:r w:rsidRPr="005F4560">
              <w:rPr>
                <w:rFonts w:cstheme="minorHAnsi"/>
                <w:szCs w:val="20"/>
              </w:rPr>
              <w:t>B</w:t>
            </w:r>
          </w:p>
        </w:tc>
      </w:tr>
      <w:tr w:rsidR="00043105" w:rsidRPr="005F4560" w14:paraId="2245A04A" w14:textId="77777777" w:rsidTr="00043105">
        <w:tc>
          <w:tcPr>
            <w:tcW w:w="2971" w:type="dxa"/>
          </w:tcPr>
          <w:p w14:paraId="7D76889E" w14:textId="400005AE" w:rsidR="00043105" w:rsidRPr="00043105" w:rsidRDefault="00043105" w:rsidP="00043105">
            <w:pPr>
              <w:spacing w:before="40" w:after="40"/>
              <w:rPr>
                <w:rFonts w:cstheme="minorHAnsi"/>
                <w:b/>
                <w:szCs w:val="20"/>
              </w:rPr>
            </w:pPr>
            <w:r>
              <w:rPr>
                <w:rFonts w:cstheme="minorHAnsi"/>
                <w:b/>
                <w:szCs w:val="20"/>
              </w:rPr>
              <w:t>Improvements in Quality-of-life, self-esteem and depression</w:t>
            </w:r>
          </w:p>
        </w:tc>
        <w:tc>
          <w:tcPr>
            <w:tcW w:w="4536" w:type="dxa"/>
          </w:tcPr>
          <w:p w14:paraId="47641899" w14:textId="26101176" w:rsidR="00043105" w:rsidRPr="005F4560" w:rsidRDefault="000936EC" w:rsidP="00043105">
            <w:pPr>
              <w:spacing w:before="40" w:after="40"/>
              <w:rPr>
                <w:rFonts w:cstheme="minorHAnsi"/>
                <w:szCs w:val="20"/>
              </w:rPr>
            </w:pPr>
            <w:r>
              <w:rPr>
                <w:rFonts w:cstheme="minorHAnsi"/>
                <w:szCs w:val="20"/>
              </w:rPr>
              <w:t>-</w:t>
            </w:r>
          </w:p>
        </w:tc>
        <w:tc>
          <w:tcPr>
            <w:tcW w:w="1083" w:type="dxa"/>
          </w:tcPr>
          <w:p w14:paraId="66108184" w14:textId="33442388" w:rsidR="00043105" w:rsidRPr="005F4560" w:rsidRDefault="000936EC" w:rsidP="00043105">
            <w:pPr>
              <w:spacing w:before="40" w:after="40"/>
              <w:rPr>
                <w:rFonts w:cstheme="minorHAnsi"/>
                <w:szCs w:val="20"/>
              </w:rPr>
            </w:pPr>
            <w:r>
              <w:rPr>
                <w:rFonts w:cstheme="minorHAnsi"/>
                <w:szCs w:val="20"/>
              </w:rPr>
              <w:t>-</w:t>
            </w:r>
          </w:p>
        </w:tc>
      </w:tr>
      <w:tr w:rsidR="00043105" w:rsidRPr="005F4560" w14:paraId="0429062A" w14:textId="77777777" w:rsidTr="00043105">
        <w:tc>
          <w:tcPr>
            <w:tcW w:w="2971" w:type="dxa"/>
          </w:tcPr>
          <w:p w14:paraId="55411A3D" w14:textId="2E6EB5D3" w:rsidR="00043105" w:rsidRPr="005F4560" w:rsidRDefault="00043105" w:rsidP="00043105">
            <w:pPr>
              <w:spacing w:before="40" w:after="40"/>
              <w:rPr>
                <w:rFonts w:cstheme="minorHAnsi"/>
                <w:szCs w:val="20"/>
              </w:rPr>
            </w:pPr>
            <w:r w:rsidRPr="005F4560">
              <w:rPr>
                <w:rFonts w:cstheme="minorHAnsi"/>
                <w:szCs w:val="20"/>
              </w:rPr>
              <w:t>Improved quality of life, self-esteem and depression even if weight loss is not substantial</w:t>
            </w:r>
          </w:p>
        </w:tc>
        <w:tc>
          <w:tcPr>
            <w:tcW w:w="4536" w:type="dxa"/>
          </w:tcPr>
          <w:p w14:paraId="3D987758" w14:textId="68422ED9" w:rsidR="00043105" w:rsidRDefault="009878BB" w:rsidP="00043105">
            <w:pPr>
              <w:spacing w:before="40" w:after="40"/>
            </w:pPr>
            <w:hyperlink r:id="rId98" w:history="1">
              <w:r w:rsidR="00043105" w:rsidRPr="005F4560">
                <w:rPr>
                  <w:rStyle w:val="Hyperlink"/>
                  <w:rFonts w:cstheme="minorHAnsi"/>
                  <w:color w:val="auto"/>
                  <w:szCs w:val="20"/>
                </w:rPr>
                <w:t>Blaine et al. 2007</w:t>
              </w:r>
            </w:hyperlink>
            <w:r w:rsidR="00043105" w:rsidRPr="005F4560">
              <w:rPr>
                <w:rFonts w:cstheme="minorHAnsi"/>
                <w:szCs w:val="20"/>
              </w:rPr>
              <w:t xml:space="preserve">; </w:t>
            </w:r>
            <w:hyperlink r:id="rId99" w:history="1">
              <w:r w:rsidR="00043105" w:rsidRPr="005F4560">
                <w:rPr>
                  <w:rStyle w:val="Hyperlink"/>
                  <w:rFonts w:cstheme="minorHAnsi"/>
                  <w:color w:val="auto"/>
                  <w:szCs w:val="20"/>
                </w:rPr>
                <w:t>Cooper et al. 2010</w:t>
              </w:r>
            </w:hyperlink>
            <w:r w:rsidR="00043105" w:rsidRPr="005F4560">
              <w:rPr>
                <w:rFonts w:cstheme="minorHAnsi"/>
                <w:szCs w:val="20"/>
              </w:rPr>
              <w:t xml:space="preserve">; </w:t>
            </w:r>
            <w:hyperlink r:id="rId100" w:history="1">
              <w:r w:rsidR="00043105" w:rsidRPr="005F4560">
                <w:rPr>
                  <w:rStyle w:val="Hyperlink"/>
                  <w:rFonts w:cstheme="minorHAnsi"/>
                  <w:color w:val="auto"/>
                  <w:szCs w:val="20"/>
                </w:rPr>
                <w:t>Morey et al. 2009</w:t>
              </w:r>
            </w:hyperlink>
            <w:r w:rsidR="00043105" w:rsidRPr="005F4560">
              <w:rPr>
                <w:rFonts w:cstheme="minorHAnsi"/>
                <w:szCs w:val="20"/>
              </w:rPr>
              <w:t xml:space="preserve">; </w:t>
            </w:r>
            <w:hyperlink r:id="rId101" w:history="1">
              <w:r w:rsidR="00043105" w:rsidRPr="005F4560">
                <w:rPr>
                  <w:rStyle w:val="Hyperlink"/>
                  <w:rFonts w:cstheme="minorHAnsi"/>
                  <w:color w:val="auto"/>
                  <w:szCs w:val="20"/>
                </w:rPr>
                <w:t>Picot et al. 2009</w:t>
              </w:r>
            </w:hyperlink>
            <w:r w:rsidR="00043105" w:rsidRPr="005F4560">
              <w:rPr>
                <w:rFonts w:cstheme="minorHAnsi"/>
                <w:szCs w:val="20"/>
              </w:rPr>
              <w:t xml:space="preserve">; </w:t>
            </w:r>
            <w:hyperlink r:id="rId102" w:anchor="t=article" w:history="1">
              <w:proofErr w:type="spellStart"/>
              <w:r w:rsidR="00043105" w:rsidRPr="005F4560">
                <w:rPr>
                  <w:rStyle w:val="Hyperlink"/>
                  <w:rFonts w:cstheme="minorHAnsi"/>
                  <w:color w:val="auto"/>
                  <w:szCs w:val="20"/>
                </w:rPr>
                <w:t>Villareal</w:t>
              </w:r>
              <w:proofErr w:type="spellEnd"/>
              <w:r w:rsidR="00043105" w:rsidRPr="005F4560">
                <w:rPr>
                  <w:rStyle w:val="Hyperlink"/>
                  <w:rFonts w:cstheme="minorHAnsi"/>
                  <w:color w:val="auto"/>
                  <w:szCs w:val="20"/>
                </w:rPr>
                <w:t xml:space="preserve"> et al. 2011</w:t>
              </w:r>
            </w:hyperlink>
            <w:r w:rsidR="00043105" w:rsidRPr="005F4560">
              <w:rPr>
                <w:rFonts w:cstheme="minorHAnsi"/>
                <w:szCs w:val="20"/>
              </w:rPr>
              <w:t xml:space="preserve">; </w:t>
            </w:r>
            <w:hyperlink r:id="rId103" w:history="1">
              <w:r w:rsidR="00043105" w:rsidRPr="005F4560">
                <w:rPr>
                  <w:rStyle w:val="Hyperlink"/>
                  <w:rFonts w:cstheme="minorHAnsi"/>
                  <w:color w:val="auto"/>
                  <w:szCs w:val="20"/>
                </w:rPr>
                <w:t xml:space="preserve">Witham &amp; </w:t>
              </w:r>
              <w:proofErr w:type="spellStart"/>
              <w:r w:rsidR="00043105" w:rsidRPr="005F4560">
                <w:rPr>
                  <w:rStyle w:val="Hyperlink"/>
                  <w:rFonts w:cstheme="minorHAnsi"/>
                  <w:color w:val="auto"/>
                  <w:szCs w:val="20"/>
                </w:rPr>
                <w:t>Avenell</w:t>
              </w:r>
              <w:proofErr w:type="spellEnd"/>
              <w:r w:rsidR="00043105" w:rsidRPr="005F4560">
                <w:rPr>
                  <w:rStyle w:val="Hyperlink"/>
                  <w:rFonts w:cstheme="minorHAnsi"/>
                  <w:color w:val="auto"/>
                  <w:szCs w:val="20"/>
                </w:rPr>
                <w:t xml:space="preserve"> 2010</w:t>
              </w:r>
            </w:hyperlink>
          </w:p>
        </w:tc>
        <w:tc>
          <w:tcPr>
            <w:tcW w:w="1083" w:type="dxa"/>
          </w:tcPr>
          <w:p w14:paraId="1D273500" w14:textId="4E0C3ACF" w:rsidR="00043105" w:rsidRPr="005F4560" w:rsidRDefault="00043105" w:rsidP="00043105">
            <w:pPr>
              <w:spacing w:before="40" w:after="40"/>
              <w:rPr>
                <w:rFonts w:cstheme="minorHAnsi"/>
                <w:szCs w:val="20"/>
              </w:rPr>
            </w:pPr>
            <w:r w:rsidRPr="005F4560">
              <w:rPr>
                <w:rFonts w:cstheme="minorHAnsi"/>
                <w:szCs w:val="20"/>
              </w:rPr>
              <w:t>C</w:t>
            </w:r>
          </w:p>
        </w:tc>
      </w:tr>
    </w:tbl>
    <w:p w14:paraId="2E19086E" w14:textId="11653BB5" w:rsidR="0068046B" w:rsidRDefault="0068046B" w:rsidP="0068046B">
      <w:pPr>
        <w:pStyle w:val="Heading3"/>
      </w:pPr>
      <w:r>
        <w:t>Medical Condition (cont.)</w:t>
      </w:r>
    </w:p>
    <w:p w14:paraId="2A68DE63" w14:textId="2C906B32" w:rsidR="00DD2CA1" w:rsidRPr="005F4560" w:rsidRDefault="00BB4539" w:rsidP="00DD2CA1">
      <w:pPr>
        <w:ind w:left="426"/>
        <w:jc w:val="both"/>
        <w:rPr>
          <w:rFonts w:cstheme="minorHAnsi"/>
          <w:szCs w:val="20"/>
        </w:rPr>
      </w:pPr>
      <w:r>
        <w:rPr>
          <w:rFonts w:cstheme="minorHAnsi"/>
          <w:szCs w:val="20"/>
        </w:rPr>
        <w:t>S</w:t>
      </w:r>
      <w:r w:rsidR="00DD2CA1" w:rsidRPr="005F4560">
        <w:rPr>
          <w:rFonts w:cstheme="minorHAnsi"/>
          <w:szCs w:val="20"/>
        </w:rPr>
        <w:t xml:space="preserve">everal studies point to a link between life expectancy and overweight and obesity (NPHT 2009): </w:t>
      </w:r>
    </w:p>
    <w:p w14:paraId="14285834" w14:textId="64CD137E" w:rsidR="00DD2CA1" w:rsidRPr="005F4560" w:rsidRDefault="00DD2CA1" w:rsidP="00555876">
      <w:pPr>
        <w:pStyle w:val="ListParagraph"/>
        <w:numPr>
          <w:ilvl w:val="1"/>
          <w:numId w:val="5"/>
        </w:numPr>
        <w:jc w:val="both"/>
        <w:rPr>
          <w:rFonts w:cstheme="minorHAnsi"/>
          <w:szCs w:val="20"/>
        </w:rPr>
      </w:pPr>
      <w:r w:rsidRPr="005F4560">
        <w:rPr>
          <w:rFonts w:cstheme="minorHAnsi"/>
          <w:szCs w:val="20"/>
        </w:rPr>
        <w:t>A large investigation into the ef</w:t>
      </w:r>
      <w:r w:rsidR="0046729C" w:rsidRPr="005F4560">
        <w:rPr>
          <w:rFonts w:cstheme="minorHAnsi"/>
          <w:szCs w:val="20"/>
        </w:rPr>
        <w:t>fect of obesity on mortality (n</w:t>
      </w:r>
      <w:r w:rsidRPr="005F4560">
        <w:rPr>
          <w:rFonts w:cstheme="minorHAnsi"/>
          <w:szCs w:val="20"/>
        </w:rPr>
        <w:t>=900</w:t>
      </w:r>
      <w:r w:rsidR="0046729C" w:rsidRPr="005F4560">
        <w:rPr>
          <w:rFonts w:cstheme="minorHAnsi"/>
          <w:szCs w:val="20"/>
        </w:rPr>
        <w:t>,</w:t>
      </w:r>
      <w:r w:rsidRPr="005F4560">
        <w:rPr>
          <w:rFonts w:cstheme="minorHAnsi"/>
          <w:szCs w:val="20"/>
        </w:rPr>
        <w:t>000) found that people who w</w:t>
      </w:r>
      <w:r w:rsidR="0046729C" w:rsidRPr="005F4560">
        <w:rPr>
          <w:rFonts w:cstheme="minorHAnsi"/>
          <w:szCs w:val="20"/>
        </w:rPr>
        <w:t xml:space="preserve">ere moderately obese (BMI 30–35 </w:t>
      </w:r>
      <w:r w:rsidRPr="005F4560">
        <w:rPr>
          <w:rFonts w:cstheme="minorHAnsi"/>
          <w:szCs w:val="20"/>
        </w:rPr>
        <w:t>kg/m</w:t>
      </w:r>
      <w:r w:rsidRPr="005F4560">
        <w:rPr>
          <w:rFonts w:cstheme="minorHAnsi"/>
          <w:szCs w:val="20"/>
          <w:vertAlign w:val="superscript"/>
        </w:rPr>
        <w:t>2</w:t>
      </w:r>
      <w:r w:rsidRPr="005F4560">
        <w:rPr>
          <w:rFonts w:cstheme="minorHAnsi"/>
          <w:szCs w:val="20"/>
        </w:rPr>
        <w:t>) died 2–4 years earlier than those with an ideal weight. A BMI of 40–45 kg/m</w:t>
      </w:r>
      <w:r w:rsidRPr="005F4560">
        <w:rPr>
          <w:rFonts w:cstheme="minorHAnsi"/>
          <w:szCs w:val="20"/>
          <w:vertAlign w:val="superscript"/>
        </w:rPr>
        <w:t>2</w:t>
      </w:r>
      <w:r w:rsidRPr="005F4560">
        <w:rPr>
          <w:rFonts w:cstheme="minorHAnsi"/>
          <w:szCs w:val="20"/>
        </w:rPr>
        <w:t xml:space="preserve"> reduced life expectancy by 8–10 years, comparable with the effects of lifelong smoking (</w:t>
      </w:r>
      <w:hyperlink r:id="rId104" w:history="1">
        <w:r w:rsidRPr="005F4560">
          <w:rPr>
            <w:rStyle w:val="Hyperlink"/>
            <w:rFonts w:cstheme="minorHAnsi"/>
            <w:color w:val="auto"/>
            <w:szCs w:val="20"/>
          </w:rPr>
          <w:t>PSC 2009</w:t>
        </w:r>
      </w:hyperlink>
      <w:r w:rsidRPr="005F4560">
        <w:rPr>
          <w:rFonts w:cstheme="minorHAnsi"/>
          <w:szCs w:val="20"/>
        </w:rPr>
        <w:t xml:space="preserve">). </w:t>
      </w:r>
    </w:p>
    <w:p w14:paraId="6ACC8D5E" w14:textId="07CF1BBF" w:rsidR="00DD2CA1" w:rsidRPr="005F4560" w:rsidRDefault="00DD2CA1" w:rsidP="00555876">
      <w:pPr>
        <w:pStyle w:val="ListParagraph"/>
        <w:numPr>
          <w:ilvl w:val="1"/>
          <w:numId w:val="5"/>
        </w:numPr>
        <w:jc w:val="both"/>
        <w:rPr>
          <w:rFonts w:cstheme="minorHAnsi"/>
          <w:szCs w:val="20"/>
        </w:rPr>
      </w:pPr>
      <w:r w:rsidRPr="005F4560">
        <w:rPr>
          <w:rFonts w:cstheme="minorHAnsi"/>
          <w:szCs w:val="20"/>
        </w:rPr>
        <w:t>Estimates based on Australian data indicate that, at age 20, life expectancy is about 1</w:t>
      </w:r>
      <w:r w:rsidR="0046729C" w:rsidRPr="005F4560">
        <w:rPr>
          <w:rFonts w:cstheme="minorHAnsi"/>
          <w:szCs w:val="20"/>
        </w:rPr>
        <w:t xml:space="preserve"> </w:t>
      </w:r>
      <w:r w:rsidRPr="005F4560">
        <w:rPr>
          <w:rFonts w:cstheme="minorHAnsi"/>
          <w:szCs w:val="20"/>
        </w:rPr>
        <w:t>year less for adults who are overweight than for adults within the healthy weight range, and an average o</w:t>
      </w:r>
      <w:r w:rsidR="0046729C" w:rsidRPr="005F4560">
        <w:rPr>
          <w:rFonts w:cstheme="minorHAnsi"/>
          <w:szCs w:val="20"/>
        </w:rPr>
        <w:t xml:space="preserve">f around 4 </w:t>
      </w:r>
      <w:r w:rsidRPr="005F4560">
        <w:rPr>
          <w:rFonts w:cstheme="minorHAnsi"/>
          <w:szCs w:val="20"/>
        </w:rPr>
        <w:t>years less for adults who are obese (</w:t>
      </w:r>
      <w:hyperlink r:id="rId105" w:history="1">
        <w:r w:rsidR="00BF1897" w:rsidRPr="005F4560">
          <w:rPr>
            <w:rStyle w:val="Hyperlink"/>
            <w:rFonts w:cstheme="minorHAnsi"/>
            <w:color w:val="auto"/>
            <w:szCs w:val="20"/>
          </w:rPr>
          <w:t>Obesity Working Group</w:t>
        </w:r>
      </w:hyperlink>
      <w:r w:rsidRPr="005F4560">
        <w:rPr>
          <w:rFonts w:cstheme="minorHAnsi"/>
          <w:szCs w:val="20"/>
        </w:rPr>
        <w:t xml:space="preserve">). </w:t>
      </w:r>
    </w:p>
    <w:p w14:paraId="44583E1E" w14:textId="1F26C16A" w:rsidR="00DD2CA1" w:rsidRPr="005F4560" w:rsidRDefault="00DD2CA1" w:rsidP="00555876">
      <w:pPr>
        <w:pStyle w:val="ListParagraph"/>
        <w:numPr>
          <w:ilvl w:val="1"/>
          <w:numId w:val="5"/>
        </w:numPr>
        <w:jc w:val="both"/>
        <w:rPr>
          <w:rFonts w:cstheme="minorHAnsi"/>
          <w:szCs w:val="20"/>
        </w:rPr>
      </w:pPr>
      <w:r w:rsidRPr="005F4560">
        <w:rPr>
          <w:rFonts w:cstheme="minorHAnsi"/>
          <w:szCs w:val="20"/>
        </w:rPr>
        <w:t>Other research estimating the effect of obesity on life expectancy (from age 40) found a mean loss of 7 years associated with obesity, similar to the life expectancy loss from smoking (</w:t>
      </w:r>
      <w:hyperlink r:id="rId106" w:history="1">
        <w:r w:rsidRPr="005F4560">
          <w:rPr>
            <w:rStyle w:val="Hyperlink"/>
            <w:rFonts w:cstheme="minorHAnsi"/>
            <w:color w:val="auto"/>
            <w:szCs w:val="20"/>
          </w:rPr>
          <w:t>Vic DHS 2008</w:t>
        </w:r>
      </w:hyperlink>
      <w:r w:rsidRPr="005F4560">
        <w:rPr>
          <w:rFonts w:cstheme="minorHAnsi"/>
          <w:szCs w:val="20"/>
        </w:rPr>
        <w:t xml:space="preserve">). </w:t>
      </w:r>
    </w:p>
    <w:p w14:paraId="0853DF31" w14:textId="7074B4E2" w:rsidR="00DD2CA1" w:rsidRPr="005F4560" w:rsidRDefault="00DD2CA1" w:rsidP="00555876">
      <w:pPr>
        <w:pStyle w:val="ListParagraph"/>
        <w:numPr>
          <w:ilvl w:val="1"/>
          <w:numId w:val="5"/>
        </w:numPr>
        <w:jc w:val="both"/>
        <w:rPr>
          <w:rFonts w:cstheme="minorHAnsi"/>
          <w:szCs w:val="20"/>
        </w:rPr>
      </w:pPr>
      <w:r w:rsidRPr="005F4560">
        <w:rPr>
          <w:rFonts w:cstheme="minorHAnsi"/>
          <w:szCs w:val="20"/>
        </w:rPr>
        <w:t>Work commissioned by the National Preventative Health Taskforce indicates that if current trends in overweight and obesity in Australia continue, there will be approximately 1.75 million deaths at ages 20</w:t>
      </w:r>
      <w:r w:rsidR="00B90445" w:rsidRPr="005F4560">
        <w:rPr>
          <w:rFonts w:cstheme="minorHAnsi"/>
          <w:szCs w:val="20"/>
        </w:rPr>
        <w:t xml:space="preserve"> </w:t>
      </w:r>
      <w:r w:rsidRPr="005F4560">
        <w:rPr>
          <w:rFonts w:cstheme="minorHAnsi"/>
          <w:szCs w:val="20"/>
        </w:rPr>
        <w:t>years and over, and 10.3 million premature years of life lost at ages 20–74 years caused by overweight or obesity in 2011–2050, with an average of 12 years of life lost before the age of 75</w:t>
      </w:r>
      <w:r w:rsidR="00B90445" w:rsidRPr="005F4560">
        <w:rPr>
          <w:rFonts w:cstheme="minorHAnsi"/>
          <w:szCs w:val="20"/>
        </w:rPr>
        <w:t xml:space="preserve"> </w:t>
      </w:r>
      <w:r w:rsidRPr="005F4560">
        <w:rPr>
          <w:rFonts w:cstheme="minorHAnsi"/>
          <w:szCs w:val="20"/>
        </w:rPr>
        <w:t>years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"https://www.researchgate.net/publication/242562415_Deaths_and_premature_loss_of_life_caused_by_overweight_and_obesity_in_Australia_in_2011-_2050_Benefits_from_different_intervention_scenarios" </w:instrText>
      </w:r>
      <w:r w:rsidR="009878BB">
        <w:rPr>
          <w:rStyle w:val="Hyperlink"/>
          <w:rFonts w:cstheme="minorHAnsi"/>
          <w:color w:val="auto"/>
          <w:szCs w:val="20"/>
        </w:rPr>
        <w:fldChar w:fldCharType="separate"/>
      </w:r>
      <w:r w:rsidRPr="005F4560">
        <w:rPr>
          <w:rStyle w:val="Hyperlink"/>
          <w:rFonts w:cstheme="minorHAnsi"/>
          <w:color w:val="auto"/>
          <w:szCs w:val="20"/>
        </w:rPr>
        <w:t>Gray</w:t>
      </w:r>
      <w:proofErr w:type="spellEnd"/>
      <w:r w:rsidRPr="005F4560">
        <w:rPr>
          <w:rStyle w:val="Hyperlink"/>
          <w:rFonts w:cstheme="minorHAnsi"/>
          <w:color w:val="auto"/>
          <w:szCs w:val="20"/>
        </w:rPr>
        <w:t xml:space="preserve"> &amp; Holman 2009</w:t>
      </w:r>
      <w:r w:rsidR="009878BB">
        <w:rPr>
          <w:rStyle w:val="Hyperlink"/>
          <w:rFonts w:cstheme="minorHAnsi"/>
          <w:color w:val="auto"/>
          <w:szCs w:val="20"/>
        </w:rPr>
        <w:fldChar w:fldCharType="end"/>
      </w:r>
      <w:r w:rsidRPr="005F4560">
        <w:rPr>
          <w:rFonts w:cstheme="minorHAnsi"/>
          <w:szCs w:val="20"/>
        </w:rPr>
        <w:t>).</w:t>
      </w:r>
    </w:p>
    <w:p w14:paraId="14A6098F" w14:textId="1AD3A4FF" w:rsidR="00DD2CA1" w:rsidRPr="005F4560" w:rsidRDefault="00DD2CA1" w:rsidP="00DD2CA1">
      <w:pPr>
        <w:ind w:left="426"/>
        <w:jc w:val="both"/>
        <w:rPr>
          <w:rFonts w:cstheme="minorHAnsi"/>
          <w:szCs w:val="20"/>
        </w:rPr>
      </w:pPr>
      <w:r w:rsidRPr="005F4560">
        <w:rPr>
          <w:rFonts w:cstheme="minorHAnsi"/>
          <w:szCs w:val="20"/>
        </w:rPr>
        <w:t>There is increasing evidence that overweight and obesity are associated with the incidence of a range of c</w:t>
      </w:r>
      <w:r w:rsidR="00B90445" w:rsidRPr="005F4560">
        <w:rPr>
          <w:rFonts w:cstheme="minorHAnsi"/>
          <w:szCs w:val="20"/>
        </w:rPr>
        <w:t>omorbidities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"https://www.ncbi.nlm.nih.gov/pubmed/19320986" </w:instrText>
      </w:r>
      <w:r w:rsidR="009878BB">
        <w:rPr>
          <w:rStyle w:val="Hyperlink"/>
          <w:rFonts w:cstheme="minorHAnsi"/>
          <w:color w:val="auto"/>
          <w:szCs w:val="20"/>
        </w:rPr>
        <w:fldChar w:fldCharType="separate"/>
      </w:r>
      <w:r w:rsidR="00B90445" w:rsidRPr="005F4560">
        <w:rPr>
          <w:rStyle w:val="Hyperlink"/>
          <w:rFonts w:cstheme="minorHAnsi"/>
          <w:color w:val="auto"/>
          <w:szCs w:val="20"/>
        </w:rPr>
        <w:t>Guh</w:t>
      </w:r>
      <w:proofErr w:type="spellEnd"/>
      <w:r w:rsidR="00B90445" w:rsidRPr="005F4560">
        <w:rPr>
          <w:rStyle w:val="Hyperlink"/>
          <w:rFonts w:cstheme="minorHAnsi"/>
          <w:color w:val="auto"/>
          <w:szCs w:val="20"/>
        </w:rPr>
        <w:t xml:space="preserve"> et al. 2009</w:t>
      </w:r>
      <w:r w:rsidR="009878BB">
        <w:rPr>
          <w:rStyle w:val="Hyperlink"/>
          <w:rFonts w:cstheme="minorHAnsi"/>
          <w:color w:val="auto"/>
          <w:szCs w:val="20"/>
        </w:rPr>
        <w:fldChar w:fldCharType="end"/>
      </w:r>
      <w:r w:rsidR="00B90445" w:rsidRPr="005F4560">
        <w:rPr>
          <w:rFonts w:cstheme="minorHAnsi"/>
          <w:szCs w:val="20"/>
        </w:rPr>
        <w:t>)</w:t>
      </w:r>
      <w:r w:rsidRPr="005F4560">
        <w:rPr>
          <w:rFonts w:cstheme="minorHAnsi"/>
          <w:szCs w:val="20"/>
        </w:rPr>
        <w:t>. The association between BMI and many of these diseases appears to be continuous, starting from BMIs of about 20–21 kg/m</w:t>
      </w:r>
      <w:r w:rsidRPr="005F4560">
        <w:rPr>
          <w:rFonts w:cstheme="minorHAnsi"/>
          <w:szCs w:val="20"/>
          <w:vertAlign w:val="superscript"/>
        </w:rPr>
        <w:t>2</w:t>
      </w:r>
      <w:r w:rsidRPr="005F4560">
        <w:rPr>
          <w:rFonts w:cstheme="minorHAnsi"/>
          <w:szCs w:val="20"/>
        </w:rPr>
        <w:t xml:space="preserve"> </w:t>
      </w:r>
      <w:hyperlink r:id="rId107" w:history="1">
        <w:r w:rsidRPr="005F4560">
          <w:rPr>
            <w:rStyle w:val="Hyperlink"/>
            <w:rFonts w:cstheme="minorHAnsi"/>
            <w:color w:val="auto"/>
            <w:szCs w:val="20"/>
          </w:rPr>
          <w:t>(NZ MOH 2009</w:t>
        </w:r>
      </w:hyperlink>
      <w:r w:rsidRPr="005F4560">
        <w:rPr>
          <w:rFonts w:cstheme="minorHAnsi"/>
          <w:szCs w:val="20"/>
        </w:rPr>
        <w:t>). The association between BMI and cardiovascular risk factors (blood pressure, lipids, type 2 diabetes) contributes to the increased risk of cardiovascular disease experienced by people who are overweight or obese.</w:t>
      </w:r>
    </w:p>
    <w:p w14:paraId="40C9739D" w14:textId="5A09C892" w:rsidR="009961D3" w:rsidRPr="005F4560" w:rsidRDefault="009961D3" w:rsidP="00192AA7">
      <w:pPr>
        <w:ind w:left="426"/>
        <w:jc w:val="both"/>
        <w:rPr>
          <w:rFonts w:cstheme="minorHAnsi"/>
          <w:szCs w:val="20"/>
        </w:rPr>
      </w:pPr>
      <w:r w:rsidRPr="005F4560">
        <w:rPr>
          <w:rFonts w:cstheme="minorHAnsi"/>
          <w:szCs w:val="20"/>
        </w:rPr>
        <w:t>Lifestyle interventions can be effective in the short-term, however, weight loss is difficult to maintain in the long term</w:t>
      </w:r>
      <w:r w:rsidR="00DA4341" w:rsidRPr="005F4560">
        <w:rPr>
          <w:rFonts w:cstheme="minorHAnsi"/>
          <w:szCs w:val="20"/>
        </w:rPr>
        <w:t xml:space="preserve">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"https://www.ncbi.nlm.nih.gov/pubmed/21779086" </w:instrText>
      </w:r>
      <w:r w:rsidR="009878BB">
        <w:rPr>
          <w:rStyle w:val="Hyperlink"/>
          <w:rFonts w:cstheme="minorHAnsi"/>
          <w:color w:val="auto"/>
          <w:szCs w:val="20"/>
        </w:rPr>
        <w:fldChar w:fldCharType="separate"/>
      </w:r>
      <w:r w:rsidR="00DA4341" w:rsidRPr="005F4560">
        <w:rPr>
          <w:rStyle w:val="Hyperlink"/>
          <w:rFonts w:cstheme="minorHAnsi"/>
          <w:color w:val="auto"/>
          <w:szCs w:val="20"/>
        </w:rPr>
        <w:t>Wadden</w:t>
      </w:r>
      <w:proofErr w:type="spellEnd"/>
      <w:r w:rsidR="00DA4341" w:rsidRPr="005F4560">
        <w:rPr>
          <w:rStyle w:val="Hyperlink"/>
          <w:rFonts w:cstheme="minorHAnsi"/>
          <w:color w:val="auto"/>
          <w:szCs w:val="20"/>
        </w:rPr>
        <w:t xml:space="preserve"> et al, 2011</w:t>
      </w:r>
      <w:r w:rsidR="009878BB">
        <w:rPr>
          <w:rStyle w:val="Hyperlink"/>
          <w:rFonts w:cstheme="minorHAnsi"/>
          <w:color w:val="auto"/>
          <w:szCs w:val="20"/>
        </w:rPr>
        <w:fldChar w:fldCharType="end"/>
      </w:r>
      <w:r w:rsidR="00DA4341" w:rsidRPr="005F4560">
        <w:rPr>
          <w:rFonts w:cstheme="minorHAnsi"/>
          <w:szCs w:val="20"/>
        </w:rPr>
        <w:t xml:space="preserve">, and </w:t>
      </w:r>
      <w:hyperlink r:id="rId108" w:history="1">
        <w:r w:rsidR="00DA4341" w:rsidRPr="005F4560">
          <w:rPr>
            <w:rStyle w:val="Hyperlink"/>
            <w:rFonts w:cstheme="minorHAnsi"/>
            <w:color w:val="auto"/>
            <w:szCs w:val="20"/>
          </w:rPr>
          <w:t>Wing and Phelan 2005</w:t>
        </w:r>
      </w:hyperlink>
      <w:r w:rsidR="00DA4341" w:rsidRPr="005F4560">
        <w:rPr>
          <w:rFonts w:cstheme="minorHAnsi"/>
          <w:szCs w:val="20"/>
        </w:rPr>
        <w:t>)</w:t>
      </w:r>
      <w:r w:rsidRPr="005F4560">
        <w:rPr>
          <w:rFonts w:cstheme="minorHAnsi"/>
          <w:szCs w:val="20"/>
        </w:rPr>
        <w:t>. For those with severe obesity there are several Randomised Controlled Trials (RCT)</w:t>
      </w:r>
      <w:r w:rsidR="00DA4341" w:rsidRPr="005F4560">
        <w:rPr>
          <w:rFonts w:cstheme="minorHAnsi"/>
          <w:szCs w:val="20"/>
        </w:rPr>
        <w:t xml:space="preserve"> (</w:t>
      </w:r>
      <w:hyperlink r:id="rId109" w:history="1">
        <w:r w:rsidR="00DA4341" w:rsidRPr="005F4560">
          <w:rPr>
            <w:rStyle w:val="Hyperlink"/>
            <w:rFonts w:cstheme="minorHAnsi"/>
            <w:color w:val="auto"/>
            <w:szCs w:val="20"/>
          </w:rPr>
          <w:t>Dixon et al 2008</w:t>
        </w:r>
      </w:hyperlink>
      <w:r w:rsidR="00DA4341" w:rsidRPr="005F4560">
        <w:rPr>
          <w:rFonts w:cstheme="minorHAnsi"/>
          <w:szCs w:val="20"/>
        </w:rPr>
        <w:t xml:space="preserve">, </w:t>
      </w:r>
      <w:hyperlink r:id="rId110" w:history="1">
        <w:r w:rsidR="00D368CA" w:rsidRPr="005F4560">
          <w:rPr>
            <w:rStyle w:val="Hyperlink"/>
            <w:rFonts w:cstheme="minorHAnsi"/>
            <w:color w:val="auto"/>
            <w:szCs w:val="20"/>
          </w:rPr>
          <w:t>Dixon</w:t>
        </w:r>
        <w:r w:rsidR="00DA4341" w:rsidRPr="005F4560">
          <w:rPr>
            <w:rStyle w:val="Hyperlink"/>
            <w:rFonts w:cstheme="minorHAnsi"/>
            <w:color w:val="auto"/>
            <w:szCs w:val="20"/>
          </w:rPr>
          <w:t xml:space="preserve"> et al, 2012</w:t>
        </w:r>
      </w:hyperlink>
      <w:r w:rsidR="00DA4341" w:rsidRPr="005F4560">
        <w:rPr>
          <w:rFonts w:cstheme="minorHAnsi"/>
          <w:szCs w:val="20"/>
        </w:rPr>
        <w:t>,</w:t>
      </w:r>
      <w:r w:rsidR="006A6A10" w:rsidRPr="005F4560">
        <w:rPr>
          <w:rFonts w:cstheme="minorHAnsi"/>
          <w:szCs w:val="20"/>
        </w:rPr>
        <w:t xml:space="preserve"> </w:t>
      </w:r>
      <w:hyperlink r:id="rId111" w:history="1">
        <w:r w:rsidR="006A6A10" w:rsidRPr="005F4560">
          <w:rPr>
            <w:rStyle w:val="Hyperlink"/>
            <w:rFonts w:cstheme="minorHAnsi"/>
            <w:color w:val="auto"/>
            <w:szCs w:val="20"/>
          </w:rPr>
          <w:t>O’Brien et al., 2006</w:t>
        </w:r>
      </w:hyperlink>
      <w:r w:rsidR="006A6A10" w:rsidRPr="005F4560">
        <w:rPr>
          <w:rFonts w:cstheme="minorHAnsi"/>
          <w:szCs w:val="20"/>
        </w:rPr>
        <w:t xml:space="preserve"> and </w:t>
      </w:r>
      <w:hyperlink r:id="rId112" w:history="1">
        <w:r w:rsidR="006A6A10" w:rsidRPr="005F4560">
          <w:rPr>
            <w:rStyle w:val="Hyperlink"/>
            <w:rFonts w:cstheme="minorHAnsi"/>
            <w:color w:val="auto"/>
            <w:szCs w:val="20"/>
          </w:rPr>
          <w:t>O’Brien et al., 2010</w:t>
        </w:r>
      </w:hyperlink>
      <w:r w:rsidR="006A6A10" w:rsidRPr="005F4560">
        <w:rPr>
          <w:rFonts w:cstheme="minorHAnsi"/>
          <w:szCs w:val="20"/>
        </w:rPr>
        <w:t>)</w:t>
      </w:r>
      <w:r w:rsidRPr="005F4560">
        <w:rPr>
          <w:rFonts w:cstheme="minorHAnsi"/>
          <w:szCs w:val="20"/>
        </w:rPr>
        <w:t xml:space="preserve"> and case series</w:t>
      </w:r>
      <w:r w:rsidR="006A6A10" w:rsidRPr="005F4560">
        <w:rPr>
          <w:rFonts w:cstheme="minorHAnsi"/>
          <w:szCs w:val="20"/>
        </w:rPr>
        <w:t xml:space="preserve"> (</w:t>
      </w:r>
      <w:hyperlink r:id="rId113" w:history="1">
        <w:r w:rsidR="006A6A10" w:rsidRPr="005F4560">
          <w:rPr>
            <w:rStyle w:val="Hyperlink"/>
            <w:rFonts w:cstheme="minorHAnsi"/>
            <w:color w:val="auto"/>
            <w:szCs w:val="20"/>
          </w:rPr>
          <w:t>Colquitt et al, 2009</w:t>
        </w:r>
      </w:hyperlink>
      <w:r w:rsidR="006A6A10" w:rsidRPr="005F4560">
        <w:rPr>
          <w:rFonts w:cstheme="minorHAnsi"/>
          <w:szCs w:val="20"/>
        </w:rPr>
        <w:t>)</w:t>
      </w:r>
      <w:r w:rsidRPr="005F4560">
        <w:rPr>
          <w:rFonts w:cstheme="minorHAnsi"/>
          <w:szCs w:val="20"/>
        </w:rPr>
        <w:t xml:space="preserve"> which suggest that Bariatric Surgery provides more predictable and sustainable weight loss than conservative regimes, and is generally very safe</w:t>
      </w:r>
      <w:r w:rsidR="006A6A10" w:rsidRPr="005F4560">
        <w:rPr>
          <w:rFonts w:cstheme="minorHAnsi"/>
          <w:szCs w:val="20"/>
        </w:rPr>
        <w:t xml:space="preserve">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"https://www.ncbi.nlm.nih.gov/pubmed/19641201" </w:instrText>
      </w:r>
      <w:r w:rsidR="009878BB">
        <w:rPr>
          <w:rStyle w:val="Hyperlink"/>
          <w:rFonts w:cstheme="minorHAnsi"/>
          <w:color w:val="auto"/>
          <w:szCs w:val="20"/>
        </w:rPr>
        <w:fldChar w:fldCharType="separate"/>
      </w:r>
      <w:r w:rsidR="006A6A10" w:rsidRPr="005F4560">
        <w:rPr>
          <w:rStyle w:val="Hyperlink"/>
          <w:rFonts w:cstheme="minorHAnsi"/>
          <w:color w:val="auto"/>
          <w:szCs w:val="20"/>
        </w:rPr>
        <w:t>Flum</w:t>
      </w:r>
      <w:proofErr w:type="spellEnd"/>
      <w:r w:rsidR="006A6A10" w:rsidRPr="005F4560">
        <w:rPr>
          <w:rStyle w:val="Hyperlink"/>
          <w:rFonts w:cstheme="minorHAnsi"/>
          <w:color w:val="auto"/>
          <w:szCs w:val="20"/>
        </w:rPr>
        <w:t xml:space="preserve"> et al., 2009</w:t>
      </w:r>
      <w:r w:rsidR="009878BB">
        <w:rPr>
          <w:rStyle w:val="Hyperlink"/>
          <w:rFonts w:cstheme="minorHAnsi"/>
          <w:color w:val="auto"/>
          <w:szCs w:val="20"/>
        </w:rPr>
        <w:fldChar w:fldCharType="end"/>
      </w:r>
      <w:r w:rsidR="006A6A10" w:rsidRPr="005F4560">
        <w:rPr>
          <w:rFonts w:cstheme="minorHAnsi"/>
          <w:szCs w:val="20"/>
        </w:rPr>
        <w:t xml:space="preserve">, </w:t>
      </w:r>
      <w:hyperlink r:id="rId114" w:history="1">
        <w:proofErr w:type="spellStart"/>
        <w:r w:rsidR="006A6A10" w:rsidRPr="005F4560">
          <w:rPr>
            <w:rStyle w:val="Hyperlink"/>
            <w:rFonts w:cstheme="minorHAnsi"/>
            <w:color w:val="auto"/>
            <w:szCs w:val="20"/>
          </w:rPr>
          <w:t>Hutter</w:t>
        </w:r>
        <w:proofErr w:type="spellEnd"/>
        <w:r w:rsidR="006A6A10" w:rsidRPr="005F4560">
          <w:rPr>
            <w:rStyle w:val="Hyperlink"/>
            <w:rFonts w:cstheme="minorHAnsi"/>
            <w:color w:val="auto"/>
            <w:szCs w:val="20"/>
          </w:rPr>
          <w:t xml:space="preserve"> et al., 2011</w:t>
        </w:r>
      </w:hyperlink>
      <w:r w:rsidR="006A6A10" w:rsidRPr="005F4560">
        <w:rPr>
          <w:rFonts w:cstheme="minorHAnsi"/>
          <w:szCs w:val="20"/>
        </w:rPr>
        <w:t>)</w:t>
      </w:r>
      <w:r w:rsidRPr="005F4560">
        <w:rPr>
          <w:rFonts w:cstheme="minorHAnsi"/>
          <w:szCs w:val="20"/>
        </w:rPr>
        <w:t>.</w:t>
      </w:r>
    </w:p>
    <w:p w14:paraId="0B651E83" w14:textId="77777777" w:rsidR="0043271F" w:rsidRPr="005F4560" w:rsidRDefault="0043271F" w:rsidP="00192AA7">
      <w:pPr>
        <w:ind w:left="426"/>
        <w:jc w:val="both"/>
        <w:rPr>
          <w:rFonts w:cstheme="minorHAnsi"/>
          <w:szCs w:val="20"/>
        </w:rPr>
      </w:pPr>
      <w:r w:rsidRPr="005F4560">
        <w:rPr>
          <w:rFonts w:cstheme="minorHAnsi"/>
          <w:szCs w:val="20"/>
        </w:rPr>
        <w:lastRenderedPageBreak/>
        <w:t xml:space="preserve">The intensity of intervention depends on the degree of obesity and presence of comorbidities. Management begins in primary care, but moves to the specialist setting when initial measures have failed and surgery is considered. </w:t>
      </w:r>
    </w:p>
    <w:p w14:paraId="58B59379" w14:textId="1B73F31B" w:rsidR="00C91DC2" w:rsidRPr="005F4560" w:rsidRDefault="00170C7D" w:rsidP="00C91DC2">
      <w:pPr>
        <w:ind w:left="426"/>
        <w:jc w:val="both"/>
        <w:rPr>
          <w:rFonts w:cstheme="minorHAnsi"/>
          <w:szCs w:val="20"/>
        </w:rPr>
      </w:pPr>
      <w:r w:rsidRPr="005F4560">
        <w:rPr>
          <w:rFonts w:cstheme="minorHAnsi"/>
          <w:szCs w:val="20"/>
        </w:rPr>
        <w:t xml:space="preserve">For the general population, based on </w:t>
      </w:r>
      <w:hyperlink r:id="rId115" w:history="1">
        <w:r w:rsidRPr="005F4560">
          <w:rPr>
            <w:rStyle w:val="Hyperlink"/>
            <w:rFonts w:cstheme="minorHAnsi"/>
            <w:color w:val="auto"/>
            <w:szCs w:val="20"/>
          </w:rPr>
          <w:t>AUSDIAB</w:t>
        </w:r>
      </w:hyperlink>
      <w:r w:rsidRPr="005F4560">
        <w:rPr>
          <w:rFonts w:cstheme="minorHAnsi"/>
          <w:szCs w:val="20"/>
        </w:rPr>
        <w:t xml:space="preserve"> 2012 data, the number of visits to a general practitioner (GP) in the previous 3 months was higher in those who were obese compared to those with a normal BMI and those who were overweight. Among those who were obese, appr</w:t>
      </w:r>
      <w:r w:rsidR="00BB4539">
        <w:rPr>
          <w:rFonts w:cstheme="minorHAnsi"/>
          <w:szCs w:val="20"/>
        </w:rPr>
        <w:t>oximately 22% had visited a GP three</w:t>
      </w:r>
      <w:r w:rsidRPr="005F4560">
        <w:rPr>
          <w:rFonts w:cstheme="minorHAnsi"/>
          <w:szCs w:val="20"/>
        </w:rPr>
        <w:t xml:space="preserve"> </w:t>
      </w:r>
      <w:r w:rsidR="00C91DC2" w:rsidRPr="005F4560">
        <w:rPr>
          <w:rFonts w:cstheme="minorHAnsi"/>
          <w:szCs w:val="20"/>
        </w:rPr>
        <w:t>times or more in the previous 3 months compared to around 16% of those with a normal BMI and those who were overweight</w:t>
      </w:r>
    </w:p>
    <w:p w14:paraId="48E77CDF" w14:textId="77777777" w:rsidR="00C91DC2" w:rsidRPr="005F4560" w:rsidRDefault="00C91DC2" w:rsidP="00C91DC2">
      <w:pPr>
        <w:ind w:left="426"/>
        <w:jc w:val="both"/>
        <w:rPr>
          <w:rFonts w:cstheme="minorHAnsi"/>
          <w:szCs w:val="20"/>
        </w:rPr>
      </w:pPr>
      <w:r w:rsidRPr="005F4560">
        <w:rPr>
          <w:rFonts w:cstheme="minorHAnsi"/>
          <w:szCs w:val="20"/>
        </w:rPr>
        <w:t>Between 2005–06 and 2014–15, the number of weight loss surgery operations increased from around 9,300 to around 22,700.  The proportion of all weight loss surgery operations in private hospitals remained stable at around 89% during this period.  Between 2013-14 and 2014-15 there was a 7.7% increase in primary procedures, with 18,036 operations for primary procedures being reported in 2014-15 (</w:t>
      </w:r>
      <w:hyperlink r:id="rId116" w:history="1">
        <w:r w:rsidRPr="005F4560">
          <w:rPr>
            <w:rStyle w:val="Hyperlink"/>
            <w:rFonts w:cstheme="minorHAnsi"/>
            <w:color w:val="auto"/>
            <w:szCs w:val="20"/>
          </w:rPr>
          <w:t>AIHW, 2014</w:t>
        </w:r>
      </w:hyperlink>
      <w:r w:rsidRPr="005F4560">
        <w:rPr>
          <w:rFonts w:cstheme="minorHAnsi"/>
          <w:szCs w:val="20"/>
        </w:rPr>
        <w:t>)</w:t>
      </w:r>
      <w:proofErr w:type="gramStart"/>
      <w:r w:rsidRPr="005F4560">
        <w:rPr>
          <w:rFonts w:cstheme="minorHAnsi"/>
          <w:szCs w:val="20"/>
        </w:rPr>
        <w:t>.</w:t>
      </w:r>
      <w:proofErr w:type="gramEnd"/>
      <w:r w:rsidRPr="005F4560">
        <w:rPr>
          <w:rFonts w:cstheme="minorHAnsi"/>
          <w:szCs w:val="20"/>
        </w:rPr>
        <w:t xml:space="preserve">  As noted earlier, the downstream effects of obesity on other health care costs, productivity etc., in 2013-14 were estimated at $8.6 billion.  Obesity is considered to be the 2</w:t>
      </w:r>
      <w:r w:rsidRPr="005F4560">
        <w:rPr>
          <w:rFonts w:cstheme="minorHAnsi"/>
          <w:szCs w:val="20"/>
          <w:vertAlign w:val="superscript"/>
        </w:rPr>
        <w:t>nd</w:t>
      </w:r>
      <w:r w:rsidRPr="005F4560">
        <w:rPr>
          <w:rFonts w:cstheme="minorHAnsi"/>
          <w:szCs w:val="20"/>
        </w:rPr>
        <w:t xml:space="preserve"> highest contributor to burden of disease (</w:t>
      </w:r>
      <w:hyperlink r:id="rId117" w:history="1">
        <w:r w:rsidRPr="005F4560">
          <w:rPr>
            <w:rStyle w:val="Hyperlink"/>
            <w:rFonts w:cstheme="minorHAnsi"/>
            <w:color w:val="auto"/>
            <w:szCs w:val="20"/>
          </w:rPr>
          <w:t>AIHW</w:t>
        </w:r>
      </w:hyperlink>
      <w:r w:rsidRPr="005F4560">
        <w:rPr>
          <w:rFonts w:cstheme="minorHAnsi"/>
          <w:szCs w:val="20"/>
        </w:rPr>
        <w:t>); and being overweight/obese are considered to be a risk factor for cardiovascular, T2DM and chronic kidney disease (</w:t>
      </w:r>
      <w:hyperlink r:id="rId118" w:history="1">
        <w:r w:rsidRPr="005F4560">
          <w:rPr>
            <w:rStyle w:val="Hyperlink"/>
            <w:rFonts w:cstheme="minorHAnsi"/>
            <w:color w:val="auto"/>
            <w:szCs w:val="20"/>
          </w:rPr>
          <w:t>AIHW</w:t>
        </w:r>
      </w:hyperlink>
      <w:r w:rsidRPr="005F4560">
        <w:rPr>
          <w:rFonts w:cstheme="minorHAnsi"/>
          <w:szCs w:val="20"/>
        </w:rPr>
        <w:t>).</w:t>
      </w:r>
    </w:p>
    <w:p w14:paraId="73AE50C6" w14:textId="77777777" w:rsidR="00C91DC2" w:rsidRPr="005F4560" w:rsidRDefault="00C91DC2" w:rsidP="00C91DC2">
      <w:pPr>
        <w:ind w:left="426"/>
        <w:jc w:val="both"/>
        <w:rPr>
          <w:rFonts w:cstheme="minorHAnsi"/>
          <w:szCs w:val="20"/>
        </w:rPr>
      </w:pPr>
      <w:r w:rsidRPr="005F4560">
        <w:rPr>
          <w:rFonts w:cstheme="minorHAnsi"/>
          <w:szCs w:val="20"/>
        </w:rPr>
        <w:t>Improvement of T2DM, including its remission, because of bariatric surgery has been recognized for more than a decade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"https://www.ncbi.nlm.nih.gov/pmc/articles/PMC1234815/" </w:instrText>
      </w:r>
      <w:r w:rsidR="009878BB">
        <w:rPr>
          <w:rStyle w:val="Hyperlink"/>
          <w:rFonts w:cstheme="minorHAnsi"/>
          <w:color w:val="auto"/>
          <w:szCs w:val="20"/>
        </w:rPr>
        <w:fldChar w:fldCharType="separate"/>
      </w:r>
      <w:r w:rsidRPr="005F4560">
        <w:rPr>
          <w:rStyle w:val="Hyperlink"/>
          <w:rFonts w:cstheme="minorHAnsi"/>
          <w:color w:val="auto"/>
          <w:szCs w:val="20"/>
        </w:rPr>
        <w:t>Pories</w:t>
      </w:r>
      <w:proofErr w:type="spellEnd"/>
      <w:r w:rsidRPr="005F4560">
        <w:rPr>
          <w:rStyle w:val="Hyperlink"/>
          <w:rFonts w:cstheme="minorHAnsi"/>
          <w:color w:val="auto"/>
          <w:szCs w:val="20"/>
        </w:rPr>
        <w:t xml:space="preserve"> et al, 1995</w:t>
      </w:r>
      <w:r w:rsidR="009878BB">
        <w:rPr>
          <w:rStyle w:val="Hyperlink"/>
          <w:rFonts w:cstheme="minorHAnsi"/>
          <w:color w:val="auto"/>
          <w:szCs w:val="20"/>
        </w:rPr>
        <w:fldChar w:fldCharType="end"/>
      </w:r>
      <w:r w:rsidRPr="005F4560">
        <w:rPr>
          <w:rFonts w:cstheme="minorHAnsi"/>
          <w:szCs w:val="20"/>
        </w:rPr>
        <w:t xml:space="preserve">).  Not all bariatric procedures are the same.  Restrictive procedures, </w:t>
      </w:r>
      <w:proofErr w:type="spellStart"/>
      <w:r w:rsidRPr="005F4560">
        <w:rPr>
          <w:rFonts w:cstheme="minorHAnsi"/>
          <w:szCs w:val="20"/>
        </w:rPr>
        <w:t>malabsorptive</w:t>
      </w:r>
      <w:proofErr w:type="spellEnd"/>
      <w:r w:rsidRPr="005F4560">
        <w:rPr>
          <w:rFonts w:cstheme="minorHAnsi"/>
          <w:szCs w:val="20"/>
        </w:rPr>
        <w:t xml:space="preserve"> procedures, or a combination of both procedures each have their own categorical risks and benefits (</w:t>
      </w:r>
      <w:hyperlink r:id="rId119" w:history="1">
        <w:r w:rsidRPr="005F4560">
          <w:rPr>
            <w:rStyle w:val="Hyperlink"/>
            <w:rFonts w:cstheme="minorHAnsi"/>
            <w:color w:val="auto"/>
            <w:szCs w:val="20"/>
          </w:rPr>
          <w:t>Shah et al, 2006</w:t>
        </w:r>
      </w:hyperlink>
      <w:r w:rsidRPr="005F4560">
        <w:rPr>
          <w:rFonts w:cstheme="minorHAnsi"/>
          <w:szCs w:val="20"/>
        </w:rPr>
        <w:t>).</w:t>
      </w:r>
    </w:p>
    <w:p w14:paraId="015DAD00" w14:textId="77777777" w:rsidR="00C91DC2" w:rsidRPr="005F4560" w:rsidRDefault="00C91DC2" w:rsidP="00C91DC2">
      <w:pPr>
        <w:pStyle w:val="Heading3"/>
      </w:pPr>
      <w:r w:rsidRPr="005F4560">
        <w:t>BMI ≥30&lt;35 kg/m</w:t>
      </w:r>
      <w:r w:rsidRPr="005F4560">
        <w:rPr>
          <w:vertAlign w:val="superscript"/>
        </w:rPr>
        <w:t>2</w:t>
      </w:r>
      <w:r w:rsidRPr="005F4560">
        <w:t xml:space="preserve"> and Type 2 Diabetes </w:t>
      </w:r>
    </w:p>
    <w:p w14:paraId="01C2903A" w14:textId="77777777" w:rsidR="00C91DC2" w:rsidRPr="005F4560" w:rsidRDefault="00C91DC2" w:rsidP="00C91DC2">
      <w:pPr>
        <w:ind w:left="426"/>
        <w:jc w:val="both"/>
        <w:rPr>
          <w:rFonts w:cstheme="minorHAnsi"/>
          <w:szCs w:val="20"/>
        </w:rPr>
      </w:pPr>
      <w:r w:rsidRPr="005F4560">
        <w:rPr>
          <w:rFonts w:cstheme="minorHAnsi"/>
          <w:szCs w:val="20"/>
        </w:rPr>
        <w:t>According to the Australian Institute of Health and Welfare (</w:t>
      </w:r>
      <w:hyperlink r:id="rId120" w:history="1">
        <w:r w:rsidRPr="005F4560">
          <w:rPr>
            <w:rStyle w:val="Hyperlink"/>
            <w:rFonts w:cstheme="minorHAnsi"/>
            <w:color w:val="auto"/>
            <w:szCs w:val="20"/>
          </w:rPr>
          <w:t>AIHW</w:t>
        </w:r>
      </w:hyperlink>
      <w:r w:rsidRPr="005F4560">
        <w:rPr>
          <w:rFonts w:cstheme="minorHAnsi"/>
          <w:szCs w:val="20"/>
        </w:rPr>
        <w:t xml:space="preserve">) excess weight, especially obesity, is a major risk factor for Type 2 diabetes (T2DM), cardiovascular disease, some musculoskeletal conditions and some cancers, with almost 2 in 3 Australians classified as overweight or obese.  The latest data from the </w:t>
      </w:r>
      <w:hyperlink r:id="rId121" w:history="1">
        <w:r w:rsidRPr="005F4560">
          <w:rPr>
            <w:rStyle w:val="Hyperlink"/>
            <w:rFonts w:cstheme="minorHAnsi"/>
            <w:color w:val="auto"/>
            <w:szCs w:val="20"/>
          </w:rPr>
          <w:t>ANDIAB</w:t>
        </w:r>
      </w:hyperlink>
      <w:r w:rsidRPr="005F4560">
        <w:rPr>
          <w:rFonts w:cstheme="minorHAnsi"/>
          <w:szCs w:val="20"/>
        </w:rPr>
        <w:t xml:space="preserve"> study noted that in 2011 80% of people with diabetes were overweight or obese (&gt;27 kg/m</w:t>
      </w:r>
      <w:r w:rsidRPr="005F4560">
        <w:rPr>
          <w:rFonts w:cstheme="minorHAnsi"/>
          <w:szCs w:val="20"/>
          <w:vertAlign w:val="superscript"/>
        </w:rPr>
        <w:t>2</w:t>
      </w:r>
      <w:r w:rsidRPr="005F4560">
        <w:rPr>
          <w:rFonts w:cstheme="minorHAnsi"/>
          <w:szCs w:val="20"/>
        </w:rPr>
        <w:t xml:space="preserve">).  </w:t>
      </w:r>
      <w:hyperlink r:id="rId122" w:history="1">
        <w:r w:rsidRPr="005F4560">
          <w:rPr>
            <w:rStyle w:val="Hyperlink"/>
            <w:rFonts w:cstheme="minorHAnsi"/>
            <w:color w:val="auto"/>
            <w:szCs w:val="20"/>
          </w:rPr>
          <w:t>AUSDIAB</w:t>
        </w:r>
      </w:hyperlink>
      <w:r w:rsidRPr="005F4560">
        <w:rPr>
          <w:rFonts w:cstheme="minorHAnsi"/>
          <w:szCs w:val="20"/>
        </w:rPr>
        <w:t xml:space="preserve"> reported that in 2012 compared to those with a BMI in the normal range at baseline, the annual incidence of diabetes was approximately 2 and 5 times higher among those classified as overweight and obese, respectively.</w:t>
      </w:r>
    </w:p>
    <w:p w14:paraId="2023AF88" w14:textId="77777777" w:rsidR="00C91DC2" w:rsidRPr="005F4560" w:rsidRDefault="00C91DC2" w:rsidP="00C91DC2">
      <w:pPr>
        <w:ind w:left="426"/>
        <w:jc w:val="both"/>
        <w:rPr>
          <w:rFonts w:cstheme="minorHAnsi"/>
          <w:szCs w:val="20"/>
        </w:rPr>
      </w:pPr>
      <w:r w:rsidRPr="005F4560">
        <w:rPr>
          <w:rFonts w:cstheme="minorHAnsi"/>
          <w:szCs w:val="20"/>
        </w:rPr>
        <w:t>Though intervening for patients with a BMI of 35-39.9 kg/m</w:t>
      </w:r>
      <w:r w:rsidRPr="005F4560">
        <w:rPr>
          <w:rFonts w:cstheme="minorHAnsi"/>
          <w:szCs w:val="20"/>
          <w:vertAlign w:val="superscript"/>
        </w:rPr>
        <w:t>2</w:t>
      </w:r>
      <w:r w:rsidRPr="005F4560">
        <w:rPr>
          <w:rFonts w:cstheme="minorHAnsi"/>
          <w:szCs w:val="20"/>
        </w:rPr>
        <w:t xml:space="preserve"> with T2DM is within currently acknowledged guidelines for bariatric surgery, this is not universally the case for patients with a BMI≥30&lt;35 kg/m</w:t>
      </w:r>
      <w:r w:rsidRPr="005F4560">
        <w:rPr>
          <w:rFonts w:cstheme="minorHAnsi"/>
          <w:szCs w:val="20"/>
          <w:vertAlign w:val="superscript"/>
        </w:rPr>
        <w:t>2</w:t>
      </w:r>
      <w:r w:rsidRPr="005F4560">
        <w:rPr>
          <w:rFonts w:cstheme="minorHAnsi"/>
          <w:szCs w:val="20"/>
        </w:rPr>
        <w:t xml:space="preserve"> and comorbidities, though it is acknowledged as worthy treatment by the </w:t>
      </w:r>
      <w:hyperlink r:id="rId123" w:history="1">
        <w:r w:rsidRPr="005F4560">
          <w:rPr>
            <w:rStyle w:val="Hyperlink"/>
            <w:rFonts w:cstheme="minorHAnsi"/>
            <w:color w:val="auto"/>
            <w:szCs w:val="20"/>
          </w:rPr>
          <w:t>NHMRC</w:t>
        </w:r>
      </w:hyperlink>
      <w:r w:rsidRPr="005F4560">
        <w:rPr>
          <w:rFonts w:cstheme="minorHAnsi"/>
          <w:szCs w:val="20"/>
        </w:rPr>
        <w:t xml:space="preserve"> and the </w:t>
      </w:r>
      <w:hyperlink r:id="rId124" w:history="1">
        <w:r w:rsidRPr="005F4560">
          <w:rPr>
            <w:rStyle w:val="Hyperlink"/>
            <w:rFonts w:cstheme="minorHAnsi"/>
            <w:color w:val="auto"/>
            <w:szCs w:val="20"/>
          </w:rPr>
          <w:t>Australian Diabetes Society</w:t>
        </w:r>
      </w:hyperlink>
      <w:r w:rsidRPr="005F4560">
        <w:rPr>
          <w:rFonts w:cstheme="minorHAnsi"/>
          <w:szCs w:val="20"/>
        </w:rPr>
        <w:t xml:space="preserve">.  </w:t>
      </w:r>
    </w:p>
    <w:p w14:paraId="1411A4B3" w14:textId="77777777" w:rsidR="00C91DC2" w:rsidRPr="005F4560" w:rsidRDefault="00C91DC2" w:rsidP="00C91DC2">
      <w:pPr>
        <w:ind w:left="426"/>
        <w:jc w:val="both"/>
        <w:rPr>
          <w:rFonts w:cstheme="minorHAnsi"/>
          <w:szCs w:val="20"/>
        </w:rPr>
      </w:pPr>
      <w:r w:rsidRPr="005F4560">
        <w:rPr>
          <w:rFonts w:cstheme="minorHAnsi"/>
          <w:szCs w:val="20"/>
        </w:rPr>
        <w:t>Why is it important to treat patients with a BMI≥30&lt;35 kg/m</w:t>
      </w:r>
      <w:r w:rsidRPr="005F4560">
        <w:rPr>
          <w:rFonts w:cstheme="minorHAnsi"/>
          <w:szCs w:val="20"/>
          <w:vertAlign w:val="superscript"/>
        </w:rPr>
        <w:t>2</w:t>
      </w:r>
      <w:r w:rsidRPr="005F4560">
        <w:rPr>
          <w:rFonts w:cstheme="minorHAnsi"/>
          <w:szCs w:val="20"/>
        </w:rPr>
        <w:t xml:space="preserve">?  </w:t>
      </w:r>
    </w:p>
    <w:p w14:paraId="03E81945" w14:textId="77777777" w:rsidR="00C91DC2" w:rsidRPr="005F4560" w:rsidRDefault="00C91DC2" w:rsidP="00C91DC2">
      <w:pPr>
        <w:ind w:left="426"/>
        <w:jc w:val="both"/>
        <w:rPr>
          <w:rFonts w:cstheme="minorHAnsi"/>
          <w:szCs w:val="20"/>
        </w:rPr>
      </w:pPr>
      <w:r w:rsidRPr="005F4560">
        <w:rPr>
          <w:rFonts w:cstheme="minorHAnsi"/>
          <w:szCs w:val="20"/>
        </w:rPr>
        <w:t>Remission in diabetes is beneficial to patients with a BMI≥30&lt;35 kg/m</w:t>
      </w:r>
      <w:r w:rsidRPr="005F4560">
        <w:rPr>
          <w:rFonts w:cstheme="minorHAnsi"/>
          <w:szCs w:val="20"/>
          <w:vertAlign w:val="superscript"/>
        </w:rPr>
        <w:t>2</w:t>
      </w:r>
      <w:r w:rsidRPr="005F4560">
        <w:rPr>
          <w:rFonts w:cstheme="minorHAnsi"/>
          <w:szCs w:val="20"/>
        </w:rPr>
        <w:t>.  For people who are overweight/obese or diagnosed with prediabetes, modest weight loss is important. </w:t>
      </w:r>
    </w:p>
    <w:p w14:paraId="7A1E2AAA" w14:textId="77777777" w:rsidR="00C91DC2" w:rsidRPr="005F4560" w:rsidRDefault="00C91DC2" w:rsidP="00C91DC2">
      <w:pPr>
        <w:ind w:left="426"/>
        <w:jc w:val="both"/>
        <w:rPr>
          <w:rFonts w:cstheme="minorHAnsi"/>
          <w:szCs w:val="20"/>
        </w:rPr>
      </w:pPr>
      <w:r w:rsidRPr="005F4560">
        <w:rPr>
          <w:rFonts w:cstheme="minorHAnsi"/>
          <w:szCs w:val="20"/>
        </w:rPr>
        <w:t>Remission of diabetes is likely to be related to both weight loss and hormonal changes that occur after surgery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"https://www.ncbi.nlm.nih.gov/pubmed/25692922" </w:instrText>
      </w:r>
      <w:r w:rsidR="009878BB">
        <w:rPr>
          <w:rStyle w:val="Hyperlink"/>
          <w:rFonts w:cstheme="minorHAnsi"/>
          <w:color w:val="auto"/>
          <w:szCs w:val="20"/>
        </w:rPr>
        <w:fldChar w:fldCharType="separate"/>
      </w:r>
      <w:r w:rsidRPr="005F4560">
        <w:rPr>
          <w:rStyle w:val="Hyperlink"/>
          <w:rFonts w:cstheme="minorHAnsi"/>
          <w:color w:val="auto"/>
          <w:szCs w:val="20"/>
        </w:rPr>
        <w:t>Malkani</w:t>
      </w:r>
      <w:proofErr w:type="spellEnd"/>
      <w:r w:rsidRPr="005F4560">
        <w:rPr>
          <w:rStyle w:val="Hyperlink"/>
          <w:rFonts w:cstheme="minorHAnsi"/>
          <w:color w:val="auto"/>
          <w:szCs w:val="20"/>
        </w:rPr>
        <w:t xml:space="preserve"> 2015</w:t>
      </w:r>
      <w:r w:rsidR="009878BB">
        <w:rPr>
          <w:rStyle w:val="Hyperlink"/>
          <w:rFonts w:cstheme="minorHAnsi"/>
          <w:color w:val="auto"/>
          <w:szCs w:val="20"/>
        </w:rPr>
        <w:fldChar w:fldCharType="end"/>
      </w:r>
      <w:r w:rsidRPr="005F4560">
        <w:rPr>
          <w:rFonts w:cstheme="minorHAnsi"/>
          <w:szCs w:val="20"/>
        </w:rPr>
        <w:t>).  Weight loss after surgery is not due to intestinal malabsorption, but due to decreased food consumption from a potent reduction in appetite and reduction in desire for sugary and fatty foods.  The basis for this satiating effect is the change in gut hormones that activate neural circuits that communicate with the liver, muscle, adipose tissue, and pancreatic islets.  These hormones also play a role in glucose homeostasis independent of their effect on appetite (</w:t>
      </w:r>
      <w:hyperlink r:id="rId125" w:history="1">
        <w:r w:rsidRPr="005F4560">
          <w:rPr>
            <w:rStyle w:val="Hyperlink"/>
            <w:rFonts w:cstheme="minorHAnsi"/>
            <w:color w:val="auto"/>
            <w:szCs w:val="20"/>
          </w:rPr>
          <w:t>Scott et al 2011</w:t>
        </w:r>
      </w:hyperlink>
      <w:r w:rsidRPr="005F4560">
        <w:rPr>
          <w:rFonts w:cstheme="minorHAnsi"/>
          <w:szCs w:val="20"/>
        </w:rPr>
        <w:t>).  It is hypothesised that ghrelin, PYY and GIP are hormones that significantly affect diabetic remission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"https://www.ncbi.nlm.nih.gov/pubmed/25692922" </w:instrText>
      </w:r>
      <w:r w:rsidR="009878BB">
        <w:rPr>
          <w:rStyle w:val="Hyperlink"/>
          <w:rFonts w:cstheme="minorHAnsi"/>
          <w:color w:val="auto"/>
          <w:szCs w:val="20"/>
        </w:rPr>
        <w:fldChar w:fldCharType="separate"/>
      </w:r>
      <w:r w:rsidRPr="005F4560">
        <w:rPr>
          <w:rStyle w:val="Hyperlink"/>
          <w:rFonts w:cstheme="minorHAnsi"/>
          <w:color w:val="auto"/>
          <w:szCs w:val="20"/>
        </w:rPr>
        <w:t>Malkani</w:t>
      </w:r>
      <w:proofErr w:type="spellEnd"/>
      <w:r w:rsidRPr="005F4560">
        <w:rPr>
          <w:rStyle w:val="Hyperlink"/>
          <w:rFonts w:cstheme="minorHAnsi"/>
          <w:color w:val="auto"/>
          <w:szCs w:val="20"/>
        </w:rPr>
        <w:t xml:space="preserve"> 2015</w:t>
      </w:r>
      <w:r w:rsidR="009878BB">
        <w:rPr>
          <w:rStyle w:val="Hyperlink"/>
          <w:rFonts w:cstheme="minorHAnsi"/>
          <w:color w:val="auto"/>
          <w:szCs w:val="20"/>
        </w:rPr>
        <w:fldChar w:fldCharType="end"/>
      </w:r>
      <w:r w:rsidRPr="005F4560">
        <w:rPr>
          <w:rFonts w:cstheme="minorHAnsi"/>
          <w:szCs w:val="20"/>
        </w:rPr>
        <w:t>).  A well-known important mechanism is a rapid decrease of insulin resistance after bariatric surgery.  The effect of the bariatric surgery-induced insulin resistance decrease has been evaluated in many studies, as reported in an extensive review of gastrointestinal metabolic surgery and T2DM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"https://www.ncbi.nlm.nih.gov/pmc/articles/PMC4202361/pdf/WJG-20-14315.pdf" </w:instrText>
      </w:r>
      <w:r w:rsidR="009878BB">
        <w:rPr>
          <w:rStyle w:val="Hyperlink"/>
          <w:rFonts w:cstheme="minorHAnsi"/>
          <w:color w:val="auto"/>
          <w:szCs w:val="20"/>
        </w:rPr>
        <w:fldChar w:fldCharType="separate"/>
      </w:r>
      <w:r w:rsidRPr="005F4560">
        <w:rPr>
          <w:rStyle w:val="Hyperlink"/>
          <w:rFonts w:cstheme="minorHAnsi"/>
          <w:color w:val="auto"/>
          <w:szCs w:val="20"/>
        </w:rPr>
        <w:t>Pok</w:t>
      </w:r>
      <w:proofErr w:type="spellEnd"/>
      <w:r w:rsidRPr="005F4560">
        <w:rPr>
          <w:rStyle w:val="Hyperlink"/>
          <w:rFonts w:cstheme="minorHAnsi"/>
          <w:color w:val="auto"/>
          <w:szCs w:val="20"/>
        </w:rPr>
        <w:t xml:space="preserve"> and Lee, 2014</w:t>
      </w:r>
      <w:r w:rsidR="009878BB">
        <w:rPr>
          <w:rStyle w:val="Hyperlink"/>
          <w:rFonts w:cstheme="minorHAnsi"/>
          <w:color w:val="auto"/>
          <w:szCs w:val="20"/>
        </w:rPr>
        <w:fldChar w:fldCharType="end"/>
      </w:r>
      <w:r w:rsidRPr="005F4560">
        <w:rPr>
          <w:rFonts w:cstheme="minorHAnsi"/>
          <w:szCs w:val="20"/>
        </w:rPr>
        <w:t>).</w:t>
      </w:r>
    </w:p>
    <w:p w14:paraId="7257C5F6" w14:textId="77777777" w:rsidR="00C91DC2" w:rsidRPr="005F4560" w:rsidRDefault="00C91DC2" w:rsidP="00C91DC2">
      <w:pPr>
        <w:ind w:left="426"/>
        <w:jc w:val="both"/>
        <w:rPr>
          <w:rFonts w:cstheme="minorHAnsi"/>
          <w:szCs w:val="20"/>
        </w:rPr>
      </w:pPr>
      <w:r w:rsidRPr="005F4560">
        <w:rPr>
          <w:rFonts w:cstheme="minorHAnsi"/>
          <w:szCs w:val="20"/>
        </w:rPr>
        <w:t>A meta-analysis of weight loss studies found that a mean weight loss of 5 to 8.5 kg (5% to 9%) was observed during the first 6 months from interventions involving a reduced-energy diet and/or weight-loss medications with weight plateaus at approximately 6 months (</w:t>
      </w:r>
      <w:hyperlink r:id="rId126" w:history="1">
        <w:r w:rsidRPr="005F4560">
          <w:rPr>
            <w:rStyle w:val="Hyperlink"/>
            <w:rFonts w:cstheme="minorHAnsi"/>
            <w:color w:val="auto"/>
            <w:szCs w:val="20"/>
          </w:rPr>
          <w:t>Franz et al, 2011</w:t>
        </w:r>
      </w:hyperlink>
      <w:r w:rsidRPr="005F4560">
        <w:rPr>
          <w:rFonts w:cstheme="minorHAnsi"/>
          <w:szCs w:val="20"/>
        </w:rPr>
        <w:t xml:space="preserve">).  In studies extending to 48 months, a mean 3 to 6 kg (3% to 6%) of weight loss was maintained with none of the groups experiencing </w:t>
      </w:r>
      <w:r w:rsidRPr="005F4560">
        <w:rPr>
          <w:rFonts w:cstheme="minorHAnsi"/>
          <w:szCs w:val="20"/>
        </w:rPr>
        <w:lastRenderedPageBreak/>
        <w:t>weight regain to baseline.  In contrast, advice-only and exercise-alone groups experienced minimal weight loss at any time point (</w:t>
      </w:r>
      <w:hyperlink r:id="rId127" w:history="1">
        <w:r w:rsidRPr="005F4560">
          <w:rPr>
            <w:rStyle w:val="Hyperlink"/>
            <w:rFonts w:cstheme="minorHAnsi"/>
            <w:color w:val="auto"/>
            <w:szCs w:val="20"/>
          </w:rPr>
          <w:t>Franz et al, 2007</w:t>
        </w:r>
      </w:hyperlink>
      <w:r w:rsidRPr="005F4560">
        <w:rPr>
          <w:rFonts w:cstheme="minorHAnsi"/>
          <w:szCs w:val="20"/>
        </w:rPr>
        <w:t>).  With bariatric surgery, on average gastric bypass patients lose about 70% of their excess weight (</w:t>
      </w:r>
      <w:hyperlink r:id="rId128" w:history="1">
        <w:r w:rsidRPr="005F4560">
          <w:rPr>
            <w:rStyle w:val="Hyperlink"/>
            <w:rFonts w:cstheme="minorHAnsi"/>
            <w:color w:val="auto"/>
            <w:szCs w:val="20"/>
          </w:rPr>
          <w:t>Buchwald et al, 2004</w:t>
        </w:r>
      </w:hyperlink>
      <w:r w:rsidRPr="005F4560">
        <w:rPr>
          <w:rFonts w:cstheme="minorHAnsi"/>
          <w:szCs w:val="20"/>
        </w:rPr>
        <w:t>).</w:t>
      </w:r>
    </w:p>
    <w:p w14:paraId="2C525CE3" w14:textId="77777777" w:rsidR="00C91DC2" w:rsidRPr="005F4560" w:rsidRDefault="00C91DC2" w:rsidP="00C91DC2">
      <w:pPr>
        <w:ind w:left="426"/>
        <w:jc w:val="both"/>
        <w:rPr>
          <w:rFonts w:cstheme="minorHAnsi"/>
          <w:szCs w:val="20"/>
        </w:rPr>
      </w:pPr>
      <w:r w:rsidRPr="005F4560">
        <w:rPr>
          <w:rFonts w:cstheme="minorHAnsi"/>
          <w:szCs w:val="20"/>
        </w:rPr>
        <w:t>Though there are few studies assessing benefits of weight loss surgery for individuals with BMI≥30 kg/m</w:t>
      </w:r>
      <w:r w:rsidRPr="005F4560">
        <w:rPr>
          <w:rFonts w:cstheme="minorHAnsi"/>
          <w:szCs w:val="20"/>
          <w:vertAlign w:val="superscript"/>
        </w:rPr>
        <w:t>2</w:t>
      </w:r>
      <w:r w:rsidRPr="005F4560">
        <w:rPr>
          <w:rFonts w:cstheme="minorHAnsi"/>
          <w:szCs w:val="20"/>
        </w:rPr>
        <w:t>, similar outcomes are seen, as a consequence of having an intervention, to those seen in patients with a BMI&gt;35 kg/m</w:t>
      </w:r>
      <w:r w:rsidRPr="005F4560">
        <w:rPr>
          <w:rFonts w:cstheme="minorHAnsi"/>
          <w:szCs w:val="20"/>
          <w:vertAlign w:val="superscript"/>
        </w:rPr>
        <w:t>2</w:t>
      </w:r>
      <w:r w:rsidRPr="005F4560">
        <w:rPr>
          <w:rFonts w:cstheme="minorHAnsi"/>
          <w:szCs w:val="20"/>
        </w:rPr>
        <w:t>.  A systematic review found only three randomized trials enrolling 290 patients, and these trials confirmed superiority of surgical treatment with regard to weight loss and glycaemic control in this group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"https://www.ncbi.nlm.nih.gov/pubmed/23736734" </w:instrText>
      </w:r>
      <w:r w:rsidR="009878BB">
        <w:rPr>
          <w:rStyle w:val="Hyperlink"/>
          <w:rFonts w:cstheme="minorHAnsi"/>
          <w:color w:val="auto"/>
          <w:szCs w:val="20"/>
        </w:rPr>
        <w:fldChar w:fldCharType="separate"/>
      </w:r>
      <w:r w:rsidRPr="005F4560">
        <w:rPr>
          <w:rStyle w:val="Hyperlink"/>
          <w:rFonts w:cstheme="minorHAnsi"/>
          <w:color w:val="auto"/>
          <w:szCs w:val="20"/>
        </w:rPr>
        <w:t>Maggard</w:t>
      </w:r>
      <w:proofErr w:type="spellEnd"/>
      <w:r w:rsidRPr="005F4560">
        <w:rPr>
          <w:rStyle w:val="Hyperlink"/>
          <w:rFonts w:cstheme="minorHAnsi"/>
          <w:color w:val="auto"/>
          <w:szCs w:val="20"/>
        </w:rPr>
        <w:t>-Gibbons et al, 2013</w:t>
      </w:r>
      <w:r w:rsidR="009878BB">
        <w:rPr>
          <w:rStyle w:val="Hyperlink"/>
          <w:rFonts w:cstheme="minorHAnsi"/>
          <w:color w:val="auto"/>
          <w:szCs w:val="20"/>
        </w:rPr>
        <w:fldChar w:fldCharType="end"/>
      </w:r>
      <w:r w:rsidRPr="005F4560">
        <w:rPr>
          <w:rFonts w:cstheme="minorHAnsi"/>
          <w:szCs w:val="20"/>
        </w:rPr>
        <w:t>).  In the Surgical Therapies and Medications Potentially Eradicate Diabetes Efficiently (STAMPEDE) trial, 36% of the patients had a BMI 27–34 kg/m</w:t>
      </w:r>
      <w:r w:rsidRPr="005F4560">
        <w:rPr>
          <w:rFonts w:cstheme="minorHAnsi"/>
          <w:szCs w:val="20"/>
          <w:vertAlign w:val="superscript"/>
        </w:rPr>
        <w:t>2</w:t>
      </w:r>
      <w:r w:rsidRPr="005F4560">
        <w:rPr>
          <w:rFonts w:cstheme="minorHAnsi"/>
          <w:szCs w:val="20"/>
        </w:rPr>
        <w:t>, and had similar benefits from surgery as the group with BMI ≥35 kg/m</w:t>
      </w:r>
      <w:r w:rsidRPr="005F4560">
        <w:rPr>
          <w:rFonts w:cstheme="minorHAnsi"/>
          <w:szCs w:val="20"/>
          <w:vertAlign w:val="superscript"/>
        </w:rPr>
        <w:t>2</w:t>
      </w:r>
      <w:r w:rsidRPr="005F4560">
        <w:rPr>
          <w:rFonts w:cstheme="minorHAnsi"/>
          <w:szCs w:val="20"/>
        </w:rPr>
        <w:t xml:space="preserve">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"http://www.nejm.org/doi/full/10.1056/NEJMoa1401329" \l "t=article" </w:instrText>
      </w:r>
      <w:r w:rsidR="009878BB">
        <w:rPr>
          <w:rStyle w:val="Hyperlink"/>
          <w:rFonts w:cstheme="minorHAnsi"/>
          <w:color w:val="auto"/>
          <w:szCs w:val="20"/>
        </w:rPr>
        <w:fldChar w:fldCharType="separate"/>
      </w:r>
      <w:r w:rsidRPr="005F4560">
        <w:rPr>
          <w:rStyle w:val="Hyperlink"/>
          <w:rFonts w:cstheme="minorHAnsi"/>
          <w:color w:val="auto"/>
          <w:szCs w:val="20"/>
        </w:rPr>
        <w:t>Schauer</w:t>
      </w:r>
      <w:proofErr w:type="spellEnd"/>
      <w:r w:rsidRPr="005F4560">
        <w:rPr>
          <w:rStyle w:val="Hyperlink"/>
          <w:rFonts w:cstheme="minorHAnsi"/>
          <w:color w:val="auto"/>
          <w:szCs w:val="20"/>
        </w:rPr>
        <w:t xml:space="preserve"> et al, 2014</w:t>
      </w:r>
      <w:r w:rsidR="009878BB">
        <w:rPr>
          <w:rStyle w:val="Hyperlink"/>
          <w:rFonts w:cstheme="minorHAnsi"/>
          <w:color w:val="auto"/>
          <w:szCs w:val="20"/>
        </w:rPr>
        <w:fldChar w:fldCharType="end"/>
      </w:r>
      <w:r w:rsidRPr="005F4560">
        <w:rPr>
          <w:rFonts w:cstheme="minorHAnsi"/>
          <w:szCs w:val="20"/>
        </w:rPr>
        <w:t>).  A systematic review and meta-analysis in 1,389 patients supported these findings in those with BMI&lt;35 kg/m</w:t>
      </w:r>
      <w:r w:rsidRPr="005F4560">
        <w:rPr>
          <w:rFonts w:cstheme="minorHAnsi"/>
          <w:szCs w:val="20"/>
          <w:vertAlign w:val="superscript"/>
        </w:rPr>
        <w:t>2</w:t>
      </w:r>
      <w:r w:rsidRPr="005F4560">
        <w:rPr>
          <w:rFonts w:cstheme="minorHAnsi"/>
          <w:szCs w:val="20"/>
        </w:rPr>
        <w:t xml:space="preserve"> (</w:t>
      </w:r>
      <w:hyperlink r:id="rId129" w:history="1">
        <w:r w:rsidRPr="005F4560">
          <w:rPr>
            <w:rStyle w:val="Hyperlink"/>
            <w:rFonts w:cstheme="minorHAnsi"/>
            <w:color w:val="auto"/>
            <w:szCs w:val="20"/>
          </w:rPr>
          <w:t>Parikh et al, 2013</w:t>
        </w:r>
      </w:hyperlink>
      <w:r w:rsidRPr="005F4560">
        <w:rPr>
          <w:rFonts w:cstheme="minorHAnsi"/>
          <w:szCs w:val="20"/>
        </w:rPr>
        <w:t>).  However, in this group, there are no robust outcomes data beyond 5 years of follow-up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"https://www.ncbi.nlm.nih.gov/pubmed/23736734" </w:instrText>
      </w:r>
      <w:r w:rsidR="009878BB">
        <w:rPr>
          <w:rStyle w:val="Hyperlink"/>
          <w:rFonts w:cstheme="minorHAnsi"/>
          <w:color w:val="auto"/>
          <w:szCs w:val="20"/>
        </w:rPr>
        <w:fldChar w:fldCharType="separate"/>
      </w:r>
      <w:r w:rsidRPr="005F4560">
        <w:rPr>
          <w:rStyle w:val="Hyperlink"/>
          <w:rFonts w:cstheme="minorHAnsi"/>
          <w:color w:val="auto"/>
          <w:szCs w:val="20"/>
        </w:rPr>
        <w:t>Maggard</w:t>
      </w:r>
      <w:proofErr w:type="spellEnd"/>
      <w:r w:rsidRPr="005F4560">
        <w:rPr>
          <w:rStyle w:val="Hyperlink"/>
          <w:rFonts w:cstheme="minorHAnsi"/>
          <w:color w:val="auto"/>
          <w:szCs w:val="20"/>
        </w:rPr>
        <w:t>-Gibbons et al, 2013</w:t>
      </w:r>
      <w:r w:rsidR="009878BB">
        <w:rPr>
          <w:rStyle w:val="Hyperlink"/>
          <w:rFonts w:cstheme="minorHAnsi"/>
          <w:color w:val="auto"/>
          <w:szCs w:val="20"/>
        </w:rPr>
        <w:fldChar w:fldCharType="end"/>
      </w:r>
      <w:r w:rsidRPr="005F4560">
        <w:rPr>
          <w:rFonts w:cstheme="minorHAnsi"/>
          <w:szCs w:val="20"/>
        </w:rPr>
        <w:t>).</w:t>
      </w:r>
    </w:p>
    <w:p w14:paraId="6EC2474E" w14:textId="77777777" w:rsidR="00C91DC2" w:rsidRPr="005F4560" w:rsidRDefault="00C91DC2" w:rsidP="00C91DC2">
      <w:pPr>
        <w:pStyle w:val="Heading3"/>
      </w:pPr>
      <w:r w:rsidRPr="005F4560">
        <w:t xml:space="preserve">Clinical need for </w:t>
      </w:r>
      <w:r>
        <w:t>IGB</w:t>
      </w:r>
    </w:p>
    <w:p w14:paraId="2E36692F" w14:textId="77777777" w:rsidR="00C91DC2" w:rsidRPr="005F4560" w:rsidRDefault="00C91DC2" w:rsidP="00C91DC2">
      <w:pPr>
        <w:ind w:left="426"/>
        <w:jc w:val="both"/>
        <w:rPr>
          <w:rFonts w:cstheme="minorHAnsi"/>
          <w:szCs w:val="20"/>
        </w:rPr>
      </w:pPr>
      <w:r w:rsidRPr="005F4560">
        <w:rPr>
          <w:rFonts w:cstheme="minorHAnsi"/>
          <w:szCs w:val="20"/>
        </w:rPr>
        <w:t>Endoscopic bariatric therapy (</w:t>
      </w:r>
      <w:r>
        <w:rPr>
          <w:rFonts w:cstheme="minorHAnsi"/>
          <w:szCs w:val="20"/>
        </w:rPr>
        <w:t xml:space="preserve">such as </w:t>
      </w:r>
      <w:proofErr w:type="spellStart"/>
      <w:r>
        <w:rPr>
          <w:rFonts w:cstheme="minorHAnsi"/>
          <w:szCs w:val="20"/>
        </w:rPr>
        <w:t>Orbera</w:t>
      </w:r>
      <w:proofErr w:type="spellEnd"/>
      <w:r>
        <w:rPr>
          <w:rFonts w:cstheme="minorHAnsi"/>
          <w:szCs w:val="20"/>
        </w:rPr>
        <w:t>™</w:t>
      </w:r>
      <w:r w:rsidRPr="005F4560">
        <w:rPr>
          <w:rFonts w:cstheme="minorHAnsi"/>
          <w:szCs w:val="20"/>
        </w:rPr>
        <w:t xml:space="preserve">) may be a useful alternative to pharmacological treatment for obesity, and it provides greater efficacy than pharmacologic and lifestyle interventions while offering lower risks than currently performed surgical procedures.  Diet and exercise often don't produce significant and sustained weight loss. And although bariatric surgery produces durable weight loss and shows the most promise for diabetes resolution, only about 2 percent of people who qualify for surgery undergo it.  Abu </w:t>
      </w:r>
      <w:proofErr w:type="spellStart"/>
      <w:r w:rsidRPr="005F4560">
        <w:rPr>
          <w:rFonts w:cstheme="minorHAnsi"/>
          <w:szCs w:val="20"/>
        </w:rPr>
        <w:t>Dayyeh</w:t>
      </w:r>
      <w:proofErr w:type="spellEnd"/>
      <w:r w:rsidRPr="005F4560">
        <w:rPr>
          <w:rFonts w:cstheme="minorHAnsi"/>
          <w:szCs w:val="20"/>
        </w:rPr>
        <w:t xml:space="preserve"> (gastroenterologist at the Mayo Clinic) notes that </w:t>
      </w:r>
      <w:proofErr w:type="gramStart"/>
      <w:r w:rsidRPr="005F4560">
        <w:rPr>
          <w:rFonts w:cstheme="minorHAnsi"/>
          <w:i/>
          <w:szCs w:val="20"/>
        </w:rPr>
        <w:t>There</w:t>
      </w:r>
      <w:proofErr w:type="gramEnd"/>
      <w:r w:rsidRPr="005F4560">
        <w:rPr>
          <w:rFonts w:cstheme="minorHAnsi"/>
          <w:i/>
          <w:szCs w:val="20"/>
        </w:rPr>
        <w:t xml:space="preserve"> is a big gap in the management of obesity, where diet and exercise aren't enough, but patients either don't qualify for a surgical option or don't want it because of the cost and risks. People who fall into this gap represent the majority of those with mild to moderate obesity</w:t>
      </w:r>
      <w:r w:rsidRPr="005F4560">
        <w:rPr>
          <w:rFonts w:cstheme="minorHAnsi"/>
          <w:szCs w:val="20"/>
        </w:rPr>
        <w:t>.</w:t>
      </w:r>
      <w:r w:rsidRPr="005F4560">
        <w:rPr>
          <w:rStyle w:val="FootnoteReference"/>
          <w:rFonts w:cstheme="minorHAnsi"/>
          <w:szCs w:val="20"/>
        </w:rPr>
        <w:footnoteReference w:id="3"/>
      </w:r>
      <w:r w:rsidRPr="005F4560">
        <w:rPr>
          <w:rFonts w:cstheme="minorHAnsi"/>
          <w:szCs w:val="20"/>
        </w:rPr>
        <w:t xml:space="preserve">  A survey of 57 patients who underwent the </w:t>
      </w:r>
      <w:proofErr w:type="spellStart"/>
      <w:r>
        <w:rPr>
          <w:rFonts w:cstheme="minorHAnsi"/>
          <w:szCs w:val="20"/>
        </w:rPr>
        <w:t>Orbera</w:t>
      </w:r>
      <w:proofErr w:type="spellEnd"/>
      <w:r>
        <w:rPr>
          <w:rFonts w:cstheme="minorHAnsi"/>
          <w:szCs w:val="20"/>
        </w:rPr>
        <w:t>™</w:t>
      </w:r>
      <w:r w:rsidRPr="005F4560">
        <w:rPr>
          <w:rFonts w:cstheme="minorHAnsi"/>
          <w:szCs w:val="20"/>
        </w:rPr>
        <w:t xml:space="preserve"> system and completed a survey found that after removal of the balloon, the mean BMI was 31.5±4 kg/m</w:t>
      </w:r>
      <w:r w:rsidRPr="005F4560">
        <w:rPr>
          <w:rFonts w:cstheme="minorHAnsi"/>
          <w:szCs w:val="20"/>
          <w:vertAlign w:val="superscript"/>
        </w:rPr>
        <w:t>2</w:t>
      </w:r>
      <w:r w:rsidRPr="005F4560">
        <w:rPr>
          <w:rFonts w:cstheme="minorHAnsi"/>
          <w:szCs w:val="20"/>
        </w:rPr>
        <w:t>; with 75% of patients reporting relief of clinical symptoms such as diabetes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"https://www.ncbi.nlm.nih.gov/pmc/articles/PMC4653252/" </w:instrText>
      </w:r>
      <w:r w:rsidR="009878BB">
        <w:rPr>
          <w:rStyle w:val="Hyperlink"/>
          <w:rFonts w:cstheme="minorHAnsi"/>
          <w:color w:val="auto"/>
          <w:szCs w:val="20"/>
        </w:rPr>
        <w:fldChar w:fldCharType="separate"/>
      </w:r>
      <w:r w:rsidRPr="005F4560">
        <w:rPr>
          <w:rStyle w:val="Hyperlink"/>
          <w:rFonts w:cstheme="minorHAnsi"/>
          <w:color w:val="auto"/>
          <w:szCs w:val="20"/>
        </w:rPr>
        <w:t>Mitura</w:t>
      </w:r>
      <w:proofErr w:type="spellEnd"/>
      <w:r w:rsidRPr="005F4560">
        <w:rPr>
          <w:rStyle w:val="Hyperlink"/>
          <w:rFonts w:cstheme="minorHAnsi"/>
          <w:color w:val="auto"/>
          <w:szCs w:val="20"/>
        </w:rPr>
        <w:t xml:space="preserve">, </w:t>
      </w:r>
      <w:proofErr w:type="spellStart"/>
      <w:r w:rsidRPr="005F4560">
        <w:rPr>
          <w:rStyle w:val="Hyperlink"/>
          <w:rFonts w:cstheme="minorHAnsi"/>
          <w:color w:val="auto"/>
          <w:szCs w:val="20"/>
        </w:rPr>
        <w:t>Garnusz</w:t>
      </w:r>
      <w:proofErr w:type="spellEnd"/>
      <w:r w:rsidRPr="005F4560">
        <w:rPr>
          <w:rStyle w:val="Hyperlink"/>
          <w:rFonts w:cstheme="minorHAnsi"/>
          <w:color w:val="auto"/>
          <w:szCs w:val="20"/>
        </w:rPr>
        <w:t>, 2015</w:t>
      </w:r>
      <w:r w:rsidR="009878BB">
        <w:rPr>
          <w:rStyle w:val="Hyperlink"/>
          <w:rFonts w:cstheme="minorHAnsi"/>
          <w:color w:val="auto"/>
          <w:szCs w:val="20"/>
        </w:rPr>
        <w:fldChar w:fldCharType="end"/>
      </w:r>
      <w:r w:rsidRPr="005F4560">
        <w:rPr>
          <w:rFonts w:cstheme="minorHAnsi"/>
          <w:szCs w:val="20"/>
        </w:rPr>
        <w:t xml:space="preserve">).  Therefore, there is sufficient evidence to support the beneficial effect of </w:t>
      </w:r>
      <w:proofErr w:type="spellStart"/>
      <w:r>
        <w:rPr>
          <w:rFonts w:cstheme="minorHAnsi"/>
          <w:szCs w:val="20"/>
        </w:rPr>
        <w:t>Orbera</w:t>
      </w:r>
      <w:proofErr w:type="spellEnd"/>
      <w:r>
        <w:rPr>
          <w:rFonts w:cstheme="minorHAnsi"/>
          <w:szCs w:val="20"/>
        </w:rPr>
        <w:t>™</w:t>
      </w:r>
      <w:r w:rsidRPr="005F4560">
        <w:rPr>
          <w:rFonts w:cstheme="minorHAnsi"/>
          <w:szCs w:val="20"/>
        </w:rPr>
        <w:t xml:space="preserve"> in patents with a </w:t>
      </w:r>
      <w:r w:rsidRPr="005F4560">
        <w:rPr>
          <w:rFonts w:cstheme="minorHAnsi"/>
          <w:szCs w:val="20"/>
          <w:u w:val="single"/>
        </w:rPr>
        <w:t>BMI ≥30&lt;35 kg/m</w:t>
      </w:r>
      <w:r w:rsidRPr="005F4560">
        <w:rPr>
          <w:rFonts w:cstheme="minorHAnsi"/>
          <w:szCs w:val="20"/>
          <w:u w:val="single"/>
          <w:vertAlign w:val="superscript"/>
        </w:rPr>
        <w:t>2</w:t>
      </w:r>
      <w:r w:rsidRPr="005F4560">
        <w:rPr>
          <w:rFonts w:cstheme="minorHAnsi"/>
          <w:szCs w:val="20"/>
        </w:rPr>
        <w:t xml:space="preserve"> with co-morbidities, and currently are not provided with sufficient options once diet, physical activity and medication have failed.  This application, were to it to be accepted, would enable this high risk group, the opportunity of being offered more interventional treatment options - namely, </w:t>
      </w:r>
      <w:proofErr w:type="spellStart"/>
      <w:r>
        <w:rPr>
          <w:rFonts w:cstheme="minorHAnsi"/>
          <w:szCs w:val="20"/>
        </w:rPr>
        <w:t>Orbera</w:t>
      </w:r>
      <w:proofErr w:type="spellEnd"/>
      <w:r>
        <w:rPr>
          <w:rFonts w:cstheme="minorHAnsi"/>
          <w:szCs w:val="20"/>
        </w:rPr>
        <w:t>™</w:t>
      </w:r>
      <w:r w:rsidRPr="005F4560">
        <w:rPr>
          <w:rFonts w:cstheme="minorHAnsi"/>
          <w:szCs w:val="20"/>
        </w:rPr>
        <w:t xml:space="preserve">.  </w:t>
      </w:r>
      <w:proofErr w:type="spellStart"/>
      <w:r>
        <w:rPr>
          <w:rFonts w:cstheme="minorHAnsi"/>
          <w:szCs w:val="20"/>
        </w:rPr>
        <w:t>Orbera</w:t>
      </w:r>
      <w:proofErr w:type="spellEnd"/>
      <w:r>
        <w:rPr>
          <w:rFonts w:cstheme="minorHAnsi"/>
          <w:szCs w:val="20"/>
        </w:rPr>
        <w:t>™</w:t>
      </w:r>
      <w:r w:rsidRPr="005F4560">
        <w:rPr>
          <w:rFonts w:cstheme="minorHAnsi"/>
          <w:szCs w:val="20"/>
        </w:rPr>
        <w:t xml:space="preserve"> would be of great benefit, and fulfil the need for interventional treatment without exposing patients to surgery (which may be unwarranted at such a modest level of obesity).</w:t>
      </w:r>
    </w:p>
    <w:p w14:paraId="31B02979" w14:textId="77777777" w:rsidR="00BB4539" w:rsidRDefault="00BB4539" w:rsidP="00192AA7">
      <w:pPr>
        <w:ind w:left="426"/>
        <w:jc w:val="both"/>
        <w:rPr>
          <w:rFonts w:cstheme="minorHAnsi"/>
          <w:szCs w:val="20"/>
        </w:rPr>
      </w:pPr>
    </w:p>
    <w:p w14:paraId="6FF0D4AA" w14:textId="77777777" w:rsidR="000A0396" w:rsidRPr="005F4560" w:rsidRDefault="000A0396" w:rsidP="000A0396">
      <w:pPr>
        <w:pStyle w:val="Heading2"/>
      </w:pPr>
      <w:r w:rsidRPr="005F4560">
        <w:t>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 service:</w:t>
      </w:r>
    </w:p>
    <w:p w14:paraId="051B7AF8" w14:textId="77777777" w:rsidR="000A0396" w:rsidRPr="005F4560" w:rsidRDefault="000A0396" w:rsidP="000A0396">
      <w:pPr>
        <w:pStyle w:val="KMC16-NumLists"/>
        <w:ind w:left="426" w:firstLine="0"/>
        <w:rPr>
          <w:rFonts w:asciiTheme="minorHAnsi" w:hAnsiTheme="minorHAnsi" w:cstheme="minorHAnsi"/>
          <w:color w:val="auto"/>
          <w:sz w:val="20"/>
          <w:szCs w:val="20"/>
        </w:rPr>
      </w:pPr>
      <w:r w:rsidRPr="005F4560">
        <w:rPr>
          <w:rFonts w:asciiTheme="minorHAnsi" w:hAnsiTheme="minorHAnsi" w:cstheme="minorHAnsi"/>
          <w:color w:val="auto"/>
          <w:sz w:val="20"/>
          <w:szCs w:val="20"/>
        </w:rPr>
        <w:t>Patients 18 years of age or over that have:</w:t>
      </w:r>
    </w:p>
    <w:p w14:paraId="0A491D4A" w14:textId="77777777" w:rsidR="000A0396" w:rsidRPr="005F4560" w:rsidRDefault="000A0396" w:rsidP="000A0396">
      <w:pPr>
        <w:pStyle w:val="KMC16-NumLists"/>
        <w:numPr>
          <w:ilvl w:val="0"/>
          <w:numId w:val="16"/>
        </w:numPr>
        <w:ind w:left="426" w:firstLine="0"/>
        <w:rPr>
          <w:rFonts w:asciiTheme="minorHAnsi" w:hAnsiTheme="minorHAnsi" w:cstheme="minorHAnsi"/>
          <w:color w:val="auto"/>
          <w:sz w:val="20"/>
          <w:szCs w:val="20"/>
        </w:rPr>
      </w:pPr>
      <w:r w:rsidRPr="005F4560" w:rsidDel="00DC48B1">
        <w:rPr>
          <w:rFonts w:asciiTheme="minorHAnsi" w:hAnsiTheme="minorHAnsi" w:cstheme="minorHAnsi"/>
          <w:color w:val="auto"/>
          <w:sz w:val="20"/>
          <w:szCs w:val="20"/>
        </w:rPr>
        <w:t xml:space="preserve">BMI </w:t>
      </w:r>
      <w:r w:rsidRPr="005F4560">
        <w:rPr>
          <w:rFonts w:asciiTheme="minorHAnsi" w:hAnsiTheme="minorHAnsi" w:cstheme="minorHAnsi"/>
          <w:color w:val="auto"/>
          <w:sz w:val="20"/>
          <w:szCs w:val="20"/>
        </w:rPr>
        <w:t>≥30&lt;</w:t>
      </w:r>
      <w:r w:rsidRPr="005F4560" w:rsidDel="00DC48B1">
        <w:rPr>
          <w:rFonts w:asciiTheme="minorHAnsi" w:hAnsiTheme="minorHAnsi" w:cstheme="minorHAnsi"/>
          <w:color w:val="auto"/>
          <w:sz w:val="20"/>
          <w:szCs w:val="20"/>
        </w:rPr>
        <w:t>35 kg/m</w:t>
      </w:r>
      <w:r w:rsidRPr="005F4560" w:rsidDel="00DC48B1">
        <w:rPr>
          <w:rFonts w:asciiTheme="minorHAnsi" w:hAnsiTheme="minorHAnsi" w:cstheme="minorHAnsi"/>
          <w:color w:val="auto"/>
          <w:sz w:val="20"/>
          <w:szCs w:val="20"/>
          <w:vertAlign w:val="superscript"/>
        </w:rPr>
        <w:t>2</w:t>
      </w:r>
      <w:r w:rsidRPr="005F4560">
        <w:rPr>
          <w:rFonts w:cstheme="minorHAnsi"/>
          <w:color w:val="auto"/>
          <w:szCs w:val="20"/>
        </w:rPr>
        <w:t xml:space="preserve"> </w:t>
      </w:r>
      <w:r w:rsidRPr="005F4560">
        <w:rPr>
          <w:rFonts w:asciiTheme="minorHAnsi" w:hAnsiTheme="minorHAnsi" w:cstheme="minorHAnsi"/>
          <w:color w:val="auto"/>
          <w:sz w:val="20"/>
          <w:szCs w:val="20"/>
        </w:rPr>
        <w:t>who have comorbidities (in particular, have poorly controlled type 2 diabetes) and who have failed first line treatment options.</w:t>
      </w:r>
    </w:p>
    <w:p w14:paraId="5EAA38A5" w14:textId="77777777" w:rsidR="0018630F" w:rsidRPr="005F4560" w:rsidRDefault="0018630F" w:rsidP="00530204">
      <w:pPr>
        <w:pStyle w:val="Heading2"/>
      </w:pPr>
      <w:r w:rsidRPr="005F4560">
        <w:t xml:space="preserve">Define and summarise the current clinical management pathway </w:t>
      </w:r>
      <w:r w:rsidRPr="005F4560">
        <w:rPr>
          <w:i/>
        </w:rPr>
        <w:t>before</w:t>
      </w:r>
      <w:r w:rsidRPr="005F4560">
        <w:t xml:space="preserve"> patients would be eligible for the proposed medical service (supplement this summary with </w:t>
      </w:r>
      <w:r w:rsidR="00F33F1A" w:rsidRPr="005F4560">
        <w:t xml:space="preserve">an easy to follow flowchart </w:t>
      </w:r>
      <w:r w:rsidR="00DF0C51" w:rsidRPr="005F4560">
        <w:t xml:space="preserve">[as an attachment to the Application Form] </w:t>
      </w:r>
      <w:r w:rsidR="00F33F1A" w:rsidRPr="005F4560">
        <w:t>dep</w:t>
      </w:r>
      <w:r w:rsidRPr="005F4560">
        <w:t>icting the current clinical manag</w:t>
      </w:r>
      <w:r w:rsidR="00197D29" w:rsidRPr="005F4560">
        <w:t>ement pathway up to this point):</w:t>
      </w:r>
    </w:p>
    <w:p w14:paraId="434BE7BC" w14:textId="39F3E286" w:rsidR="00841219" w:rsidRPr="005F4560" w:rsidRDefault="00841219" w:rsidP="0088764D">
      <w:pPr>
        <w:pStyle w:val="Default"/>
        <w:ind w:left="360"/>
        <w:jc w:val="both"/>
        <w:rPr>
          <w:rFonts w:asciiTheme="minorHAnsi" w:hAnsiTheme="minorHAnsi" w:cstheme="minorHAnsi"/>
          <w:color w:val="auto"/>
          <w:sz w:val="20"/>
          <w:szCs w:val="20"/>
        </w:rPr>
      </w:pPr>
      <w:r w:rsidRPr="005F4560">
        <w:rPr>
          <w:rFonts w:asciiTheme="minorHAnsi" w:hAnsiTheme="minorHAnsi" w:cstheme="minorHAnsi"/>
          <w:color w:val="auto"/>
          <w:sz w:val="20"/>
          <w:szCs w:val="20"/>
        </w:rPr>
        <w:t>According to the obesity management algorithm, p</w:t>
      </w:r>
      <w:r w:rsidR="006D353E" w:rsidRPr="005F4560">
        <w:rPr>
          <w:rFonts w:asciiTheme="minorHAnsi" w:hAnsiTheme="minorHAnsi" w:cstheme="minorHAnsi"/>
          <w:color w:val="auto"/>
          <w:sz w:val="20"/>
          <w:szCs w:val="20"/>
        </w:rPr>
        <w:t xml:space="preserve">atients in these groups </w:t>
      </w:r>
      <w:r w:rsidR="00696600" w:rsidRPr="005F4560">
        <w:rPr>
          <w:rFonts w:asciiTheme="minorHAnsi" w:hAnsiTheme="minorHAnsi" w:cstheme="minorHAnsi"/>
          <w:color w:val="auto"/>
          <w:sz w:val="20"/>
          <w:szCs w:val="20"/>
        </w:rPr>
        <w:t>require</w:t>
      </w:r>
      <w:r w:rsidRPr="005F4560">
        <w:rPr>
          <w:rFonts w:asciiTheme="minorHAnsi" w:hAnsiTheme="minorHAnsi" w:cstheme="minorHAnsi"/>
          <w:color w:val="auto"/>
          <w:sz w:val="20"/>
          <w:szCs w:val="20"/>
        </w:rPr>
        <w:t xml:space="preserve"> intensive interventions. Three main options are available</w:t>
      </w:r>
      <w:r w:rsidR="00DF3EEB" w:rsidRPr="005F4560">
        <w:rPr>
          <w:rFonts w:asciiTheme="minorHAnsi" w:hAnsiTheme="minorHAnsi" w:cstheme="minorHAnsi"/>
          <w:color w:val="auto"/>
          <w:sz w:val="20"/>
          <w:szCs w:val="20"/>
        </w:rPr>
        <w:t>,</w:t>
      </w:r>
      <w:r w:rsidRPr="005F4560">
        <w:rPr>
          <w:rFonts w:asciiTheme="minorHAnsi" w:hAnsiTheme="minorHAnsi" w:cstheme="minorHAnsi"/>
          <w:color w:val="auto"/>
          <w:sz w:val="20"/>
          <w:szCs w:val="20"/>
        </w:rPr>
        <w:t xml:space="preserve"> and the choice of therapies should be guided by </w:t>
      </w:r>
      <w:r w:rsidR="00EB7B14" w:rsidRPr="005F4560">
        <w:rPr>
          <w:rFonts w:asciiTheme="minorHAnsi" w:hAnsiTheme="minorHAnsi" w:cstheme="minorHAnsi"/>
          <w:color w:val="auto"/>
          <w:sz w:val="20"/>
          <w:szCs w:val="20"/>
        </w:rPr>
        <w:t xml:space="preserve">patient BMI, </w:t>
      </w:r>
      <w:r w:rsidRPr="005F4560">
        <w:rPr>
          <w:rFonts w:asciiTheme="minorHAnsi" w:hAnsiTheme="minorHAnsi" w:cstheme="minorHAnsi"/>
          <w:color w:val="auto"/>
          <w:sz w:val="20"/>
          <w:szCs w:val="20"/>
        </w:rPr>
        <w:t xml:space="preserve">previous weight loss interventions and response. </w:t>
      </w:r>
    </w:p>
    <w:p w14:paraId="5205F050" w14:textId="5F4B71D2" w:rsidR="00841219" w:rsidRPr="005F4560" w:rsidRDefault="00061DAE" w:rsidP="00560B5A">
      <w:pPr>
        <w:pStyle w:val="ListParagraph"/>
        <w:numPr>
          <w:ilvl w:val="0"/>
          <w:numId w:val="17"/>
        </w:numPr>
        <w:jc w:val="both"/>
        <w:rPr>
          <w:rFonts w:cstheme="minorHAnsi"/>
          <w:szCs w:val="20"/>
        </w:rPr>
      </w:pPr>
      <w:r w:rsidRPr="005F4560">
        <w:rPr>
          <w:rFonts w:cstheme="minorHAnsi"/>
          <w:szCs w:val="20"/>
        </w:rPr>
        <w:lastRenderedPageBreak/>
        <w:t>Very Low Energy Diet (</w:t>
      </w:r>
      <w:r w:rsidR="00841219" w:rsidRPr="005F4560">
        <w:rPr>
          <w:rFonts w:cstheme="minorHAnsi"/>
          <w:szCs w:val="20"/>
        </w:rPr>
        <w:t>VLED</w:t>
      </w:r>
      <w:r w:rsidRPr="005F4560">
        <w:rPr>
          <w:rFonts w:cstheme="minorHAnsi"/>
          <w:szCs w:val="20"/>
        </w:rPr>
        <w:t>)</w:t>
      </w:r>
      <w:r w:rsidR="00841219" w:rsidRPr="005F4560">
        <w:rPr>
          <w:rFonts w:cstheme="minorHAnsi"/>
          <w:szCs w:val="20"/>
        </w:rPr>
        <w:t xml:space="preserve"> is an initial option for individuals who have not tried this previously and are willing to use meal replacements. If effective in achieving adequate weight loss, the meal replacements can be </w:t>
      </w:r>
      <w:r w:rsidR="00442482" w:rsidRPr="005F4560">
        <w:rPr>
          <w:rFonts w:cstheme="minorHAnsi"/>
          <w:szCs w:val="20"/>
        </w:rPr>
        <w:t>reduced,</w:t>
      </w:r>
      <w:r w:rsidR="00841219" w:rsidRPr="005F4560">
        <w:rPr>
          <w:rFonts w:cstheme="minorHAnsi"/>
          <w:szCs w:val="20"/>
        </w:rPr>
        <w:t xml:space="preserve"> and the diet can be replaced with a weight maintenance diet. If weight is regained the VLED can be reintroduced. </w:t>
      </w:r>
    </w:p>
    <w:p w14:paraId="48E0FECF" w14:textId="77777777" w:rsidR="00841219" w:rsidRPr="005F4560" w:rsidRDefault="00841219" w:rsidP="00560B5A">
      <w:pPr>
        <w:pStyle w:val="ListParagraph"/>
        <w:numPr>
          <w:ilvl w:val="0"/>
          <w:numId w:val="17"/>
        </w:numPr>
        <w:jc w:val="both"/>
        <w:rPr>
          <w:rFonts w:cstheme="minorHAnsi"/>
          <w:szCs w:val="20"/>
        </w:rPr>
      </w:pPr>
      <w:r w:rsidRPr="005F4560">
        <w:rPr>
          <w:rFonts w:cstheme="minorHAnsi"/>
          <w:szCs w:val="20"/>
        </w:rPr>
        <w:t xml:space="preserve">Pharmacotherapy can be considered in individuals who do not have an adequate initial response to the VLED, or who regain weight once the VLED is relaxed. </w:t>
      </w:r>
    </w:p>
    <w:p w14:paraId="7A9C2B8E" w14:textId="77777777" w:rsidR="006D353E" w:rsidRPr="005F4560" w:rsidRDefault="00841219" w:rsidP="00560B5A">
      <w:pPr>
        <w:pStyle w:val="ListParagraph"/>
        <w:numPr>
          <w:ilvl w:val="0"/>
          <w:numId w:val="17"/>
        </w:numPr>
        <w:jc w:val="both"/>
        <w:rPr>
          <w:rFonts w:cstheme="minorHAnsi"/>
          <w:szCs w:val="20"/>
        </w:rPr>
      </w:pPr>
      <w:r w:rsidRPr="005F4560">
        <w:rPr>
          <w:rFonts w:cstheme="minorHAnsi"/>
          <w:szCs w:val="20"/>
        </w:rPr>
        <w:t>Bariatric surgery is an option for individuals</w:t>
      </w:r>
      <w:r w:rsidR="00061DAE" w:rsidRPr="005F4560">
        <w:rPr>
          <w:rFonts w:cstheme="minorHAnsi"/>
          <w:szCs w:val="20"/>
        </w:rPr>
        <w:t xml:space="preserve"> BMI &gt;40 kg/m</w:t>
      </w:r>
      <w:r w:rsidR="00061DAE" w:rsidRPr="005F4560">
        <w:rPr>
          <w:rFonts w:cstheme="minorHAnsi"/>
          <w:szCs w:val="20"/>
          <w:vertAlign w:val="superscript"/>
        </w:rPr>
        <w:t>2</w:t>
      </w:r>
      <w:r w:rsidR="00061DAE" w:rsidRPr="005F4560">
        <w:rPr>
          <w:rFonts w:cstheme="minorHAnsi"/>
          <w:szCs w:val="20"/>
        </w:rPr>
        <w:t xml:space="preserve"> or &gt;35 kg/m</w:t>
      </w:r>
      <w:r w:rsidR="00061DAE" w:rsidRPr="005F4560">
        <w:rPr>
          <w:rFonts w:cstheme="minorHAnsi"/>
          <w:szCs w:val="20"/>
          <w:vertAlign w:val="superscript"/>
        </w:rPr>
        <w:t>2</w:t>
      </w:r>
      <w:r w:rsidR="00061DAE" w:rsidRPr="005F4560">
        <w:rPr>
          <w:rFonts w:cstheme="minorHAnsi"/>
          <w:szCs w:val="20"/>
        </w:rPr>
        <w:t xml:space="preserve"> with comorbidities that may improve with weight loss </w:t>
      </w:r>
      <w:r w:rsidRPr="005F4560">
        <w:rPr>
          <w:rFonts w:cstheme="minorHAnsi"/>
          <w:szCs w:val="20"/>
        </w:rPr>
        <w:t>who do not respond to the VLED plus pharmacotherapy, or who have previously tried this approach without success, or who have type 2 diabetes.</w:t>
      </w:r>
    </w:p>
    <w:p w14:paraId="24B6CBF6" w14:textId="77777777" w:rsidR="00AC6208" w:rsidRPr="005F4560" w:rsidRDefault="00AC6208">
      <w:pPr>
        <w:spacing w:before="0" w:after="200" w:line="276" w:lineRule="auto"/>
        <w:rPr>
          <w:i/>
          <w:iCs/>
          <w:sz w:val="18"/>
          <w:szCs w:val="18"/>
        </w:rPr>
      </w:pPr>
      <w:bookmarkStart w:id="9" w:name="_Ref496969047"/>
      <w:r w:rsidRPr="005F4560">
        <w:br w:type="page"/>
      </w:r>
    </w:p>
    <w:p w14:paraId="7FFE17CF" w14:textId="779831AE" w:rsidR="00083B2B" w:rsidRPr="005F4560" w:rsidRDefault="00083B2B" w:rsidP="00083B2B">
      <w:pPr>
        <w:pStyle w:val="Caption"/>
        <w:rPr>
          <w:b/>
          <w:bCs/>
          <w:color w:val="auto"/>
          <w:sz w:val="23"/>
          <w:szCs w:val="23"/>
        </w:rPr>
      </w:pPr>
      <w:r w:rsidRPr="005F4560">
        <w:rPr>
          <w:color w:val="auto"/>
        </w:rPr>
        <w:lastRenderedPageBreak/>
        <w:t xml:space="preserve">Figure </w:t>
      </w:r>
      <w:r w:rsidR="00D368CA" w:rsidRPr="005F4560">
        <w:rPr>
          <w:color w:val="auto"/>
        </w:rPr>
        <w:fldChar w:fldCharType="begin"/>
      </w:r>
      <w:r w:rsidR="00D368CA" w:rsidRPr="005F4560">
        <w:rPr>
          <w:color w:val="auto"/>
        </w:rPr>
        <w:instrText xml:space="preserve"> SEQ Figure \* ARABIC </w:instrText>
      </w:r>
      <w:r w:rsidR="00D368CA" w:rsidRPr="005F4560">
        <w:rPr>
          <w:color w:val="auto"/>
        </w:rPr>
        <w:fldChar w:fldCharType="separate"/>
      </w:r>
      <w:r w:rsidRPr="005F4560">
        <w:rPr>
          <w:noProof/>
          <w:color w:val="auto"/>
        </w:rPr>
        <w:t>1</w:t>
      </w:r>
      <w:r w:rsidR="00D368CA" w:rsidRPr="005F4560">
        <w:rPr>
          <w:noProof/>
          <w:color w:val="auto"/>
        </w:rPr>
        <w:fldChar w:fldCharType="end"/>
      </w:r>
      <w:bookmarkEnd w:id="9"/>
      <w:r w:rsidRPr="005F4560">
        <w:rPr>
          <w:color w:val="auto"/>
        </w:rPr>
        <w:t>: Treatment Algorithm for weight loss</w:t>
      </w:r>
    </w:p>
    <w:p w14:paraId="5659E64E" w14:textId="77777777" w:rsidR="00841219" w:rsidRPr="005F4560" w:rsidRDefault="00841219" w:rsidP="0088764D">
      <w:pPr>
        <w:keepNext/>
        <w:ind w:left="426"/>
        <w:jc w:val="center"/>
      </w:pPr>
      <w:r w:rsidRPr="005F4560">
        <w:rPr>
          <w:b/>
          <w:bCs/>
          <w:sz w:val="23"/>
          <w:szCs w:val="23"/>
        </w:rPr>
        <w:t>Management flow diagram</w:t>
      </w:r>
    </w:p>
    <w:p w14:paraId="51E52CDB" w14:textId="77777777" w:rsidR="004949AC" w:rsidRPr="005F4560" w:rsidRDefault="00841219" w:rsidP="004949AC">
      <w:pPr>
        <w:jc w:val="center"/>
      </w:pPr>
      <w:r w:rsidRPr="005F4560">
        <w:rPr>
          <w:noProof/>
          <w:lang w:eastAsia="en-AU"/>
        </w:rPr>
        <w:drawing>
          <wp:inline distT="0" distB="0" distL="0" distR="0" wp14:anchorId="466C2B3B" wp14:editId="5B2EAC4A">
            <wp:extent cx="3999506" cy="4712316"/>
            <wp:effectExtent l="0" t="0" r="1270" b="0"/>
            <wp:docPr id="2" name="Picture 2" descr="Describes the treatment pathway administered before the proposed medical service.&#10;" title="Management Flow Diagram Before Proposed Medical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0"/>
                    <a:srcRect l="5418" t="2036" r="5044" b="1656"/>
                    <a:stretch/>
                  </pic:blipFill>
                  <pic:spPr bwMode="auto">
                    <a:xfrm>
                      <a:off x="0" y="0"/>
                      <a:ext cx="4015315" cy="4730942"/>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FF6A453" w14:textId="77777777" w:rsidR="00841219" w:rsidRPr="005F4560" w:rsidRDefault="00841219" w:rsidP="00D73646">
      <w:pPr>
        <w:ind w:left="426"/>
      </w:pPr>
    </w:p>
    <w:p w14:paraId="140AEB08" w14:textId="77777777" w:rsidR="002A50FD" w:rsidRPr="005F4560" w:rsidRDefault="005C3AE7" w:rsidP="005C3AE7">
      <w:pPr>
        <w:pStyle w:val="Subtitle"/>
      </w:pPr>
      <w:r w:rsidRPr="005F4560">
        <w:t xml:space="preserve">PART 6b – </w:t>
      </w:r>
      <w:r w:rsidR="002A50FD" w:rsidRPr="005F4560">
        <w:t>INFORMATION ABOUT THE INTERVENTION</w:t>
      </w:r>
    </w:p>
    <w:p w14:paraId="01E75472" w14:textId="77777777" w:rsidR="002A50FD" w:rsidRPr="005F4560" w:rsidRDefault="002A6753" w:rsidP="00530204">
      <w:pPr>
        <w:pStyle w:val="Heading2"/>
      </w:pPr>
      <w:r w:rsidRPr="005F4560">
        <w:t xml:space="preserve">Describe the </w:t>
      </w:r>
      <w:r w:rsidR="00DF6D37" w:rsidRPr="005F4560">
        <w:t>key components and</w:t>
      </w:r>
      <w:r w:rsidR="00B771AD" w:rsidRPr="005F4560">
        <w:t xml:space="preserve"> clinical</w:t>
      </w:r>
      <w:r w:rsidR="00DF6D37" w:rsidRPr="005F4560">
        <w:t xml:space="preserve"> steps involved in delivering </w:t>
      </w:r>
      <w:r w:rsidR="00C05A45" w:rsidRPr="005F4560">
        <w:t xml:space="preserve">the </w:t>
      </w:r>
      <w:r w:rsidR="00197D29" w:rsidRPr="005F4560">
        <w:t>proposed medical service:</w:t>
      </w:r>
    </w:p>
    <w:p w14:paraId="6BC49C14" w14:textId="12B1EFE5" w:rsidR="00224CED" w:rsidRPr="005F4560" w:rsidRDefault="004C378C" w:rsidP="00736380">
      <w:pPr>
        <w:ind w:left="426"/>
        <w:jc w:val="both"/>
        <w:rPr>
          <w:rFonts w:cstheme="minorHAnsi"/>
          <w:szCs w:val="20"/>
        </w:rPr>
      </w:pPr>
      <w:r w:rsidRPr="005F4560">
        <w:rPr>
          <w:rFonts w:cstheme="minorHAnsi"/>
          <w:szCs w:val="20"/>
        </w:rPr>
        <w:t>Upon referral to a bariatric surgeon or gastroenterologist, patients will be assessed for their suitability for placement of</w:t>
      </w:r>
      <w:r w:rsidR="00442482" w:rsidRPr="005F4560">
        <w:rPr>
          <w:rFonts w:cstheme="minorHAnsi"/>
          <w:szCs w:val="20"/>
        </w:rPr>
        <w:t xml:space="preserve"> </w:t>
      </w:r>
      <w:proofErr w:type="spellStart"/>
      <w:r w:rsidR="00DC685F">
        <w:rPr>
          <w:rFonts w:cstheme="minorHAnsi"/>
          <w:szCs w:val="20"/>
        </w:rPr>
        <w:t>Orbera</w:t>
      </w:r>
      <w:proofErr w:type="spellEnd"/>
      <w:r w:rsidR="00DC685F">
        <w:rPr>
          <w:rFonts w:cstheme="minorHAnsi"/>
          <w:szCs w:val="20"/>
        </w:rPr>
        <w:t>™</w:t>
      </w:r>
      <w:r w:rsidRPr="005F4560">
        <w:rPr>
          <w:rFonts w:cstheme="minorHAnsi"/>
          <w:szCs w:val="20"/>
        </w:rPr>
        <w:t xml:space="preserve">. If suitable, patients will undergo an out-patient </w:t>
      </w:r>
      <w:r w:rsidR="00754E52" w:rsidRPr="005F4560">
        <w:rPr>
          <w:rFonts w:cstheme="minorHAnsi"/>
          <w:szCs w:val="20"/>
        </w:rPr>
        <w:t>insertion</w:t>
      </w:r>
      <w:r w:rsidRPr="005F4560">
        <w:rPr>
          <w:rFonts w:cstheme="minorHAnsi"/>
          <w:szCs w:val="20"/>
        </w:rPr>
        <w:t xml:space="preserve"> starting with a pre-anaesthesia consultation. The patient will be placed under anaesthesia as the deflated </w:t>
      </w:r>
      <w:proofErr w:type="spellStart"/>
      <w:r w:rsidR="00DC685F">
        <w:rPr>
          <w:rFonts w:cstheme="minorHAnsi"/>
          <w:szCs w:val="20"/>
        </w:rPr>
        <w:t>Orbera</w:t>
      </w:r>
      <w:proofErr w:type="spellEnd"/>
      <w:r w:rsidR="00DC685F">
        <w:rPr>
          <w:rFonts w:cstheme="minorHAnsi"/>
          <w:szCs w:val="20"/>
        </w:rPr>
        <w:t>™</w:t>
      </w:r>
      <w:r w:rsidRPr="005F4560">
        <w:rPr>
          <w:rFonts w:cstheme="minorHAnsi"/>
          <w:szCs w:val="20"/>
        </w:rPr>
        <w:t xml:space="preserve"> is placed in </w:t>
      </w:r>
      <w:r w:rsidR="00DF3EEB" w:rsidRPr="005F4560">
        <w:rPr>
          <w:rFonts w:cstheme="minorHAnsi"/>
          <w:szCs w:val="20"/>
        </w:rPr>
        <w:t xml:space="preserve">the </w:t>
      </w:r>
      <w:r w:rsidRPr="005F4560">
        <w:rPr>
          <w:rFonts w:cstheme="minorHAnsi"/>
          <w:szCs w:val="20"/>
        </w:rPr>
        <w:t xml:space="preserve">stomach using a flexible endoscope. </w:t>
      </w:r>
      <w:r w:rsidR="00DF3EEB" w:rsidRPr="005F4560">
        <w:rPr>
          <w:rFonts w:cstheme="minorHAnsi"/>
          <w:szCs w:val="20"/>
        </w:rPr>
        <w:t xml:space="preserve"> </w:t>
      </w:r>
      <w:r w:rsidRPr="005F4560">
        <w:rPr>
          <w:rFonts w:cstheme="minorHAnsi"/>
          <w:szCs w:val="20"/>
        </w:rPr>
        <w:t xml:space="preserve">Once the balloon is positioned in the stomach, </w:t>
      </w:r>
      <w:proofErr w:type="spellStart"/>
      <w:r w:rsidR="00DC685F">
        <w:rPr>
          <w:rFonts w:cstheme="minorHAnsi"/>
          <w:szCs w:val="20"/>
        </w:rPr>
        <w:t>Orbera</w:t>
      </w:r>
      <w:proofErr w:type="spellEnd"/>
      <w:r w:rsidR="00DC685F">
        <w:rPr>
          <w:rFonts w:cstheme="minorHAnsi"/>
          <w:szCs w:val="20"/>
        </w:rPr>
        <w:t>™</w:t>
      </w:r>
      <w:r w:rsidR="00442482" w:rsidRPr="005F4560">
        <w:rPr>
          <w:rFonts w:cstheme="minorHAnsi"/>
          <w:szCs w:val="20"/>
        </w:rPr>
        <w:t xml:space="preserve"> </w:t>
      </w:r>
      <w:r w:rsidRPr="005F4560">
        <w:rPr>
          <w:rFonts w:cstheme="minorHAnsi"/>
          <w:szCs w:val="20"/>
        </w:rPr>
        <w:t>is filled with a sterile saline solution. Th</w:t>
      </w:r>
      <w:r w:rsidR="00442482" w:rsidRPr="005F4560">
        <w:rPr>
          <w:rFonts w:cstheme="minorHAnsi"/>
          <w:szCs w:val="20"/>
        </w:rPr>
        <w:t>e tubing is then removed from</w:t>
      </w:r>
      <w:r w:rsidRPr="005F4560">
        <w:rPr>
          <w:rFonts w:cstheme="minorHAnsi"/>
          <w:szCs w:val="20"/>
        </w:rPr>
        <w:t xml:space="preserve"> </w:t>
      </w:r>
      <w:proofErr w:type="spellStart"/>
      <w:r w:rsidR="00DC685F">
        <w:rPr>
          <w:rFonts w:cstheme="minorHAnsi"/>
          <w:szCs w:val="20"/>
        </w:rPr>
        <w:t>Orbera</w:t>
      </w:r>
      <w:proofErr w:type="spellEnd"/>
      <w:r w:rsidR="00DC685F">
        <w:rPr>
          <w:rFonts w:cstheme="minorHAnsi"/>
          <w:szCs w:val="20"/>
        </w:rPr>
        <w:t>™</w:t>
      </w:r>
      <w:r w:rsidRPr="005F4560">
        <w:rPr>
          <w:rFonts w:cstheme="minorHAnsi"/>
          <w:szCs w:val="20"/>
        </w:rPr>
        <w:t xml:space="preserve"> and the balloon will free float in the patient’s stomach.</w:t>
      </w:r>
    </w:p>
    <w:p w14:paraId="7200367D" w14:textId="522E4A77" w:rsidR="004C378C" w:rsidRPr="005F4560" w:rsidRDefault="00E30110" w:rsidP="00736380">
      <w:pPr>
        <w:ind w:left="426"/>
        <w:jc w:val="both"/>
        <w:rPr>
          <w:rFonts w:cstheme="minorHAnsi"/>
          <w:szCs w:val="20"/>
        </w:rPr>
      </w:pPr>
      <w:r>
        <w:rPr>
          <w:rFonts w:cstheme="minorHAnsi"/>
          <w:szCs w:val="20"/>
        </w:rPr>
        <w:t>After six months in-</w:t>
      </w:r>
      <w:r w:rsidR="004C378C" w:rsidRPr="005F4560">
        <w:rPr>
          <w:rFonts w:cstheme="minorHAnsi"/>
          <w:szCs w:val="20"/>
        </w:rPr>
        <w:t xml:space="preserve">situ, the </w:t>
      </w:r>
      <w:proofErr w:type="spellStart"/>
      <w:r w:rsidR="00DC685F">
        <w:rPr>
          <w:rFonts w:cstheme="minorHAnsi"/>
          <w:szCs w:val="20"/>
        </w:rPr>
        <w:t>Orbera</w:t>
      </w:r>
      <w:proofErr w:type="spellEnd"/>
      <w:r w:rsidR="00DC685F">
        <w:rPr>
          <w:rFonts w:cstheme="minorHAnsi"/>
          <w:szCs w:val="20"/>
        </w:rPr>
        <w:t>™</w:t>
      </w:r>
      <w:r w:rsidR="004C378C" w:rsidRPr="005F4560">
        <w:rPr>
          <w:rFonts w:cstheme="minorHAnsi"/>
          <w:szCs w:val="20"/>
        </w:rPr>
        <w:t xml:space="preserve"> must be removed. </w:t>
      </w:r>
      <w:r w:rsidR="00DF3EEB" w:rsidRPr="005F4560">
        <w:rPr>
          <w:rFonts w:cstheme="minorHAnsi"/>
          <w:szCs w:val="20"/>
        </w:rPr>
        <w:t xml:space="preserve"> </w:t>
      </w:r>
      <w:r w:rsidR="004C378C" w:rsidRPr="005F4560">
        <w:rPr>
          <w:rFonts w:cstheme="minorHAnsi"/>
          <w:szCs w:val="20"/>
        </w:rPr>
        <w:t xml:space="preserve">Similar to the placement, the patient will be anaesthetised so that the physician can use a flexible endoscope to puncture the IGB with an aspirating needle. Upon aspiration, the saline is removed from the </w:t>
      </w:r>
      <w:r w:rsidR="00B050C5" w:rsidRPr="005F4560">
        <w:rPr>
          <w:rFonts w:cstheme="minorHAnsi"/>
          <w:szCs w:val="20"/>
        </w:rPr>
        <w:t>balloon. The balloon is then grasped and removed using the flexible endoscope.</w:t>
      </w:r>
    </w:p>
    <w:p w14:paraId="4BCD49A6" w14:textId="4E4BE6B4" w:rsidR="00B050C5" w:rsidRPr="005F4560" w:rsidRDefault="00B050C5" w:rsidP="00736380">
      <w:pPr>
        <w:ind w:left="426"/>
        <w:jc w:val="both"/>
        <w:rPr>
          <w:rFonts w:cstheme="minorHAnsi"/>
          <w:szCs w:val="20"/>
        </w:rPr>
      </w:pPr>
      <w:r w:rsidRPr="005F4560">
        <w:rPr>
          <w:rFonts w:cstheme="minorHAnsi"/>
          <w:szCs w:val="20"/>
        </w:rPr>
        <w:t>In conjunc</w:t>
      </w:r>
      <w:r w:rsidR="00590CEA" w:rsidRPr="005F4560">
        <w:rPr>
          <w:rFonts w:cstheme="minorHAnsi"/>
          <w:szCs w:val="20"/>
        </w:rPr>
        <w:t xml:space="preserve">tion with the placement of </w:t>
      </w:r>
      <w:proofErr w:type="spellStart"/>
      <w:r w:rsidR="00DC685F">
        <w:rPr>
          <w:rFonts w:cstheme="minorHAnsi"/>
          <w:szCs w:val="20"/>
        </w:rPr>
        <w:t>Orbera</w:t>
      </w:r>
      <w:proofErr w:type="spellEnd"/>
      <w:r w:rsidR="00DC685F">
        <w:rPr>
          <w:rFonts w:cstheme="minorHAnsi"/>
          <w:szCs w:val="20"/>
        </w:rPr>
        <w:t>™</w:t>
      </w:r>
      <w:r w:rsidRPr="005F4560">
        <w:rPr>
          <w:rFonts w:cstheme="minorHAnsi"/>
          <w:szCs w:val="20"/>
        </w:rPr>
        <w:t xml:space="preserve">, the patient </w:t>
      </w:r>
      <w:r w:rsidR="00590CEA" w:rsidRPr="005F4560">
        <w:rPr>
          <w:rFonts w:cstheme="minorHAnsi"/>
          <w:szCs w:val="20"/>
        </w:rPr>
        <w:t xml:space="preserve">is provided with a lifestyle modification programme that begins with placement of the </w:t>
      </w:r>
      <w:proofErr w:type="spellStart"/>
      <w:r w:rsidR="00DC685F">
        <w:rPr>
          <w:rFonts w:cstheme="minorHAnsi"/>
          <w:szCs w:val="20"/>
        </w:rPr>
        <w:t>Orbera</w:t>
      </w:r>
      <w:proofErr w:type="spellEnd"/>
      <w:r w:rsidR="00DC685F">
        <w:rPr>
          <w:rFonts w:cstheme="minorHAnsi"/>
          <w:szCs w:val="20"/>
        </w:rPr>
        <w:t>™</w:t>
      </w:r>
      <w:r w:rsidR="00590CEA" w:rsidRPr="005F4560">
        <w:rPr>
          <w:rFonts w:cstheme="minorHAnsi"/>
          <w:szCs w:val="20"/>
        </w:rPr>
        <w:t xml:space="preserve"> and extends for a 12-month period. </w:t>
      </w:r>
    </w:p>
    <w:p w14:paraId="560A84D8" w14:textId="77777777" w:rsidR="002A6753" w:rsidRPr="005F4560" w:rsidRDefault="002A6753" w:rsidP="00530204">
      <w:pPr>
        <w:pStyle w:val="Heading2"/>
      </w:pPr>
      <w:r w:rsidRPr="005F4560">
        <w:t>Does the proposed medical service include a registered trademark</w:t>
      </w:r>
      <w:r w:rsidR="00707D4D" w:rsidRPr="005F4560">
        <w:t xml:space="preserve"> component</w:t>
      </w:r>
      <w:r w:rsidRPr="005F4560">
        <w:t xml:space="preserve"> with characteristics that distinguishes it from other similar health </w:t>
      </w:r>
      <w:r w:rsidR="00707D4D" w:rsidRPr="005F4560">
        <w:t>components</w:t>
      </w:r>
      <w:r w:rsidRPr="005F4560">
        <w:t>?</w:t>
      </w:r>
    </w:p>
    <w:p w14:paraId="5B30D240" w14:textId="0EF8249C" w:rsidR="00790E8C" w:rsidRPr="005F4560" w:rsidRDefault="00DC685F" w:rsidP="004C7F92">
      <w:pPr>
        <w:ind w:left="360"/>
        <w:rPr>
          <w:rFonts w:cstheme="minorHAnsi"/>
        </w:rPr>
      </w:pPr>
      <w:proofErr w:type="spellStart"/>
      <w:r>
        <w:rPr>
          <w:rFonts w:cstheme="minorHAnsi"/>
          <w:szCs w:val="20"/>
        </w:rPr>
        <w:lastRenderedPageBreak/>
        <w:t>Orbera</w:t>
      </w:r>
      <w:proofErr w:type="spellEnd"/>
      <w:r w:rsidR="000D466A" w:rsidRPr="005F4560">
        <w:rPr>
          <w:rFonts w:cstheme="minorHAnsi"/>
          <w:szCs w:val="20"/>
        </w:rPr>
        <w:t xml:space="preserve"> is a trademarked device. </w:t>
      </w:r>
      <w:r w:rsidR="00FE2C47" w:rsidRPr="005F4560">
        <w:rPr>
          <w:rFonts w:cstheme="minorHAnsi"/>
          <w:szCs w:val="20"/>
        </w:rPr>
        <w:t xml:space="preserve">The </w:t>
      </w:r>
      <w:proofErr w:type="spellStart"/>
      <w:r>
        <w:rPr>
          <w:rFonts w:cstheme="minorHAnsi"/>
          <w:szCs w:val="20"/>
        </w:rPr>
        <w:t>Orbera</w:t>
      </w:r>
      <w:proofErr w:type="spellEnd"/>
      <w:r>
        <w:rPr>
          <w:rFonts w:cstheme="minorHAnsi"/>
          <w:szCs w:val="20"/>
        </w:rPr>
        <w:t>™</w:t>
      </w:r>
      <w:r w:rsidR="00FE2C47" w:rsidRPr="005F4560">
        <w:rPr>
          <w:rFonts w:cstheme="minorHAnsi"/>
          <w:szCs w:val="20"/>
        </w:rPr>
        <w:t xml:space="preserve"> </w:t>
      </w:r>
      <w:proofErr w:type="spellStart"/>
      <w:r w:rsidR="00FE2C47" w:rsidRPr="005F4560">
        <w:rPr>
          <w:rFonts w:cstheme="minorHAnsi"/>
          <w:szCs w:val="20"/>
        </w:rPr>
        <w:t>Intragastric</w:t>
      </w:r>
      <w:proofErr w:type="spellEnd"/>
      <w:r w:rsidR="00FE2C47" w:rsidRPr="005F4560">
        <w:rPr>
          <w:rFonts w:cstheme="minorHAnsi"/>
          <w:szCs w:val="20"/>
        </w:rPr>
        <w:t xml:space="preserve"> Balloon is indicated for placement for a maximum of six months and is not adjustable.</w:t>
      </w:r>
    </w:p>
    <w:p w14:paraId="0009F32D" w14:textId="77777777" w:rsidR="003573BD" w:rsidRPr="005F4560" w:rsidRDefault="003573BD" w:rsidP="00CA7FD1">
      <w:pPr>
        <w:pStyle w:val="Heading2"/>
      </w:pPr>
      <w:r w:rsidRPr="005F4560">
        <w:t>If applicable, specify any proposed limitations on who might deliver the proposed medical service, or who might provide a referral for it:</w:t>
      </w:r>
    </w:p>
    <w:p w14:paraId="18C2AD70" w14:textId="04887111" w:rsidR="000D466A" w:rsidRPr="005F4560" w:rsidRDefault="00FE2C47" w:rsidP="000D466A">
      <w:pPr>
        <w:ind w:left="360"/>
        <w:rPr>
          <w:rFonts w:cstheme="minorHAnsi"/>
          <w:szCs w:val="20"/>
        </w:rPr>
      </w:pPr>
      <w:r w:rsidRPr="005F4560">
        <w:rPr>
          <w:rFonts w:cstheme="minorHAnsi"/>
          <w:szCs w:val="20"/>
        </w:rPr>
        <w:t xml:space="preserve">The placement and removal of </w:t>
      </w:r>
      <w:r w:rsidR="005F4560">
        <w:rPr>
          <w:rFonts w:cstheme="minorHAnsi"/>
          <w:szCs w:val="20"/>
        </w:rPr>
        <w:t>IGB</w:t>
      </w:r>
      <w:r w:rsidRPr="005F4560">
        <w:rPr>
          <w:rFonts w:cstheme="minorHAnsi"/>
          <w:szCs w:val="20"/>
        </w:rPr>
        <w:t xml:space="preserve"> would be limited to:</w:t>
      </w:r>
    </w:p>
    <w:p w14:paraId="3EB0621E" w14:textId="4D934775" w:rsidR="00FE2C47" w:rsidRPr="005F4560" w:rsidRDefault="00FE2C47" w:rsidP="00560B5A">
      <w:pPr>
        <w:pStyle w:val="ListParagraph"/>
        <w:numPr>
          <w:ilvl w:val="0"/>
          <w:numId w:val="18"/>
        </w:numPr>
        <w:rPr>
          <w:rFonts w:cstheme="minorHAnsi"/>
          <w:szCs w:val="20"/>
        </w:rPr>
      </w:pPr>
      <w:r w:rsidRPr="005F4560">
        <w:rPr>
          <w:rFonts w:cstheme="minorHAnsi"/>
          <w:szCs w:val="20"/>
        </w:rPr>
        <w:t>Surgeons</w:t>
      </w:r>
      <w:r w:rsidR="00D9478F" w:rsidRPr="005F4560">
        <w:rPr>
          <w:rFonts w:cstheme="minorHAnsi"/>
          <w:szCs w:val="20"/>
        </w:rPr>
        <w:t>, predominantly Bariatric, General or Upper GI surgeons</w:t>
      </w:r>
    </w:p>
    <w:p w14:paraId="5737E46A" w14:textId="13169E8C" w:rsidR="00FE2C47" w:rsidRPr="005F4560" w:rsidRDefault="000D466A" w:rsidP="00560B5A">
      <w:pPr>
        <w:pStyle w:val="ListParagraph"/>
        <w:numPr>
          <w:ilvl w:val="0"/>
          <w:numId w:val="18"/>
        </w:numPr>
        <w:rPr>
          <w:rFonts w:cstheme="minorHAnsi"/>
          <w:szCs w:val="20"/>
        </w:rPr>
      </w:pPr>
      <w:r w:rsidRPr="005F4560">
        <w:rPr>
          <w:rFonts w:cstheme="minorHAnsi"/>
          <w:szCs w:val="20"/>
        </w:rPr>
        <w:t>Gastroenterologists</w:t>
      </w:r>
    </w:p>
    <w:p w14:paraId="7F845BFB" w14:textId="0BFD1E92" w:rsidR="000D466A" w:rsidRPr="005F4560" w:rsidRDefault="00FE2C47" w:rsidP="004C7F92">
      <w:pPr>
        <w:ind w:left="360"/>
        <w:rPr>
          <w:rFonts w:cstheme="minorHAnsi"/>
          <w:szCs w:val="20"/>
        </w:rPr>
      </w:pPr>
      <w:r w:rsidRPr="005F4560">
        <w:rPr>
          <w:rFonts w:cstheme="minorHAnsi"/>
          <w:szCs w:val="20"/>
        </w:rPr>
        <w:t>Referrals for this proposed medical service would be provided by</w:t>
      </w:r>
      <w:r w:rsidR="00D9478F" w:rsidRPr="005F4560">
        <w:rPr>
          <w:rFonts w:cstheme="minorHAnsi"/>
          <w:szCs w:val="20"/>
        </w:rPr>
        <w:t>:</w:t>
      </w:r>
      <w:r w:rsidR="000D466A" w:rsidRPr="005F4560">
        <w:rPr>
          <w:rFonts w:cstheme="minorHAnsi"/>
          <w:szCs w:val="20"/>
        </w:rPr>
        <w:t xml:space="preserve"> </w:t>
      </w:r>
    </w:p>
    <w:p w14:paraId="088A774C" w14:textId="77777777" w:rsidR="00D9478F" w:rsidRPr="005F4560" w:rsidRDefault="000D466A" w:rsidP="00560B5A">
      <w:pPr>
        <w:pStyle w:val="ListParagraph"/>
        <w:numPr>
          <w:ilvl w:val="0"/>
          <w:numId w:val="18"/>
        </w:numPr>
        <w:rPr>
          <w:rFonts w:cstheme="minorHAnsi"/>
          <w:szCs w:val="20"/>
        </w:rPr>
      </w:pPr>
      <w:r w:rsidRPr="005F4560">
        <w:rPr>
          <w:rFonts w:cstheme="minorHAnsi"/>
          <w:szCs w:val="20"/>
        </w:rPr>
        <w:t>General Practitioners</w:t>
      </w:r>
    </w:p>
    <w:p w14:paraId="13C99FD2" w14:textId="6A3D3DE7" w:rsidR="000D466A" w:rsidRPr="005F4560" w:rsidRDefault="000D466A" w:rsidP="00560B5A">
      <w:pPr>
        <w:pStyle w:val="ListParagraph"/>
        <w:numPr>
          <w:ilvl w:val="0"/>
          <w:numId w:val="18"/>
        </w:numPr>
        <w:rPr>
          <w:rFonts w:cstheme="minorHAnsi"/>
          <w:szCs w:val="20"/>
        </w:rPr>
      </w:pPr>
      <w:r w:rsidRPr="005F4560">
        <w:rPr>
          <w:rFonts w:cstheme="minorHAnsi"/>
          <w:szCs w:val="20"/>
        </w:rPr>
        <w:t xml:space="preserve">Surgeons </w:t>
      </w:r>
      <w:r w:rsidR="00D9478F" w:rsidRPr="005F4560">
        <w:rPr>
          <w:rFonts w:cstheme="minorHAnsi"/>
          <w:szCs w:val="20"/>
        </w:rPr>
        <w:t>without the necessary endoscopy skills</w:t>
      </w:r>
    </w:p>
    <w:p w14:paraId="0DB02239" w14:textId="77777777" w:rsidR="00C22AD8" w:rsidRPr="005F4560" w:rsidRDefault="00C22AD8" w:rsidP="00530204">
      <w:pPr>
        <w:pStyle w:val="Heading2"/>
      </w:pPr>
      <w:r w:rsidRPr="005F4560">
        <w:t>If the proposed medical service has a prosthesis or device component to it, does it involve a new approach towards managing a particular sub-group of the population with the specific medical condition?</w:t>
      </w:r>
    </w:p>
    <w:p w14:paraId="01DE5918" w14:textId="27A69A33" w:rsidR="000D466A" w:rsidRPr="005F4560" w:rsidRDefault="000D466A" w:rsidP="00C368CD">
      <w:pPr>
        <w:ind w:left="426"/>
        <w:jc w:val="both"/>
        <w:rPr>
          <w:rFonts w:cstheme="minorHAnsi"/>
          <w:szCs w:val="20"/>
        </w:rPr>
      </w:pPr>
      <w:r w:rsidRPr="005F4560">
        <w:rPr>
          <w:rFonts w:cstheme="minorHAnsi"/>
          <w:szCs w:val="20"/>
        </w:rPr>
        <w:t xml:space="preserve">As noted earlier in questions 26 and 28, </w:t>
      </w:r>
      <w:r w:rsidR="005F4560">
        <w:rPr>
          <w:rFonts w:cstheme="minorHAnsi"/>
          <w:szCs w:val="20"/>
        </w:rPr>
        <w:t>IGB</w:t>
      </w:r>
      <w:r w:rsidRPr="005F4560">
        <w:rPr>
          <w:rFonts w:cstheme="minorHAnsi"/>
          <w:szCs w:val="20"/>
        </w:rPr>
        <w:t xml:space="preserve"> for weight loss will involve a new approach towards managing </w:t>
      </w:r>
      <w:r w:rsidR="00360E0F" w:rsidRPr="005F4560">
        <w:rPr>
          <w:rFonts w:cstheme="minorHAnsi"/>
          <w:szCs w:val="20"/>
        </w:rPr>
        <w:t xml:space="preserve">a </w:t>
      </w:r>
      <w:r w:rsidRPr="005F4560">
        <w:rPr>
          <w:rFonts w:cstheme="minorHAnsi"/>
          <w:szCs w:val="20"/>
        </w:rPr>
        <w:t>particular sub-group of patients</w:t>
      </w:r>
      <w:r w:rsidR="00B5263D" w:rsidRPr="005F4560">
        <w:rPr>
          <w:rFonts w:cstheme="minorHAnsi"/>
          <w:szCs w:val="20"/>
        </w:rPr>
        <w:t>, those with a BMI ≥30</w:t>
      </w:r>
      <w:r w:rsidR="00360E0F" w:rsidRPr="005F4560">
        <w:rPr>
          <w:rFonts w:cstheme="minorHAnsi"/>
          <w:szCs w:val="20"/>
        </w:rPr>
        <w:t>&lt;</w:t>
      </w:r>
      <w:r w:rsidR="00B5263D" w:rsidRPr="005F4560">
        <w:rPr>
          <w:rFonts w:cstheme="minorHAnsi"/>
          <w:szCs w:val="20"/>
        </w:rPr>
        <w:t>35</w:t>
      </w:r>
      <w:r w:rsidR="00360E0F" w:rsidRPr="005F4560">
        <w:rPr>
          <w:rFonts w:cstheme="minorHAnsi"/>
          <w:szCs w:val="20"/>
        </w:rPr>
        <w:t xml:space="preserve"> kg/m</w:t>
      </w:r>
      <w:r w:rsidR="00360E0F" w:rsidRPr="005F4560">
        <w:rPr>
          <w:rFonts w:cstheme="minorHAnsi"/>
          <w:szCs w:val="20"/>
          <w:vertAlign w:val="superscript"/>
        </w:rPr>
        <w:t>2</w:t>
      </w:r>
      <w:r w:rsidR="00B5263D" w:rsidRPr="005F4560">
        <w:rPr>
          <w:rFonts w:cstheme="minorHAnsi"/>
          <w:szCs w:val="20"/>
        </w:rPr>
        <w:t>, and aged ≥18 years</w:t>
      </w:r>
      <w:r w:rsidRPr="005F4560">
        <w:rPr>
          <w:rFonts w:cstheme="minorHAnsi"/>
          <w:szCs w:val="20"/>
        </w:rPr>
        <w:t xml:space="preserve"> </w:t>
      </w:r>
      <w:r w:rsidR="00DF3EEB" w:rsidRPr="005F4560">
        <w:rPr>
          <w:rFonts w:cstheme="minorHAnsi"/>
          <w:szCs w:val="20"/>
        </w:rPr>
        <w:t>with</w:t>
      </w:r>
      <w:r w:rsidRPr="005F4560">
        <w:rPr>
          <w:rFonts w:cstheme="minorHAnsi"/>
          <w:szCs w:val="20"/>
        </w:rPr>
        <w:t xml:space="preserve"> co-morbidities.  Currently</w:t>
      </w:r>
      <w:r w:rsidR="00B5263D" w:rsidRPr="005F4560">
        <w:rPr>
          <w:rFonts w:cstheme="minorHAnsi"/>
          <w:szCs w:val="20"/>
        </w:rPr>
        <w:t>,</w:t>
      </w:r>
      <w:r w:rsidRPr="005F4560">
        <w:rPr>
          <w:rFonts w:cstheme="minorHAnsi"/>
          <w:szCs w:val="20"/>
        </w:rPr>
        <w:t xml:space="preserve"> this group of patients is not eligible for bariatric surgery, though the </w:t>
      </w:r>
      <w:r w:rsidR="00B5263D" w:rsidRPr="005F4560">
        <w:rPr>
          <w:rFonts w:cstheme="minorHAnsi"/>
          <w:szCs w:val="20"/>
        </w:rPr>
        <w:t xml:space="preserve">clinical </w:t>
      </w:r>
      <w:r w:rsidRPr="005F4560">
        <w:rPr>
          <w:rFonts w:cstheme="minorHAnsi"/>
          <w:szCs w:val="20"/>
        </w:rPr>
        <w:t xml:space="preserve">benefits to this group have been shown.  The lack of availability of bariatric surgery to this group is based on the perception that it is not cost-effective.  </w:t>
      </w:r>
      <w:r w:rsidR="00932E2E" w:rsidRPr="005F4560">
        <w:rPr>
          <w:rFonts w:cstheme="minorHAnsi"/>
          <w:szCs w:val="20"/>
        </w:rPr>
        <w:t>IGB</w:t>
      </w:r>
      <w:r w:rsidR="00C368CD" w:rsidRPr="005F4560">
        <w:rPr>
          <w:rFonts w:cstheme="minorHAnsi"/>
          <w:szCs w:val="20"/>
        </w:rPr>
        <w:t xml:space="preserve"> is a viable alternative to bar</w:t>
      </w:r>
      <w:r w:rsidR="00E30110">
        <w:rPr>
          <w:rFonts w:cstheme="minorHAnsi"/>
          <w:szCs w:val="20"/>
        </w:rPr>
        <w:t>iatric surgery for patients who</w:t>
      </w:r>
      <w:r w:rsidR="00C368CD" w:rsidRPr="005F4560">
        <w:rPr>
          <w:rFonts w:cstheme="minorHAnsi"/>
          <w:szCs w:val="20"/>
        </w:rPr>
        <w:t xml:space="preserve"> fail weight loss or exercise programs or fail/ cannot tolerate weight loss medication.  </w:t>
      </w:r>
      <w:r w:rsidRPr="005F4560">
        <w:rPr>
          <w:rFonts w:cstheme="minorHAnsi"/>
          <w:szCs w:val="20"/>
        </w:rPr>
        <w:t xml:space="preserve">However, with the lower cost </w:t>
      </w:r>
      <w:r w:rsidR="00932E2E" w:rsidRPr="005F4560">
        <w:rPr>
          <w:rFonts w:cstheme="minorHAnsi"/>
          <w:szCs w:val="20"/>
        </w:rPr>
        <w:t>IGB</w:t>
      </w:r>
      <w:r w:rsidRPr="005F4560">
        <w:rPr>
          <w:rFonts w:cstheme="minorHAnsi"/>
          <w:szCs w:val="20"/>
        </w:rPr>
        <w:t xml:space="preserve">, treating this group </w:t>
      </w:r>
      <w:r w:rsidR="00B5263D" w:rsidRPr="005F4560">
        <w:rPr>
          <w:rFonts w:cstheme="minorHAnsi"/>
          <w:szCs w:val="20"/>
        </w:rPr>
        <w:t xml:space="preserve">can </w:t>
      </w:r>
      <w:r w:rsidRPr="005F4560">
        <w:rPr>
          <w:rFonts w:cstheme="minorHAnsi"/>
          <w:szCs w:val="20"/>
        </w:rPr>
        <w:t>be shown to be cost-effective</w:t>
      </w:r>
      <w:r w:rsidR="00DF3EEB" w:rsidRPr="005F4560">
        <w:rPr>
          <w:rFonts w:cstheme="minorHAnsi"/>
          <w:szCs w:val="20"/>
        </w:rPr>
        <w:t xml:space="preserve"> and </w:t>
      </w:r>
      <w:r w:rsidR="00442482" w:rsidRPr="005F4560">
        <w:rPr>
          <w:rFonts w:cstheme="minorHAnsi"/>
          <w:szCs w:val="20"/>
        </w:rPr>
        <w:t>thereby providing</w:t>
      </w:r>
      <w:r w:rsidR="00DF3EEB" w:rsidRPr="005F4560">
        <w:rPr>
          <w:rFonts w:cstheme="minorHAnsi"/>
          <w:szCs w:val="20"/>
        </w:rPr>
        <w:t xml:space="preserve"> </w:t>
      </w:r>
      <w:r w:rsidR="00B5263D" w:rsidRPr="005F4560">
        <w:rPr>
          <w:rFonts w:cstheme="minorHAnsi"/>
          <w:szCs w:val="20"/>
        </w:rPr>
        <w:t>a treatment option for this patient group that</w:t>
      </w:r>
      <w:r w:rsidR="00DF3EEB" w:rsidRPr="005F4560">
        <w:rPr>
          <w:rFonts w:cstheme="minorHAnsi"/>
          <w:szCs w:val="20"/>
        </w:rPr>
        <w:t xml:space="preserve"> may otherwise be ineligible</w:t>
      </w:r>
      <w:r w:rsidR="00B5263D" w:rsidRPr="005F4560">
        <w:rPr>
          <w:rFonts w:cstheme="minorHAnsi"/>
          <w:szCs w:val="20"/>
        </w:rPr>
        <w:t>.</w:t>
      </w:r>
    </w:p>
    <w:p w14:paraId="4A0C9EF2" w14:textId="77777777" w:rsidR="006B1B49" w:rsidRPr="005F4560" w:rsidRDefault="006B1B49" w:rsidP="00530204">
      <w:pPr>
        <w:pStyle w:val="Heading2"/>
      </w:pPr>
      <w:r w:rsidRPr="005F4560">
        <w:t xml:space="preserve">If applicable, are there any limitations on the </w:t>
      </w:r>
      <w:r w:rsidR="00DF0C51" w:rsidRPr="005F4560">
        <w:t xml:space="preserve">provision </w:t>
      </w:r>
      <w:r w:rsidRPr="005F4560">
        <w:t>of the proposed medical se</w:t>
      </w:r>
      <w:r w:rsidR="00DF0C51" w:rsidRPr="005F4560">
        <w:t xml:space="preserve">rvice delivered to the patient </w:t>
      </w:r>
      <w:r w:rsidR="00D30BDC" w:rsidRPr="005F4560">
        <w:t>(</w:t>
      </w:r>
      <w:r w:rsidR="00DF0C51" w:rsidRPr="005F4560">
        <w:t>i</w:t>
      </w:r>
      <w:r w:rsidR="00812EDD" w:rsidRPr="005F4560">
        <w:t>.</w:t>
      </w:r>
      <w:r w:rsidR="00DF0C51" w:rsidRPr="005F4560">
        <w:t xml:space="preserve">e. </w:t>
      </w:r>
      <w:r w:rsidR="00707D4D" w:rsidRPr="005F4560">
        <w:t xml:space="preserve">accessibility, </w:t>
      </w:r>
      <w:r w:rsidR="00DF0C51" w:rsidRPr="005F4560">
        <w:t>dosage, quantity, duration or frequency</w:t>
      </w:r>
      <w:r w:rsidR="00D30BDC" w:rsidRPr="005F4560">
        <w:t>)</w:t>
      </w:r>
      <w:r w:rsidR="00AE1188" w:rsidRPr="005F4560">
        <w:t>:</w:t>
      </w:r>
    </w:p>
    <w:p w14:paraId="3712B047" w14:textId="7310091D" w:rsidR="00FE5D85" w:rsidRPr="005F4560" w:rsidRDefault="00FE5D85" w:rsidP="00712571">
      <w:pPr>
        <w:ind w:left="360"/>
        <w:rPr>
          <w:rFonts w:cstheme="minorHAnsi"/>
          <w:szCs w:val="20"/>
        </w:rPr>
      </w:pPr>
      <w:r w:rsidRPr="005F4560">
        <w:rPr>
          <w:rFonts w:cstheme="minorHAnsi"/>
          <w:szCs w:val="20"/>
        </w:rPr>
        <w:t xml:space="preserve">Placement of an </w:t>
      </w:r>
      <w:proofErr w:type="spellStart"/>
      <w:r w:rsidRPr="005F4560">
        <w:rPr>
          <w:rFonts w:cstheme="minorHAnsi"/>
          <w:szCs w:val="20"/>
        </w:rPr>
        <w:t>intragastric</w:t>
      </w:r>
      <w:proofErr w:type="spellEnd"/>
      <w:r w:rsidRPr="005F4560">
        <w:rPr>
          <w:rFonts w:cstheme="minorHAnsi"/>
          <w:szCs w:val="20"/>
        </w:rPr>
        <w:t xml:space="preserve"> balloon</w:t>
      </w:r>
      <w:r w:rsidR="00932E2E" w:rsidRPr="005F4560">
        <w:rPr>
          <w:rFonts w:cstheme="minorHAnsi"/>
          <w:szCs w:val="20"/>
        </w:rPr>
        <w:t xml:space="preserve"> (IGB)</w:t>
      </w:r>
      <w:r w:rsidRPr="005F4560">
        <w:rPr>
          <w:rFonts w:cstheme="minorHAnsi"/>
          <w:szCs w:val="20"/>
        </w:rPr>
        <w:t xml:space="preserve"> is indicated for overweight or obese patients only with a minimum BMI of 27 kg/m</w:t>
      </w:r>
      <w:r w:rsidRPr="005F4560">
        <w:rPr>
          <w:rFonts w:cstheme="minorHAnsi"/>
          <w:szCs w:val="20"/>
          <w:vertAlign w:val="superscript"/>
        </w:rPr>
        <w:t>2</w:t>
      </w:r>
      <w:r w:rsidRPr="005F4560">
        <w:rPr>
          <w:rFonts w:cstheme="minorHAnsi"/>
          <w:szCs w:val="20"/>
        </w:rPr>
        <w:t>. I</w:t>
      </w:r>
      <w:r w:rsidR="00E00810" w:rsidRPr="005F4560">
        <w:rPr>
          <w:rFonts w:cstheme="minorHAnsi"/>
          <w:szCs w:val="20"/>
        </w:rPr>
        <w:t>n addition, this medical service is contraindicated for patients who:</w:t>
      </w:r>
    </w:p>
    <w:p w14:paraId="37048A7B" w14:textId="3284FF7A" w:rsidR="00E00810" w:rsidRPr="005F4560" w:rsidRDefault="00E00810" w:rsidP="00560B5A">
      <w:pPr>
        <w:pStyle w:val="ListParagraph"/>
        <w:numPr>
          <w:ilvl w:val="0"/>
          <w:numId w:val="20"/>
        </w:numPr>
        <w:rPr>
          <w:rFonts w:cstheme="minorHAnsi"/>
          <w:szCs w:val="20"/>
        </w:rPr>
      </w:pPr>
      <w:r w:rsidRPr="005F4560">
        <w:rPr>
          <w:rFonts w:cstheme="minorHAnsi"/>
          <w:szCs w:val="20"/>
        </w:rPr>
        <w:t>Are pregnant or breast-feeding</w:t>
      </w:r>
    </w:p>
    <w:p w14:paraId="0C93B7DD" w14:textId="0D6DFD4E" w:rsidR="00E00810" w:rsidRPr="005F4560" w:rsidRDefault="00E00810" w:rsidP="00560B5A">
      <w:pPr>
        <w:pStyle w:val="ListParagraph"/>
        <w:numPr>
          <w:ilvl w:val="0"/>
          <w:numId w:val="20"/>
        </w:numPr>
        <w:rPr>
          <w:rFonts w:cstheme="minorHAnsi"/>
          <w:szCs w:val="20"/>
        </w:rPr>
      </w:pPr>
      <w:r w:rsidRPr="005F4560">
        <w:rPr>
          <w:rFonts w:cstheme="minorHAnsi"/>
          <w:szCs w:val="20"/>
        </w:rPr>
        <w:t>Have had prior gastrointestinal surgery</w:t>
      </w:r>
    </w:p>
    <w:p w14:paraId="1F4F4DE3" w14:textId="04AC2653" w:rsidR="00E00810" w:rsidRPr="005F4560" w:rsidRDefault="00E00810" w:rsidP="00560B5A">
      <w:pPr>
        <w:pStyle w:val="ListParagraph"/>
        <w:numPr>
          <w:ilvl w:val="0"/>
          <w:numId w:val="20"/>
        </w:numPr>
        <w:rPr>
          <w:rFonts w:cstheme="minorHAnsi"/>
          <w:szCs w:val="20"/>
        </w:rPr>
      </w:pPr>
      <w:r w:rsidRPr="005F4560">
        <w:rPr>
          <w:rFonts w:cstheme="minorHAnsi"/>
          <w:szCs w:val="20"/>
        </w:rPr>
        <w:t>Have had or currently have any inflammatory disease of the gastrointestinal tract including oesophagitis, gastric ulceration, duodenal ulceration, cancer or specific inflammation such as Crohn’s disease</w:t>
      </w:r>
    </w:p>
    <w:p w14:paraId="53FA9F15" w14:textId="33FE344E" w:rsidR="00E00810" w:rsidRPr="005F4560" w:rsidRDefault="00E00810" w:rsidP="00560B5A">
      <w:pPr>
        <w:pStyle w:val="ListParagraph"/>
        <w:numPr>
          <w:ilvl w:val="0"/>
          <w:numId w:val="20"/>
        </w:numPr>
        <w:rPr>
          <w:rFonts w:cstheme="minorHAnsi"/>
          <w:szCs w:val="20"/>
        </w:rPr>
      </w:pPr>
      <w:r w:rsidRPr="005F4560">
        <w:rPr>
          <w:rFonts w:cstheme="minorHAnsi"/>
          <w:szCs w:val="20"/>
        </w:rPr>
        <w:t xml:space="preserve">Have had or currently have any potential upper gastrointestinal bleeding conditions such as oesophageal or gastric varices, congenital or acquired intestinal </w:t>
      </w:r>
      <w:proofErr w:type="spellStart"/>
      <w:r w:rsidRPr="005F4560">
        <w:rPr>
          <w:rFonts w:cstheme="minorHAnsi"/>
          <w:szCs w:val="20"/>
        </w:rPr>
        <w:t>telangiectasis</w:t>
      </w:r>
      <w:proofErr w:type="spellEnd"/>
      <w:r w:rsidRPr="005F4560">
        <w:rPr>
          <w:rFonts w:cstheme="minorHAnsi"/>
          <w:szCs w:val="20"/>
        </w:rPr>
        <w:t xml:space="preserve">, or other </w:t>
      </w:r>
      <w:proofErr w:type="spellStart"/>
      <w:r w:rsidRPr="005F4560">
        <w:rPr>
          <w:rFonts w:cstheme="minorHAnsi"/>
          <w:szCs w:val="20"/>
        </w:rPr>
        <w:t>other</w:t>
      </w:r>
      <w:proofErr w:type="spellEnd"/>
      <w:r w:rsidRPr="005F4560">
        <w:rPr>
          <w:rFonts w:cstheme="minorHAnsi"/>
          <w:szCs w:val="20"/>
        </w:rPr>
        <w:t xml:space="preserve"> congenital anomalies of the gastrointestinal tract such as </w:t>
      </w:r>
      <w:proofErr w:type="spellStart"/>
      <w:r w:rsidRPr="005F4560">
        <w:rPr>
          <w:rFonts w:cstheme="minorHAnsi"/>
          <w:szCs w:val="20"/>
        </w:rPr>
        <w:t>atresias</w:t>
      </w:r>
      <w:proofErr w:type="spellEnd"/>
      <w:r w:rsidRPr="005F4560">
        <w:rPr>
          <w:rFonts w:cstheme="minorHAnsi"/>
          <w:szCs w:val="20"/>
        </w:rPr>
        <w:t xml:space="preserve"> or </w:t>
      </w:r>
      <w:proofErr w:type="spellStart"/>
      <w:r w:rsidRPr="005F4560">
        <w:rPr>
          <w:rFonts w:cstheme="minorHAnsi"/>
          <w:szCs w:val="20"/>
        </w:rPr>
        <w:t>stenoses</w:t>
      </w:r>
      <w:proofErr w:type="spellEnd"/>
      <w:r w:rsidRPr="005F4560">
        <w:rPr>
          <w:rFonts w:cstheme="minorHAnsi"/>
          <w:szCs w:val="20"/>
        </w:rPr>
        <w:t>.</w:t>
      </w:r>
    </w:p>
    <w:p w14:paraId="3A2950BB" w14:textId="612DB82C" w:rsidR="00E00810" w:rsidRPr="005F4560" w:rsidRDefault="00E00810" w:rsidP="00560B5A">
      <w:pPr>
        <w:pStyle w:val="ListParagraph"/>
        <w:numPr>
          <w:ilvl w:val="0"/>
          <w:numId w:val="20"/>
        </w:numPr>
        <w:rPr>
          <w:rFonts w:cstheme="minorHAnsi"/>
          <w:szCs w:val="20"/>
        </w:rPr>
      </w:pPr>
      <w:r w:rsidRPr="005F4560">
        <w:rPr>
          <w:rFonts w:cstheme="minorHAnsi"/>
          <w:szCs w:val="20"/>
        </w:rPr>
        <w:t>Have a large hiatal hernia or &gt; 5cm hernia</w:t>
      </w:r>
    </w:p>
    <w:p w14:paraId="5E0AD8D8" w14:textId="78C5A351" w:rsidR="00E00810" w:rsidRPr="005F4560" w:rsidRDefault="00E00810" w:rsidP="00560B5A">
      <w:pPr>
        <w:pStyle w:val="ListParagraph"/>
        <w:numPr>
          <w:ilvl w:val="0"/>
          <w:numId w:val="20"/>
        </w:numPr>
        <w:rPr>
          <w:rFonts w:cstheme="minorHAnsi"/>
          <w:szCs w:val="20"/>
        </w:rPr>
      </w:pPr>
      <w:r w:rsidRPr="005F4560">
        <w:rPr>
          <w:rFonts w:cstheme="minorHAnsi"/>
          <w:szCs w:val="20"/>
        </w:rPr>
        <w:t>Have a structural abnormality in the oesophagus or pharynx such as a stricture or diverticulum</w:t>
      </w:r>
    </w:p>
    <w:p w14:paraId="29E95DF1" w14:textId="0405F1F7" w:rsidR="00E00810" w:rsidRPr="005F4560" w:rsidRDefault="00E00810" w:rsidP="00560B5A">
      <w:pPr>
        <w:pStyle w:val="ListParagraph"/>
        <w:numPr>
          <w:ilvl w:val="0"/>
          <w:numId w:val="20"/>
        </w:numPr>
        <w:rPr>
          <w:rFonts w:cstheme="minorHAnsi"/>
          <w:szCs w:val="20"/>
        </w:rPr>
      </w:pPr>
      <w:r w:rsidRPr="005F4560">
        <w:rPr>
          <w:rFonts w:cstheme="minorHAnsi"/>
          <w:szCs w:val="20"/>
        </w:rPr>
        <w:t>Have any other medical condition which would not permit elective endoscopy</w:t>
      </w:r>
    </w:p>
    <w:p w14:paraId="5117402D" w14:textId="397504F3" w:rsidR="00E00810" w:rsidRPr="005F4560" w:rsidRDefault="00E00810" w:rsidP="00560B5A">
      <w:pPr>
        <w:pStyle w:val="ListParagraph"/>
        <w:numPr>
          <w:ilvl w:val="0"/>
          <w:numId w:val="20"/>
        </w:numPr>
        <w:rPr>
          <w:rFonts w:cstheme="minorHAnsi"/>
          <w:szCs w:val="20"/>
        </w:rPr>
      </w:pPr>
      <w:r w:rsidRPr="005F4560">
        <w:rPr>
          <w:rFonts w:cstheme="minorHAnsi"/>
          <w:szCs w:val="20"/>
        </w:rPr>
        <w:t>Have a major prior or present psychological disorder</w:t>
      </w:r>
    </w:p>
    <w:p w14:paraId="73204E9E" w14:textId="493964B1" w:rsidR="00E00810" w:rsidRPr="005F4560" w:rsidRDefault="00E00810" w:rsidP="00560B5A">
      <w:pPr>
        <w:pStyle w:val="ListParagraph"/>
        <w:numPr>
          <w:ilvl w:val="0"/>
          <w:numId w:val="20"/>
        </w:numPr>
        <w:rPr>
          <w:rFonts w:cstheme="minorHAnsi"/>
          <w:szCs w:val="20"/>
        </w:rPr>
      </w:pPr>
      <w:r w:rsidRPr="005F4560">
        <w:rPr>
          <w:rFonts w:cstheme="minorHAnsi"/>
          <w:szCs w:val="20"/>
        </w:rPr>
        <w:t>Have alcoholism or drug addiction</w:t>
      </w:r>
    </w:p>
    <w:p w14:paraId="594BBA5D" w14:textId="482AAA45" w:rsidR="00E00810" w:rsidRPr="005F4560" w:rsidRDefault="00E00810" w:rsidP="00560B5A">
      <w:pPr>
        <w:pStyle w:val="ListParagraph"/>
        <w:numPr>
          <w:ilvl w:val="0"/>
          <w:numId w:val="20"/>
        </w:numPr>
        <w:rPr>
          <w:rFonts w:cstheme="minorHAnsi"/>
          <w:szCs w:val="20"/>
        </w:rPr>
      </w:pPr>
      <w:r w:rsidRPr="005F4560">
        <w:rPr>
          <w:rFonts w:cstheme="minorHAnsi"/>
          <w:szCs w:val="20"/>
        </w:rPr>
        <w:t>Are unwilling to participate in an established medically-supervised diet and behaviour modification programme, with routine medical follow-up</w:t>
      </w:r>
    </w:p>
    <w:p w14:paraId="27D2EE43" w14:textId="090A1D05" w:rsidR="00E00810" w:rsidRPr="005F4560" w:rsidRDefault="00E00810" w:rsidP="00560B5A">
      <w:pPr>
        <w:pStyle w:val="ListParagraph"/>
        <w:numPr>
          <w:ilvl w:val="0"/>
          <w:numId w:val="20"/>
        </w:numPr>
        <w:rPr>
          <w:rFonts w:cstheme="minorHAnsi"/>
          <w:szCs w:val="20"/>
        </w:rPr>
      </w:pPr>
      <w:r w:rsidRPr="005F4560">
        <w:rPr>
          <w:rFonts w:cstheme="minorHAnsi"/>
          <w:szCs w:val="20"/>
        </w:rPr>
        <w:t>Are receiving aspirin, anti-inflammatory agents, anticoagulants or other gastric irritants, not under medical supervision</w:t>
      </w:r>
    </w:p>
    <w:p w14:paraId="1ECEB56B" w14:textId="77777777" w:rsidR="00791C8D" w:rsidRPr="005F4560" w:rsidRDefault="00791C8D" w:rsidP="00530204">
      <w:pPr>
        <w:pStyle w:val="Heading2"/>
      </w:pPr>
      <w:r w:rsidRPr="005F4560">
        <w:t xml:space="preserve">If applicable, identify any healthcare resources </w:t>
      </w:r>
      <w:r w:rsidR="007522E3" w:rsidRPr="005F4560">
        <w:t xml:space="preserve">or other medical services </w:t>
      </w:r>
      <w:r w:rsidRPr="005F4560">
        <w:t xml:space="preserve">that would need to be delivered </w:t>
      </w:r>
      <w:r w:rsidRPr="005F4560">
        <w:rPr>
          <w:u w:val="single"/>
        </w:rPr>
        <w:t>at the same time</w:t>
      </w:r>
      <w:r w:rsidRPr="005F4560">
        <w:t xml:space="preserve"> </w:t>
      </w:r>
      <w:r w:rsidR="00197D29" w:rsidRPr="005F4560">
        <w:t>as the proposed medical service:</w:t>
      </w:r>
    </w:p>
    <w:p w14:paraId="7B1283CA" w14:textId="7D10377D" w:rsidR="00791C8D" w:rsidRPr="005F4560" w:rsidRDefault="00712571" w:rsidP="00736380">
      <w:pPr>
        <w:ind w:left="360"/>
        <w:jc w:val="both"/>
        <w:rPr>
          <w:rFonts w:cstheme="minorHAnsi"/>
          <w:szCs w:val="20"/>
        </w:rPr>
      </w:pPr>
      <w:r w:rsidRPr="005F4560">
        <w:rPr>
          <w:rFonts w:cstheme="minorHAnsi"/>
          <w:szCs w:val="20"/>
        </w:rPr>
        <w:t xml:space="preserve">Service delivery would require an anaesthetist to provide patient sedation </w:t>
      </w:r>
      <w:r w:rsidR="00F36D7D" w:rsidRPr="005F4560">
        <w:rPr>
          <w:rFonts w:cstheme="minorHAnsi"/>
          <w:szCs w:val="20"/>
        </w:rPr>
        <w:t xml:space="preserve">and </w:t>
      </w:r>
      <w:r w:rsidRPr="005F4560">
        <w:rPr>
          <w:rFonts w:cstheme="minorHAnsi"/>
          <w:szCs w:val="20"/>
        </w:rPr>
        <w:t>patient monitoring during the course of the service</w:t>
      </w:r>
      <w:r w:rsidR="00F36D7D" w:rsidRPr="005F4560">
        <w:rPr>
          <w:rFonts w:cstheme="minorHAnsi"/>
          <w:szCs w:val="20"/>
        </w:rPr>
        <w:t xml:space="preserve">. </w:t>
      </w:r>
      <w:r w:rsidR="00A1366F" w:rsidRPr="005F4560">
        <w:rPr>
          <w:rFonts w:cstheme="minorHAnsi"/>
          <w:szCs w:val="20"/>
        </w:rPr>
        <w:t xml:space="preserve"> Such s</w:t>
      </w:r>
      <w:r w:rsidR="00F36D7D" w:rsidRPr="005F4560">
        <w:rPr>
          <w:rFonts w:cstheme="minorHAnsi"/>
          <w:szCs w:val="20"/>
        </w:rPr>
        <w:t>ervices would include:</w:t>
      </w:r>
    </w:p>
    <w:p w14:paraId="1056C5E3" w14:textId="0457B1F9" w:rsidR="00712571" w:rsidRPr="005F4560" w:rsidRDefault="00712571" w:rsidP="00736380">
      <w:pPr>
        <w:ind w:left="360"/>
        <w:jc w:val="both"/>
        <w:rPr>
          <w:rFonts w:cstheme="minorHAnsi"/>
          <w:szCs w:val="20"/>
        </w:rPr>
      </w:pPr>
      <w:r w:rsidRPr="005F4560">
        <w:rPr>
          <w:rFonts w:cstheme="minorHAnsi"/>
          <w:szCs w:val="20"/>
        </w:rPr>
        <w:t>MBS Code:</w:t>
      </w:r>
      <w:r w:rsidR="00745655" w:rsidRPr="005F4560">
        <w:rPr>
          <w:rFonts w:cstheme="minorHAnsi"/>
          <w:szCs w:val="20"/>
        </w:rPr>
        <w:t xml:space="preserve"> </w:t>
      </w:r>
      <w:r w:rsidR="00F36D7D" w:rsidRPr="005F4560">
        <w:rPr>
          <w:rFonts w:cstheme="minorHAnsi"/>
          <w:szCs w:val="20"/>
        </w:rPr>
        <w:t>17610 Pre-anaesthesia consultation, limited examination, up to 15 minutes</w:t>
      </w:r>
    </w:p>
    <w:p w14:paraId="69049B23" w14:textId="2AF18A30" w:rsidR="00F36D7D" w:rsidRPr="005F4560" w:rsidRDefault="00F36D7D" w:rsidP="00736380">
      <w:pPr>
        <w:ind w:left="360"/>
        <w:jc w:val="both"/>
        <w:rPr>
          <w:rFonts w:cstheme="minorHAnsi"/>
          <w:szCs w:val="20"/>
        </w:rPr>
      </w:pPr>
      <w:r w:rsidRPr="005F4560">
        <w:rPr>
          <w:rFonts w:cstheme="minorHAnsi"/>
          <w:szCs w:val="20"/>
        </w:rPr>
        <w:lastRenderedPageBreak/>
        <w:t xml:space="preserve">MBS Code: 20740 Initiation of management of anaesthesia for upper gastrointestinal endoscopic procedures </w:t>
      </w:r>
    </w:p>
    <w:p w14:paraId="0F4F0FC2" w14:textId="27D8C528" w:rsidR="00F36D7D" w:rsidRPr="005F4560" w:rsidRDefault="00F36D7D" w:rsidP="00736380">
      <w:pPr>
        <w:ind w:left="360"/>
        <w:jc w:val="both"/>
        <w:rPr>
          <w:rFonts w:cstheme="minorHAnsi"/>
          <w:szCs w:val="20"/>
        </w:rPr>
      </w:pPr>
      <w:r w:rsidRPr="005F4560">
        <w:rPr>
          <w:rFonts w:cstheme="minorHAnsi"/>
          <w:szCs w:val="20"/>
        </w:rPr>
        <w:t>MBS Code: 23031 Anaesthesia time</w:t>
      </w:r>
      <w:r w:rsidR="00A1366F" w:rsidRPr="005F4560">
        <w:rPr>
          <w:rFonts w:cstheme="minorHAnsi"/>
          <w:szCs w:val="20"/>
        </w:rPr>
        <w:t xml:space="preserve"> </w:t>
      </w:r>
      <w:r w:rsidRPr="005F4560">
        <w:rPr>
          <w:rFonts w:cstheme="minorHAnsi"/>
          <w:szCs w:val="20"/>
        </w:rPr>
        <w:t>- 31 to 35 minutes</w:t>
      </w:r>
    </w:p>
    <w:p w14:paraId="6BF23F59" w14:textId="5C70DD46" w:rsidR="00712571" w:rsidRPr="005F4560" w:rsidRDefault="00712571" w:rsidP="00736380">
      <w:pPr>
        <w:ind w:left="360"/>
        <w:jc w:val="both"/>
        <w:rPr>
          <w:rFonts w:cstheme="minorHAnsi"/>
          <w:szCs w:val="20"/>
        </w:rPr>
      </w:pPr>
      <w:r w:rsidRPr="005F4560">
        <w:rPr>
          <w:rFonts w:cstheme="minorHAnsi"/>
          <w:szCs w:val="20"/>
        </w:rPr>
        <w:t xml:space="preserve">The </w:t>
      </w:r>
      <w:r w:rsidR="00F36D7D" w:rsidRPr="005F4560">
        <w:rPr>
          <w:rFonts w:cstheme="minorHAnsi"/>
          <w:szCs w:val="20"/>
        </w:rPr>
        <w:t xml:space="preserve">implanting physician </w:t>
      </w:r>
      <w:r w:rsidRPr="005F4560">
        <w:rPr>
          <w:rFonts w:cstheme="minorHAnsi"/>
          <w:szCs w:val="20"/>
        </w:rPr>
        <w:t xml:space="preserve">would require assistance </w:t>
      </w:r>
      <w:r w:rsidR="00F36D7D" w:rsidRPr="005F4560">
        <w:rPr>
          <w:rFonts w:cstheme="minorHAnsi"/>
          <w:szCs w:val="20"/>
        </w:rPr>
        <w:t>from an endoscopy nurse during</w:t>
      </w:r>
      <w:r w:rsidRPr="005F4560">
        <w:rPr>
          <w:rFonts w:cstheme="minorHAnsi"/>
          <w:szCs w:val="20"/>
        </w:rPr>
        <w:t xml:space="preserve"> delivery of the service. </w:t>
      </w:r>
    </w:p>
    <w:p w14:paraId="477527C7" w14:textId="77777777" w:rsidR="00B17E26" w:rsidRPr="005F4560" w:rsidRDefault="00B17E26" w:rsidP="00530204">
      <w:pPr>
        <w:pStyle w:val="Heading2"/>
      </w:pPr>
      <w:r w:rsidRPr="005F4560">
        <w:t>If applicable, advise which health profession</w:t>
      </w:r>
      <w:r w:rsidR="00E4321E" w:rsidRPr="005F4560">
        <w:t xml:space="preserve">als </w:t>
      </w:r>
      <w:r w:rsidRPr="005F4560">
        <w:t>will</w:t>
      </w:r>
      <w:r w:rsidR="00E4321E" w:rsidRPr="005F4560">
        <w:t xml:space="preserve"> </w:t>
      </w:r>
      <w:r w:rsidR="007D2358" w:rsidRPr="005F4560">
        <w:t xml:space="preserve">primarily deliver the </w:t>
      </w:r>
      <w:r w:rsidR="00E4321E" w:rsidRPr="005F4560">
        <w:t xml:space="preserve">proposed </w:t>
      </w:r>
      <w:r w:rsidR="00AE1188" w:rsidRPr="005F4560">
        <w:t>service:</w:t>
      </w:r>
    </w:p>
    <w:p w14:paraId="7483CD3D" w14:textId="3565B5D9" w:rsidR="00EA65BB" w:rsidRPr="005F4560" w:rsidRDefault="00F36D7D" w:rsidP="00EA65BB">
      <w:pPr>
        <w:ind w:left="360"/>
        <w:rPr>
          <w:rFonts w:cstheme="minorHAnsi"/>
          <w:szCs w:val="20"/>
        </w:rPr>
      </w:pPr>
      <w:r w:rsidRPr="005F4560">
        <w:rPr>
          <w:rFonts w:cstheme="minorHAnsi"/>
          <w:szCs w:val="20"/>
        </w:rPr>
        <w:t xml:space="preserve">Surgeons or </w:t>
      </w:r>
      <w:r w:rsidR="003A1397" w:rsidRPr="005F4560">
        <w:rPr>
          <w:rFonts w:cstheme="minorHAnsi"/>
          <w:szCs w:val="20"/>
        </w:rPr>
        <w:t>g</w:t>
      </w:r>
      <w:r w:rsidR="00EA65BB" w:rsidRPr="005F4560">
        <w:rPr>
          <w:rFonts w:cstheme="minorHAnsi"/>
          <w:szCs w:val="20"/>
        </w:rPr>
        <w:t>astroenterologists will primarily deliver the service.</w:t>
      </w:r>
    </w:p>
    <w:p w14:paraId="773BF726" w14:textId="77777777" w:rsidR="00B17E26" w:rsidRPr="005F4560" w:rsidRDefault="00B17E26" w:rsidP="00530204">
      <w:pPr>
        <w:pStyle w:val="Heading2"/>
      </w:pPr>
      <w:r w:rsidRPr="005F4560">
        <w:t>If applicable, advise whether the proposed medical service could be delegated or referred to another professional for delive</w:t>
      </w:r>
      <w:r w:rsidR="00AE1188" w:rsidRPr="005F4560">
        <w:t>ry:</w:t>
      </w:r>
    </w:p>
    <w:p w14:paraId="52856451" w14:textId="30A01543" w:rsidR="00EA65BB" w:rsidRPr="005F4560" w:rsidRDefault="00EA65BB" w:rsidP="00EA65BB">
      <w:pPr>
        <w:ind w:left="360"/>
        <w:rPr>
          <w:rFonts w:cstheme="minorHAnsi"/>
          <w:szCs w:val="20"/>
        </w:rPr>
      </w:pPr>
      <w:r w:rsidRPr="005F4560">
        <w:rPr>
          <w:rFonts w:cstheme="minorHAnsi"/>
          <w:szCs w:val="20"/>
        </w:rPr>
        <w:t xml:space="preserve">Delivery should be restricted to </w:t>
      </w:r>
      <w:r w:rsidR="003A1397" w:rsidRPr="005F4560">
        <w:rPr>
          <w:rFonts w:cstheme="minorHAnsi"/>
          <w:szCs w:val="20"/>
        </w:rPr>
        <w:t>surgeons or gastroenterologists.</w:t>
      </w:r>
    </w:p>
    <w:p w14:paraId="62664679" w14:textId="77777777" w:rsidR="00EA0E25" w:rsidRPr="005F4560" w:rsidRDefault="00EA0E25" w:rsidP="00EE677C">
      <w:pPr>
        <w:pStyle w:val="Heading2"/>
      </w:pPr>
      <w:r w:rsidRPr="005F4560">
        <w:t xml:space="preserve">If applicable, </w:t>
      </w:r>
      <w:proofErr w:type="gramStart"/>
      <w:r w:rsidRPr="005F4560">
        <w:t>advise</w:t>
      </w:r>
      <w:proofErr w:type="gramEnd"/>
      <w:r w:rsidRPr="005F4560">
        <w:t xml:space="preserve"> what type of training </w:t>
      </w:r>
      <w:r w:rsidR="009C03FB" w:rsidRPr="005F4560">
        <w:t xml:space="preserve">or qualifications </w:t>
      </w:r>
      <w:r w:rsidRPr="005F4560">
        <w:t xml:space="preserve">would be required to perform the </w:t>
      </w:r>
      <w:r w:rsidR="007522E3" w:rsidRPr="005F4560">
        <w:t xml:space="preserve">proposed </w:t>
      </w:r>
      <w:r w:rsidRPr="005F4560">
        <w:t>service</w:t>
      </w:r>
      <w:r w:rsidR="00257FF2" w:rsidRPr="005F4560">
        <w:t xml:space="preserve"> as well as any accreditation requirements to suppor</w:t>
      </w:r>
      <w:r w:rsidR="009C03FB" w:rsidRPr="005F4560">
        <w:t xml:space="preserve">t </w:t>
      </w:r>
      <w:r w:rsidR="00257FF2" w:rsidRPr="005F4560">
        <w:t>service</w:t>
      </w:r>
      <w:r w:rsidR="009C03FB" w:rsidRPr="005F4560">
        <w:t xml:space="preserve"> delivery</w:t>
      </w:r>
      <w:r w:rsidR="00AE1188" w:rsidRPr="005F4560">
        <w:t>:</w:t>
      </w:r>
    </w:p>
    <w:p w14:paraId="63C240E0" w14:textId="31344790" w:rsidR="0064088E" w:rsidRPr="005F4560" w:rsidRDefault="0064088E" w:rsidP="00EE677C">
      <w:pPr>
        <w:ind w:left="426"/>
        <w:rPr>
          <w:szCs w:val="20"/>
        </w:rPr>
      </w:pPr>
      <w:r w:rsidRPr="005F4560">
        <w:rPr>
          <w:szCs w:val="20"/>
        </w:rPr>
        <w:t xml:space="preserve">The manufacturer will provide training to surgeons, gastroenterologist, and their staff members </w:t>
      </w:r>
      <w:r w:rsidR="00031072" w:rsidRPr="005F4560">
        <w:rPr>
          <w:szCs w:val="20"/>
        </w:rPr>
        <w:t xml:space="preserve">on the safe and effective, on-label use of an </w:t>
      </w:r>
      <w:r w:rsidR="005F4560">
        <w:rPr>
          <w:szCs w:val="20"/>
        </w:rPr>
        <w:t>IGB</w:t>
      </w:r>
      <w:r w:rsidR="00031072" w:rsidRPr="005F4560">
        <w:rPr>
          <w:szCs w:val="20"/>
        </w:rPr>
        <w:t xml:space="preserve">. Training will include information on the device, safety, and patient management, as well as provide hands-on experience and/or a visit to an experienced </w:t>
      </w:r>
      <w:r w:rsidR="005F4560">
        <w:rPr>
          <w:szCs w:val="20"/>
        </w:rPr>
        <w:t>IGB physician user for</w:t>
      </w:r>
      <w:r w:rsidR="00031072" w:rsidRPr="005F4560">
        <w:rPr>
          <w:szCs w:val="20"/>
        </w:rPr>
        <w:t xml:space="preserve"> proctoring and viewing of live cases. This training is provided at no cost to the HCP or the staff members.</w:t>
      </w:r>
    </w:p>
    <w:p w14:paraId="60757E6E" w14:textId="77777777" w:rsidR="005F3F07" w:rsidRPr="005F4560" w:rsidRDefault="005C3AE7" w:rsidP="00530204">
      <w:pPr>
        <w:pStyle w:val="Heading2"/>
      </w:pPr>
      <w:r w:rsidRPr="005F4560">
        <w:t>(</w:t>
      </w:r>
      <w:proofErr w:type="gramStart"/>
      <w:r w:rsidRPr="005F4560">
        <w:t>a</w:t>
      </w:r>
      <w:proofErr w:type="gramEnd"/>
      <w:r w:rsidRPr="005F4560">
        <w:t xml:space="preserve">) </w:t>
      </w:r>
      <w:r w:rsidR="005F3F07" w:rsidRPr="005F4560">
        <w:t>Indicate the proposed setting</w:t>
      </w:r>
      <w:r w:rsidR="00D30BDC" w:rsidRPr="005F4560">
        <w:t>(</w:t>
      </w:r>
      <w:r w:rsidR="005F3F07" w:rsidRPr="005F4560">
        <w:t>s</w:t>
      </w:r>
      <w:r w:rsidR="00D30BDC" w:rsidRPr="005F4560">
        <w:t>)</w:t>
      </w:r>
      <w:r w:rsidR="005F3F07" w:rsidRPr="005F4560">
        <w:t xml:space="preserve"> in which the proposed medical service will be delivered</w:t>
      </w:r>
      <w:r w:rsidR="00D30BDC" w:rsidRPr="005F4560">
        <w:t xml:space="preserve"> (select all relevant settings)</w:t>
      </w:r>
      <w:r w:rsidR="00AE1188" w:rsidRPr="005F4560">
        <w:t>:</w:t>
      </w:r>
    </w:p>
    <w:p w14:paraId="168038A6" w14:textId="77777777" w:rsidR="000A478F" w:rsidRPr="005F4560" w:rsidRDefault="009C7E0B" w:rsidP="000A478F">
      <w:pPr>
        <w:spacing w:before="0" w:after="0"/>
        <w:ind w:left="426"/>
      </w:pPr>
      <w:r w:rsidRPr="005F4560">
        <w:rPr>
          <w:szCs w:val="20"/>
        </w:rPr>
        <w:fldChar w:fldCharType="begin">
          <w:ffData>
            <w:name w:val="Check1"/>
            <w:enabled/>
            <w:calcOnExit w:val="0"/>
            <w:checkBox>
              <w:sizeAuto/>
              <w:default w:val="1"/>
            </w:checkBox>
          </w:ffData>
        </w:fldChar>
      </w:r>
      <w:r w:rsidRPr="005F4560">
        <w:rPr>
          <w:szCs w:val="20"/>
        </w:rPr>
        <w:instrText xml:space="preserve"> </w:instrText>
      </w:r>
      <w:bookmarkStart w:id="10" w:name="Check1"/>
      <w:r w:rsidRPr="005F4560">
        <w:rPr>
          <w:szCs w:val="20"/>
        </w:rPr>
        <w:instrText xml:space="preserve">FORMCHECKBOX </w:instrText>
      </w:r>
      <w:r w:rsidR="009878BB">
        <w:rPr>
          <w:szCs w:val="20"/>
        </w:rPr>
      </w:r>
      <w:r w:rsidR="009878BB">
        <w:rPr>
          <w:szCs w:val="20"/>
        </w:rPr>
        <w:fldChar w:fldCharType="separate"/>
      </w:r>
      <w:r w:rsidRPr="005F4560">
        <w:rPr>
          <w:szCs w:val="20"/>
        </w:rPr>
        <w:fldChar w:fldCharType="end"/>
      </w:r>
      <w:bookmarkEnd w:id="10"/>
      <w:r w:rsidR="00712571" w:rsidRPr="005F4560">
        <w:rPr>
          <w:szCs w:val="20"/>
        </w:rPr>
        <w:t xml:space="preserve"> </w:t>
      </w:r>
      <w:r w:rsidR="000A478F" w:rsidRPr="005F4560">
        <w:t>Inpatient private hospital</w:t>
      </w:r>
    </w:p>
    <w:p w14:paraId="500A075A" w14:textId="7B27AF1A" w:rsidR="000A478F" w:rsidRPr="005F4560" w:rsidRDefault="009C7E0B" w:rsidP="000A478F">
      <w:pPr>
        <w:spacing w:before="0" w:after="0"/>
        <w:ind w:left="426"/>
      </w:pPr>
      <w:r w:rsidRPr="005F4560">
        <w:rPr>
          <w:szCs w:val="20"/>
        </w:rPr>
        <w:fldChar w:fldCharType="begin">
          <w:ffData>
            <w:name w:val="Check1"/>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A1366F" w:rsidRPr="005F4560">
        <w:rPr>
          <w:szCs w:val="20"/>
        </w:rPr>
        <w:t xml:space="preserve"> </w:t>
      </w:r>
      <w:r w:rsidR="000A478F" w:rsidRPr="005F4560">
        <w:t>Inpatient public hospital</w:t>
      </w:r>
    </w:p>
    <w:p w14:paraId="2BC8F9BD" w14:textId="77777777" w:rsidR="000A478F" w:rsidRPr="005F4560" w:rsidRDefault="00610A04" w:rsidP="000A478F">
      <w:pPr>
        <w:spacing w:before="0" w:after="0"/>
        <w:ind w:left="426"/>
      </w:pPr>
      <w:r w:rsidRPr="005F4560">
        <w:rPr>
          <w:szCs w:val="20"/>
        </w:rPr>
        <w:fldChar w:fldCharType="begin">
          <w:ffData>
            <w:name w:val=""/>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0A478F" w:rsidRPr="005F4560">
        <w:rPr>
          <w:szCs w:val="20"/>
        </w:rPr>
        <w:t xml:space="preserve"> </w:t>
      </w:r>
      <w:r w:rsidR="000A478F" w:rsidRPr="005F4560">
        <w:t>Outpatient clinic</w:t>
      </w:r>
    </w:p>
    <w:p w14:paraId="58218CAB" w14:textId="77777777" w:rsidR="000A478F" w:rsidRPr="005F4560" w:rsidRDefault="000A478F" w:rsidP="000A478F">
      <w:pPr>
        <w:spacing w:before="0" w:after="0"/>
        <w:ind w:left="426"/>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w:t>
      </w:r>
      <w:r w:rsidRPr="005F4560">
        <w:t>Emergency Department</w:t>
      </w:r>
    </w:p>
    <w:p w14:paraId="1A1E6121" w14:textId="77777777" w:rsidR="000A478F" w:rsidRPr="005F4560" w:rsidRDefault="000A478F" w:rsidP="000A478F">
      <w:pPr>
        <w:spacing w:before="0" w:after="0"/>
        <w:ind w:left="426"/>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w:t>
      </w:r>
      <w:r w:rsidRPr="005F4560">
        <w:t>Consulting rooms</w:t>
      </w:r>
    </w:p>
    <w:p w14:paraId="1A80DCC6" w14:textId="50CC8867" w:rsidR="000A478F" w:rsidRPr="005F4560" w:rsidRDefault="009C7E0B" w:rsidP="000A478F">
      <w:pPr>
        <w:spacing w:before="0" w:after="0"/>
        <w:ind w:left="426"/>
      </w:pPr>
      <w:r w:rsidRPr="005F4560">
        <w:rPr>
          <w:szCs w:val="20"/>
        </w:rPr>
        <w:fldChar w:fldCharType="begin">
          <w:ffData>
            <w:name w:val="Check1"/>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A1366F" w:rsidRPr="005F4560">
        <w:rPr>
          <w:szCs w:val="20"/>
        </w:rPr>
        <w:t xml:space="preserve"> </w:t>
      </w:r>
      <w:r w:rsidR="000A478F" w:rsidRPr="005F4560">
        <w:t>Day surgery centre</w:t>
      </w:r>
    </w:p>
    <w:p w14:paraId="5CA24ABB" w14:textId="77777777" w:rsidR="000A478F" w:rsidRPr="005F4560" w:rsidRDefault="000A478F" w:rsidP="000A478F">
      <w:pPr>
        <w:spacing w:before="0" w:after="0"/>
        <w:ind w:left="426"/>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w:t>
      </w:r>
      <w:r w:rsidRPr="005F4560">
        <w:t>Residential aged care facility</w:t>
      </w:r>
    </w:p>
    <w:p w14:paraId="5919C79E" w14:textId="77777777" w:rsidR="000A478F" w:rsidRPr="005F4560" w:rsidRDefault="000A478F" w:rsidP="000A478F">
      <w:pPr>
        <w:spacing w:before="0" w:after="0"/>
        <w:ind w:left="426"/>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w:t>
      </w:r>
      <w:r w:rsidRPr="005F4560">
        <w:t>Patient’s home</w:t>
      </w:r>
    </w:p>
    <w:p w14:paraId="4D0BD083" w14:textId="77777777" w:rsidR="000A478F" w:rsidRPr="005F4560" w:rsidRDefault="000A478F" w:rsidP="000A478F">
      <w:pPr>
        <w:spacing w:before="0" w:after="0"/>
        <w:ind w:left="426"/>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w:t>
      </w:r>
      <w:r w:rsidRPr="005F4560">
        <w:t>Laboratory</w:t>
      </w:r>
    </w:p>
    <w:p w14:paraId="594B22CE" w14:textId="77777777" w:rsidR="000A478F" w:rsidRPr="005F4560" w:rsidRDefault="000A478F" w:rsidP="000A478F">
      <w:pPr>
        <w:spacing w:before="0" w:after="0"/>
        <w:ind w:left="426"/>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w:t>
      </w:r>
      <w:r w:rsidRPr="005F4560">
        <w:t>Other – please specify below</w:t>
      </w:r>
    </w:p>
    <w:p w14:paraId="32832449" w14:textId="77777777" w:rsidR="005F3F07" w:rsidRPr="005F4560" w:rsidRDefault="001B29A1" w:rsidP="0073597B">
      <w:pPr>
        <w:ind w:left="426"/>
        <w:rPr>
          <w:b/>
          <w:szCs w:val="20"/>
        </w:rPr>
      </w:pPr>
      <w:r w:rsidRPr="005F4560">
        <w:fldChar w:fldCharType="begin">
          <w:ffData>
            <w:name w:val=""/>
            <w:enabled/>
            <w:calcOnExit w:val="0"/>
            <w:textInput>
              <w:default w:val="Specify further details here"/>
            </w:textInput>
          </w:ffData>
        </w:fldChar>
      </w:r>
      <w:r w:rsidRPr="005F4560">
        <w:instrText xml:space="preserve"> FORMTEXT </w:instrText>
      </w:r>
      <w:r w:rsidRPr="005F4560">
        <w:fldChar w:fldCharType="separate"/>
      </w:r>
      <w:r w:rsidRPr="005F4560">
        <w:rPr>
          <w:noProof/>
        </w:rPr>
        <w:t>Specify further details here</w:t>
      </w:r>
      <w:r w:rsidRPr="005F4560">
        <w:fldChar w:fldCharType="end"/>
      </w:r>
    </w:p>
    <w:p w14:paraId="6C13CA20" w14:textId="77777777" w:rsidR="003433D1" w:rsidRPr="005F4560" w:rsidRDefault="00E048ED" w:rsidP="00560B5A">
      <w:pPr>
        <w:pStyle w:val="ListParagraph"/>
        <w:numPr>
          <w:ilvl w:val="0"/>
          <w:numId w:val="7"/>
        </w:numPr>
        <w:rPr>
          <w:b/>
          <w:szCs w:val="20"/>
        </w:rPr>
      </w:pPr>
      <w:r w:rsidRPr="005F4560">
        <w:rPr>
          <w:b/>
          <w:szCs w:val="20"/>
        </w:rPr>
        <w:t>Where the proposed medical service is provided in more than one setting, please describ</w:t>
      </w:r>
      <w:r w:rsidR="00AE1188" w:rsidRPr="005F4560">
        <w:rPr>
          <w:b/>
          <w:szCs w:val="20"/>
        </w:rPr>
        <w:t>e the rationale related to each:</w:t>
      </w:r>
    </w:p>
    <w:p w14:paraId="40F860A1" w14:textId="37F32918" w:rsidR="00EE677C" w:rsidRPr="005F4560" w:rsidRDefault="00A1366F" w:rsidP="00D63B08">
      <w:pPr>
        <w:ind w:left="360"/>
      </w:pPr>
      <w:r w:rsidRPr="005F4560">
        <w:t xml:space="preserve">Currently, </w:t>
      </w:r>
      <w:r w:rsidR="00EE677C" w:rsidRPr="005F4560">
        <w:t xml:space="preserve">treatment is generally provided in the private hospital setting.  Data from </w:t>
      </w:r>
      <w:hyperlink r:id="rId131" w:history="1">
        <w:r w:rsidR="00EE677C" w:rsidRPr="005F4560">
          <w:rPr>
            <w:u w:val="single"/>
          </w:rPr>
          <w:t>AIHW</w:t>
        </w:r>
      </w:hyperlink>
      <w:r w:rsidR="00EE677C" w:rsidRPr="005F4560">
        <w:t xml:space="preserve"> indicates that </w:t>
      </w:r>
      <w:r w:rsidR="006A3679" w:rsidRPr="005F4560">
        <w:t>7 in 8 weight loss</w:t>
      </w:r>
      <w:r w:rsidR="007E0989" w:rsidRPr="005F4560">
        <w:t xml:space="preserve"> surger</w:t>
      </w:r>
      <w:r w:rsidR="00817C92" w:rsidRPr="005F4560">
        <w:t>ies</w:t>
      </w:r>
      <w:r w:rsidR="007E0989" w:rsidRPr="005F4560">
        <w:t xml:space="preserve"> takes place in a private hospital setting.</w:t>
      </w:r>
    </w:p>
    <w:p w14:paraId="76E0B62D" w14:textId="0C71A980" w:rsidR="00954681" w:rsidRPr="005F4560" w:rsidRDefault="00EE677C" w:rsidP="00823133">
      <w:pPr>
        <w:ind w:left="360"/>
        <w:rPr>
          <w:b/>
          <w:szCs w:val="20"/>
        </w:rPr>
      </w:pPr>
      <w:r w:rsidRPr="005F4560">
        <w:t xml:space="preserve">The insertion or removal of an </w:t>
      </w:r>
      <w:r w:rsidR="005D48DB">
        <w:t>IGB</w:t>
      </w:r>
      <w:r w:rsidRPr="005F4560">
        <w:t xml:space="preserve"> will take place pri</w:t>
      </w:r>
      <w:r w:rsidRPr="005F4560">
        <w:rPr>
          <w:rFonts w:cstheme="minorHAnsi"/>
          <w:szCs w:val="20"/>
        </w:rPr>
        <w:t>marily in a theatre situated in either a Day Case facility or full-service hospital</w:t>
      </w:r>
      <w:r w:rsidR="00D63B08" w:rsidRPr="005F4560">
        <w:rPr>
          <w:rFonts w:cstheme="minorHAnsi"/>
          <w:szCs w:val="20"/>
        </w:rPr>
        <w:t>.  However, there are cases where the hospital keeps the patient overnight and then they are counted as 1 day stay.</w:t>
      </w:r>
      <w:r w:rsidR="007E0989" w:rsidRPr="005F4560">
        <w:rPr>
          <w:rFonts w:cstheme="minorHAnsi"/>
          <w:szCs w:val="20"/>
        </w:rPr>
        <w:t xml:space="preserve">  This is purely based on hospital internal procedures.</w:t>
      </w:r>
      <w:r w:rsidRPr="005F4560">
        <w:rPr>
          <w:rFonts w:cstheme="minorHAnsi"/>
          <w:szCs w:val="20"/>
        </w:rPr>
        <w:t xml:space="preserve">  </w:t>
      </w:r>
    </w:p>
    <w:p w14:paraId="25B9CF70" w14:textId="77777777" w:rsidR="003E30FB" w:rsidRPr="005F4560" w:rsidRDefault="003E30FB" w:rsidP="00530204">
      <w:pPr>
        <w:pStyle w:val="Heading2"/>
      </w:pPr>
      <w:r w:rsidRPr="005F4560">
        <w:t>Is the proposed medical service intended to be entirely rendered in Australia?</w:t>
      </w:r>
    </w:p>
    <w:p w14:paraId="6457D586" w14:textId="023DD470" w:rsidR="000A478F" w:rsidRPr="005F4560" w:rsidRDefault="009C7E0B" w:rsidP="000A478F">
      <w:pPr>
        <w:spacing w:before="0" w:after="0"/>
        <w:ind w:left="426"/>
        <w:rPr>
          <w:szCs w:val="20"/>
        </w:rPr>
      </w:pPr>
      <w:r w:rsidRPr="005F4560">
        <w:rPr>
          <w:szCs w:val="20"/>
        </w:rPr>
        <w:fldChar w:fldCharType="begin">
          <w:ffData>
            <w:name w:val="Check1"/>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A1366F" w:rsidRPr="005F4560">
        <w:rPr>
          <w:szCs w:val="20"/>
        </w:rPr>
        <w:t xml:space="preserve"> </w:t>
      </w:r>
      <w:r w:rsidR="000A478F" w:rsidRPr="005F4560">
        <w:rPr>
          <w:szCs w:val="20"/>
        </w:rPr>
        <w:t>Yes</w:t>
      </w:r>
    </w:p>
    <w:p w14:paraId="18A76DB8" w14:textId="77777777" w:rsidR="000A478F" w:rsidRPr="005F4560" w:rsidRDefault="000A478F" w:rsidP="000A478F">
      <w:pPr>
        <w:spacing w:before="0" w:after="0"/>
        <w:ind w:left="426"/>
        <w:rPr>
          <w:szCs w:val="20"/>
        </w:rPr>
      </w:pPr>
      <w:r w:rsidRPr="005F4560">
        <w:rPr>
          <w:szCs w:val="20"/>
        </w:rPr>
        <w:fldChar w:fldCharType="begin">
          <w:ffData>
            <w:name w:val="Check2"/>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No</w:t>
      </w:r>
      <w:r w:rsidR="00C4696B" w:rsidRPr="005F4560">
        <w:rPr>
          <w:szCs w:val="20"/>
        </w:rPr>
        <w:t xml:space="preserve"> – please specify below</w:t>
      </w:r>
    </w:p>
    <w:p w14:paraId="6A28DEDE" w14:textId="067C5E4E" w:rsidR="003E30FB" w:rsidRPr="005F4560" w:rsidRDefault="003E30FB" w:rsidP="000A478F">
      <w:pPr>
        <w:ind w:left="426"/>
      </w:pPr>
    </w:p>
    <w:p w14:paraId="3CFADF3D" w14:textId="77777777" w:rsidR="000A478F" w:rsidRPr="005F4560" w:rsidRDefault="000A478F" w:rsidP="00881F93">
      <w:pPr>
        <w:rPr>
          <w:b/>
          <w:i/>
          <w:szCs w:val="20"/>
          <w:u w:val="single"/>
        </w:rPr>
      </w:pPr>
      <w:r w:rsidRPr="005F4560">
        <w:rPr>
          <w:b/>
          <w:i/>
          <w:szCs w:val="20"/>
          <w:u w:val="single"/>
        </w:rPr>
        <w:br w:type="page"/>
      </w:r>
    </w:p>
    <w:p w14:paraId="7F52F2E9" w14:textId="77777777" w:rsidR="00E60529" w:rsidRPr="005F4560" w:rsidRDefault="005C3AE7" w:rsidP="005C3AE7">
      <w:pPr>
        <w:pStyle w:val="Subtitle"/>
      </w:pPr>
      <w:r w:rsidRPr="005F4560">
        <w:lastRenderedPageBreak/>
        <w:t xml:space="preserve">PART 6c – </w:t>
      </w:r>
      <w:r w:rsidR="00E60529" w:rsidRPr="005F4560">
        <w:t>INFORMATION ABOUT THE COMPARATOR</w:t>
      </w:r>
      <w:r w:rsidR="00A83EC6" w:rsidRPr="005F4560">
        <w:t>(S)</w:t>
      </w:r>
    </w:p>
    <w:p w14:paraId="2C3DC6FD" w14:textId="77777777" w:rsidR="00E60529" w:rsidRPr="005F4560" w:rsidRDefault="00A83EC6" w:rsidP="00530204">
      <w:pPr>
        <w:pStyle w:val="Heading2"/>
      </w:pPr>
      <w:r w:rsidRPr="005F4560">
        <w:t>Nominate the appropriate comparator(s) for the proposed medical service</w:t>
      </w:r>
      <w:r w:rsidR="00757232" w:rsidRPr="005F4560">
        <w:t>, i</w:t>
      </w:r>
      <w:r w:rsidR="00D30BDC" w:rsidRPr="005F4560">
        <w:t>.</w:t>
      </w:r>
      <w:r w:rsidR="000159B9" w:rsidRPr="005F4560">
        <w:t xml:space="preserve">e. how is the proposed population currently managed in </w:t>
      </w:r>
      <w:r w:rsidR="00707D4D" w:rsidRPr="005F4560">
        <w:t>the</w:t>
      </w:r>
      <w:r w:rsidR="000159B9" w:rsidRPr="005F4560">
        <w:t xml:space="preserve"> absence of the proposed medical service </w:t>
      </w:r>
      <w:r w:rsidR="00257FF2" w:rsidRPr="005F4560">
        <w:t>being available in the Australian health care system (</w:t>
      </w:r>
      <w:r w:rsidR="00757232" w:rsidRPr="005F4560">
        <w:t xml:space="preserve">including </w:t>
      </w:r>
      <w:r w:rsidR="00257FF2" w:rsidRPr="005F4560">
        <w:t>identify</w:t>
      </w:r>
      <w:r w:rsidR="00757232" w:rsidRPr="005F4560">
        <w:t>ing</w:t>
      </w:r>
      <w:r w:rsidR="00E4321E" w:rsidRPr="005F4560">
        <w:t xml:space="preserve"> health care resources that </w:t>
      </w:r>
      <w:r w:rsidR="00257FF2" w:rsidRPr="005F4560">
        <w:t xml:space="preserve">are </w:t>
      </w:r>
      <w:r w:rsidR="00E4321E" w:rsidRPr="005F4560">
        <w:t>need</w:t>
      </w:r>
      <w:r w:rsidR="00757232" w:rsidRPr="005F4560">
        <w:t>ed</w:t>
      </w:r>
      <w:r w:rsidR="00E4321E" w:rsidRPr="005F4560">
        <w:t xml:space="preserve"> to be delivered at </w:t>
      </w:r>
      <w:r w:rsidR="00257FF2" w:rsidRPr="005F4560">
        <w:t xml:space="preserve">the </w:t>
      </w:r>
      <w:r w:rsidR="00E4321E" w:rsidRPr="005F4560">
        <w:t xml:space="preserve">same time </w:t>
      </w:r>
      <w:r w:rsidR="00257FF2" w:rsidRPr="005F4560">
        <w:t>as the</w:t>
      </w:r>
      <w:r w:rsidR="00E4321E" w:rsidRPr="005F4560">
        <w:t xml:space="preserve"> </w:t>
      </w:r>
      <w:r w:rsidR="00257FF2" w:rsidRPr="005F4560">
        <w:t xml:space="preserve">comparator </w:t>
      </w:r>
      <w:r w:rsidR="00E4321E" w:rsidRPr="005F4560">
        <w:t>service</w:t>
      </w:r>
      <w:r w:rsidR="00257FF2" w:rsidRPr="005F4560">
        <w:t>)</w:t>
      </w:r>
      <w:r w:rsidR="00AE1188" w:rsidRPr="005F4560">
        <w:t>:</w:t>
      </w:r>
    </w:p>
    <w:p w14:paraId="3928126C" w14:textId="4CD8820D" w:rsidR="002D7564" w:rsidRPr="005F4560" w:rsidRDefault="005D48DB" w:rsidP="00932E2E">
      <w:pPr>
        <w:pStyle w:val="KMC16-NumLists"/>
        <w:ind w:left="360" w:firstLine="0"/>
        <w:rPr>
          <w:rFonts w:asciiTheme="minorHAnsi" w:hAnsiTheme="minorHAnsi" w:cstheme="minorHAnsi"/>
          <w:color w:val="auto"/>
          <w:sz w:val="20"/>
          <w:szCs w:val="20"/>
        </w:rPr>
      </w:pPr>
      <w:r>
        <w:rPr>
          <w:rFonts w:asciiTheme="minorHAnsi" w:hAnsiTheme="minorHAnsi" w:cstheme="minorHAnsi"/>
          <w:color w:val="auto"/>
          <w:sz w:val="20"/>
          <w:szCs w:val="20"/>
        </w:rPr>
        <w:t>For people with a BMI ≥30&lt;</w:t>
      </w:r>
      <w:r w:rsidR="00365C99" w:rsidRPr="005F4560">
        <w:rPr>
          <w:rFonts w:asciiTheme="minorHAnsi" w:hAnsiTheme="minorHAnsi" w:cstheme="minorHAnsi"/>
          <w:color w:val="auto"/>
          <w:sz w:val="20"/>
          <w:szCs w:val="20"/>
        </w:rPr>
        <w:t xml:space="preserve">35 kg/m2 </w:t>
      </w:r>
      <w:r w:rsidR="00B804FB" w:rsidRPr="005F4560">
        <w:rPr>
          <w:rFonts w:asciiTheme="minorHAnsi" w:hAnsiTheme="minorHAnsi" w:cstheme="minorHAnsi"/>
          <w:color w:val="auto"/>
          <w:sz w:val="20"/>
          <w:szCs w:val="20"/>
        </w:rPr>
        <w:t>with</w:t>
      </w:r>
      <w:r w:rsidR="00365C99" w:rsidRPr="005F4560">
        <w:rPr>
          <w:rFonts w:asciiTheme="minorHAnsi" w:hAnsiTheme="minorHAnsi" w:cstheme="minorHAnsi"/>
          <w:color w:val="auto"/>
          <w:sz w:val="20"/>
          <w:szCs w:val="20"/>
        </w:rPr>
        <w:t xml:space="preserve"> co-morbidities (</w:t>
      </w:r>
      <w:r w:rsidR="00B804FB" w:rsidRPr="005F4560">
        <w:rPr>
          <w:rFonts w:asciiTheme="minorHAnsi" w:hAnsiTheme="minorHAnsi" w:cstheme="minorHAnsi"/>
          <w:color w:val="auto"/>
          <w:sz w:val="20"/>
          <w:szCs w:val="20"/>
        </w:rPr>
        <w:t>particularly</w:t>
      </w:r>
      <w:r w:rsidR="00365C99" w:rsidRPr="005F4560">
        <w:rPr>
          <w:rFonts w:asciiTheme="minorHAnsi" w:hAnsiTheme="minorHAnsi" w:cstheme="minorHAnsi"/>
          <w:color w:val="auto"/>
          <w:sz w:val="20"/>
          <w:szCs w:val="20"/>
        </w:rPr>
        <w:t xml:space="preserve"> poorly controlled type 2 diabetes/metabolic disease and </w:t>
      </w:r>
      <w:r>
        <w:rPr>
          <w:rFonts w:asciiTheme="minorHAnsi" w:hAnsiTheme="minorHAnsi" w:cstheme="minorHAnsi"/>
          <w:color w:val="auto"/>
          <w:sz w:val="20"/>
          <w:szCs w:val="20"/>
        </w:rPr>
        <w:t xml:space="preserve">who </w:t>
      </w:r>
      <w:r w:rsidR="00365C99" w:rsidRPr="005F4560">
        <w:rPr>
          <w:rFonts w:asciiTheme="minorHAnsi" w:hAnsiTheme="minorHAnsi" w:cstheme="minorHAnsi"/>
          <w:color w:val="auto"/>
          <w:sz w:val="20"/>
          <w:szCs w:val="20"/>
        </w:rPr>
        <w:t>are at increased cardiovascular risk)</w:t>
      </w:r>
      <w:r w:rsidR="00B06369" w:rsidRPr="005F4560">
        <w:rPr>
          <w:rFonts w:asciiTheme="minorHAnsi" w:hAnsiTheme="minorHAnsi" w:cstheme="minorHAnsi"/>
          <w:color w:val="auto"/>
          <w:sz w:val="20"/>
          <w:szCs w:val="20"/>
        </w:rPr>
        <w:t>,</w:t>
      </w:r>
      <w:r w:rsidR="000403F2" w:rsidRPr="005F4560">
        <w:rPr>
          <w:rFonts w:asciiTheme="minorHAnsi" w:hAnsiTheme="minorHAnsi" w:cstheme="minorHAnsi"/>
          <w:color w:val="auto"/>
          <w:sz w:val="20"/>
          <w:szCs w:val="20"/>
        </w:rPr>
        <w:t xml:space="preserve"> once diet and pharmacotherapy </w:t>
      </w:r>
      <w:r w:rsidR="00BC0319" w:rsidRPr="005F4560">
        <w:rPr>
          <w:rFonts w:asciiTheme="minorHAnsi" w:hAnsiTheme="minorHAnsi" w:cstheme="minorHAnsi"/>
          <w:color w:val="auto"/>
          <w:sz w:val="20"/>
          <w:szCs w:val="20"/>
        </w:rPr>
        <w:t>fail</w:t>
      </w:r>
      <w:r w:rsidR="00E30110">
        <w:rPr>
          <w:rFonts w:asciiTheme="minorHAnsi" w:hAnsiTheme="minorHAnsi" w:cstheme="minorHAnsi"/>
          <w:color w:val="auto"/>
          <w:sz w:val="20"/>
          <w:szCs w:val="20"/>
        </w:rPr>
        <w:t>, they have exhausted their options as they are not</w:t>
      </w:r>
      <w:r w:rsidR="000D74FE">
        <w:rPr>
          <w:rFonts w:asciiTheme="minorHAnsi" w:hAnsiTheme="minorHAnsi" w:cstheme="minorHAnsi"/>
          <w:color w:val="auto"/>
          <w:sz w:val="20"/>
          <w:szCs w:val="20"/>
        </w:rPr>
        <w:t xml:space="preserve"> eligible for bariatric surgery</w:t>
      </w:r>
      <w:r>
        <w:rPr>
          <w:rFonts w:asciiTheme="minorHAnsi" w:hAnsiTheme="minorHAnsi" w:cstheme="minorHAnsi"/>
          <w:color w:val="auto"/>
          <w:sz w:val="20"/>
          <w:szCs w:val="20"/>
        </w:rPr>
        <w:t>;</w:t>
      </w:r>
      <w:r w:rsidR="000403F2" w:rsidRPr="005F4560">
        <w:rPr>
          <w:rFonts w:asciiTheme="minorHAnsi" w:hAnsiTheme="minorHAnsi" w:cstheme="minorHAnsi"/>
          <w:color w:val="auto"/>
          <w:sz w:val="20"/>
          <w:szCs w:val="20"/>
        </w:rPr>
        <w:t xml:space="preserve"> it can therefore be considered that their</w:t>
      </w:r>
      <w:r w:rsidR="00061DAE" w:rsidRPr="005F4560">
        <w:rPr>
          <w:rFonts w:asciiTheme="minorHAnsi" w:hAnsiTheme="minorHAnsi" w:cstheme="minorHAnsi"/>
          <w:color w:val="auto"/>
          <w:sz w:val="20"/>
          <w:szCs w:val="20"/>
        </w:rPr>
        <w:t xml:space="preserve"> comparator</w:t>
      </w:r>
      <w:r w:rsidR="000403F2" w:rsidRPr="005F4560">
        <w:rPr>
          <w:rFonts w:asciiTheme="minorHAnsi" w:hAnsiTheme="minorHAnsi" w:cstheme="minorHAnsi"/>
          <w:color w:val="auto"/>
          <w:sz w:val="20"/>
          <w:szCs w:val="20"/>
        </w:rPr>
        <w:t xml:space="preserve"> treatment option</w:t>
      </w:r>
      <w:r w:rsidR="00BC0319" w:rsidRPr="005F4560">
        <w:rPr>
          <w:rFonts w:asciiTheme="minorHAnsi" w:hAnsiTheme="minorHAnsi" w:cstheme="minorHAnsi"/>
          <w:color w:val="auto"/>
          <w:sz w:val="20"/>
          <w:szCs w:val="20"/>
        </w:rPr>
        <w:t>,</w:t>
      </w:r>
      <w:r w:rsidR="000403F2" w:rsidRPr="005F4560">
        <w:rPr>
          <w:rFonts w:asciiTheme="minorHAnsi" w:hAnsiTheme="minorHAnsi" w:cstheme="minorHAnsi"/>
          <w:color w:val="auto"/>
          <w:sz w:val="20"/>
          <w:szCs w:val="20"/>
        </w:rPr>
        <w:t xml:space="preserve"> at this stage</w:t>
      </w:r>
      <w:r w:rsidR="00BC0319" w:rsidRPr="005F4560">
        <w:rPr>
          <w:rFonts w:asciiTheme="minorHAnsi" w:hAnsiTheme="minorHAnsi" w:cstheme="minorHAnsi"/>
          <w:color w:val="auto"/>
          <w:sz w:val="20"/>
          <w:szCs w:val="20"/>
        </w:rPr>
        <w:t>,</w:t>
      </w:r>
      <w:r w:rsidR="000403F2" w:rsidRPr="005F4560">
        <w:rPr>
          <w:rFonts w:asciiTheme="minorHAnsi" w:hAnsiTheme="minorHAnsi" w:cstheme="minorHAnsi"/>
          <w:color w:val="auto"/>
          <w:sz w:val="20"/>
          <w:szCs w:val="20"/>
        </w:rPr>
        <w:t xml:space="preserve"> is placebo/do nothing/watch and wait</w:t>
      </w:r>
      <w:r w:rsidR="00CC4409" w:rsidRPr="005F4560">
        <w:rPr>
          <w:rFonts w:asciiTheme="minorHAnsi" w:hAnsiTheme="minorHAnsi" w:cstheme="minorHAnsi"/>
          <w:color w:val="auto"/>
          <w:sz w:val="20"/>
          <w:szCs w:val="20"/>
        </w:rPr>
        <w:t xml:space="preserve">.  </w:t>
      </w:r>
      <w:r w:rsidR="00823133" w:rsidRPr="005F4560">
        <w:rPr>
          <w:rFonts w:asciiTheme="minorHAnsi" w:hAnsiTheme="minorHAnsi" w:cstheme="minorHAnsi"/>
          <w:color w:val="auto"/>
          <w:sz w:val="20"/>
          <w:szCs w:val="20"/>
        </w:rPr>
        <w:t xml:space="preserve">However, some people may continue to cycle through more diet/exercise and pharmacotherapy regimens until they give up.  </w:t>
      </w:r>
      <w:r w:rsidR="002D7564" w:rsidRPr="005F4560">
        <w:rPr>
          <w:rFonts w:asciiTheme="minorHAnsi" w:hAnsiTheme="minorHAnsi" w:cstheme="minorHAnsi"/>
          <w:color w:val="auto"/>
          <w:sz w:val="20"/>
          <w:szCs w:val="20"/>
        </w:rPr>
        <w:t xml:space="preserve">A study by </w:t>
      </w:r>
      <w:hyperlink r:id="rId132" w:history="1">
        <w:r w:rsidR="002D7564" w:rsidRPr="005F4560">
          <w:rPr>
            <w:rStyle w:val="Hyperlink"/>
            <w:rFonts w:asciiTheme="minorHAnsi" w:hAnsiTheme="minorHAnsi" w:cstheme="minorHAnsi"/>
            <w:color w:val="auto"/>
            <w:sz w:val="20"/>
            <w:szCs w:val="20"/>
          </w:rPr>
          <w:t>UCLA</w:t>
        </w:r>
      </w:hyperlink>
      <w:r w:rsidR="002D7564" w:rsidRPr="005F4560">
        <w:rPr>
          <w:rFonts w:asciiTheme="minorHAnsi" w:hAnsiTheme="minorHAnsi" w:cstheme="minorHAnsi"/>
          <w:color w:val="auto"/>
          <w:sz w:val="20"/>
          <w:szCs w:val="20"/>
        </w:rPr>
        <w:t xml:space="preserve"> found that the majority of people that were dieting regained all weight, plus more and that sustained weight loss was only achieved by a minority of </w:t>
      </w:r>
      <w:r w:rsidR="00FF353C" w:rsidRPr="005F4560">
        <w:rPr>
          <w:rFonts w:asciiTheme="minorHAnsi" w:hAnsiTheme="minorHAnsi" w:cstheme="minorHAnsi"/>
          <w:color w:val="auto"/>
          <w:sz w:val="20"/>
          <w:szCs w:val="20"/>
        </w:rPr>
        <w:t>participants</w:t>
      </w:r>
      <w:r w:rsidR="002D7564" w:rsidRPr="005F4560">
        <w:rPr>
          <w:rFonts w:asciiTheme="minorHAnsi" w:hAnsiTheme="minorHAnsi" w:cstheme="minorHAnsi"/>
          <w:color w:val="auto"/>
          <w:sz w:val="20"/>
          <w:szCs w:val="20"/>
        </w:rPr>
        <w:t xml:space="preserve"> in the study</w:t>
      </w:r>
      <w:r w:rsidR="00823133" w:rsidRPr="005F4560">
        <w:rPr>
          <w:rFonts w:asciiTheme="minorHAnsi" w:hAnsiTheme="minorHAnsi" w:cstheme="minorHAnsi"/>
          <w:color w:val="auto"/>
          <w:sz w:val="20"/>
          <w:szCs w:val="20"/>
        </w:rPr>
        <w:t>.</w:t>
      </w:r>
      <w:r w:rsidR="00C46205" w:rsidRPr="005F4560">
        <w:rPr>
          <w:rFonts w:asciiTheme="minorHAnsi" w:hAnsiTheme="minorHAnsi" w:cstheme="minorHAnsi"/>
          <w:color w:val="auto"/>
          <w:sz w:val="20"/>
          <w:szCs w:val="20"/>
        </w:rPr>
        <w:t xml:space="preserve">  Earlier data substantiate </w:t>
      </w:r>
      <w:r w:rsidR="004C0F95" w:rsidRPr="005F4560">
        <w:rPr>
          <w:rFonts w:asciiTheme="minorHAnsi" w:hAnsiTheme="minorHAnsi" w:cstheme="minorHAnsi"/>
          <w:color w:val="auto"/>
          <w:sz w:val="20"/>
          <w:szCs w:val="20"/>
        </w:rPr>
        <w:t>the conclusions from</w:t>
      </w:r>
      <w:r w:rsidR="00C46205" w:rsidRPr="005F4560">
        <w:rPr>
          <w:rFonts w:asciiTheme="minorHAnsi" w:hAnsiTheme="minorHAnsi" w:cstheme="minorHAnsi"/>
          <w:color w:val="auto"/>
          <w:sz w:val="20"/>
          <w:szCs w:val="20"/>
        </w:rPr>
        <w:t xml:space="preserve"> this study and showed that though very low energy diet seemed to work the best in weight reduction, the rebound effect was also substantive (see Figure below</w:t>
      </w:r>
      <w:r w:rsidR="00C962CE" w:rsidRPr="005F4560">
        <w:rPr>
          <w:rFonts w:asciiTheme="minorHAnsi" w:hAnsiTheme="minorHAnsi" w:cstheme="minorHAnsi"/>
          <w:color w:val="auto"/>
          <w:sz w:val="20"/>
          <w:szCs w:val="20"/>
        </w:rPr>
        <w:t xml:space="preserve"> from </w:t>
      </w:r>
      <w:hyperlink r:id="rId133" w:history="1">
        <w:r w:rsidR="00C962CE" w:rsidRPr="005F4560">
          <w:rPr>
            <w:rFonts w:asciiTheme="minorHAnsi" w:hAnsiTheme="minorHAnsi"/>
            <w:color w:val="auto"/>
            <w:sz w:val="20"/>
          </w:rPr>
          <w:t>Franz et al, 2007</w:t>
        </w:r>
      </w:hyperlink>
      <w:r w:rsidR="00C962CE" w:rsidRPr="005F4560">
        <w:rPr>
          <w:rFonts w:asciiTheme="minorHAnsi" w:hAnsiTheme="minorHAnsi" w:cstheme="minorHAnsi"/>
          <w:color w:val="auto"/>
          <w:sz w:val="20"/>
          <w:szCs w:val="20"/>
        </w:rPr>
        <w:t>).</w:t>
      </w:r>
    </w:p>
    <w:p w14:paraId="25A0CC69" w14:textId="50ECEE28" w:rsidR="00083B2B" w:rsidRPr="005F4560" w:rsidRDefault="00083B2B" w:rsidP="00BC0319">
      <w:pPr>
        <w:pStyle w:val="Caption"/>
        <w:ind w:firstLine="568"/>
        <w:rPr>
          <w:rFonts w:cstheme="minorHAnsi"/>
          <w:color w:val="auto"/>
          <w:sz w:val="20"/>
          <w:szCs w:val="20"/>
        </w:rPr>
      </w:pPr>
      <w:bookmarkStart w:id="11" w:name="_Ref497392272"/>
      <w:r w:rsidRPr="005F4560">
        <w:rPr>
          <w:color w:val="auto"/>
        </w:rPr>
        <w:t xml:space="preserve">Figure </w:t>
      </w:r>
      <w:r w:rsidR="00D368CA" w:rsidRPr="005F4560">
        <w:rPr>
          <w:color w:val="auto"/>
        </w:rPr>
        <w:fldChar w:fldCharType="begin"/>
      </w:r>
      <w:r w:rsidR="00D368CA" w:rsidRPr="005F4560">
        <w:rPr>
          <w:color w:val="auto"/>
        </w:rPr>
        <w:instrText xml:space="preserve"> SEQ Figure \* ARABIC </w:instrText>
      </w:r>
      <w:r w:rsidR="00D368CA" w:rsidRPr="005F4560">
        <w:rPr>
          <w:color w:val="auto"/>
        </w:rPr>
        <w:fldChar w:fldCharType="separate"/>
      </w:r>
      <w:r w:rsidRPr="005F4560">
        <w:rPr>
          <w:noProof/>
          <w:color w:val="auto"/>
        </w:rPr>
        <w:t>2</w:t>
      </w:r>
      <w:r w:rsidR="00D368CA" w:rsidRPr="005F4560">
        <w:rPr>
          <w:noProof/>
          <w:color w:val="auto"/>
        </w:rPr>
        <w:fldChar w:fldCharType="end"/>
      </w:r>
      <w:bookmarkEnd w:id="11"/>
      <w:r w:rsidRPr="005F4560">
        <w:rPr>
          <w:color w:val="auto"/>
        </w:rPr>
        <w:t>: Weight gain is 90% irreversible for 90% of people</w:t>
      </w:r>
    </w:p>
    <w:p w14:paraId="78A7DDF3" w14:textId="3A63D29C" w:rsidR="00C46205" w:rsidRPr="005F4560" w:rsidRDefault="00BC0319" w:rsidP="00B7449B">
      <w:pPr>
        <w:pStyle w:val="KMC16-NumLists"/>
        <w:ind w:left="568" w:firstLine="0"/>
        <w:rPr>
          <w:rFonts w:asciiTheme="minorHAnsi" w:hAnsiTheme="minorHAnsi" w:cstheme="minorHAnsi"/>
          <w:color w:val="auto"/>
          <w:sz w:val="20"/>
          <w:szCs w:val="20"/>
        </w:rPr>
      </w:pPr>
      <w:r w:rsidRPr="005F4560">
        <w:rPr>
          <w:noProof/>
          <w:color w:val="auto"/>
          <w:lang w:eastAsia="en-AU"/>
        </w:rPr>
        <w:drawing>
          <wp:inline distT="0" distB="0" distL="0" distR="0" wp14:anchorId="229376F3" wp14:editId="1C9DFE3E">
            <wp:extent cx="5343098" cy="2849139"/>
            <wp:effectExtent l="0" t="0" r="0" b="8890"/>
            <wp:docPr id="10" name="Picture 10" descr="Outcomes on Weight Loss- Non-surgical options-Provides data on weight loss and subsequent weight re-gain for various non-surgical weight loss options." title="Outcomes on Weight Loss- Non-surgical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5350501" cy="2853087"/>
                    </a:xfrm>
                    <a:prstGeom prst="rect">
                      <a:avLst/>
                    </a:prstGeom>
                  </pic:spPr>
                </pic:pic>
              </a:graphicData>
            </a:graphic>
          </wp:inline>
        </w:drawing>
      </w:r>
    </w:p>
    <w:p w14:paraId="6FA8ADFA" w14:textId="77777777" w:rsidR="00BC0319" w:rsidRPr="005F4560" w:rsidRDefault="00BC0319" w:rsidP="00B804FB">
      <w:pPr>
        <w:pStyle w:val="KMC16-NumLists"/>
        <w:ind w:left="568" w:firstLine="0"/>
        <w:rPr>
          <w:rFonts w:asciiTheme="minorHAnsi" w:hAnsiTheme="minorHAnsi" w:cstheme="minorHAnsi"/>
          <w:color w:val="auto"/>
          <w:sz w:val="20"/>
          <w:szCs w:val="20"/>
          <w:highlight w:val="yellow"/>
        </w:rPr>
      </w:pPr>
    </w:p>
    <w:p w14:paraId="16EDCA1C" w14:textId="5B7619D6" w:rsidR="00CC4409" w:rsidRPr="005F4560" w:rsidRDefault="00CC4409" w:rsidP="00932E2E">
      <w:pPr>
        <w:pStyle w:val="KMC16-NumLists"/>
        <w:ind w:left="360" w:firstLine="0"/>
        <w:rPr>
          <w:rFonts w:asciiTheme="minorHAnsi" w:hAnsiTheme="minorHAnsi" w:cstheme="minorHAnsi"/>
          <w:color w:val="auto"/>
          <w:sz w:val="20"/>
          <w:szCs w:val="20"/>
        </w:rPr>
      </w:pPr>
      <w:r w:rsidRPr="005F4560">
        <w:rPr>
          <w:rFonts w:asciiTheme="minorHAnsi" w:hAnsiTheme="minorHAnsi" w:cstheme="minorHAnsi"/>
          <w:color w:val="auto"/>
          <w:sz w:val="20"/>
          <w:szCs w:val="20"/>
        </w:rPr>
        <w:t>T</w:t>
      </w:r>
      <w:r w:rsidR="00061DAE" w:rsidRPr="005F4560">
        <w:rPr>
          <w:rFonts w:asciiTheme="minorHAnsi" w:hAnsiTheme="minorHAnsi" w:cstheme="minorHAnsi"/>
          <w:color w:val="auto"/>
          <w:sz w:val="20"/>
          <w:szCs w:val="20"/>
        </w:rPr>
        <w:t>h</w:t>
      </w:r>
      <w:r w:rsidR="009C7E0B" w:rsidRPr="005F4560">
        <w:rPr>
          <w:rFonts w:asciiTheme="minorHAnsi" w:hAnsiTheme="minorHAnsi" w:cstheme="minorHAnsi"/>
          <w:color w:val="auto"/>
          <w:sz w:val="20"/>
          <w:szCs w:val="20"/>
        </w:rPr>
        <w:t>e</w:t>
      </w:r>
      <w:r w:rsidRPr="005F4560">
        <w:rPr>
          <w:rFonts w:asciiTheme="minorHAnsi" w:hAnsiTheme="minorHAnsi" w:cstheme="minorHAnsi"/>
          <w:color w:val="auto"/>
          <w:sz w:val="20"/>
          <w:szCs w:val="20"/>
        </w:rPr>
        <w:t xml:space="preserve"> group of patients</w:t>
      </w:r>
      <w:r w:rsidR="00BC0319" w:rsidRPr="005F4560">
        <w:rPr>
          <w:rFonts w:asciiTheme="minorHAnsi" w:hAnsiTheme="minorHAnsi" w:cstheme="minorHAnsi"/>
          <w:color w:val="auto"/>
          <w:sz w:val="20"/>
          <w:szCs w:val="20"/>
        </w:rPr>
        <w:t xml:space="preserve"> with BMI</w:t>
      </w:r>
      <w:r w:rsidR="009C7E0B" w:rsidRPr="005F4560">
        <w:rPr>
          <w:rFonts w:asciiTheme="minorHAnsi" w:hAnsiTheme="minorHAnsi" w:cstheme="minorHAnsi"/>
          <w:color w:val="auto"/>
          <w:sz w:val="20"/>
          <w:szCs w:val="20"/>
        </w:rPr>
        <w:t xml:space="preserve"> </w:t>
      </w:r>
      <w:r w:rsidR="00365C99" w:rsidRPr="005F4560">
        <w:rPr>
          <w:rFonts w:asciiTheme="minorHAnsi" w:hAnsiTheme="minorHAnsi" w:cstheme="minorHAnsi"/>
          <w:color w:val="auto"/>
          <w:sz w:val="20"/>
          <w:szCs w:val="20"/>
        </w:rPr>
        <w:t>≥</w:t>
      </w:r>
      <w:r w:rsidR="009C7E0B" w:rsidRPr="005F4560">
        <w:rPr>
          <w:rFonts w:asciiTheme="minorHAnsi" w:hAnsiTheme="minorHAnsi" w:cstheme="minorHAnsi"/>
          <w:color w:val="auto"/>
          <w:sz w:val="20"/>
          <w:szCs w:val="20"/>
        </w:rPr>
        <w:t>30 kg/m2</w:t>
      </w:r>
      <w:r w:rsidRPr="005F4560">
        <w:rPr>
          <w:rFonts w:asciiTheme="minorHAnsi" w:hAnsiTheme="minorHAnsi" w:cstheme="minorHAnsi"/>
          <w:color w:val="auto"/>
          <w:sz w:val="20"/>
          <w:szCs w:val="20"/>
        </w:rPr>
        <w:t xml:space="preserve"> </w:t>
      </w:r>
      <w:r w:rsidR="00007C48" w:rsidRPr="005F4560">
        <w:rPr>
          <w:rFonts w:asciiTheme="minorHAnsi" w:hAnsiTheme="minorHAnsi" w:cstheme="minorHAnsi"/>
          <w:color w:val="auto"/>
          <w:sz w:val="20"/>
          <w:szCs w:val="20"/>
        </w:rPr>
        <w:t xml:space="preserve">(with </w:t>
      </w:r>
      <w:r w:rsidR="00BC0319" w:rsidRPr="005F4560">
        <w:rPr>
          <w:rFonts w:asciiTheme="minorHAnsi" w:hAnsiTheme="minorHAnsi" w:cstheme="minorHAnsi"/>
          <w:color w:val="auto"/>
          <w:sz w:val="20"/>
          <w:szCs w:val="20"/>
        </w:rPr>
        <w:t xml:space="preserve">comorbid </w:t>
      </w:r>
      <w:r w:rsidR="00007C48" w:rsidRPr="005F4560">
        <w:rPr>
          <w:rFonts w:asciiTheme="minorHAnsi" w:hAnsiTheme="minorHAnsi" w:cstheme="minorHAnsi"/>
          <w:color w:val="auto"/>
          <w:sz w:val="20"/>
          <w:szCs w:val="20"/>
        </w:rPr>
        <w:t>conditions)</w:t>
      </w:r>
      <w:r w:rsidRPr="005F4560">
        <w:rPr>
          <w:rFonts w:asciiTheme="minorHAnsi" w:hAnsiTheme="minorHAnsi" w:cstheme="minorHAnsi"/>
          <w:color w:val="auto"/>
          <w:sz w:val="20"/>
          <w:szCs w:val="20"/>
        </w:rPr>
        <w:t xml:space="preserve"> is currently recommended for surgical intervention by the </w:t>
      </w:r>
      <w:hyperlink r:id="rId135" w:history="1">
        <w:r w:rsidRPr="005F4560">
          <w:rPr>
            <w:rFonts w:asciiTheme="minorHAnsi" w:hAnsiTheme="minorHAnsi" w:cstheme="minorHAnsi"/>
            <w:color w:val="auto"/>
            <w:sz w:val="20"/>
            <w:szCs w:val="20"/>
          </w:rPr>
          <w:t>NHMRC</w:t>
        </w:r>
      </w:hyperlink>
      <w:r w:rsidRPr="005F4560">
        <w:rPr>
          <w:rFonts w:asciiTheme="minorHAnsi" w:hAnsiTheme="minorHAnsi" w:cstheme="minorHAnsi"/>
          <w:color w:val="auto"/>
          <w:sz w:val="20"/>
          <w:szCs w:val="20"/>
        </w:rPr>
        <w:t xml:space="preserve"> and the Australian Diabetes Society</w:t>
      </w:r>
      <w:r w:rsidR="009C7E0B" w:rsidRPr="005F4560">
        <w:rPr>
          <w:rFonts w:asciiTheme="minorHAnsi" w:hAnsiTheme="minorHAnsi" w:cstheme="minorHAnsi"/>
          <w:color w:val="auto"/>
          <w:sz w:val="20"/>
          <w:szCs w:val="20"/>
        </w:rPr>
        <w:t xml:space="preserve">; </w:t>
      </w:r>
      <w:r w:rsidR="00DD2CA1" w:rsidRPr="005F4560">
        <w:rPr>
          <w:rFonts w:asciiTheme="minorHAnsi" w:hAnsiTheme="minorHAnsi" w:cstheme="minorHAnsi"/>
          <w:color w:val="auto"/>
          <w:sz w:val="20"/>
          <w:szCs w:val="20"/>
        </w:rPr>
        <w:t>h</w:t>
      </w:r>
      <w:r w:rsidRPr="005F4560">
        <w:rPr>
          <w:rFonts w:asciiTheme="minorHAnsi" w:hAnsiTheme="minorHAnsi" w:cstheme="minorHAnsi"/>
          <w:color w:val="auto"/>
          <w:sz w:val="20"/>
          <w:szCs w:val="20"/>
        </w:rPr>
        <w:t xml:space="preserve">owever, currently </w:t>
      </w:r>
      <w:r w:rsidR="00BC0319" w:rsidRPr="005F4560">
        <w:rPr>
          <w:rFonts w:asciiTheme="minorHAnsi" w:hAnsiTheme="minorHAnsi" w:cstheme="minorHAnsi"/>
          <w:color w:val="auto"/>
          <w:sz w:val="20"/>
          <w:szCs w:val="20"/>
        </w:rPr>
        <w:t xml:space="preserve">these </w:t>
      </w:r>
      <w:r w:rsidR="009C7E0B" w:rsidRPr="005F4560">
        <w:rPr>
          <w:rFonts w:asciiTheme="minorHAnsi" w:hAnsiTheme="minorHAnsi" w:cstheme="minorHAnsi"/>
          <w:color w:val="auto"/>
          <w:sz w:val="20"/>
          <w:szCs w:val="20"/>
        </w:rPr>
        <w:t xml:space="preserve">are </w:t>
      </w:r>
      <w:r w:rsidRPr="005F4560">
        <w:rPr>
          <w:rFonts w:asciiTheme="minorHAnsi" w:hAnsiTheme="minorHAnsi" w:cstheme="minorHAnsi"/>
          <w:color w:val="auto"/>
          <w:sz w:val="20"/>
          <w:szCs w:val="20"/>
        </w:rPr>
        <w:t xml:space="preserve">not </w:t>
      </w:r>
      <w:r w:rsidR="004949AC" w:rsidRPr="005F4560">
        <w:rPr>
          <w:rFonts w:asciiTheme="minorHAnsi" w:hAnsiTheme="minorHAnsi" w:cstheme="minorHAnsi"/>
          <w:color w:val="auto"/>
          <w:sz w:val="20"/>
          <w:szCs w:val="20"/>
        </w:rPr>
        <w:t>reimbursed for bariatric surgery.</w:t>
      </w:r>
      <w:r w:rsidR="004949AC" w:rsidRPr="005F4560">
        <w:rPr>
          <w:rFonts w:asciiTheme="minorHAnsi" w:hAnsiTheme="minorHAnsi" w:cstheme="minorHAnsi"/>
          <w:color w:val="auto"/>
          <w:sz w:val="20"/>
          <w:szCs w:val="20"/>
          <w:vertAlign w:val="superscript"/>
        </w:rPr>
        <w:footnoteReference w:id="4"/>
      </w:r>
      <w:r w:rsidR="004949AC" w:rsidRPr="005F4560">
        <w:rPr>
          <w:rFonts w:asciiTheme="minorHAnsi" w:hAnsiTheme="minorHAnsi" w:cstheme="minorHAnsi"/>
          <w:color w:val="auto"/>
          <w:sz w:val="20"/>
          <w:szCs w:val="20"/>
        </w:rPr>
        <w:t xml:space="preserve">  </w:t>
      </w:r>
      <w:r w:rsidR="00BC0319" w:rsidRPr="005F4560">
        <w:rPr>
          <w:rFonts w:asciiTheme="minorHAnsi" w:hAnsiTheme="minorHAnsi" w:cstheme="minorHAnsi"/>
          <w:color w:val="auto"/>
          <w:sz w:val="20"/>
          <w:szCs w:val="20"/>
        </w:rPr>
        <w:t>T</w:t>
      </w:r>
      <w:r w:rsidR="00365C99" w:rsidRPr="005F4560">
        <w:rPr>
          <w:rFonts w:asciiTheme="minorHAnsi" w:hAnsiTheme="minorHAnsi" w:cstheme="minorHAnsi"/>
          <w:color w:val="auto"/>
          <w:sz w:val="20"/>
          <w:szCs w:val="20"/>
        </w:rPr>
        <w:t>his application</w:t>
      </w:r>
      <w:r w:rsidR="00BC0319" w:rsidRPr="005F4560">
        <w:rPr>
          <w:rFonts w:asciiTheme="minorHAnsi" w:hAnsiTheme="minorHAnsi" w:cstheme="minorHAnsi"/>
          <w:color w:val="auto"/>
          <w:sz w:val="20"/>
          <w:szCs w:val="20"/>
        </w:rPr>
        <w:t xml:space="preserve"> contends</w:t>
      </w:r>
      <w:r w:rsidR="00365C99" w:rsidRPr="005F4560">
        <w:rPr>
          <w:rFonts w:asciiTheme="minorHAnsi" w:hAnsiTheme="minorHAnsi" w:cstheme="minorHAnsi"/>
          <w:color w:val="auto"/>
          <w:sz w:val="20"/>
          <w:szCs w:val="20"/>
        </w:rPr>
        <w:t xml:space="preserve">, that providing a less invasive option for weight loss will be cost-effective for patients that have failed to experience weight loss reduction with diet, exercise and medication.  This less invasive option is </w:t>
      </w:r>
      <w:proofErr w:type="spellStart"/>
      <w:r w:rsidR="00DC685F">
        <w:rPr>
          <w:rFonts w:asciiTheme="minorHAnsi" w:hAnsiTheme="minorHAnsi" w:cstheme="minorHAnsi"/>
          <w:color w:val="auto"/>
          <w:sz w:val="20"/>
          <w:szCs w:val="20"/>
        </w:rPr>
        <w:t>Orbera</w:t>
      </w:r>
      <w:proofErr w:type="spellEnd"/>
      <w:r w:rsidR="00DC685F">
        <w:rPr>
          <w:rFonts w:asciiTheme="minorHAnsi" w:hAnsiTheme="minorHAnsi" w:cstheme="minorHAnsi"/>
          <w:color w:val="auto"/>
          <w:sz w:val="20"/>
          <w:szCs w:val="20"/>
        </w:rPr>
        <w:t>™</w:t>
      </w:r>
      <w:r w:rsidR="00365C99" w:rsidRPr="005F4560">
        <w:rPr>
          <w:rFonts w:asciiTheme="minorHAnsi" w:hAnsiTheme="minorHAnsi" w:cstheme="minorHAnsi"/>
          <w:color w:val="auto"/>
          <w:sz w:val="20"/>
          <w:szCs w:val="20"/>
        </w:rPr>
        <w:t xml:space="preserve">, </w:t>
      </w:r>
      <w:r w:rsidR="00F12DF4" w:rsidRPr="005F4560">
        <w:rPr>
          <w:rFonts w:asciiTheme="minorHAnsi" w:hAnsiTheme="minorHAnsi" w:cstheme="minorHAnsi"/>
          <w:color w:val="auto"/>
          <w:sz w:val="20"/>
          <w:szCs w:val="20"/>
        </w:rPr>
        <w:t>one which is</w:t>
      </w:r>
      <w:r w:rsidR="00365C99" w:rsidRPr="005F4560">
        <w:rPr>
          <w:rFonts w:asciiTheme="minorHAnsi" w:hAnsiTheme="minorHAnsi" w:cstheme="minorHAnsi"/>
          <w:color w:val="auto"/>
          <w:sz w:val="20"/>
          <w:szCs w:val="20"/>
        </w:rPr>
        <w:t xml:space="preserve"> cost-effective in this population</w:t>
      </w:r>
      <w:r w:rsidR="00E2611C" w:rsidRPr="005F4560">
        <w:rPr>
          <w:rFonts w:asciiTheme="minorHAnsi" w:hAnsiTheme="minorHAnsi" w:cstheme="minorHAnsi"/>
          <w:color w:val="auto"/>
          <w:sz w:val="20"/>
          <w:szCs w:val="20"/>
        </w:rPr>
        <w:t xml:space="preserve"> (as an example the average length of stay was 2.</w:t>
      </w:r>
      <w:r w:rsidR="00B804FB" w:rsidRPr="005F4560">
        <w:rPr>
          <w:rFonts w:asciiTheme="minorHAnsi" w:hAnsiTheme="minorHAnsi" w:cstheme="minorHAnsi"/>
          <w:color w:val="auto"/>
          <w:sz w:val="20"/>
          <w:szCs w:val="20"/>
        </w:rPr>
        <w:t>6</w:t>
      </w:r>
      <w:r w:rsidR="00E2611C" w:rsidRPr="005F4560">
        <w:rPr>
          <w:rFonts w:asciiTheme="minorHAnsi" w:hAnsiTheme="minorHAnsi" w:cstheme="minorHAnsi"/>
          <w:color w:val="auto"/>
          <w:sz w:val="20"/>
          <w:szCs w:val="20"/>
        </w:rPr>
        <w:t xml:space="preserve"> days (</w:t>
      </w:r>
      <w:hyperlink r:id="rId136" w:history="1">
        <w:r w:rsidR="00E2611C" w:rsidRPr="005F4560">
          <w:rPr>
            <w:rFonts w:asciiTheme="minorHAnsi" w:hAnsiTheme="minorHAnsi" w:cstheme="minorHAnsi"/>
            <w:color w:val="auto"/>
            <w:sz w:val="20"/>
            <w:szCs w:val="20"/>
          </w:rPr>
          <w:t>AIHW</w:t>
        </w:r>
      </w:hyperlink>
      <w:r w:rsidR="00E2611C" w:rsidRPr="005F4560">
        <w:rPr>
          <w:rFonts w:asciiTheme="minorHAnsi" w:hAnsiTheme="minorHAnsi" w:cstheme="minorHAnsi"/>
          <w:color w:val="auto"/>
          <w:sz w:val="20"/>
          <w:szCs w:val="20"/>
        </w:rPr>
        <w:t xml:space="preserve">) for </w:t>
      </w:r>
      <w:r w:rsidR="00C962CE" w:rsidRPr="005F4560">
        <w:rPr>
          <w:rFonts w:asciiTheme="minorHAnsi" w:hAnsiTheme="minorHAnsi" w:cstheme="minorHAnsi"/>
          <w:color w:val="auto"/>
          <w:sz w:val="20"/>
          <w:szCs w:val="20"/>
        </w:rPr>
        <w:t>weight loss</w:t>
      </w:r>
      <w:r w:rsidR="00E2611C" w:rsidRPr="005F4560">
        <w:rPr>
          <w:rFonts w:asciiTheme="minorHAnsi" w:hAnsiTheme="minorHAnsi" w:cstheme="minorHAnsi"/>
          <w:color w:val="auto"/>
          <w:sz w:val="20"/>
          <w:szCs w:val="20"/>
        </w:rPr>
        <w:t xml:space="preserve"> surgery</w:t>
      </w:r>
      <w:r w:rsidR="000D74FE">
        <w:rPr>
          <w:rFonts w:asciiTheme="minorHAnsi" w:hAnsiTheme="minorHAnsi" w:cstheme="minorHAnsi"/>
          <w:color w:val="auto"/>
          <w:sz w:val="20"/>
          <w:szCs w:val="20"/>
        </w:rPr>
        <w:t xml:space="preserve"> (the majority being laparo</w:t>
      </w:r>
      <w:r w:rsidR="00C962CE" w:rsidRPr="005F4560">
        <w:rPr>
          <w:rFonts w:asciiTheme="minorHAnsi" w:hAnsiTheme="minorHAnsi" w:cstheme="minorHAnsi"/>
          <w:color w:val="auto"/>
          <w:sz w:val="20"/>
          <w:szCs w:val="20"/>
        </w:rPr>
        <w:t>scopic surgery)</w:t>
      </w:r>
      <w:r w:rsidR="00E2611C" w:rsidRPr="005F4560">
        <w:rPr>
          <w:rFonts w:asciiTheme="minorHAnsi" w:hAnsiTheme="minorHAnsi" w:cstheme="minorHAnsi"/>
          <w:color w:val="auto"/>
          <w:sz w:val="20"/>
          <w:szCs w:val="20"/>
        </w:rPr>
        <w:t xml:space="preserve">, vs. </w:t>
      </w:r>
      <w:r w:rsidR="00F12DF4" w:rsidRPr="005F4560">
        <w:rPr>
          <w:rFonts w:asciiTheme="minorHAnsi" w:hAnsiTheme="minorHAnsi" w:cstheme="minorHAnsi"/>
          <w:color w:val="auto"/>
          <w:sz w:val="20"/>
          <w:szCs w:val="20"/>
        </w:rPr>
        <w:t xml:space="preserve">a </w:t>
      </w:r>
      <w:r w:rsidR="00E2611C" w:rsidRPr="005F4560">
        <w:rPr>
          <w:rFonts w:asciiTheme="minorHAnsi" w:hAnsiTheme="minorHAnsi" w:cstheme="minorHAnsi"/>
          <w:color w:val="auto"/>
          <w:sz w:val="20"/>
          <w:szCs w:val="20"/>
        </w:rPr>
        <w:t xml:space="preserve">day </w:t>
      </w:r>
      <w:r w:rsidR="00F12DF4" w:rsidRPr="005F4560">
        <w:rPr>
          <w:rFonts w:asciiTheme="minorHAnsi" w:hAnsiTheme="minorHAnsi" w:cstheme="minorHAnsi"/>
          <w:color w:val="auto"/>
          <w:sz w:val="20"/>
          <w:szCs w:val="20"/>
        </w:rPr>
        <w:t xml:space="preserve">procedure </w:t>
      </w:r>
      <w:r w:rsidR="00E2611C" w:rsidRPr="005F4560">
        <w:rPr>
          <w:rFonts w:asciiTheme="minorHAnsi" w:hAnsiTheme="minorHAnsi" w:cstheme="minorHAnsi"/>
          <w:color w:val="auto"/>
          <w:sz w:val="20"/>
          <w:szCs w:val="20"/>
        </w:rPr>
        <w:t xml:space="preserve">for </w:t>
      </w:r>
      <w:proofErr w:type="spellStart"/>
      <w:r w:rsidR="00DC685F">
        <w:rPr>
          <w:rFonts w:asciiTheme="minorHAnsi" w:hAnsiTheme="minorHAnsi" w:cstheme="minorHAnsi"/>
          <w:color w:val="auto"/>
          <w:sz w:val="20"/>
          <w:szCs w:val="20"/>
        </w:rPr>
        <w:t>Orbera</w:t>
      </w:r>
      <w:proofErr w:type="spellEnd"/>
      <w:r w:rsidR="00DC685F">
        <w:rPr>
          <w:rFonts w:asciiTheme="minorHAnsi" w:hAnsiTheme="minorHAnsi" w:cstheme="minorHAnsi"/>
          <w:color w:val="auto"/>
          <w:sz w:val="20"/>
          <w:szCs w:val="20"/>
        </w:rPr>
        <w:t>™</w:t>
      </w:r>
      <w:r w:rsidR="00E2611C" w:rsidRPr="005F4560">
        <w:rPr>
          <w:rFonts w:asciiTheme="minorHAnsi" w:hAnsiTheme="minorHAnsi" w:cstheme="minorHAnsi"/>
          <w:color w:val="auto"/>
          <w:sz w:val="20"/>
          <w:szCs w:val="20"/>
        </w:rPr>
        <w:t>)</w:t>
      </w:r>
      <w:r w:rsidR="00365C99" w:rsidRPr="005F4560">
        <w:rPr>
          <w:rFonts w:asciiTheme="minorHAnsi" w:hAnsiTheme="minorHAnsi" w:cstheme="minorHAnsi"/>
          <w:color w:val="auto"/>
          <w:sz w:val="20"/>
          <w:szCs w:val="20"/>
        </w:rPr>
        <w:t>.</w:t>
      </w:r>
    </w:p>
    <w:p w14:paraId="3B6F6000" w14:textId="77777777" w:rsidR="00757232" w:rsidRPr="005F4560" w:rsidRDefault="00AF5D1E" w:rsidP="00530204">
      <w:pPr>
        <w:pStyle w:val="Heading2"/>
      </w:pPr>
      <w:r w:rsidRPr="005F4560">
        <w:t>Does the medical service that has been nominated as the comparator</w:t>
      </w:r>
      <w:r w:rsidR="000159B9" w:rsidRPr="005F4560">
        <w:t xml:space="preserve"> </w:t>
      </w:r>
      <w:r w:rsidRPr="005F4560">
        <w:t>have an existing MBS item number</w:t>
      </w:r>
      <w:r w:rsidR="00D30BDC" w:rsidRPr="005F4560">
        <w:t>(s)</w:t>
      </w:r>
      <w:r w:rsidR="00757232" w:rsidRPr="005F4560">
        <w:t>?</w:t>
      </w:r>
    </w:p>
    <w:p w14:paraId="3AC2B2F2" w14:textId="755D3FDC" w:rsidR="006A1038" w:rsidRPr="005F4560" w:rsidRDefault="001446A4" w:rsidP="006A1038">
      <w:pPr>
        <w:spacing w:before="0" w:after="0"/>
        <w:ind w:left="426"/>
        <w:rPr>
          <w:szCs w:val="20"/>
        </w:rPr>
      </w:pPr>
      <w:r w:rsidRPr="005F4560">
        <w:rPr>
          <w:szCs w:val="20"/>
        </w:rPr>
        <w:fldChar w:fldCharType="begin">
          <w:ffData>
            <w:name w:val=""/>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4949AC" w:rsidRPr="005F4560">
        <w:rPr>
          <w:szCs w:val="20"/>
        </w:rPr>
        <w:t xml:space="preserve"> </w:t>
      </w:r>
      <w:r w:rsidR="006A1038" w:rsidRPr="005F4560">
        <w:rPr>
          <w:szCs w:val="20"/>
        </w:rPr>
        <w:t>Yes (please provide all relevant MBS item numbers below)</w:t>
      </w:r>
    </w:p>
    <w:p w14:paraId="5A57CAAD" w14:textId="3488FE1E" w:rsidR="000159B9" w:rsidRPr="005F4560" w:rsidRDefault="001446A4" w:rsidP="006A1038">
      <w:pPr>
        <w:spacing w:before="0" w:after="0"/>
        <w:ind w:left="426"/>
        <w:rPr>
          <w:szCs w:val="20"/>
        </w:rPr>
      </w:pPr>
      <w:r w:rsidRPr="005F4560">
        <w:rPr>
          <w:szCs w:val="20"/>
        </w:rPr>
        <w:lastRenderedPageBreak/>
        <w:fldChar w:fldCharType="begin">
          <w:ffData>
            <w:name w:val=""/>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6A1038" w:rsidRPr="005F4560">
        <w:rPr>
          <w:szCs w:val="20"/>
        </w:rPr>
        <w:t xml:space="preserve"> No  </w:t>
      </w:r>
    </w:p>
    <w:p w14:paraId="750723BD" w14:textId="77777777" w:rsidR="00AF5D1E" w:rsidRPr="005F4560" w:rsidRDefault="00AF5D1E" w:rsidP="00530204">
      <w:pPr>
        <w:pStyle w:val="Heading2"/>
      </w:pPr>
      <w:r w:rsidRPr="005F4560">
        <w:t>Define and summarise the current cl</w:t>
      </w:r>
      <w:r w:rsidR="00F33F1A" w:rsidRPr="005F4560">
        <w:t xml:space="preserve">inical management pathways that patients may follow </w:t>
      </w:r>
      <w:r w:rsidR="00F33F1A" w:rsidRPr="005F4560">
        <w:rPr>
          <w:i/>
        </w:rPr>
        <w:t>after</w:t>
      </w:r>
      <w:r w:rsidR="00757232" w:rsidRPr="005F4560">
        <w:t xml:space="preserve"> they receive</w:t>
      </w:r>
      <w:r w:rsidRPr="005F4560">
        <w:t xml:space="preserve"> </w:t>
      </w:r>
      <w:r w:rsidR="00F33F1A" w:rsidRPr="005F4560">
        <w:t xml:space="preserve">the medical service that has been nominated as the comparator </w:t>
      </w:r>
      <w:r w:rsidRPr="005F4560">
        <w:t xml:space="preserve">(supplement this summary with </w:t>
      </w:r>
      <w:r w:rsidR="00F33F1A" w:rsidRPr="005F4560">
        <w:t xml:space="preserve">an easy to follow flowchart </w:t>
      </w:r>
      <w:r w:rsidR="00757232" w:rsidRPr="005F4560">
        <w:t xml:space="preserve">[as an attachment to the Application Form] </w:t>
      </w:r>
      <w:r w:rsidR="00F33F1A" w:rsidRPr="005F4560">
        <w:t>dep</w:t>
      </w:r>
      <w:r w:rsidRPr="005F4560">
        <w:t>icting the current c</w:t>
      </w:r>
      <w:r w:rsidR="0054594B" w:rsidRPr="005F4560">
        <w:t>linical management pathway</w:t>
      </w:r>
      <w:r w:rsidR="00757232" w:rsidRPr="005F4560">
        <w:t xml:space="preserve"> </w:t>
      </w:r>
      <w:r w:rsidR="0054594B" w:rsidRPr="005F4560">
        <w:t>that patients may follow from the point of receiving the comparator onwards</w:t>
      </w:r>
      <w:r w:rsidR="00E4321E" w:rsidRPr="005F4560">
        <w:t xml:space="preserve"> including health care resources</w:t>
      </w:r>
      <w:r w:rsidR="00AE1188" w:rsidRPr="005F4560">
        <w:t>):</w:t>
      </w:r>
    </w:p>
    <w:p w14:paraId="4F01D2F0" w14:textId="69B42E38" w:rsidR="00840BFE" w:rsidRPr="005F4560" w:rsidRDefault="00007C48" w:rsidP="00B804FB">
      <w:pPr>
        <w:ind w:left="426"/>
        <w:jc w:val="both"/>
      </w:pPr>
      <w:r w:rsidRPr="005F4560">
        <w:rPr>
          <w:rFonts w:cstheme="minorHAnsi"/>
          <w:szCs w:val="20"/>
        </w:rPr>
        <w:t xml:space="preserve">The treatment algorithm for the comparator is depicted in </w:t>
      </w:r>
      <w:r w:rsidR="00083B2B" w:rsidRPr="005F4560">
        <w:rPr>
          <w:rFonts w:cstheme="minorHAnsi"/>
          <w:szCs w:val="20"/>
        </w:rPr>
        <w:fldChar w:fldCharType="begin"/>
      </w:r>
      <w:r w:rsidR="00083B2B" w:rsidRPr="005F4560">
        <w:rPr>
          <w:rFonts w:cstheme="minorHAnsi"/>
          <w:szCs w:val="20"/>
        </w:rPr>
        <w:instrText xml:space="preserve"> REF _Ref496969047 \h </w:instrText>
      </w:r>
      <w:r w:rsidR="009C1142" w:rsidRPr="005F4560">
        <w:rPr>
          <w:rFonts w:cstheme="minorHAnsi"/>
          <w:szCs w:val="20"/>
        </w:rPr>
        <w:instrText xml:space="preserve"> \* MERGEFORMAT </w:instrText>
      </w:r>
      <w:r w:rsidR="00083B2B" w:rsidRPr="005F4560">
        <w:rPr>
          <w:rFonts w:cstheme="minorHAnsi"/>
          <w:szCs w:val="20"/>
        </w:rPr>
      </w:r>
      <w:r w:rsidR="00083B2B" w:rsidRPr="005F4560">
        <w:rPr>
          <w:rFonts w:cstheme="minorHAnsi"/>
          <w:szCs w:val="20"/>
        </w:rPr>
        <w:fldChar w:fldCharType="separate"/>
      </w:r>
      <w:r w:rsidR="00083B2B" w:rsidRPr="005F4560">
        <w:rPr>
          <w:rFonts w:cstheme="minorHAnsi"/>
          <w:szCs w:val="20"/>
        </w:rPr>
        <w:t>Figure 1</w:t>
      </w:r>
      <w:r w:rsidR="00083B2B" w:rsidRPr="005F4560">
        <w:rPr>
          <w:rFonts w:cstheme="minorHAnsi"/>
          <w:szCs w:val="20"/>
        </w:rPr>
        <w:fldChar w:fldCharType="end"/>
      </w:r>
      <w:r w:rsidR="00083B2B" w:rsidRPr="005F4560">
        <w:rPr>
          <w:rFonts w:cstheme="minorHAnsi"/>
          <w:szCs w:val="20"/>
        </w:rPr>
        <w:t xml:space="preserve">.  Currently </w:t>
      </w:r>
      <w:r w:rsidR="009C1142" w:rsidRPr="005F4560">
        <w:rPr>
          <w:rFonts w:cstheme="minorHAnsi"/>
          <w:szCs w:val="20"/>
        </w:rPr>
        <w:t>people</w:t>
      </w:r>
      <w:r w:rsidR="00083B2B" w:rsidRPr="005F4560">
        <w:rPr>
          <w:rFonts w:cstheme="minorHAnsi"/>
          <w:szCs w:val="20"/>
        </w:rPr>
        <w:t xml:space="preserve"> with</w:t>
      </w:r>
      <w:r w:rsidR="009C1142" w:rsidRPr="005F4560">
        <w:rPr>
          <w:rFonts w:cstheme="minorHAnsi"/>
          <w:szCs w:val="20"/>
        </w:rPr>
        <w:t xml:space="preserve"> BMI≥30&lt;35 kg/m2 continue to cycle through diet/exercise and pharmacotherapy options</w:t>
      </w:r>
      <w:r w:rsidR="00490B47" w:rsidRPr="005F4560">
        <w:rPr>
          <w:rFonts w:cstheme="minorHAnsi"/>
          <w:szCs w:val="20"/>
        </w:rPr>
        <w:t xml:space="preserve"> (first line treatment options)</w:t>
      </w:r>
      <w:r w:rsidR="009C1142" w:rsidRPr="005F4560">
        <w:rPr>
          <w:rFonts w:cstheme="minorHAnsi"/>
          <w:szCs w:val="20"/>
        </w:rPr>
        <w:t xml:space="preserve"> or give up trying to lose weight – they have no other alternatives.</w:t>
      </w:r>
      <w:r w:rsidR="00490B47" w:rsidRPr="005F4560">
        <w:rPr>
          <w:rFonts w:cstheme="minorHAnsi"/>
          <w:szCs w:val="20"/>
        </w:rPr>
        <w:t xml:space="preserve">  The availability of </w:t>
      </w:r>
      <w:proofErr w:type="spellStart"/>
      <w:r w:rsidR="00DC685F">
        <w:rPr>
          <w:rFonts w:cstheme="minorHAnsi"/>
          <w:szCs w:val="20"/>
        </w:rPr>
        <w:t>Orbera</w:t>
      </w:r>
      <w:proofErr w:type="spellEnd"/>
      <w:r w:rsidR="00DC685F">
        <w:rPr>
          <w:rFonts w:cstheme="minorHAnsi"/>
          <w:szCs w:val="20"/>
        </w:rPr>
        <w:t>™</w:t>
      </w:r>
      <w:r w:rsidR="00490B47" w:rsidRPr="005F4560">
        <w:rPr>
          <w:rFonts w:cstheme="minorHAnsi"/>
          <w:szCs w:val="20"/>
        </w:rPr>
        <w:t xml:space="preserve"> will offer a viable alternative to patients that have failed first line treatment options.</w:t>
      </w:r>
    </w:p>
    <w:p w14:paraId="5EA62247" w14:textId="004415B8" w:rsidR="00A83EC6" w:rsidRPr="005F4560" w:rsidRDefault="005C3AE7" w:rsidP="00530204">
      <w:pPr>
        <w:pStyle w:val="Heading2"/>
      </w:pPr>
      <w:r w:rsidRPr="005F4560">
        <w:t xml:space="preserve">(a) </w:t>
      </w:r>
      <w:r w:rsidR="00CD7A7D" w:rsidRPr="005F4560">
        <w:t xml:space="preserve">Will </w:t>
      </w:r>
      <w:r w:rsidR="00A83EC6" w:rsidRPr="005F4560">
        <w:t>the proposed medical service be used in addition to, or instead of, the nominated comparator(s)</w:t>
      </w:r>
      <w:r w:rsidR="00D30BDC" w:rsidRPr="005F4560">
        <w:t>?</w:t>
      </w:r>
    </w:p>
    <w:p w14:paraId="570A3EEB" w14:textId="70B25221" w:rsidR="0023032B" w:rsidRPr="005F4560" w:rsidRDefault="00913516" w:rsidP="00B804FB">
      <w:pPr>
        <w:spacing w:before="0" w:after="0"/>
        <w:ind w:left="426"/>
        <w:jc w:val="both"/>
        <w:rPr>
          <w:rFonts w:cstheme="minorHAnsi"/>
          <w:szCs w:val="20"/>
        </w:rPr>
      </w:pPr>
      <w:r w:rsidRPr="005F4560">
        <w:rPr>
          <w:rFonts w:cstheme="minorHAnsi"/>
          <w:szCs w:val="20"/>
        </w:rPr>
        <w:t>The insertion of</w:t>
      </w:r>
      <w:r w:rsidR="000346AA" w:rsidRPr="005F4560">
        <w:rPr>
          <w:rFonts w:cstheme="minorHAnsi"/>
          <w:szCs w:val="20"/>
        </w:rPr>
        <w:t xml:space="preserve"> the</w:t>
      </w:r>
      <w:r w:rsidRPr="005F4560">
        <w:rPr>
          <w:rFonts w:cstheme="minorHAnsi"/>
          <w:szCs w:val="20"/>
        </w:rPr>
        <w:t xml:space="preserve"> </w:t>
      </w:r>
      <w:r w:rsidR="000346AA" w:rsidRPr="005F4560">
        <w:rPr>
          <w:rFonts w:cstheme="minorHAnsi"/>
          <w:szCs w:val="20"/>
        </w:rPr>
        <w:t xml:space="preserve">IGB (e.g. </w:t>
      </w:r>
      <w:proofErr w:type="spellStart"/>
      <w:r w:rsidR="00DC685F">
        <w:rPr>
          <w:rFonts w:cstheme="minorHAnsi"/>
          <w:szCs w:val="20"/>
        </w:rPr>
        <w:t>Orbera</w:t>
      </w:r>
      <w:proofErr w:type="spellEnd"/>
      <w:r w:rsidR="00DC685F">
        <w:rPr>
          <w:rFonts w:cstheme="minorHAnsi"/>
          <w:szCs w:val="20"/>
        </w:rPr>
        <w:t>™</w:t>
      </w:r>
      <w:r w:rsidR="000346AA" w:rsidRPr="005F4560">
        <w:rPr>
          <w:rFonts w:cstheme="minorHAnsi"/>
          <w:szCs w:val="20"/>
        </w:rPr>
        <w:t>)</w:t>
      </w:r>
      <w:r w:rsidRPr="005F4560">
        <w:rPr>
          <w:rFonts w:cstheme="minorHAnsi"/>
          <w:szCs w:val="20"/>
        </w:rPr>
        <w:t xml:space="preserve"> </w:t>
      </w:r>
      <w:r w:rsidR="003C2A37" w:rsidRPr="005F4560" w:rsidDel="00365C99">
        <w:rPr>
          <w:rFonts w:cstheme="minorHAnsi"/>
          <w:szCs w:val="20"/>
        </w:rPr>
        <w:t xml:space="preserve">will be instead of the </w:t>
      </w:r>
      <w:r w:rsidRPr="005F4560">
        <w:rPr>
          <w:rFonts w:cstheme="minorHAnsi"/>
          <w:szCs w:val="20"/>
        </w:rPr>
        <w:t>patient having no other alternative (</w:t>
      </w:r>
      <w:r w:rsidR="003C2A37" w:rsidRPr="005F4560" w:rsidDel="00365C99">
        <w:rPr>
          <w:rFonts w:cstheme="minorHAnsi"/>
          <w:szCs w:val="20"/>
        </w:rPr>
        <w:t>comparator</w:t>
      </w:r>
      <w:r w:rsidRPr="005F4560">
        <w:rPr>
          <w:rFonts w:cstheme="minorHAnsi"/>
          <w:szCs w:val="20"/>
        </w:rPr>
        <w:t>) given that</w:t>
      </w:r>
      <w:r w:rsidR="00365C99" w:rsidRPr="005F4560">
        <w:rPr>
          <w:rFonts w:cstheme="minorHAnsi"/>
          <w:szCs w:val="20"/>
        </w:rPr>
        <w:t xml:space="preserve"> </w:t>
      </w:r>
      <w:r w:rsidR="003C2A37" w:rsidRPr="005F4560">
        <w:rPr>
          <w:rFonts w:cstheme="minorHAnsi"/>
          <w:szCs w:val="20"/>
        </w:rPr>
        <w:t>another round of weight loss/medication/lifestyle chang</w:t>
      </w:r>
      <w:r w:rsidR="00365C99" w:rsidRPr="005F4560">
        <w:rPr>
          <w:rFonts w:cstheme="minorHAnsi"/>
          <w:szCs w:val="20"/>
        </w:rPr>
        <w:t xml:space="preserve">e </w:t>
      </w:r>
      <w:r w:rsidR="00E30110">
        <w:rPr>
          <w:rFonts w:cstheme="minorHAnsi"/>
          <w:szCs w:val="20"/>
        </w:rPr>
        <w:t>has been shown to be ineffective in most cases</w:t>
      </w:r>
      <w:r w:rsidR="003C2A37" w:rsidRPr="005F4560">
        <w:rPr>
          <w:rFonts w:cstheme="minorHAnsi"/>
          <w:szCs w:val="20"/>
        </w:rPr>
        <w:t>.</w:t>
      </w:r>
      <w:r w:rsidR="003C2A37" w:rsidRPr="005F4560" w:rsidDel="00365C99">
        <w:rPr>
          <w:rFonts w:cstheme="minorHAnsi"/>
          <w:szCs w:val="20"/>
        </w:rPr>
        <w:t xml:space="preserve">  </w:t>
      </w:r>
      <w:r w:rsidR="00365C99" w:rsidRPr="005F4560">
        <w:rPr>
          <w:rFonts w:cstheme="minorHAnsi"/>
          <w:szCs w:val="20"/>
        </w:rPr>
        <w:t xml:space="preserve">In this group of patients, </w:t>
      </w:r>
      <w:r w:rsidR="003C2A37" w:rsidRPr="005F4560">
        <w:rPr>
          <w:rFonts w:cstheme="minorHAnsi"/>
          <w:szCs w:val="20"/>
        </w:rPr>
        <w:t xml:space="preserve">the weight loss required </w:t>
      </w:r>
      <w:r w:rsidR="00840BFE" w:rsidRPr="005F4560">
        <w:rPr>
          <w:rFonts w:cstheme="minorHAnsi"/>
          <w:szCs w:val="20"/>
        </w:rPr>
        <w:t>does not have to be substantial,</w:t>
      </w:r>
      <w:r w:rsidR="003C2A37" w:rsidRPr="005F4560">
        <w:rPr>
          <w:rFonts w:cstheme="minorHAnsi"/>
          <w:szCs w:val="20"/>
        </w:rPr>
        <w:t xml:space="preserve"> in which case an alternative to bariatric surgery may be more appropriate</w:t>
      </w:r>
      <w:r w:rsidR="00840BFE" w:rsidRPr="005F4560">
        <w:rPr>
          <w:rFonts w:cstheme="minorHAnsi"/>
          <w:szCs w:val="20"/>
        </w:rPr>
        <w:t>, and m</w:t>
      </w:r>
      <w:r w:rsidR="003C2A37" w:rsidRPr="005F4560">
        <w:rPr>
          <w:rFonts w:cstheme="minorHAnsi"/>
          <w:szCs w:val="20"/>
        </w:rPr>
        <w:t>ore cost-effective.</w:t>
      </w:r>
    </w:p>
    <w:p w14:paraId="3F1C9C75" w14:textId="77777777" w:rsidR="00E70D86" w:rsidRPr="005F4560" w:rsidRDefault="00E70D86" w:rsidP="00560B5A">
      <w:pPr>
        <w:pStyle w:val="Heading2"/>
        <w:numPr>
          <w:ilvl w:val="0"/>
          <w:numId w:val="8"/>
        </w:numPr>
      </w:pPr>
      <w:r w:rsidRPr="005F4560">
        <w:t xml:space="preserve">If </w:t>
      </w:r>
      <w:r w:rsidR="00D00122" w:rsidRPr="005F4560">
        <w:t xml:space="preserve">yes, </w:t>
      </w:r>
      <w:r w:rsidRPr="005F4560">
        <w:t xml:space="preserve">please </w:t>
      </w:r>
      <w:r w:rsidR="00F33F1A" w:rsidRPr="005F4560">
        <w:t xml:space="preserve">outline </w:t>
      </w:r>
      <w:r w:rsidRPr="005F4560">
        <w:t xml:space="preserve">the extent of </w:t>
      </w:r>
      <w:r w:rsidR="00F33F1A" w:rsidRPr="005F4560">
        <w:t xml:space="preserve">which </w:t>
      </w:r>
      <w:r w:rsidR="00D00122" w:rsidRPr="005F4560">
        <w:t xml:space="preserve">the </w:t>
      </w:r>
      <w:r w:rsidR="00F33F1A" w:rsidRPr="005F4560">
        <w:t xml:space="preserve">current service/comparator is expected to be </w:t>
      </w:r>
      <w:r w:rsidR="00AE1188" w:rsidRPr="005F4560">
        <w:t>substituted:</w:t>
      </w:r>
    </w:p>
    <w:p w14:paraId="47AAFB3C" w14:textId="1495F57A" w:rsidR="003433D1" w:rsidRPr="005F4560" w:rsidRDefault="00840BFE" w:rsidP="001B29A1">
      <w:pPr>
        <w:ind w:left="426"/>
        <w:rPr>
          <w:rFonts w:cstheme="minorHAnsi"/>
          <w:szCs w:val="20"/>
        </w:rPr>
      </w:pPr>
      <w:r w:rsidRPr="005F4560">
        <w:rPr>
          <w:rFonts w:cstheme="minorHAnsi"/>
          <w:szCs w:val="20"/>
        </w:rPr>
        <w:t>Between</w:t>
      </w:r>
      <w:r w:rsidR="00605464" w:rsidRPr="005F4560">
        <w:rPr>
          <w:rFonts w:cstheme="minorHAnsi"/>
          <w:szCs w:val="20"/>
        </w:rPr>
        <w:t xml:space="preserve"> 1</w:t>
      </w:r>
      <w:r w:rsidR="00913516" w:rsidRPr="005F4560">
        <w:rPr>
          <w:rFonts w:cstheme="minorHAnsi"/>
          <w:szCs w:val="20"/>
        </w:rPr>
        <w:t>.6-2.6</w:t>
      </w:r>
      <w:r w:rsidR="00605464" w:rsidRPr="005F4560">
        <w:rPr>
          <w:rFonts w:cstheme="minorHAnsi"/>
          <w:szCs w:val="20"/>
        </w:rPr>
        <w:t xml:space="preserve">% of patients </w:t>
      </w:r>
      <w:r w:rsidR="00913516" w:rsidRPr="005F4560">
        <w:rPr>
          <w:rFonts w:cstheme="minorHAnsi"/>
          <w:szCs w:val="20"/>
        </w:rPr>
        <w:t xml:space="preserve">will </w:t>
      </w:r>
      <w:r w:rsidR="00605464" w:rsidRPr="005F4560">
        <w:rPr>
          <w:rFonts w:cstheme="minorHAnsi"/>
          <w:szCs w:val="20"/>
        </w:rPr>
        <w:t xml:space="preserve">proceed to </w:t>
      </w:r>
      <w:r w:rsidR="00913516" w:rsidRPr="005F4560">
        <w:rPr>
          <w:rFonts w:cstheme="minorHAnsi"/>
          <w:szCs w:val="20"/>
        </w:rPr>
        <w:t xml:space="preserve">have </w:t>
      </w:r>
      <w:r w:rsidR="000346AA" w:rsidRPr="005F4560">
        <w:rPr>
          <w:rFonts w:cstheme="minorHAnsi"/>
          <w:szCs w:val="20"/>
        </w:rPr>
        <w:t>the IGB procedure</w:t>
      </w:r>
      <w:r w:rsidR="00913516" w:rsidRPr="005F4560">
        <w:rPr>
          <w:rFonts w:cstheme="minorHAnsi"/>
          <w:szCs w:val="20"/>
        </w:rPr>
        <w:t>, and</w:t>
      </w:r>
      <w:r w:rsidR="00605464" w:rsidRPr="005F4560">
        <w:rPr>
          <w:rFonts w:cstheme="minorHAnsi"/>
          <w:szCs w:val="20"/>
        </w:rPr>
        <w:t xml:space="preserve"> this is a comparable uptake </w:t>
      </w:r>
      <w:r w:rsidR="00913516" w:rsidRPr="005F4560">
        <w:rPr>
          <w:rFonts w:cstheme="minorHAnsi"/>
          <w:szCs w:val="20"/>
        </w:rPr>
        <w:t xml:space="preserve">rate </w:t>
      </w:r>
      <w:r w:rsidR="00605464" w:rsidRPr="005F4560">
        <w:rPr>
          <w:rFonts w:cstheme="minorHAnsi"/>
          <w:szCs w:val="20"/>
        </w:rPr>
        <w:t xml:space="preserve">to that </w:t>
      </w:r>
      <w:r w:rsidR="00913516" w:rsidRPr="005F4560">
        <w:rPr>
          <w:rFonts w:cstheme="minorHAnsi"/>
          <w:szCs w:val="20"/>
        </w:rPr>
        <w:t>seen in</w:t>
      </w:r>
      <w:r w:rsidR="00605464" w:rsidRPr="005F4560">
        <w:rPr>
          <w:rFonts w:cstheme="minorHAnsi"/>
          <w:szCs w:val="20"/>
        </w:rPr>
        <w:t xml:space="preserve"> bariatric surgery</w:t>
      </w:r>
      <w:r w:rsidR="00913516" w:rsidRPr="005F4560">
        <w:rPr>
          <w:rFonts w:cstheme="minorHAnsi"/>
          <w:szCs w:val="20"/>
        </w:rPr>
        <w:t xml:space="preserve"> (see </w:t>
      </w:r>
      <w:r w:rsidR="00913516" w:rsidRPr="005F4560">
        <w:rPr>
          <w:rFonts w:cstheme="minorHAnsi"/>
          <w:szCs w:val="20"/>
        </w:rPr>
        <w:fldChar w:fldCharType="begin"/>
      </w:r>
      <w:r w:rsidR="00913516" w:rsidRPr="005F4560">
        <w:rPr>
          <w:rFonts w:cstheme="minorHAnsi"/>
          <w:szCs w:val="20"/>
        </w:rPr>
        <w:instrText xml:space="preserve"> REF _Ref496963426 \h  \* MERGEFORMAT </w:instrText>
      </w:r>
      <w:r w:rsidR="00913516" w:rsidRPr="005F4560">
        <w:rPr>
          <w:rFonts w:cstheme="minorHAnsi"/>
          <w:szCs w:val="20"/>
        </w:rPr>
      </w:r>
      <w:r w:rsidR="00913516" w:rsidRPr="005F4560">
        <w:rPr>
          <w:rFonts w:cstheme="minorHAnsi"/>
          <w:szCs w:val="20"/>
        </w:rPr>
        <w:fldChar w:fldCharType="separate"/>
      </w:r>
      <w:r w:rsidR="00913516" w:rsidRPr="005F4560">
        <w:rPr>
          <w:rFonts w:cstheme="minorHAnsi"/>
          <w:szCs w:val="20"/>
        </w:rPr>
        <w:t>Table 1</w:t>
      </w:r>
      <w:r w:rsidR="00913516" w:rsidRPr="005F4560">
        <w:rPr>
          <w:rFonts w:cstheme="minorHAnsi"/>
          <w:szCs w:val="20"/>
        </w:rPr>
        <w:fldChar w:fldCharType="end"/>
      </w:r>
      <w:r w:rsidR="00913516" w:rsidRPr="005F4560">
        <w:rPr>
          <w:rFonts w:cstheme="minorHAnsi"/>
          <w:szCs w:val="20"/>
        </w:rPr>
        <w:t>).</w:t>
      </w:r>
    </w:p>
    <w:p w14:paraId="0575189F" w14:textId="77777777" w:rsidR="0054594B" w:rsidRPr="005F4560" w:rsidRDefault="009C03FB" w:rsidP="00530204">
      <w:pPr>
        <w:pStyle w:val="Heading2"/>
      </w:pPr>
      <w:r w:rsidRPr="005F4560">
        <w:t>Define and summarise how</w:t>
      </w:r>
      <w:r w:rsidR="00F33F1A" w:rsidRPr="005F4560">
        <w:t xml:space="preserve"> curr</w:t>
      </w:r>
      <w:r w:rsidRPr="005F4560">
        <w:t>ent clinical management pathways (from the point of service delivery onwards) are</w:t>
      </w:r>
      <w:r w:rsidR="00F33F1A" w:rsidRPr="005F4560">
        <w:t xml:space="preserve"> expected to change as a consequence of introducing the proposed medical service </w:t>
      </w:r>
      <w:r w:rsidR="007D2358" w:rsidRPr="005F4560">
        <w:t xml:space="preserve">including variation in health care resources </w:t>
      </w:r>
      <w:r w:rsidRPr="005F4560">
        <w:t>(</w:t>
      </w:r>
      <w:r w:rsidR="002053F2" w:rsidRPr="005F4560">
        <w:t xml:space="preserve">Refer to </w:t>
      </w:r>
      <w:r w:rsidR="00F33F1A" w:rsidRPr="005F4560">
        <w:t xml:space="preserve">Question </w:t>
      </w:r>
      <w:r w:rsidR="00197D29" w:rsidRPr="005F4560">
        <w:t>39</w:t>
      </w:r>
      <w:r w:rsidR="00F33F1A" w:rsidRPr="005F4560">
        <w:t xml:space="preserve"> as baseline)</w:t>
      </w:r>
      <w:r w:rsidR="00AE1188" w:rsidRPr="005F4560">
        <w:t>:</w:t>
      </w:r>
    </w:p>
    <w:p w14:paraId="783E4DD8" w14:textId="09EC717E" w:rsidR="00672B91" w:rsidRPr="005F4560" w:rsidRDefault="00672B91" w:rsidP="001B1FD4">
      <w:pPr>
        <w:spacing w:before="0" w:after="0"/>
        <w:ind w:left="426"/>
        <w:rPr>
          <w:rFonts w:cstheme="minorHAnsi"/>
          <w:szCs w:val="20"/>
        </w:rPr>
      </w:pPr>
      <w:r w:rsidRPr="005F4560">
        <w:rPr>
          <w:rFonts w:cstheme="minorHAnsi"/>
          <w:szCs w:val="20"/>
        </w:rPr>
        <w:t xml:space="preserve">The point at which </w:t>
      </w:r>
      <w:r w:rsidR="000346AA" w:rsidRPr="005F4560">
        <w:rPr>
          <w:rFonts w:cstheme="minorHAnsi"/>
          <w:szCs w:val="20"/>
        </w:rPr>
        <w:t>the IGB</w:t>
      </w:r>
      <w:r w:rsidR="006155BD" w:rsidRPr="005F4560">
        <w:rPr>
          <w:rFonts w:cstheme="minorHAnsi"/>
          <w:szCs w:val="20"/>
        </w:rPr>
        <w:t xml:space="preserve"> procedure</w:t>
      </w:r>
      <w:r w:rsidRPr="005F4560">
        <w:rPr>
          <w:rFonts w:cstheme="minorHAnsi"/>
          <w:szCs w:val="20"/>
        </w:rPr>
        <w:t xml:space="preserve"> will be introduced </w:t>
      </w:r>
      <w:r w:rsidR="00576B94" w:rsidRPr="005F4560">
        <w:rPr>
          <w:rFonts w:cstheme="minorHAnsi"/>
          <w:szCs w:val="20"/>
        </w:rPr>
        <w:t xml:space="preserve">for the </w:t>
      </w:r>
      <w:r w:rsidR="0035763F" w:rsidRPr="005F4560">
        <w:rPr>
          <w:rFonts w:cstheme="minorHAnsi"/>
          <w:szCs w:val="20"/>
        </w:rPr>
        <w:t>relevant</w:t>
      </w:r>
      <w:r w:rsidR="00576B94" w:rsidRPr="005F4560">
        <w:rPr>
          <w:rFonts w:cstheme="minorHAnsi"/>
          <w:szCs w:val="20"/>
        </w:rPr>
        <w:t xml:space="preserve"> patient </w:t>
      </w:r>
      <w:r w:rsidR="00061DAE" w:rsidRPr="005F4560">
        <w:rPr>
          <w:rFonts w:cstheme="minorHAnsi"/>
          <w:szCs w:val="20"/>
        </w:rPr>
        <w:t xml:space="preserve">population </w:t>
      </w:r>
      <w:r w:rsidRPr="005F4560">
        <w:rPr>
          <w:rFonts w:cstheme="minorHAnsi"/>
          <w:szCs w:val="20"/>
        </w:rPr>
        <w:t xml:space="preserve">is presented in </w:t>
      </w:r>
      <w:r w:rsidR="00913516" w:rsidRPr="005F4560">
        <w:rPr>
          <w:rFonts w:cstheme="minorHAnsi"/>
          <w:szCs w:val="20"/>
        </w:rPr>
        <w:fldChar w:fldCharType="begin"/>
      </w:r>
      <w:r w:rsidR="00913516" w:rsidRPr="005F4560">
        <w:rPr>
          <w:rFonts w:cstheme="minorHAnsi"/>
          <w:szCs w:val="20"/>
        </w:rPr>
        <w:instrText xml:space="preserve"> REF _Ref496970217 \h </w:instrText>
      </w:r>
      <w:r w:rsidR="00913516" w:rsidRPr="005F4560">
        <w:rPr>
          <w:rFonts w:cstheme="minorHAnsi"/>
          <w:szCs w:val="20"/>
        </w:rPr>
      </w:r>
      <w:r w:rsidR="00913516" w:rsidRPr="005F4560">
        <w:rPr>
          <w:rFonts w:cstheme="minorHAnsi"/>
          <w:szCs w:val="20"/>
        </w:rPr>
        <w:fldChar w:fldCharType="separate"/>
      </w:r>
      <w:r w:rsidR="00913516" w:rsidRPr="005F4560">
        <w:t>Figure 3</w:t>
      </w:r>
      <w:r w:rsidR="00913516" w:rsidRPr="005F4560">
        <w:rPr>
          <w:rFonts w:cstheme="minorHAnsi"/>
          <w:szCs w:val="20"/>
        </w:rPr>
        <w:fldChar w:fldCharType="end"/>
      </w:r>
      <w:r w:rsidRPr="005F4560">
        <w:rPr>
          <w:rFonts w:cstheme="minorHAnsi"/>
          <w:szCs w:val="20"/>
        </w:rPr>
        <w:t xml:space="preserve"> below.</w:t>
      </w:r>
    </w:p>
    <w:p w14:paraId="6046DDA0" w14:textId="77777777" w:rsidR="00331E68" w:rsidRPr="005F4560" w:rsidRDefault="00331E68">
      <w:pPr>
        <w:spacing w:before="0" w:after="200" w:line="276" w:lineRule="auto"/>
        <w:rPr>
          <w:rFonts w:cstheme="minorHAnsi"/>
          <w:szCs w:val="20"/>
        </w:rPr>
      </w:pPr>
      <w:r w:rsidRPr="005F4560">
        <w:rPr>
          <w:rFonts w:cstheme="minorHAnsi"/>
          <w:szCs w:val="20"/>
        </w:rPr>
        <w:br w:type="page"/>
      </w:r>
    </w:p>
    <w:p w14:paraId="093D5F9E" w14:textId="6A341F94" w:rsidR="00672B91" w:rsidRPr="005F4560" w:rsidRDefault="00672B91" w:rsidP="00331E68">
      <w:pPr>
        <w:pStyle w:val="Caption"/>
        <w:rPr>
          <w:color w:val="auto"/>
        </w:rPr>
      </w:pPr>
      <w:bookmarkStart w:id="12" w:name="_Ref496970217"/>
      <w:r w:rsidRPr="005F4560">
        <w:rPr>
          <w:color w:val="auto"/>
        </w:rPr>
        <w:lastRenderedPageBreak/>
        <w:t xml:space="preserve">Figure </w:t>
      </w:r>
      <w:r w:rsidR="00D368CA" w:rsidRPr="005F4560">
        <w:rPr>
          <w:color w:val="auto"/>
        </w:rPr>
        <w:fldChar w:fldCharType="begin"/>
      </w:r>
      <w:r w:rsidR="00D368CA" w:rsidRPr="005F4560">
        <w:rPr>
          <w:color w:val="auto"/>
        </w:rPr>
        <w:instrText xml:space="preserve"> SEQ Figure \* ARABIC </w:instrText>
      </w:r>
      <w:r w:rsidR="00D368CA" w:rsidRPr="005F4560">
        <w:rPr>
          <w:color w:val="auto"/>
        </w:rPr>
        <w:fldChar w:fldCharType="separate"/>
      </w:r>
      <w:r w:rsidR="00331E68" w:rsidRPr="005F4560">
        <w:rPr>
          <w:color w:val="auto"/>
        </w:rPr>
        <w:t>3</w:t>
      </w:r>
      <w:r w:rsidR="00D368CA" w:rsidRPr="005F4560">
        <w:rPr>
          <w:color w:val="auto"/>
        </w:rPr>
        <w:fldChar w:fldCharType="end"/>
      </w:r>
      <w:bookmarkEnd w:id="12"/>
      <w:r w:rsidRPr="005F4560">
        <w:rPr>
          <w:color w:val="auto"/>
        </w:rPr>
        <w:t xml:space="preserve">: Change in the treatment algorithm with the reimbursement of </w:t>
      </w:r>
      <w:proofErr w:type="spellStart"/>
      <w:r w:rsidR="00DC685F">
        <w:rPr>
          <w:color w:val="auto"/>
        </w:rPr>
        <w:t>Orbera</w:t>
      </w:r>
      <w:proofErr w:type="spellEnd"/>
      <w:r w:rsidR="00DC685F">
        <w:rPr>
          <w:color w:val="auto"/>
        </w:rPr>
        <w:t>™</w:t>
      </w:r>
    </w:p>
    <w:p w14:paraId="01576209" w14:textId="66853607" w:rsidR="000346AA" w:rsidRPr="005F4560" w:rsidRDefault="000346AA" w:rsidP="000346AA">
      <w:r w:rsidRPr="005F4560">
        <w:rPr>
          <w:noProof/>
          <w:lang w:eastAsia="en-AU"/>
        </w:rPr>
        <w:drawing>
          <wp:inline distT="0" distB="0" distL="0" distR="0" wp14:anchorId="3A312277" wp14:editId="45DB141D">
            <wp:extent cx="5534025" cy="3724275"/>
            <wp:effectExtent l="0" t="0" r="9525" b="0"/>
            <wp:docPr id="5" name="Picture 5" descr="Change in Treatment Algorithm with MBS Reimbursement of IGB - In this picture, the algorithm for recommended treatment pathway is presented for obese patients which includes the IGB as a pre-surgical option." title="Change in Treatment Algorithm with MBS Reimbursement of I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7">
                      <a:extLst>
                        <a:ext uri="{28A0092B-C50C-407E-A947-70E740481C1C}">
                          <a14:useLocalDpi xmlns:a14="http://schemas.microsoft.com/office/drawing/2010/main" val="0"/>
                        </a:ext>
                      </a:extLst>
                    </a:blip>
                    <a:srcRect r="3443" b="4088"/>
                    <a:stretch/>
                  </pic:blipFill>
                  <pic:spPr bwMode="auto">
                    <a:xfrm>
                      <a:off x="0" y="0"/>
                      <a:ext cx="5534156" cy="3724363"/>
                    </a:xfrm>
                    <a:prstGeom prst="rect">
                      <a:avLst/>
                    </a:prstGeom>
                    <a:noFill/>
                    <a:ln>
                      <a:noFill/>
                    </a:ln>
                    <a:extLst>
                      <a:ext uri="{53640926-AAD7-44D8-BBD7-CCE9431645EC}">
                        <a14:shadowObscured xmlns:a14="http://schemas.microsoft.com/office/drawing/2010/main"/>
                      </a:ext>
                    </a:extLst>
                  </pic:spPr>
                </pic:pic>
              </a:graphicData>
            </a:graphic>
          </wp:inline>
        </w:drawing>
      </w:r>
    </w:p>
    <w:p w14:paraId="0576DA35" w14:textId="19B099FB" w:rsidR="000346AA" w:rsidRPr="005F4560" w:rsidRDefault="000346AA" w:rsidP="000346AA"/>
    <w:p w14:paraId="4F371733" w14:textId="2C4BE4BA" w:rsidR="002053F2" w:rsidRPr="005F4560" w:rsidRDefault="00834165" w:rsidP="000346AA">
      <w:pPr>
        <w:pStyle w:val="ListParagraph"/>
        <w:ind w:left="0"/>
        <w:rPr>
          <w:b/>
          <w:szCs w:val="20"/>
        </w:rPr>
      </w:pPr>
      <w:r w:rsidRPr="005F4560">
        <w:rPr>
          <w:rFonts w:cstheme="minorHAnsi"/>
          <w:szCs w:val="20"/>
        </w:rPr>
        <w:t>There are</w:t>
      </w:r>
      <w:r w:rsidRPr="005F4560">
        <w:t xml:space="preserve"> </w:t>
      </w:r>
      <w:hyperlink r:id="rId138" w:history="1">
        <w:r w:rsidRPr="005F4560">
          <w:rPr>
            <w:rStyle w:val="Hyperlink"/>
            <w:color w:val="auto"/>
          </w:rPr>
          <w:t>specific programs</w:t>
        </w:r>
      </w:hyperlink>
      <w:r w:rsidRPr="005F4560">
        <w:t xml:space="preserve"> </w:t>
      </w:r>
      <w:r w:rsidRPr="005F4560">
        <w:rPr>
          <w:rFonts w:cstheme="minorHAnsi"/>
          <w:szCs w:val="20"/>
        </w:rPr>
        <w:t xml:space="preserve">that are established following the </w:t>
      </w:r>
      <w:r w:rsidR="000346AA" w:rsidRPr="005F4560">
        <w:rPr>
          <w:rFonts w:cstheme="minorHAnsi"/>
          <w:szCs w:val="20"/>
        </w:rPr>
        <w:t>IGB</w:t>
      </w:r>
      <w:r w:rsidR="006155BD" w:rsidRPr="005F4560">
        <w:rPr>
          <w:rFonts w:cstheme="minorHAnsi"/>
          <w:szCs w:val="20"/>
        </w:rPr>
        <w:t xml:space="preserve"> procedure</w:t>
      </w:r>
      <w:r w:rsidR="000346AA" w:rsidRPr="005F4560">
        <w:rPr>
          <w:rFonts w:cstheme="minorHAnsi"/>
          <w:szCs w:val="20"/>
        </w:rPr>
        <w:t xml:space="preserve"> (see </w:t>
      </w:r>
      <w:proofErr w:type="spellStart"/>
      <w:r w:rsidR="00DC685F">
        <w:rPr>
          <w:rFonts w:cstheme="minorHAnsi"/>
          <w:szCs w:val="20"/>
        </w:rPr>
        <w:t>Orbera</w:t>
      </w:r>
      <w:proofErr w:type="spellEnd"/>
      <w:r w:rsidR="00DC685F">
        <w:rPr>
          <w:rFonts w:cstheme="minorHAnsi"/>
          <w:szCs w:val="20"/>
        </w:rPr>
        <w:t>™</w:t>
      </w:r>
      <w:r w:rsidR="000346AA" w:rsidRPr="005F4560">
        <w:rPr>
          <w:rFonts w:cstheme="minorHAnsi"/>
          <w:szCs w:val="20"/>
        </w:rPr>
        <w:t>)</w:t>
      </w:r>
      <w:r w:rsidRPr="005F4560">
        <w:rPr>
          <w:rFonts w:cstheme="minorHAnsi"/>
          <w:szCs w:val="20"/>
        </w:rPr>
        <w:t>, and these are not dissimilar to those followed by patients that undergo bariatric surgery.  The post insertion care is equally important and visits of at least once a month while the intra-gastric balloon is in place are scheduled.  It is at a minimum during these visits that further information regarding the long-term success of the program are communicated and enhanced.  The post-operative care programs that are in place may vary slightly depending on the clinic/hospital but essentially include education, support to change a person’s lifestyle and eating habits.  This support is provided by follow-up with a dietician, nurse and the surgeon.</w:t>
      </w:r>
    </w:p>
    <w:p w14:paraId="0F81F159" w14:textId="77777777" w:rsidR="001B29A1" w:rsidRPr="005F4560" w:rsidRDefault="001B29A1" w:rsidP="00881F93">
      <w:pPr>
        <w:rPr>
          <w:b/>
          <w:i/>
          <w:szCs w:val="20"/>
          <w:u w:val="single"/>
        </w:rPr>
      </w:pPr>
      <w:r w:rsidRPr="005F4560">
        <w:rPr>
          <w:b/>
          <w:i/>
          <w:szCs w:val="20"/>
          <w:u w:val="single"/>
        </w:rPr>
        <w:br w:type="page"/>
      </w:r>
    </w:p>
    <w:p w14:paraId="07149371" w14:textId="77777777" w:rsidR="00DF0D47" w:rsidRPr="005F4560" w:rsidRDefault="005C3AE7" w:rsidP="005C3AE7">
      <w:pPr>
        <w:pStyle w:val="Subtitle"/>
      </w:pPr>
      <w:r w:rsidRPr="005F4560">
        <w:lastRenderedPageBreak/>
        <w:t xml:space="preserve">PART 6d – </w:t>
      </w:r>
      <w:r w:rsidR="00DF0D47" w:rsidRPr="005F4560">
        <w:t xml:space="preserve">INFORMATION ABOUT THE </w:t>
      </w:r>
      <w:r w:rsidR="00CF5AD8" w:rsidRPr="005F4560">
        <w:t xml:space="preserve">CLINICAL </w:t>
      </w:r>
      <w:r w:rsidR="00DF0D47" w:rsidRPr="005F4560">
        <w:t>OUTCOME</w:t>
      </w:r>
    </w:p>
    <w:p w14:paraId="3B68FAB1" w14:textId="77777777" w:rsidR="004E3CC7" w:rsidRPr="005F4560" w:rsidRDefault="004E3CC7" w:rsidP="00530204">
      <w:pPr>
        <w:pStyle w:val="Heading2"/>
      </w:pPr>
      <w:r w:rsidRPr="005F4560">
        <w:t>Summarise the clinical claims for the proposed medical service against the appropriate comparator(s), in terms of consequences for health outcomes</w:t>
      </w:r>
      <w:r w:rsidR="00CF5AD8" w:rsidRPr="005F4560">
        <w:t xml:space="preserve"> (</w:t>
      </w:r>
      <w:r w:rsidR="009F0C02" w:rsidRPr="005F4560">
        <w:t>comparative benefits and harms)</w:t>
      </w:r>
      <w:r w:rsidR="00AE1188" w:rsidRPr="005F4560">
        <w:t>:</w:t>
      </w:r>
    </w:p>
    <w:p w14:paraId="032A7AC3" w14:textId="6DAF992E" w:rsidR="00EA0E60" w:rsidRPr="005F4560" w:rsidRDefault="00DE4C3D" w:rsidP="0011559A">
      <w:pPr>
        <w:pStyle w:val="ListParagraph"/>
        <w:ind w:left="426"/>
        <w:jc w:val="both"/>
        <w:rPr>
          <w:rFonts w:cstheme="minorHAnsi"/>
          <w:szCs w:val="20"/>
        </w:rPr>
      </w:pPr>
      <w:r w:rsidRPr="005F4560">
        <w:rPr>
          <w:rFonts w:cstheme="minorHAnsi"/>
          <w:szCs w:val="20"/>
        </w:rPr>
        <w:t xml:space="preserve">Statistically significant </w:t>
      </w:r>
      <w:r w:rsidR="00BB7DB5" w:rsidRPr="005F4560">
        <w:rPr>
          <w:rFonts w:cstheme="minorHAnsi"/>
          <w:szCs w:val="20"/>
        </w:rPr>
        <w:t xml:space="preserve">(P&lt;0.05) </w:t>
      </w:r>
      <w:r w:rsidRPr="005F4560">
        <w:rPr>
          <w:rFonts w:cstheme="minorHAnsi"/>
          <w:szCs w:val="20"/>
        </w:rPr>
        <w:t xml:space="preserve">and clinically relevant improvements in weight loss and health outcomes have been observed with </w:t>
      </w:r>
      <w:proofErr w:type="spellStart"/>
      <w:r w:rsidR="00DC685F">
        <w:rPr>
          <w:rFonts w:cstheme="minorHAnsi"/>
          <w:szCs w:val="20"/>
        </w:rPr>
        <w:t>Orbera</w:t>
      </w:r>
      <w:proofErr w:type="spellEnd"/>
      <w:r w:rsidR="00DC685F">
        <w:rPr>
          <w:rFonts w:cstheme="minorHAnsi"/>
          <w:szCs w:val="20"/>
        </w:rPr>
        <w:t>™</w:t>
      </w:r>
      <w:r w:rsidR="005B196C" w:rsidRPr="005F4560">
        <w:rPr>
          <w:rFonts w:cstheme="minorHAnsi"/>
          <w:szCs w:val="20"/>
        </w:rPr>
        <w:t xml:space="preserve"> (plus behavioural modification)</w:t>
      </w:r>
      <w:r w:rsidRPr="005F4560">
        <w:rPr>
          <w:rFonts w:cstheme="minorHAnsi"/>
          <w:szCs w:val="20"/>
        </w:rPr>
        <w:t xml:space="preserve"> at 6 months versus behavioural modification alone</w:t>
      </w:r>
      <w:r w:rsidR="00F25C59" w:rsidRPr="005F4560">
        <w:rPr>
          <w:rFonts w:cstheme="minorHAnsi"/>
          <w:szCs w:val="20"/>
        </w:rPr>
        <w:t xml:space="preserve"> or </w:t>
      </w:r>
      <w:r w:rsidR="005B196C" w:rsidRPr="005F4560">
        <w:rPr>
          <w:rFonts w:cstheme="minorHAnsi"/>
          <w:szCs w:val="20"/>
        </w:rPr>
        <w:t xml:space="preserve">behavioural modification plus </w:t>
      </w:r>
      <w:r w:rsidR="00F25C59" w:rsidRPr="005F4560">
        <w:rPr>
          <w:rFonts w:cstheme="minorHAnsi"/>
          <w:szCs w:val="20"/>
        </w:rPr>
        <w:t>pharmacotherapy</w:t>
      </w:r>
      <w:r w:rsidRPr="005F4560">
        <w:rPr>
          <w:rFonts w:cstheme="minorHAnsi"/>
          <w:szCs w:val="20"/>
        </w:rPr>
        <w:t xml:space="preserve"> in randomised</w:t>
      </w:r>
      <w:r w:rsidR="00C0521C" w:rsidRPr="005F4560">
        <w:rPr>
          <w:rFonts w:cstheme="minorHAnsi"/>
          <w:szCs w:val="20"/>
        </w:rPr>
        <w:t>, comparative trials</w:t>
      </w:r>
      <w:r w:rsidR="00886855" w:rsidRPr="005F4560">
        <w:rPr>
          <w:rFonts w:cstheme="minorHAnsi"/>
          <w:szCs w:val="20"/>
        </w:rPr>
        <w:t xml:space="preserve"> (</w:t>
      </w:r>
      <w:proofErr w:type="spellStart"/>
      <w:r w:rsidR="00886855" w:rsidRPr="005F4560">
        <w:rPr>
          <w:rFonts w:cstheme="minorHAnsi"/>
          <w:szCs w:val="20"/>
        </w:rPr>
        <w:t>Courcoulas</w:t>
      </w:r>
      <w:proofErr w:type="spellEnd"/>
      <w:r w:rsidR="00886855" w:rsidRPr="005F4560">
        <w:rPr>
          <w:rFonts w:cstheme="minorHAnsi"/>
          <w:szCs w:val="20"/>
        </w:rPr>
        <w:t xml:space="preserve"> et al. 2017</w:t>
      </w:r>
      <w:r w:rsidR="003A50E5" w:rsidRPr="005F4560">
        <w:rPr>
          <w:rFonts w:cstheme="minorHAnsi"/>
          <w:szCs w:val="20"/>
        </w:rPr>
        <w:t>, Farina et al. 2012)</w:t>
      </w:r>
      <w:r w:rsidR="00B27E3D" w:rsidRPr="005F4560">
        <w:rPr>
          <w:rFonts w:cstheme="minorHAnsi"/>
          <w:szCs w:val="20"/>
        </w:rPr>
        <w:t>, with enduring weight loss noted at 12 months (</w:t>
      </w:r>
      <w:r w:rsidR="00C66678" w:rsidRPr="005F4560">
        <w:rPr>
          <w:rFonts w:cstheme="minorHAnsi"/>
          <w:szCs w:val="20"/>
        </w:rPr>
        <w:t xml:space="preserve">Farina et al. 2012, </w:t>
      </w:r>
      <w:r w:rsidR="00B27E3D" w:rsidRPr="005F4560">
        <w:rPr>
          <w:rFonts w:cstheme="minorHAnsi"/>
          <w:szCs w:val="20"/>
        </w:rPr>
        <w:t>Fuller et al. 2013)</w:t>
      </w:r>
      <w:r w:rsidR="00886855" w:rsidRPr="005F4560">
        <w:rPr>
          <w:rFonts w:cstheme="minorHAnsi"/>
          <w:szCs w:val="20"/>
        </w:rPr>
        <w:t>.</w:t>
      </w:r>
      <w:r w:rsidR="00EB6931" w:rsidRPr="005F4560">
        <w:rPr>
          <w:rFonts w:cstheme="minorHAnsi"/>
          <w:szCs w:val="20"/>
        </w:rPr>
        <w:t xml:space="preserve">  I</w:t>
      </w:r>
      <w:r w:rsidR="00370419" w:rsidRPr="005F4560">
        <w:rPr>
          <w:rFonts w:cstheme="minorHAnsi"/>
          <w:szCs w:val="20"/>
        </w:rPr>
        <w:t xml:space="preserve">mprovements in insulin sensitivity and triglyceride levels </w:t>
      </w:r>
      <w:r w:rsidR="005B196C" w:rsidRPr="005F4560">
        <w:rPr>
          <w:rFonts w:cstheme="minorHAnsi"/>
          <w:szCs w:val="20"/>
        </w:rPr>
        <w:t xml:space="preserve">were </w:t>
      </w:r>
      <w:r w:rsidR="00370419" w:rsidRPr="005F4560">
        <w:rPr>
          <w:rFonts w:cstheme="minorHAnsi"/>
          <w:szCs w:val="20"/>
        </w:rPr>
        <w:t>also noted</w:t>
      </w:r>
      <w:r w:rsidR="00C811CF" w:rsidRPr="005F4560">
        <w:rPr>
          <w:rFonts w:cstheme="minorHAnsi"/>
          <w:szCs w:val="20"/>
        </w:rPr>
        <w:t xml:space="preserve"> </w:t>
      </w:r>
      <w:r w:rsidR="003A50E5" w:rsidRPr="005F4560">
        <w:rPr>
          <w:rFonts w:cstheme="minorHAnsi"/>
          <w:szCs w:val="20"/>
        </w:rPr>
        <w:t>(Farina et al. 2012).</w:t>
      </w:r>
      <w:r w:rsidR="00EA0E60" w:rsidRPr="005F4560">
        <w:rPr>
          <w:rFonts w:cstheme="minorHAnsi"/>
          <w:szCs w:val="20"/>
        </w:rPr>
        <w:t xml:space="preserve">  An increased rate of adverse events</w:t>
      </w:r>
      <w:r w:rsidR="00520547" w:rsidRPr="005F4560">
        <w:rPr>
          <w:rFonts w:cstheme="minorHAnsi"/>
          <w:szCs w:val="20"/>
        </w:rPr>
        <w:t>, including pain and nausea,</w:t>
      </w:r>
      <w:r w:rsidR="00EA0E60" w:rsidRPr="005F4560">
        <w:rPr>
          <w:rFonts w:cstheme="minorHAnsi"/>
          <w:szCs w:val="20"/>
        </w:rPr>
        <w:t xml:space="preserve"> was reported in the</w:t>
      </w:r>
      <w:r w:rsidR="00840FF9" w:rsidRPr="005F4560">
        <w:rPr>
          <w:rFonts w:cstheme="minorHAnsi"/>
          <w:szCs w:val="20"/>
        </w:rPr>
        <w:t>se</w:t>
      </w:r>
      <w:r w:rsidR="00EA0E60" w:rsidRPr="005F4560">
        <w:rPr>
          <w:rFonts w:cstheme="minorHAnsi"/>
          <w:szCs w:val="20"/>
        </w:rPr>
        <w:t xml:space="preserve"> randomised, comparative studies</w:t>
      </w:r>
      <w:r w:rsidR="00840FF9" w:rsidRPr="005F4560">
        <w:rPr>
          <w:rFonts w:cstheme="minorHAnsi"/>
          <w:szCs w:val="20"/>
        </w:rPr>
        <w:t>, compared with the comparator</w:t>
      </w:r>
      <w:r w:rsidR="00EA0E60" w:rsidRPr="005F4560">
        <w:rPr>
          <w:rFonts w:cstheme="minorHAnsi"/>
          <w:szCs w:val="20"/>
        </w:rPr>
        <w:t>.</w:t>
      </w:r>
    </w:p>
    <w:p w14:paraId="7B98CC84" w14:textId="58651C57" w:rsidR="0039668B" w:rsidRPr="005F4560" w:rsidRDefault="004B3C85" w:rsidP="0011559A">
      <w:pPr>
        <w:pStyle w:val="ListParagraph"/>
        <w:ind w:left="426"/>
        <w:jc w:val="both"/>
        <w:rPr>
          <w:rStyle w:val="Hyperlink"/>
          <w:color w:val="auto"/>
        </w:rPr>
      </w:pPr>
      <w:r w:rsidRPr="005F4560">
        <w:rPr>
          <w:rFonts w:cstheme="minorHAnsi"/>
          <w:szCs w:val="20"/>
        </w:rPr>
        <w:t xml:space="preserve">Furthermore, reduction in diabetes incidence was achieved at various levels of BMI.  </w:t>
      </w:r>
      <w:r w:rsidR="0039668B" w:rsidRPr="005F4560">
        <w:rPr>
          <w:rFonts w:cstheme="minorHAnsi"/>
          <w:szCs w:val="20"/>
        </w:rPr>
        <w:t xml:space="preserve">At </w:t>
      </w:r>
      <w:r w:rsidR="001C7AFA" w:rsidRPr="005F4560">
        <w:rPr>
          <w:rFonts w:cstheme="minorHAnsi"/>
          <w:szCs w:val="20"/>
        </w:rPr>
        <w:t xml:space="preserve">6 months and </w:t>
      </w:r>
      <w:r w:rsidR="0039668B" w:rsidRPr="005F4560">
        <w:rPr>
          <w:rFonts w:cstheme="minorHAnsi"/>
          <w:szCs w:val="20"/>
        </w:rPr>
        <w:t xml:space="preserve">3 years, the clinical effectiveness of </w:t>
      </w:r>
      <w:proofErr w:type="spellStart"/>
      <w:r w:rsidR="00DC685F">
        <w:rPr>
          <w:rFonts w:cstheme="minorHAnsi"/>
          <w:szCs w:val="20"/>
        </w:rPr>
        <w:t>Orbera</w:t>
      </w:r>
      <w:proofErr w:type="spellEnd"/>
      <w:r w:rsidR="00DC685F">
        <w:rPr>
          <w:rFonts w:cstheme="minorHAnsi"/>
          <w:szCs w:val="20"/>
        </w:rPr>
        <w:t>™</w:t>
      </w:r>
      <w:r w:rsidR="0039668B" w:rsidRPr="005F4560">
        <w:rPr>
          <w:rFonts w:cstheme="minorHAnsi"/>
          <w:szCs w:val="20"/>
        </w:rPr>
        <w:t xml:space="preserve"> in terms of </w:t>
      </w:r>
      <w:r w:rsidR="0039668B" w:rsidRPr="005F4560">
        <w:rPr>
          <w:rFonts w:cstheme="minorHAnsi"/>
          <w:szCs w:val="20"/>
          <w:u w:val="single"/>
        </w:rPr>
        <w:t>achieving T2DM remission over time</w:t>
      </w:r>
      <w:r w:rsidR="0039668B" w:rsidRPr="005F4560">
        <w:rPr>
          <w:rFonts w:cstheme="minorHAnsi"/>
          <w:szCs w:val="20"/>
        </w:rPr>
        <w:t xml:space="preserve"> is </w:t>
      </w:r>
      <w:r w:rsidR="001C7AFA" w:rsidRPr="005F4560">
        <w:rPr>
          <w:rFonts w:cstheme="minorHAnsi"/>
          <w:szCs w:val="20"/>
        </w:rPr>
        <w:t xml:space="preserve">respectively, an average of 61% </w:t>
      </w:r>
      <w:r w:rsidR="001B1FD4" w:rsidRPr="005F4560">
        <w:rPr>
          <w:rFonts w:cstheme="minorHAnsi"/>
          <w:szCs w:val="20"/>
        </w:rPr>
        <w:t>(</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"https://www.ncbi.nlm.nih.gov/pubmed/19506981" </w:instrText>
      </w:r>
      <w:r w:rsidR="009878BB">
        <w:rPr>
          <w:rStyle w:val="Hyperlink"/>
          <w:rFonts w:cstheme="minorHAnsi"/>
          <w:color w:val="auto"/>
          <w:szCs w:val="20"/>
        </w:rPr>
        <w:fldChar w:fldCharType="separate"/>
      </w:r>
      <w:r w:rsidR="001B1FD4" w:rsidRPr="005F4560">
        <w:rPr>
          <w:rStyle w:val="Hyperlink"/>
          <w:rFonts w:cstheme="minorHAnsi"/>
          <w:color w:val="auto"/>
          <w:szCs w:val="20"/>
        </w:rPr>
        <w:t>Crea</w:t>
      </w:r>
      <w:proofErr w:type="spellEnd"/>
      <w:r w:rsidR="001B1FD4" w:rsidRPr="005F4560">
        <w:rPr>
          <w:rStyle w:val="Hyperlink"/>
          <w:rFonts w:cstheme="minorHAnsi"/>
          <w:color w:val="auto"/>
          <w:szCs w:val="20"/>
        </w:rPr>
        <w:t xml:space="preserve"> et al, 2009</w:t>
      </w:r>
      <w:r w:rsidR="009878BB">
        <w:rPr>
          <w:rStyle w:val="Hyperlink"/>
          <w:rFonts w:cstheme="minorHAnsi"/>
          <w:color w:val="auto"/>
          <w:szCs w:val="20"/>
        </w:rPr>
        <w:fldChar w:fldCharType="end"/>
      </w:r>
      <w:r w:rsidR="001B1FD4" w:rsidRPr="005F4560">
        <w:rPr>
          <w:rFonts w:cstheme="minorHAnsi"/>
          <w:szCs w:val="20"/>
        </w:rPr>
        <w:t xml:space="preserve">; </w:t>
      </w:r>
      <w:hyperlink r:id="rId139" w:history="1">
        <w:proofErr w:type="spellStart"/>
        <w:r w:rsidR="001B1FD4" w:rsidRPr="005F4560">
          <w:rPr>
            <w:rStyle w:val="Hyperlink"/>
            <w:rFonts w:cstheme="minorHAnsi"/>
            <w:color w:val="auto"/>
            <w:szCs w:val="20"/>
          </w:rPr>
          <w:t>Genco</w:t>
        </w:r>
        <w:proofErr w:type="spellEnd"/>
        <w:r w:rsidR="001B1FD4" w:rsidRPr="005F4560">
          <w:rPr>
            <w:rStyle w:val="Hyperlink"/>
            <w:rFonts w:cstheme="minorHAnsi"/>
            <w:color w:val="auto"/>
            <w:szCs w:val="20"/>
          </w:rPr>
          <w:t xml:space="preserve"> et al, 2005</w:t>
        </w:r>
      </w:hyperlink>
      <w:r w:rsidR="001B1FD4" w:rsidRPr="005F4560">
        <w:rPr>
          <w:rFonts w:cstheme="minorHAnsi"/>
          <w:szCs w:val="20"/>
        </w:rPr>
        <w:t xml:space="preserve">; </w:t>
      </w:r>
      <w:hyperlink r:id="rId140" w:history="1">
        <w:proofErr w:type="spellStart"/>
        <w:r w:rsidR="001B1FD4" w:rsidRPr="005F4560">
          <w:rPr>
            <w:rStyle w:val="Hyperlink"/>
            <w:rFonts w:cstheme="minorHAnsi"/>
            <w:color w:val="auto"/>
            <w:szCs w:val="20"/>
          </w:rPr>
          <w:t>Genco</w:t>
        </w:r>
        <w:proofErr w:type="spellEnd"/>
        <w:r w:rsidR="001B1FD4" w:rsidRPr="005F4560">
          <w:rPr>
            <w:rStyle w:val="Hyperlink"/>
            <w:rFonts w:cstheme="minorHAnsi"/>
            <w:color w:val="auto"/>
            <w:szCs w:val="20"/>
          </w:rPr>
          <w:t xml:space="preserve"> et al, 2013</w:t>
        </w:r>
      </w:hyperlink>
      <w:r w:rsidR="001B1FD4" w:rsidRPr="005F4560">
        <w:rPr>
          <w:rFonts w:cstheme="minorHAnsi"/>
          <w:szCs w:val="20"/>
        </w:rPr>
        <w:t xml:space="preserve"> and </w:t>
      </w:r>
      <w:hyperlink r:id="rId141" w:history="1">
        <w:proofErr w:type="spellStart"/>
        <w:r w:rsidR="001B1FD4" w:rsidRPr="005F4560">
          <w:rPr>
            <w:rStyle w:val="Hyperlink"/>
            <w:rFonts w:cstheme="minorHAnsi"/>
            <w:color w:val="auto"/>
            <w:szCs w:val="20"/>
          </w:rPr>
          <w:t>Spyrolpoulos</w:t>
        </w:r>
        <w:proofErr w:type="spellEnd"/>
        <w:r w:rsidR="001B1FD4" w:rsidRPr="005F4560">
          <w:rPr>
            <w:rStyle w:val="Hyperlink"/>
            <w:rFonts w:cstheme="minorHAnsi"/>
            <w:color w:val="auto"/>
            <w:szCs w:val="20"/>
          </w:rPr>
          <w:t xml:space="preserve"> et al, 2007</w:t>
        </w:r>
      </w:hyperlink>
      <w:r w:rsidR="001B1FD4" w:rsidRPr="005F4560">
        <w:rPr>
          <w:rFonts w:cstheme="minorHAnsi"/>
          <w:szCs w:val="20"/>
        </w:rPr>
        <w:t>) and 67% (</w:t>
      </w:r>
      <w:proofErr w:type="spellStart"/>
      <w:r w:rsidR="009878BB">
        <w:rPr>
          <w:rStyle w:val="Hyperlink"/>
          <w:rFonts w:cstheme="minorHAnsi"/>
          <w:color w:val="auto"/>
          <w:szCs w:val="20"/>
        </w:rPr>
        <w:fldChar w:fldCharType="begin"/>
      </w:r>
      <w:r w:rsidR="009878BB">
        <w:rPr>
          <w:rStyle w:val="Hyperlink"/>
          <w:rFonts w:cstheme="minorHAnsi"/>
          <w:color w:val="auto"/>
          <w:szCs w:val="20"/>
        </w:rPr>
        <w:instrText xml:space="preserve"> HYPERLINK "https://www.ncbi.nlm.nih.gov/pubmed/23224509" </w:instrText>
      </w:r>
      <w:r w:rsidR="009878BB">
        <w:rPr>
          <w:rStyle w:val="Hyperlink"/>
          <w:rFonts w:cstheme="minorHAnsi"/>
          <w:color w:val="auto"/>
          <w:szCs w:val="20"/>
        </w:rPr>
        <w:fldChar w:fldCharType="separate"/>
      </w:r>
      <w:r w:rsidR="001B1FD4" w:rsidRPr="005F4560">
        <w:rPr>
          <w:rStyle w:val="Hyperlink"/>
          <w:rFonts w:cstheme="minorHAnsi"/>
          <w:color w:val="auto"/>
          <w:szCs w:val="20"/>
        </w:rPr>
        <w:t>Genco</w:t>
      </w:r>
      <w:proofErr w:type="spellEnd"/>
      <w:r w:rsidR="001B1FD4" w:rsidRPr="005F4560">
        <w:rPr>
          <w:rStyle w:val="Hyperlink"/>
          <w:rFonts w:cstheme="minorHAnsi"/>
          <w:color w:val="auto"/>
          <w:szCs w:val="20"/>
        </w:rPr>
        <w:t xml:space="preserve"> et al, 2013</w:t>
      </w:r>
      <w:r w:rsidR="009878BB">
        <w:rPr>
          <w:rStyle w:val="Hyperlink"/>
          <w:rFonts w:cstheme="minorHAnsi"/>
          <w:color w:val="auto"/>
          <w:szCs w:val="20"/>
        </w:rPr>
        <w:fldChar w:fldCharType="end"/>
      </w:r>
      <w:r w:rsidR="001B1FD4" w:rsidRPr="005F4560">
        <w:rPr>
          <w:rFonts w:cstheme="minorHAnsi"/>
          <w:szCs w:val="20"/>
        </w:rPr>
        <w:t xml:space="preserve">) which compares </w:t>
      </w:r>
      <w:r w:rsidR="0011559A" w:rsidRPr="005F4560">
        <w:rPr>
          <w:rFonts w:cstheme="minorHAnsi"/>
          <w:szCs w:val="20"/>
        </w:rPr>
        <w:t xml:space="preserve">favourably </w:t>
      </w:r>
      <w:r w:rsidR="001B1FD4" w:rsidRPr="005F4560">
        <w:rPr>
          <w:rFonts w:cstheme="minorHAnsi"/>
          <w:szCs w:val="20"/>
        </w:rPr>
        <w:t>to 63% (</w:t>
      </w:r>
      <w:bookmarkStart w:id="13" w:name="_Hlk488073584"/>
      <w:r w:rsidR="001B1FD4" w:rsidRPr="005F4560">
        <w:rPr>
          <w:rStyle w:val="Hyperlink"/>
          <w:color w:val="auto"/>
        </w:rPr>
        <w:fldChar w:fldCharType="begin"/>
      </w:r>
      <w:r w:rsidR="001B1FD4" w:rsidRPr="005F4560">
        <w:rPr>
          <w:rStyle w:val="Hyperlink"/>
          <w:color w:val="auto"/>
        </w:rPr>
        <w:instrText xml:space="preserve"> HYPERLINK "https://www.mja.com.au/journal/2014/201/4/efficacy-bariatric-surgery-performed-public-sector-obese-patients-comorbid" </w:instrText>
      </w:r>
      <w:r w:rsidR="001B1FD4" w:rsidRPr="005F4560">
        <w:rPr>
          <w:rStyle w:val="Hyperlink"/>
          <w:color w:val="auto"/>
        </w:rPr>
        <w:fldChar w:fldCharType="separate"/>
      </w:r>
      <w:r w:rsidR="001B1FD4" w:rsidRPr="005F4560">
        <w:rPr>
          <w:rStyle w:val="Hyperlink"/>
          <w:rFonts w:cstheme="minorHAnsi"/>
          <w:color w:val="auto"/>
          <w:szCs w:val="20"/>
        </w:rPr>
        <w:t>Lukas et al, 2014</w:t>
      </w:r>
      <w:r w:rsidR="001B1FD4" w:rsidRPr="005F4560">
        <w:rPr>
          <w:rStyle w:val="Hyperlink"/>
          <w:color w:val="auto"/>
        </w:rPr>
        <w:fldChar w:fldCharType="end"/>
      </w:r>
      <w:bookmarkEnd w:id="13"/>
      <w:r w:rsidR="001B1FD4" w:rsidRPr="005F4560">
        <w:rPr>
          <w:rStyle w:val="Hyperlink"/>
          <w:color w:val="auto"/>
        </w:rPr>
        <w:t xml:space="preserve"> and </w:t>
      </w:r>
      <w:hyperlink r:id="rId142" w:history="1">
        <w:proofErr w:type="spellStart"/>
        <w:r w:rsidR="001B1FD4" w:rsidRPr="005F4560">
          <w:rPr>
            <w:rStyle w:val="Hyperlink"/>
            <w:rFonts w:cstheme="minorHAnsi"/>
            <w:color w:val="auto"/>
            <w:szCs w:val="20"/>
          </w:rPr>
          <w:t>Milone</w:t>
        </w:r>
        <w:proofErr w:type="spellEnd"/>
        <w:r w:rsidR="001B1FD4" w:rsidRPr="005F4560">
          <w:rPr>
            <w:rStyle w:val="Hyperlink"/>
            <w:rFonts w:cstheme="minorHAnsi"/>
            <w:color w:val="auto"/>
            <w:szCs w:val="20"/>
          </w:rPr>
          <w:t xml:space="preserve"> et al, 2005</w:t>
        </w:r>
      </w:hyperlink>
      <w:r w:rsidR="001B1FD4" w:rsidRPr="005F4560">
        <w:rPr>
          <w:rStyle w:val="Hyperlink"/>
          <w:color w:val="auto"/>
        </w:rPr>
        <w:t>) and only 27% (</w:t>
      </w:r>
      <w:hyperlink r:id="rId143" w:history="1">
        <w:r w:rsidR="00815AD1" w:rsidRPr="005F4560">
          <w:rPr>
            <w:rStyle w:val="Hyperlink"/>
            <w:rFonts w:cstheme="minorHAnsi"/>
            <w:color w:val="auto"/>
            <w:szCs w:val="20"/>
          </w:rPr>
          <w:t>Yip 2013</w:t>
        </w:r>
      </w:hyperlink>
      <w:r w:rsidR="001B1FD4" w:rsidRPr="005F4560">
        <w:rPr>
          <w:rStyle w:val="Hyperlink"/>
          <w:color w:val="auto"/>
        </w:rPr>
        <w:t>) with bariatric surgery</w:t>
      </w:r>
      <w:r w:rsidR="0039668B" w:rsidRPr="005F4560">
        <w:rPr>
          <w:rStyle w:val="Hyperlink"/>
          <w:color w:val="auto"/>
        </w:rPr>
        <w:t>.</w:t>
      </w:r>
      <w:r w:rsidR="0068046B">
        <w:rPr>
          <w:rStyle w:val="Hyperlink"/>
          <w:color w:val="auto"/>
        </w:rPr>
        <w:t xml:space="preserve"> </w:t>
      </w:r>
    </w:p>
    <w:p w14:paraId="2FEADB17" w14:textId="77777777" w:rsidR="004E3CC7" w:rsidRPr="005F4560" w:rsidRDefault="004E3CC7" w:rsidP="003A276E">
      <w:pPr>
        <w:pStyle w:val="ListParagraph"/>
        <w:ind w:left="360"/>
        <w:jc w:val="both"/>
        <w:rPr>
          <w:rFonts w:cstheme="minorHAnsi"/>
          <w:szCs w:val="20"/>
        </w:rPr>
      </w:pPr>
    </w:p>
    <w:p w14:paraId="5FE3D400" w14:textId="77777777" w:rsidR="004E3CC7" w:rsidRPr="005F4560" w:rsidRDefault="004E3CC7" w:rsidP="00530204">
      <w:pPr>
        <w:pStyle w:val="Heading2"/>
      </w:pPr>
      <w:r w:rsidRPr="005F4560">
        <w:t xml:space="preserve">Please advise if the </w:t>
      </w:r>
      <w:r w:rsidR="00CF5AD8" w:rsidRPr="005F4560">
        <w:t xml:space="preserve">overall </w:t>
      </w:r>
      <w:r w:rsidRPr="005F4560">
        <w:t>clinical claim is for:</w:t>
      </w:r>
    </w:p>
    <w:p w14:paraId="7FE99A46" w14:textId="4ECD4863" w:rsidR="00162336" w:rsidRPr="005F4560" w:rsidRDefault="00C962CE" w:rsidP="00B804FB">
      <w:pPr>
        <w:pStyle w:val="ListParagraph"/>
        <w:ind w:left="360"/>
        <w:jc w:val="both"/>
        <w:rPr>
          <w:szCs w:val="20"/>
        </w:rPr>
      </w:pPr>
      <w:r w:rsidRPr="005F4560">
        <w:rPr>
          <w:szCs w:val="20"/>
        </w:rPr>
        <w:t>BMI</w:t>
      </w:r>
      <w:r w:rsidR="00834165" w:rsidRPr="005F4560">
        <w:rPr>
          <w:rFonts w:cstheme="minorHAnsi"/>
          <w:szCs w:val="20"/>
        </w:rPr>
        <w:t>≥30&lt;</w:t>
      </w:r>
      <w:r w:rsidRPr="005F4560">
        <w:rPr>
          <w:rFonts w:cstheme="minorHAnsi"/>
          <w:szCs w:val="20"/>
        </w:rPr>
        <w:t xml:space="preserve">35 kg/m2 </w:t>
      </w:r>
      <w:r w:rsidR="00815AD1" w:rsidRPr="005F4560">
        <w:rPr>
          <w:rFonts w:cstheme="minorHAnsi"/>
          <w:szCs w:val="20"/>
        </w:rPr>
        <w:t>p</w:t>
      </w:r>
      <w:r w:rsidRPr="005F4560">
        <w:rPr>
          <w:rFonts w:cstheme="minorHAnsi"/>
          <w:szCs w:val="20"/>
        </w:rPr>
        <w:t>opulation</w:t>
      </w:r>
      <w:r w:rsidR="00815AD1" w:rsidRPr="005F4560">
        <w:rPr>
          <w:rFonts w:cstheme="minorHAnsi"/>
          <w:szCs w:val="20"/>
        </w:rPr>
        <w:t xml:space="preserve"> with </w:t>
      </w:r>
      <w:r w:rsidR="00B804FB" w:rsidRPr="005F4560">
        <w:rPr>
          <w:rFonts w:cstheme="minorHAnsi"/>
          <w:szCs w:val="20"/>
        </w:rPr>
        <w:t>comorbidities</w:t>
      </w:r>
      <w:r w:rsidR="00926623" w:rsidRPr="005F4560">
        <w:rPr>
          <w:rFonts w:cstheme="minorHAnsi"/>
          <w:szCs w:val="20"/>
        </w:rPr>
        <w:t xml:space="preserve"> for patients who have failed first line treatment options</w:t>
      </w:r>
      <w:r w:rsidR="00815AD1" w:rsidRPr="005F4560">
        <w:rPr>
          <w:rFonts w:cstheme="minorHAnsi"/>
          <w:szCs w:val="20"/>
        </w:rPr>
        <w:t xml:space="preserve"> </w:t>
      </w:r>
      <w:r w:rsidR="00162336" w:rsidRPr="005F4560">
        <w:rPr>
          <w:szCs w:val="20"/>
        </w:rPr>
        <w:t xml:space="preserve">– compared with </w:t>
      </w:r>
      <w:r w:rsidR="00926623" w:rsidRPr="005F4560">
        <w:rPr>
          <w:szCs w:val="20"/>
        </w:rPr>
        <w:t>placebo (do nothing approach)</w:t>
      </w:r>
      <w:r w:rsidR="00162336" w:rsidRPr="005F4560">
        <w:rPr>
          <w:szCs w:val="20"/>
        </w:rPr>
        <w:t xml:space="preserve">, </w:t>
      </w:r>
      <w:proofErr w:type="spellStart"/>
      <w:r w:rsidR="00DC685F">
        <w:rPr>
          <w:szCs w:val="20"/>
        </w:rPr>
        <w:t>Orbera</w:t>
      </w:r>
      <w:proofErr w:type="spellEnd"/>
      <w:r w:rsidR="00DC685F">
        <w:rPr>
          <w:szCs w:val="20"/>
        </w:rPr>
        <w:t>™</w:t>
      </w:r>
      <w:r w:rsidR="00162336" w:rsidRPr="005F4560">
        <w:rPr>
          <w:szCs w:val="20"/>
        </w:rPr>
        <w:t xml:space="preserve"> is superior.</w:t>
      </w:r>
    </w:p>
    <w:p w14:paraId="7E1DC26B" w14:textId="77777777" w:rsidR="00B44B0C" w:rsidRPr="005F4560" w:rsidRDefault="00B44B0C" w:rsidP="00162336">
      <w:pPr>
        <w:spacing w:before="0" w:after="0"/>
        <w:rPr>
          <w:szCs w:val="20"/>
        </w:rPr>
      </w:pPr>
    </w:p>
    <w:p w14:paraId="3FD07999" w14:textId="39562D50" w:rsidR="00162336" w:rsidRPr="005F4560" w:rsidRDefault="00162336" w:rsidP="00162336">
      <w:pPr>
        <w:spacing w:before="0" w:after="0"/>
        <w:ind w:left="426"/>
        <w:rPr>
          <w:szCs w:val="20"/>
        </w:rPr>
      </w:pPr>
      <w:r w:rsidRPr="005F4560">
        <w:rPr>
          <w:szCs w:val="20"/>
        </w:rPr>
        <w:fldChar w:fldCharType="begin">
          <w:ffData>
            <w:name w:val=""/>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Superiority</w:t>
      </w:r>
    </w:p>
    <w:p w14:paraId="3BD5BA53" w14:textId="77777777" w:rsidR="00162336" w:rsidRPr="005F4560" w:rsidRDefault="00162336" w:rsidP="00162336">
      <w:pPr>
        <w:spacing w:before="0" w:after="0"/>
        <w:ind w:left="426"/>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Non-inferiority</w:t>
      </w:r>
    </w:p>
    <w:p w14:paraId="1159D088" w14:textId="77777777" w:rsidR="00B25D20" w:rsidRPr="005F4560" w:rsidRDefault="001B29A1" w:rsidP="00530204">
      <w:pPr>
        <w:pStyle w:val="Heading2"/>
      </w:pPr>
      <w:r w:rsidRPr="005F4560">
        <w:t>Below, l</w:t>
      </w:r>
      <w:r w:rsidR="00B25D20" w:rsidRPr="005F4560">
        <w:t xml:space="preserve">ist the key health outcomes </w:t>
      </w:r>
      <w:r w:rsidR="00707D4D" w:rsidRPr="005F4560">
        <w:t xml:space="preserve">(major and minor – prioritising major key health outcomes first) </w:t>
      </w:r>
      <w:r w:rsidR="00B25D20" w:rsidRPr="005F4560">
        <w:t>that will ne</w:t>
      </w:r>
      <w:r w:rsidR="00AD37D4" w:rsidRPr="005F4560">
        <w:t xml:space="preserve">ed to be specifically measured </w:t>
      </w:r>
      <w:r w:rsidR="00B25D20" w:rsidRPr="005F4560">
        <w:t>in assessing the clinical claim of the proposed medica</w:t>
      </w:r>
      <w:r w:rsidRPr="005F4560">
        <w:t>l service versus the comparator</w:t>
      </w:r>
      <w:r w:rsidR="00AD37D4" w:rsidRPr="005F4560">
        <w:t>:</w:t>
      </w:r>
    </w:p>
    <w:p w14:paraId="21E5317A" w14:textId="0A39396E" w:rsidR="008E086C" w:rsidRPr="005F4560" w:rsidRDefault="001B29A1" w:rsidP="008E086C">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szCs w:val="20"/>
        </w:rPr>
      </w:pPr>
      <w:r w:rsidRPr="005F4560">
        <w:rPr>
          <w:b/>
          <w:szCs w:val="20"/>
        </w:rPr>
        <w:t>Safety Outcomes</w:t>
      </w:r>
      <w:r w:rsidR="000A5142" w:rsidRPr="005F4560">
        <w:rPr>
          <w:b/>
          <w:szCs w:val="20"/>
        </w:rPr>
        <w:t>:</w:t>
      </w:r>
      <w:r w:rsidR="00061DAE" w:rsidRPr="005F4560">
        <w:t xml:space="preserve"> </w:t>
      </w:r>
      <w:r w:rsidR="00061DAE" w:rsidRPr="005F4560">
        <w:rPr>
          <w:rFonts w:cstheme="minorHAnsi"/>
          <w:szCs w:val="20"/>
        </w:rPr>
        <w:t>Adverse event rates</w:t>
      </w:r>
      <w:r w:rsidR="00A207ED" w:rsidRPr="005F4560">
        <w:rPr>
          <w:rFonts w:cstheme="minorHAnsi"/>
          <w:szCs w:val="20"/>
        </w:rPr>
        <w:t xml:space="preserve"> (primary adverse events are pain, n</w:t>
      </w:r>
      <w:r w:rsidR="00EA186F" w:rsidRPr="005F4560">
        <w:rPr>
          <w:rFonts w:cstheme="minorHAnsi"/>
          <w:szCs w:val="20"/>
        </w:rPr>
        <w:t>ausea and gastro-oesophageal reflux).</w:t>
      </w:r>
    </w:p>
    <w:p w14:paraId="2AC2C32C" w14:textId="77777777" w:rsidR="00EA186F" w:rsidRPr="005F4560" w:rsidRDefault="001B29A1" w:rsidP="008E086C">
      <w:pPr>
        <w:pBdr>
          <w:top w:val="single" w:sz="4" w:space="1" w:color="auto"/>
          <w:left w:val="single" w:sz="4" w:space="4" w:color="auto"/>
          <w:right w:val="single" w:sz="4" w:space="4" w:color="auto"/>
          <w:between w:val="single" w:sz="4" w:space="1" w:color="auto"/>
          <w:bar w:val="single" w:sz="4" w:color="auto"/>
        </w:pBdr>
        <w:rPr>
          <w:b/>
          <w:szCs w:val="20"/>
        </w:rPr>
      </w:pPr>
      <w:r w:rsidRPr="005F4560">
        <w:rPr>
          <w:b/>
          <w:szCs w:val="20"/>
        </w:rPr>
        <w:t>Clinical Effectiveness Outcomes:</w:t>
      </w:r>
      <w:r w:rsidR="001C7AFA" w:rsidRPr="005F4560">
        <w:rPr>
          <w:b/>
          <w:szCs w:val="20"/>
        </w:rPr>
        <w:t xml:space="preserve"> </w:t>
      </w:r>
    </w:p>
    <w:p w14:paraId="7D398407" w14:textId="5BAC0470" w:rsidR="001C7AFA" w:rsidRPr="005F4560" w:rsidRDefault="00EA186F" w:rsidP="008E086C">
      <w:pPr>
        <w:pBdr>
          <w:left w:val="single" w:sz="4" w:space="4" w:color="auto"/>
          <w:right w:val="single" w:sz="4" w:space="4" w:color="auto"/>
          <w:between w:val="single" w:sz="4" w:space="1" w:color="auto"/>
          <w:bar w:val="single" w:sz="4" w:color="auto"/>
        </w:pBdr>
        <w:rPr>
          <w:rFonts w:cstheme="minorHAnsi"/>
          <w:szCs w:val="20"/>
        </w:rPr>
      </w:pPr>
      <w:r w:rsidRPr="005F4560">
        <w:rPr>
          <w:b/>
          <w:szCs w:val="20"/>
        </w:rPr>
        <w:t xml:space="preserve">Primary Outcomes: </w:t>
      </w:r>
      <w:r w:rsidR="001C7AFA" w:rsidRPr="005F4560">
        <w:rPr>
          <w:rFonts w:cstheme="minorHAnsi"/>
          <w:szCs w:val="20"/>
        </w:rPr>
        <w:t>Excess weight loss, Changes in rate of recorded diabetes or T2DM remission</w:t>
      </w:r>
      <w:r w:rsidRPr="005F4560">
        <w:rPr>
          <w:rFonts w:cstheme="minorHAnsi"/>
          <w:szCs w:val="20"/>
        </w:rPr>
        <w:t>.</w:t>
      </w:r>
    </w:p>
    <w:p w14:paraId="71332B0E" w14:textId="53E96538" w:rsidR="00EA186F" w:rsidRPr="005F4560" w:rsidRDefault="00EA186F" w:rsidP="008E086C">
      <w:pPr>
        <w:pBdr>
          <w:left w:val="single" w:sz="4" w:space="4" w:color="auto"/>
          <w:bottom w:val="single" w:sz="4" w:space="1" w:color="auto"/>
          <w:right w:val="single" w:sz="4" w:space="4" w:color="auto"/>
          <w:between w:val="single" w:sz="4" w:space="1" w:color="auto"/>
          <w:bar w:val="single" w:sz="4" w:color="auto"/>
        </w:pBdr>
        <w:rPr>
          <w:rFonts w:cstheme="minorHAnsi"/>
          <w:szCs w:val="20"/>
        </w:rPr>
      </w:pPr>
      <w:r w:rsidRPr="005F4560">
        <w:rPr>
          <w:b/>
          <w:szCs w:val="20"/>
        </w:rPr>
        <w:t xml:space="preserve">Secondary Outcomes: </w:t>
      </w:r>
      <w:r w:rsidRPr="005F4560">
        <w:rPr>
          <w:rFonts w:cstheme="minorHAnsi"/>
          <w:szCs w:val="20"/>
        </w:rPr>
        <w:t>Quality of Life</w:t>
      </w:r>
      <w:r w:rsidR="00834165" w:rsidRPr="005F4560">
        <w:rPr>
          <w:rFonts w:cstheme="minorHAnsi"/>
          <w:szCs w:val="20"/>
        </w:rPr>
        <w:t xml:space="preserve"> (</w:t>
      </w:r>
      <w:proofErr w:type="spellStart"/>
      <w:r w:rsidR="00834165" w:rsidRPr="005F4560">
        <w:rPr>
          <w:rFonts w:cstheme="minorHAnsi"/>
          <w:szCs w:val="20"/>
        </w:rPr>
        <w:t>IQoL</w:t>
      </w:r>
      <w:proofErr w:type="spellEnd"/>
      <w:r w:rsidR="00834165" w:rsidRPr="005F4560">
        <w:rPr>
          <w:rFonts w:cstheme="minorHAnsi"/>
          <w:szCs w:val="20"/>
        </w:rPr>
        <w:t xml:space="preserve"> Lif</w:t>
      </w:r>
      <w:r w:rsidRPr="005F4560">
        <w:rPr>
          <w:rFonts w:cstheme="minorHAnsi"/>
          <w:szCs w:val="20"/>
        </w:rPr>
        <w:t>e), Blood Pressure, insulin sensitivity index, HbA1c.</w:t>
      </w:r>
    </w:p>
    <w:p w14:paraId="228B088A" w14:textId="77777777" w:rsidR="00C776B1" w:rsidRPr="005F4560" w:rsidRDefault="003433D1" w:rsidP="00092580">
      <w:pPr>
        <w:pStyle w:val="Heading1"/>
        <w:rPr>
          <w:color w:val="auto"/>
        </w:rPr>
      </w:pPr>
      <w:r w:rsidRPr="005F4560">
        <w:rPr>
          <w:b/>
          <w:color w:val="auto"/>
          <w:sz w:val="32"/>
        </w:rPr>
        <w:br w:type="page"/>
      </w:r>
      <w:r w:rsidR="005C3AE7" w:rsidRPr="005F4560">
        <w:rPr>
          <w:color w:val="auto"/>
        </w:rPr>
        <w:lastRenderedPageBreak/>
        <w:t>PART 7</w:t>
      </w:r>
      <w:r w:rsidR="00F93784" w:rsidRPr="005F4560">
        <w:rPr>
          <w:color w:val="auto"/>
        </w:rPr>
        <w:t xml:space="preserve"> – </w:t>
      </w:r>
      <w:r w:rsidR="006C74B1" w:rsidRPr="005F4560">
        <w:rPr>
          <w:color w:val="auto"/>
        </w:rPr>
        <w:t xml:space="preserve">INFORMATION ABOUT </w:t>
      </w:r>
      <w:r w:rsidR="0018630F" w:rsidRPr="005F4560">
        <w:rPr>
          <w:color w:val="auto"/>
        </w:rPr>
        <w:t xml:space="preserve">ESTIMATED </w:t>
      </w:r>
      <w:r w:rsidR="00974D50" w:rsidRPr="005F4560">
        <w:rPr>
          <w:color w:val="auto"/>
        </w:rPr>
        <w:t>UTILISATION</w:t>
      </w:r>
    </w:p>
    <w:p w14:paraId="4AD363AF" w14:textId="77777777" w:rsidR="006C74B1" w:rsidRPr="005F4560" w:rsidRDefault="00BE0FDE" w:rsidP="001B5169">
      <w:pPr>
        <w:pStyle w:val="Heading2"/>
      </w:pPr>
      <w:r w:rsidRPr="005F4560">
        <w:t>Estimate</w:t>
      </w:r>
      <w:r w:rsidR="00974D50" w:rsidRPr="005F4560">
        <w:t xml:space="preserve"> the prevalence</w:t>
      </w:r>
      <w:r w:rsidR="00B771AD" w:rsidRPr="005F4560">
        <w:t xml:space="preserve"> and/or incidence</w:t>
      </w:r>
      <w:r w:rsidR="00974D50" w:rsidRPr="005F4560">
        <w:t xml:space="preserve"> of </w:t>
      </w:r>
      <w:r w:rsidR="00AE1188" w:rsidRPr="005F4560">
        <w:t>the proposed population:</w:t>
      </w:r>
    </w:p>
    <w:p w14:paraId="2AA40A57" w14:textId="513D1804" w:rsidR="00382407" w:rsidRPr="005F4560" w:rsidRDefault="001C7AFA" w:rsidP="001B1FD4">
      <w:pPr>
        <w:autoSpaceDE w:val="0"/>
        <w:autoSpaceDN w:val="0"/>
        <w:adjustRightInd w:val="0"/>
        <w:spacing w:before="0" w:after="0"/>
        <w:ind w:left="360"/>
        <w:jc w:val="both"/>
        <w:rPr>
          <w:rFonts w:cstheme="minorHAnsi"/>
          <w:szCs w:val="20"/>
        </w:rPr>
      </w:pPr>
      <w:r w:rsidRPr="005F4560">
        <w:rPr>
          <w:rFonts w:cstheme="minorHAnsi"/>
          <w:szCs w:val="20"/>
        </w:rPr>
        <w:t>A</w:t>
      </w:r>
      <w:r w:rsidR="006A6A10" w:rsidRPr="005F4560">
        <w:rPr>
          <w:rFonts w:cstheme="minorHAnsi"/>
          <w:szCs w:val="20"/>
        </w:rPr>
        <w:t xml:space="preserve">ccording to the </w:t>
      </w:r>
      <w:hyperlink r:id="rId144" w:history="1">
        <w:r w:rsidR="00071F7D" w:rsidRPr="005F4560">
          <w:rPr>
            <w:rStyle w:val="Hyperlink"/>
            <w:rFonts w:cstheme="minorHAnsi"/>
            <w:color w:val="auto"/>
            <w:szCs w:val="20"/>
          </w:rPr>
          <w:t>AIHW</w:t>
        </w:r>
      </w:hyperlink>
      <w:r w:rsidR="006A6A10" w:rsidRPr="005F4560">
        <w:rPr>
          <w:rFonts w:cstheme="minorHAnsi"/>
          <w:szCs w:val="20"/>
        </w:rPr>
        <w:t>, in 2014-15</w:t>
      </w:r>
      <w:r w:rsidR="002022CA" w:rsidRPr="005F4560">
        <w:rPr>
          <w:rFonts w:cstheme="minorHAnsi"/>
          <w:szCs w:val="20"/>
        </w:rPr>
        <w:t>,</w:t>
      </w:r>
      <w:r w:rsidR="006A6A10" w:rsidRPr="005F4560">
        <w:rPr>
          <w:rFonts w:cstheme="minorHAnsi"/>
          <w:szCs w:val="20"/>
        </w:rPr>
        <w:t xml:space="preserve"> 27.9% Australians</w:t>
      </w:r>
      <w:r w:rsidR="00264C20" w:rsidRPr="005F4560">
        <w:rPr>
          <w:rFonts w:cstheme="minorHAnsi"/>
          <w:szCs w:val="20"/>
        </w:rPr>
        <w:t>, aged of 18</w:t>
      </w:r>
      <w:r w:rsidR="0083131D" w:rsidRPr="005F4560">
        <w:rPr>
          <w:rFonts w:cstheme="minorHAnsi"/>
          <w:szCs w:val="20"/>
        </w:rPr>
        <w:t>-64</w:t>
      </w:r>
      <w:r w:rsidR="00264C20" w:rsidRPr="005F4560">
        <w:rPr>
          <w:rFonts w:cstheme="minorHAnsi"/>
          <w:szCs w:val="20"/>
        </w:rPr>
        <w:t xml:space="preserve">, </w:t>
      </w:r>
      <w:r w:rsidR="006A6A10" w:rsidRPr="005F4560">
        <w:rPr>
          <w:rFonts w:cstheme="minorHAnsi"/>
          <w:szCs w:val="20"/>
        </w:rPr>
        <w:t>were classified as obese.</w:t>
      </w:r>
      <w:r w:rsidR="002022CA" w:rsidRPr="005F4560">
        <w:rPr>
          <w:rFonts w:cstheme="minorHAnsi"/>
          <w:szCs w:val="20"/>
        </w:rPr>
        <w:t xml:space="preserve">  At an estimated </w:t>
      </w:r>
      <w:r w:rsidR="00DB7C47" w:rsidRPr="005F4560">
        <w:rPr>
          <w:rFonts w:cstheme="minorHAnsi"/>
          <w:szCs w:val="20"/>
        </w:rPr>
        <w:t>24.7</w:t>
      </w:r>
      <w:r w:rsidR="002022CA" w:rsidRPr="005F4560">
        <w:rPr>
          <w:rFonts w:cstheme="minorHAnsi"/>
          <w:szCs w:val="20"/>
        </w:rPr>
        <w:t xml:space="preserve"> million Australians in 201</w:t>
      </w:r>
      <w:r w:rsidR="00264C20" w:rsidRPr="005F4560">
        <w:rPr>
          <w:rFonts w:cstheme="minorHAnsi"/>
          <w:szCs w:val="20"/>
        </w:rPr>
        <w:t xml:space="preserve">7, of which </w:t>
      </w:r>
      <w:r w:rsidR="0083131D" w:rsidRPr="005F4560">
        <w:rPr>
          <w:rFonts w:cstheme="minorHAnsi"/>
          <w:szCs w:val="20"/>
        </w:rPr>
        <w:t>61.5</w:t>
      </w:r>
      <w:r w:rsidR="00264C20" w:rsidRPr="005F4560">
        <w:rPr>
          <w:rFonts w:cstheme="minorHAnsi"/>
          <w:szCs w:val="20"/>
        </w:rPr>
        <w:t>%</w:t>
      </w:r>
      <w:r w:rsidR="00520C87" w:rsidRPr="005F4560">
        <w:rPr>
          <w:rFonts w:cstheme="minorHAnsi"/>
          <w:szCs w:val="20"/>
        </w:rPr>
        <w:t xml:space="preserve"> is 18-64</w:t>
      </w:r>
      <w:r w:rsidR="002022CA" w:rsidRPr="005F4560">
        <w:rPr>
          <w:rFonts w:cstheme="minorHAnsi"/>
          <w:szCs w:val="20"/>
        </w:rPr>
        <w:t>, the number of obese</w:t>
      </w:r>
      <w:r w:rsidR="00530E4F" w:rsidRPr="005F4560">
        <w:rPr>
          <w:rFonts w:cstheme="minorHAnsi"/>
          <w:szCs w:val="20"/>
        </w:rPr>
        <w:t>,</w:t>
      </w:r>
      <w:r w:rsidR="00213948" w:rsidRPr="005F4560">
        <w:rPr>
          <w:rFonts w:cstheme="minorHAnsi"/>
          <w:szCs w:val="20"/>
        </w:rPr>
        <w:t xml:space="preserve"> provides a</w:t>
      </w:r>
      <w:r w:rsidR="00530E4F" w:rsidRPr="005F4560">
        <w:rPr>
          <w:rFonts w:cstheme="minorHAnsi"/>
          <w:szCs w:val="20"/>
        </w:rPr>
        <w:t xml:space="preserve"> total eligible population</w:t>
      </w:r>
      <w:r w:rsidR="004B3C85" w:rsidRPr="005F4560">
        <w:rPr>
          <w:rFonts w:cstheme="minorHAnsi"/>
          <w:szCs w:val="20"/>
        </w:rPr>
        <w:t xml:space="preserve"> with a BMI≥30 kg/m</w:t>
      </w:r>
      <w:r w:rsidR="004B3C85" w:rsidRPr="005F4560">
        <w:rPr>
          <w:rFonts w:cstheme="minorHAnsi"/>
          <w:szCs w:val="20"/>
          <w:vertAlign w:val="superscript"/>
        </w:rPr>
        <w:t>2</w:t>
      </w:r>
      <w:r w:rsidR="00530E4F" w:rsidRPr="005F4560">
        <w:rPr>
          <w:rFonts w:cstheme="minorHAnsi"/>
          <w:szCs w:val="20"/>
        </w:rPr>
        <w:t xml:space="preserve"> for bariatric surgery </w:t>
      </w:r>
      <w:r w:rsidR="00213948" w:rsidRPr="005F4560">
        <w:rPr>
          <w:rFonts w:cstheme="minorHAnsi"/>
          <w:szCs w:val="20"/>
        </w:rPr>
        <w:t xml:space="preserve">of </w:t>
      </w:r>
      <w:r w:rsidR="004B3C85" w:rsidRPr="005F4560">
        <w:rPr>
          <w:rFonts w:cstheme="minorHAnsi"/>
          <w:szCs w:val="20"/>
        </w:rPr>
        <w:t xml:space="preserve">882,441 (utilising </w:t>
      </w:r>
      <w:hyperlink r:id="rId145" w:history="1">
        <w:r w:rsidR="004B3C85" w:rsidRPr="005F4560">
          <w:rPr>
            <w:rStyle w:val="Hyperlink"/>
            <w:rFonts w:cstheme="minorHAnsi"/>
            <w:color w:val="auto"/>
            <w:szCs w:val="20"/>
          </w:rPr>
          <w:t>Sharman et al, 2017</w:t>
        </w:r>
      </w:hyperlink>
      <w:r w:rsidR="004B3C85" w:rsidRPr="005F4560">
        <w:rPr>
          <w:rFonts w:cstheme="minorHAnsi"/>
          <w:szCs w:val="20"/>
        </w:rPr>
        <w:t xml:space="preserve"> estimates</w:t>
      </w:r>
      <w:r w:rsidR="00530E4F" w:rsidRPr="005F4560">
        <w:rPr>
          <w:rFonts w:cstheme="minorHAnsi"/>
          <w:szCs w:val="20"/>
        </w:rPr>
        <w:t xml:space="preserve">). </w:t>
      </w:r>
      <w:r w:rsidR="004B3C85" w:rsidRPr="005F4560">
        <w:rPr>
          <w:rFonts w:cstheme="minorHAnsi"/>
          <w:szCs w:val="20"/>
        </w:rPr>
        <w:t xml:space="preserve"> </w:t>
      </w:r>
      <w:r w:rsidR="00926623" w:rsidRPr="005F4560">
        <w:rPr>
          <w:rFonts w:cstheme="minorHAnsi"/>
          <w:szCs w:val="20"/>
        </w:rPr>
        <w:t xml:space="preserve">As indicated earlier, the vast majority of such people rebound with their weight loss and revert to their original weight or sometimes an even higher weight (see </w:t>
      </w:r>
      <w:r w:rsidR="00926623" w:rsidRPr="005F4560">
        <w:rPr>
          <w:rFonts w:cstheme="minorHAnsi"/>
          <w:szCs w:val="20"/>
        </w:rPr>
        <w:fldChar w:fldCharType="begin"/>
      </w:r>
      <w:r w:rsidR="00926623" w:rsidRPr="005F4560">
        <w:rPr>
          <w:rFonts w:cstheme="minorHAnsi"/>
          <w:szCs w:val="20"/>
        </w:rPr>
        <w:instrText xml:space="preserve"> REF _Ref497392272 \h </w:instrText>
      </w:r>
      <w:r w:rsidR="00926623" w:rsidRPr="005F4560">
        <w:rPr>
          <w:rFonts w:cstheme="minorHAnsi"/>
          <w:szCs w:val="20"/>
        </w:rPr>
      </w:r>
      <w:r w:rsidR="00926623" w:rsidRPr="005F4560">
        <w:rPr>
          <w:rFonts w:cstheme="minorHAnsi"/>
          <w:szCs w:val="20"/>
        </w:rPr>
        <w:fldChar w:fldCharType="separate"/>
      </w:r>
      <w:r w:rsidR="00926623" w:rsidRPr="005F4560">
        <w:t xml:space="preserve">Figure </w:t>
      </w:r>
      <w:r w:rsidR="00926623" w:rsidRPr="005F4560">
        <w:rPr>
          <w:noProof/>
        </w:rPr>
        <w:t>2</w:t>
      </w:r>
      <w:r w:rsidR="00926623" w:rsidRPr="005F4560">
        <w:rPr>
          <w:rFonts w:cstheme="minorHAnsi"/>
          <w:szCs w:val="20"/>
        </w:rPr>
        <w:fldChar w:fldCharType="end"/>
      </w:r>
      <w:r w:rsidR="00926623" w:rsidRPr="005F4560">
        <w:rPr>
          <w:rFonts w:cstheme="minorHAnsi"/>
          <w:szCs w:val="20"/>
        </w:rPr>
        <w:t xml:space="preserve">).  </w:t>
      </w:r>
      <w:r w:rsidR="004B3C85" w:rsidRPr="005F4560">
        <w:rPr>
          <w:rFonts w:cstheme="minorHAnsi"/>
          <w:szCs w:val="20"/>
        </w:rPr>
        <w:t xml:space="preserve">Using data presented in Question </w:t>
      </w:r>
      <w:r w:rsidR="0014422F" w:rsidRPr="005F4560">
        <w:rPr>
          <w:rFonts w:cstheme="minorHAnsi"/>
          <w:szCs w:val="20"/>
        </w:rPr>
        <w:t>50</w:t>
      </w:r>
      <w:r w:rsidR="00E324AF" w:rsidRPr="005F4560">
        <w:rPr>
          <w:rFonts w:cstheme="minorHAnsi"/>
          <w:szCs w:val="20"/>
        </w:rPr>
        <w:t xml:space="preserve"> below</w:t>
      </w:r>
      <w:r w:rsidR="004B3C85" w:rsidRPr="005F4560">
        <w:rPr>
          <w:rFonts w:cstheme="minorHAnsi"/>
          <w:szCs w:val="20"/>
        </w:rPr>
        <w:t xml:space="preserve"> there are an estimated 2,278,575 people with a BMI≥30&lt;35</w:t>
      </w:r>
      <w:r w:rsidR="00530E4F" w:rsidRPr="005F4560">
        <w:rPr>
          <w:rFonts w:cstheme="minorHAnsi"/>
          <w:szCs w:val="20"/>
        </w:rPr>
        <w:t xml:space="preserve"> </w:t>
      </w:r>
      <w:r w:rsidR="004B3C85" w:rsidRPr="005F4560">
        <w:rPr>
          <w:rFonts w:cstheme="minorHAnsi"/>
          <w:szCs w:val="20"/>
        </w:rPr>
        <w:t>kg/m</w:t>
      </w:r>
      <w:r w:rsidR="004B3C85" w:rsidRPr="005F4560">
        <w:rPr>
          <w:rFonts w:cstheme="minorHAnsi"/>
          <w:szCs w:val="20"/>
          <w:vertAlign w:val="superscript"/>
        </w:rPr>
        <w:t>2</w:t>
      </w:r>
      <w:r w:rsidR="004B3C85" w:rsidRPr="005F4560">
        <w:rPr>
          <w:rFonts w:cstheme="minorHAnsi"/>
          <w:szCs w:val="20"/>
        </w:rPr>
        <w:t>; those that also</w:t>
      </w:r>
      <w:r w:rsidR="004B3C85" w:rsidRPr="005F4560">
        <w:rPr>
          <w:rFonts w:cstheme="minorHAnsi"/>
          <w:szCs w:val="20"/>
          <w:vertAlign w:val="superscript"/>
        </w:rPr>
        <w:t xml:space="preserve"> </w:t>
      </w:r>
      <w:r w:rsidR="004B3C85" w:rsidRPr="005F4560">
        <w:rPr>
          <w:rFonts w:cstheme="minorHAnsi"/>
          <w:szCs w:val="20"/>
        </w:rPr>
        <w:t xml:space="preserve">have poorly controlled diabetes are estimated to be </w:t>
      </w:r>
      <w:r w:rsidR="00E324AF" w:rsidRPr="005F4560">
        <w:rPr>
          <w:rFonts w:cstheme="minorHAnsi"/>
          <w:szCs w:val="20"/>
        </w:rPr>
        <w:t>157,426.</w:t>
      </w:r>
      <w:r w:rsidR="004B3C85" w:rsidRPr="005F4560">
        <w:rPr>
          <w:rFonts w:cstheme="minorHAnsi"/>
          <w:szCs w:val="20"/>
        </w:rPr>
        <w:t xml:space="preserve">  </w:t>
      </w:r>
    </w:p>
    <w:p w14:paraId="70947BD3" w14:textId="50A4EF76" w:rsidR="00CB1A10" w:rsidRPr="005F4560" w:rsidRDefault="00CB1A10" w:rsidP="00CB1A10">
      <w:pPr>
        <w:pStyle w:val="Heading2"/>
      </w:pPr>
      <w:r w:rsidRPr="005F4560">
        <w:t xml:space="preserve">Estimate the number of times the proposed medical service(s) would be delivered to a patient per year. </w:t>
      </w:r>
    </w:p>
    <w:p w14:paraId="722D764E" w14:textId="370AFA2E" w:rsidR="00BB1234" w:rsidRPr="005F4560" w:rsidRDefault="00BB1234" w:rsidP="001B1FD4">
      <w:pPr>
        <w:ind w:left="360"/>
        <w:rPr>
          <w:rFonts w:cstheme="minorHAnsi"/>
          <w:szCs w:val="20"/>
        </w:rPr>
      </w:pPr>
      <w:r w:rsidRPr="005F4560">
        <w:rPr>
          <w:rFonts w:cstheme="minorHAnsi"/>
          <w:szCs w:val="20"/>
        </w:rPr>
        <w:t xml:space="preserve">It is estimated that </w:t>
      </w:r>
      <w:r w:rsidR="003B06CC" w:rsidRPr="005F4560">
        <w:rPr>
          <w:rFonts w:cstheme="minorHAnsi"/>
          <w:szCs w:val="20"/>
        </w:rPr>
        <w:t xml:space="preserve">eligible patients will only have access to </w:t>
      </w:r>
      <w:proofErr w:type="spellStart"/>
      <w:r w:rsidR="00DC685F">
        <w:rPr>
          <w:rFonts w:cstheme="minorHAnsi"/>
          <w:szCs w:val="20"/>
        </w:rPr>
        <w:t>Orbera</w:t>
      </w:r>
      <w:proofErr w:type="spellEnd"/>
      <w:r w:rsidR="00DC685F">
        <w:rPr>
          <w:rFonts w:cstheme="minorHAnsi"/>
          <w:szCs w:val="20"/>
        </w:rPr>
        <w:t>™</w:t>
      </w:r>
      <w:r w:rsidR="003B06CC" w:rsidRPr="005F4560">
        <w:rPr>
          <w:rFonts w:cstheme="minorHAnsi"/>
          <w:szCs w:val="20"/>
        </w:rPr>
        <w:t xml:space="preserve"> as a weight loss program</w:t>
      </w:r>
      <w:r w:rsidR="00385253" w:rsidRPr="005F4560">
        <w:rPr>
          <w:rFonts w:cstheme="minorHAnsi"/>
          <w:szCs w:val="20"/>
        </w:rPr>
        <w:t xml:space="preserve"> at a max</w:t>
      </w:r>
      <w:r w:rsidR="003B06CC" w:rsidRPr="005F4560">
        <w:rPr>
          <w:rFonts w:cstheme="minorHAnsi"/>
          <w:szCs w:val="20"/>
        </w:rPr>
        <w:t xml:space="preserve"> </w:t>
      </w:r>
      <w:r w:rsidR="00385253" w:rsidRPr="005F4560">
        <w:rPr>
          <w:rFonts w:cstheme="minorHAnsi"/>
          <w:szCs w:val="20"/>
        </w:rPr>
        <w:t xml:space="preserve">of </w:t>
      </w:r>
      <w:r w:rsidR="003B06CC" w:rsidRPr="005F4560">
        <w:rPr>
          <w:rFonts w:cstheme="minorHAnsi"/>
          <w:szCs w:val="20"/>
        </w:rPr>
        <w:t xml:space="preserve">one </w:t>
      </w:r>
      <w:r w:rsidR="00D315FF" w:rsidRPr="005F4560">
        <w:rPr>
          <w:rFonts w:cstheme="minorHAnsi"/>
          <w:szCs w:val="20"/>
        </w:rPr>
        <w:t>per year</w:t>
      </w:r>
      <w:r w:rsidRPr="005F4560">
        <w:rPr>
          <w:rFonts w:cstheme="minorHAnsi"/>
          <w:szCs w:val="20"/>
        </w:rPr>
        <w:t>.</w:t>
      </w:r>
      <w:r w:rsidR="00796748" w:rsidRPr="005F4560">
        <w:rPr>
          <w:rFonts w:cstheme="minorHAnsi"/>
          <w:szCs w:val="20"/>
        </w:rPr>
        <w:t xml:space="preserve">  </w:t>
      </w:r>
    </w:p>
    <w:p w14:paraId="3E2D42EE" w14:textId="70097742" w:rsidR="003543EE" w:rsidRPr="005F4560" w:rsidRDefault="003543EE" w:rsidP="003543EE">
      <w:pPr>
        <w:ind w:left="360"/>
        <w:rPr>
          <w:rFonts w:cstheme="minorHAnsi"/>
          <w:szCs w:val="20"/>
        </w:rPr>
      </w:pPr>
      <w:r w:rsidRPr="005F4560">
        <w:rPr>
          <w:rFonts w:cstheme="minorHAnsi"/>
          <w:szCs w:val="20"/>
        </w:rPr>
        <w:t xml:space="preserve">In 2011-12 the distribution of Australians with BMI ranges is presented below </w:t>
      </w:r>
      <w:r w:rsidR="00975A24" w:rsidRPr="005F4560">
        <w:rPr>
          <w:rFonts w:cstheme="minorHAnsi"/>
          <w:szCs w:val="20"/>
        </w:rPr>
        <w:t>(</w:t>
      </w:r>
      <w:hyperlink r:id="rId146" w:history="1">
        <w:r w:rsidRPr="005F4560">
          <w:rPr>
            <w:rStyle w:val="Hyperlink"/>
            <w:rFonts w:cstheme="minorHAnsi"/>
            <w:color w:val="auto"/>
            <w:szCs w:val="20"/>
          </w:rPr>
          <w:t>ABS</w:t>
        </w:r>
      </w:hyperlink>
      <w:r w:rsidR="00975A24" w:rsidRPr="005F4560">
        <w:rPr>
          <w:rFonts w:cstheme="minorHAnsi"/>
          <w:szCs w:val="20"/>
        </w:rPr>
        <w:t xml:space="preserve"> 4338.0)</w:t>
      </w:r>
      <w:r w:rsidRPr="005F4560">
        <w:rPr>
          <w:rFonts w:cstheme="minorHAnsi"/>
          <w:szCs w:val="20"/>
        </w:rPr>
        <w:t>:</w:t>
      </w:r>
    </w:p>
    <w:p w14:paraId="36311D6B" w14:textId="2ADFFF04" w:rsidR="0085388D" w:rsidRPr="005F4560" w:rsidRDefault="0085388D" w:rsidP="002632A8">
      <w:pPr>
        <w:pStyle w:val="Caption"/>
        <w:ind w:firstLine="360"/>
        <w:rPr>
          <w:rFonts w:cstheme="minorHAnsi"/>
          <w:color w:val="auto"/>
          <w:szCs w:val="20"/>
        </w:rPr>
      </w:pPr>
      <w:r w:rsidRPr="005F4560">
        <w:rPr>
          <w:color w:val="auto"/>
        </w:rPr>
        <w:t xml:space="preserve">Figure </w:t>
      </w:r>
      <w:r w:rsidR="00D368CA" w:rsidRPr="005F4560">
        <w:rPr>
          <w:color w:val="auto"/>
        </w:rPr>
        <w:fldChar w:fldCharType="begin"/>
      </w:r>
      <w:r w:rsidR="00D368CA" w:rsidRPr="005F4560">
        <w:rPr>
          <w:color w:val="auto"/>
        </w:rPr>
        <w:instrText xml:space="preserve"> SEQ Figure \* ARABIC </w:instrText>
      </w:r>
      <w:r w:rsidR="00D368CA" w:rsidRPr="005F4560">
        <w:rPr>
          <w:color w:val="auto"/>
        </w:rPr>
        <w:fldChar w:fldCharType="separate"/>
      </w:r>
      <w:r w:rsidR="004A4E7C" w:rsidRPr="005F4560">
        <w:rPr>
          <w:noProof/>
          <w:color w:val="auto"/>
        </w:rPr>
        <w:t>4</w:t>
      </w:r>
      <w:r w:rsidR="00D368CA" w:rsidRPr="005F4560">
        <w:rPr>
          <w:noProof/>
          <w:color w:val="auto"/>
        </w:rPr>
        <w:fldChar w:fldCharType="end"/>
      </w:r>
      <w:r w:rsidRPr="005F4560">
        <w:rPr>
          <w:color w:val="auto"/>
        </w:rPr>
        <w:t xml:space="preserve">: Persons aged 18 years and over – </w:t>
      </w:r>
      <w:proofErr w:type="spellStart"/>
      <w:r w:rsidRPr="005F4560">
        <w:rPr>
          <w:color w:val="auto"/>
        </w:rPr>
        <w:t>BMI</w:t>
      </w:r>
      <w:r w:rsidRPr="005F4560">
        <w:rPr>
          <w:color w:val="auto"/>
          <w:vertAlign w:val="superscript"/>
        </w:rPr>
        <w:t>a</w:t>
      </w:r>
      <w:proofErr w:type="spellEnd"/>
      <w:r w:rsidRPr="005F4560">
        <w:rPr>
          <w:color w:val="auto"/>
        </w:rPr>
        <w:t>, 1995 and 2011-12</w:t>
      </w:r>
    </w:p>
    <w:p w14:paraId="0000765E" w14:textId="7D6C2777" w:rsidR="003543EE" w:rsidRPr="005F4560" w:rsidRDefault="003543EE" w:rsidP="003543EE">
      <w:pPr>
        <w:ind w:left="360"/>
        <w:rPr>
          <w:rFonts w:cstheme="minorHAnsi"/>
          <w:szCs w:val="20"/>
        </w:rPr>
      </w:pPr>
      <w:r w:rsidRPr="005F4560">
        <w:rPr>
          <w:noProof/>
          <w:lang w:eastAsia="en-AU"/>
        </w:rPr>
        <w:drawing>
          <wp:inline distT="0" distB="0" distL="0" distR="0" wp14:anchorId="393309BA" wp14:editId="38161867">
            <wp:extent cx="5514975" cy="5057394"/>
            <wp:effectExtent l="0" t="0" r="0" b="0"/>
            <wp:docPr id="4" name="Picture 4" descr="Persons aged 18 years and over- 1995 and 2011-12-Provides a graphical representation of the differences in BMI amongst adulta in Australia between 1995 and 2011-12." title="Persons aged 18 years and over- 1995 and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7"/>
                    <a:srcRect t="4159"/>
                    <a:stretch/>
                  </pic:blipFill>
                  <pic:spPr bwMode="auto">
                    <a:xfrm>
                      <a:off x="0" y="0"/>
                      <a:ext cx="5514975" cy="5057394"/>
                    </a:xfrm>
                    <a:prstGeom prst="rect">
                      <a:avLst/>
                    </a:prstGeom>
                    <a:ln>
                      <a:noFill/>
                    </a:ln>
                    <a:extLst>
                      <a:ext uri="{53640926-AAD7-44D8-BBD7-CCE9431645EC}">
                        <a14:shadowObscured xmlns:a14="http://schemas.microsoft.com/office/drawing/2010/main"/>
                      </a:ext>
                    </a:extLst>
                  </pic:spPr>
                </pic:pic>
              </a:graphicData>
            </a:graphic>
          </wp:inline>
        </w:drawing>
      </w:r>
    </w:p>
    <w:p w14:paraId="55209235" w14:textId="77777777" w:rsidR="00382407" w:rsidRPr="005F4560" w:rsidRDefault="00382407" w:rsidP="00530204">
      <w:pPr>
        <w:pStyle w:val="Heading2"/>
      </w:pPr>
      <w:r w:rsidRPr="005F4560">
        <w:lastRenderedPageBreak/>
        <w:t>How many years would the proposed medical service</w:t>
      </w:r>
      <w:r w:rsidR="005A58BA" w:rsidRPr="005F4560">
        <w:t>(s)</w:t>
      </w:r>
      <w:r w:rsidRPr="005F4560">
        <w:t xml:space="preserve"> be required for the patient?</w:t>
      </w:r>
    </w:p>
    <w:p w14:paraId="5D95EF77" w14:textId="355C5DCC" w:rsidR="00382407" w:rsidRPr="005F4560" w:rsidRDefault="008C7B43" w:rsidP="001B1FD4">
      <w:pPr>
        <w:ind w:left="360"/>
        <w:rPr>
          <w:rFonts w:cstheme="minorHAnsi"/>
          <w:szCs w:val="20"/>
        </w:rPr>
      </w:pPr>
      <w:r w:rsidRPr="005F4560">
        <w:rPr>
          <w:rFonts w:cstheme="minorHAnsi"/>
          <w:szCs w:val="20"/>
        </w:rPr>
        <w:t xml:space="preserve">The maximum placement period for the </w:t>
      </w:r>
      <w:proofErr w:type="spellStart"/>
      <w:r w:rsidR="00DC685F">
        <w:rPr>
          <w:rFonts w:cstheme="minorHAnsi"/>
          <w:szCs w:val="20"/>
        </w:rPr>
        <w:t>Orbera</w:t>
      </w:r>
      <w:proofErr w:type="spellEnd"/>
      <w:r w:rsidR="00DC685F">
        <w:rPr>
          <w:rFonts w:cstheme="minorHAnsi"/>
          <w:szCs w:val="20"/>
        </w:rPr>
        <w:t>™</w:t>
      </w:r>
      <w:r w:rsidRPr="005F4560">
        <w:rPr>
          <w:rFonts w:cstheme="minorHAnsi"/>
          <w:szCs w:val="20"/>
        </w:rPr>
        <w:t xml:space="preserve"> System is 6 months, and it must be removed at that time or earlier.</w:t>
      </w:r>
    </w:p>
    <w:p w14:paraId="5C109DDE" w14:textId="77777777" w:rsidR="002A6753" w:rsidRPr="005F4560" w:rsidRDefault="000E47E7" w:rsidP="00530204">
      <w:pPr>
        <w:pStyle w:val="Heading2"/>
        <w:rPr>
          <w:b w:val="0"/>
        </w:rPr>
      </w:pPr>
      <w:r w:rsidRPr="005F4560">
        <w:t xml:space="preserve">Estimate </w:t>
      </w:r>
      <w:r w:rsidR="002A6753" w:rsidRPr="005F4560">
        <w:t xml:space="preserve">the projected number of patients who will utilise the proposed </w:t>
      </w:r>
      <w:r w:rsidRPr="005F4560">
        <w:t xml:space="preserve">medical </w:t>
      </w:r>
      <w:r w:rsidR="002A6753" w:rsidRPr="005F4560">
        <w:t>ser</w:t>
      </w:r>
      <w:r w:rsidR="00AE1188" w:rsidRPr="005F4560">
        <w:t>vice(s) for the first full year:</w:t>
      </w:r>
    </w:p>
    <w:p w14:paraId="04852E3C" w14:textId="383E2802" w:rsidR="008C7B43" w:rsidRPr="005F4560" w:rsidRDefault="00B74D17" w:rsidP="008C7B43">
      <w:pPr>
        <w:autoSpaceDE w:val="0"/>
        <w:autoSpaceDN w:val="0"/>
        <w:adjustRightInd w:val="0"/>
        <w:spacing w:before="0" w:after="0"/>
        <w:ind w:left="360"/>
        <w:jc w:val="both"/>
        <w:rPr>
          <w:rFonts w:cstheme="minorHAnsi"/>
          <w:szCs w:val="20"/>
        </w:rPr>
      </w:pPr>
      <w:r w:rsidRPr="005F4560">
        <w:rPr>
          <w:rFonts w:cstheme="minorHAnsi"/>
          <w:szCs w:val="20"/>
        </w:rPr>
        <w:t xml:space="preserve">As can be seen in </w:t>
      </w:r>
      <w:r w:rsidRPr="005F4560">
        <w:rPr>
          <w:rFonts w:cstheme="minorHAnsi"/>
          <w:szCs w:val="20"/>
        </w:rPr>
        <w:fldChar w:fldCharType="begin"/>
      </w:r>
      <w:r w:rsidRPr="005F4560">
        <w:rPr>
          <w:rFonts w:cstheme="minorHAnsi"/>
          <w:szCs w:val="20"/>
        </w:rPr>
        <w:instrText xml:space="preserve"> REF _Ref496963426 \h </w:instrText>
      </w:r>
      <w:r w:rsidRPr="005F4560">
        <w:rPr>
          <w:rFonts w:cstheme="minorHAnsi"/>
          <w:szCs w:val="20"/>
        </w:rPr>
      </w:r>
      <w:r w:rsidRPr="005F4560">
        <w:rPr>
          <w:rFonts w:cstheme="minorHAnsi"/>
          <w:szCs w:val="20"/>
        </w:rPr>
        <w:fldChar w:fldCharType="separate"/>
      </w:r>
      <w:r w:rsidRPr="005F4560">
        <w:t xml:space="preserve">Table </w:t>
      </w:r>
      <w:r w:rsidRPr="005F4560">
        <w:rPr>
          <w:noProof/>
        </w:rPr>
        <w:t>1</w:t>
      </w:r>
      <w:r w:rsidRPr="005F4560">
        <w:rPr>
          <w:rFonts w:cstheme="minorHAnsi"/>
          <w:szCs w:val="20"/>
        </w:rPr>
        <w:fldChar w:fldCharType="end"/>
      </w:r>
      <w:r w:rsidRPr="005F4560">
        <w:rPr>
          <w:rFonts w:cstheme="minorHAnsi"/>
          <w:szCs w:val="20"/>
        </w:rPr>
        <w:t>, t</w:t>
      </w:r>
      <w:r w:rsidR="008C7B43" w:rsidRPr="005F4560">
        <w:rPr>
          <w:rFonts w:cstheme="minorHAnsi"/>
          <w:szCs w:val="20"/>
        </w:rPr>
        <w:t xml:space="preserve">he projected numbers, </w:t>
      </w:r>
      <w:r w:rsidR="00F31D58" w:rsidRPr="005F4560">
        <w:rPr>
          <w:rFonts w:cstheme="minorHAnsi"/>
          <w:szCs w:val="20"/>
        </w:rPr>
        <w:t xml:space="preserve">are </w:t>
      </w:r>
      <w:r w:rsidR="008C7B43" w:rsidRPr="005F4560">
        <w:rPr>
          <w:rFonts w:cstheme="minorHAnsi"/>
          <w:szCs w:val="20"/>
        </w:rPr>
        <w:t xml:space="preserve">based on </w:t>
      </w:r>
      <w:hyperlink r:id="rId148" w:history="1">
        <w:r w:rsidR="008C7B43" w:rsidRPr="005F4560">
          <w:rPr>
            <w:rStyle w:val="Hyperlink"/>
            <w:rFonts w:cstheme="minorHAnsi"/>
            <w:color w:val="auto"/>
            <w:szCs w:val="20"/>
          </w:rPr>
          <w:t>Sharman et al, 2017</w:t>
        </w:r>
      </w:hyperlink>
      <w:r w:rsidR="0015259E" w:rsidRPr="005F4560">
        <w:rPr>
          <w:rStyle w:val="Hyperlink"/>
          <w:rFonts w:cstheme="minorHAnsi"/>
          <w:color w:val="auto"/>
          <w:szCs w:val="20"/>
          <w:u w:val="none"/>
        </w:rPr>
        <w:t xml:space="preserve"> </w:t>
      </w:r>
      <w:proofErr w:type="gramStart"/>
      <w:r w:rsidR="00D05E76" w:rsidRPr="005F4560">
        <w:rPr>
          <w:rStyle w:val="Hyperlink"/>
          <w:rFonts w:cstheme="minorHAnsi"/>
          <w:color w:val="auto"/>
          <w:szCs w:val="20"/>
          <w:u w:val="none"/>
        </w:rPr>
        <w:t>a</w:t>
      </w:r>
      <w:proofErr w:type="gramEnd"/>
      <w:r w:rsidR="000D28EE" w:rsidRPr="005F4560">
        <w:fldChar w:fldCharType="begin"/>
      </w:r>
      <w:r w:rsidR="000D28EE" w:rsidRPr="005F4560">
        <w:fldChar w:fldCharType="separate"/>
      </w:r>
      <w:r w:rsidR="000D28EE" w:rsidRPr="005F4560">
        <w:rPr>
          <w:rStyle w:val="Hyperlink"/>
          <w:rFonts w:cstheme="minorHAnsi"/>
          <w:color w:val="auto"/>
          <w:szCs w:val="20"/>
          <w:u w:val="none"/>
        </w:rPr>
        <w:t>a</w:t>
      </w:r>
      <w:r w:rsidR="000D28EE" w:rsidRPr="005F4560">
        <w:rPr>
          <w:rStyle w:val="Hyperlink"/>
          <w:rFonts w:cstheme="minorHAnsi"/>
          <w:color w:val="auto"/>
          <w:szCs w:val="20"/>
          <w:u w:val="none"/>
        </w:rPr>
        <w:fldChar w:fldCharType="end"/>
      </w:r>
      <w:r w:rsidR="00F31D58" w:rsidRPr="005F4560">
        <w:rPr>
          <w:rStyle w:val="Hyperlink"/>
          <w:rFonts w:cstheme="minorHAnsi"/>
          <w:color w:val="auto"/>
          <w:szCs w:val="20"/>
          <w:u w:val="none"/>
        </w:rPr>
        <w:t>nd a further</w:t>
      </w:r>
      <w:r w:rsidR="000D28EE" w:rsidRPr="005F4560">
        <w:rPr>
          <w:rStyle w:val="Hyperlink"/>
          <w:rFonts w:cstheme="minorHAnsi"/>
          <w:color w:val="auto"/>
          <w:szCs w:val="20"/>
          <w:u w:val="none"/>
        </w:rPr>
        <w:t xml:space="preserve"> variety of sources.  It is estimated that for patients </w:t>
      </w:r>
      <w:r w:rsidR="00F31D58" w:rsidRPr="005F4560">
        <w:rPr>
          <w:rStyle w:val="Hyperlink"/>
          <w:rFonts w:cstheme="minorHAnsi"/>
          <w:color w:val="auto"/>
          <w:szCs w:val="20"/>
          <w:u w:val="none"/>
        </w:rPr>
        <w:t xml:space="preserve">with </w:t>
      </w:r>
      <w:r w:rsidR="000D28EE" w:rsidRPr="005F4560">
        <w:rPr>
          <w:rFonts w:cstheme="minorHAnsi"/>
          <w:szCs w:val="20"/>
          <w:shd w:val="clear" w:color="auto" w:fill="FFFFFF"/>
        </w:rPr>
        <w:t xml:space="preserve">BMI </w:t>
      </w:r>
      <w:r w:rsidRPr="005F4560">
        <w:rPr>
          <w:rFonts w:cstheme="minorHAnsi"/>
          <w:szCs w:val="20"/>
          <w:shd w:val="clear" w:color="auto" w:fill="FFFFFF"/>
        </w:rPr>
        <w:t>≥30&lt;35</w:t>
      </w:r>
      <w:r w:rsidR="000D28EE" w:rsidRPr="005F4560">
        <w:rPr>
          <w:rFonts w:cstheme="minorHAnsi"/>
          <w:szCs w:val="20"/>
          <w:shd w:val="clear" w:color="auto" w:fill="FFFFFF"/>
        </w:rPr>
        <w:t xml:space="preserve"> kg/m</w:t>
      </w:r>
      <w:r w:rsidR="000D28EE" w:rsidRPr="005F4560">
        <w:rPr>
          <w:rFonts w:cstheme="minorHAnsi"/>
          <w:szCs w:val="20"/>
          <w:shd w:val="clear" w:color="auto" w:fill="FFFFFF"/>
          <w:vertAlign w:val="superscript"/>
        </w:rPr>
        <w:t>2</w:t>
      </w:r>
      <w:r w:rsidRPr="005F4560">
        <w:rPr>
          <w:rFonts w:cstheme="minorHAnsi"/>
          <w:szCs w:val="20"/>
          <w:shd w:val="clear" w:color="auto" w:fill="FFFFFF"/>
          <w:vertAlign w:val="superscript"/>
        </w:rPr>
        <w:t xml:space="preserve"> </w:t>
      </w:r>
      <w:r w:rsidR="000D28EE" w:rsidRPr="005F4560">
        <w:rPr>
          <w:rFonts w:cstheme="minorHAnsi"/>
          <w:szCs w:val="20"/>
        </w:rPr>
        <w:t xml:space="preserve">there would be </w:t>
      </w:r>
      <w:r w:rsidR="00F31D58" w:rsidRPr="005F4560">
        <w:rPr>
          <w:rFonts w:cstheme="minorHAnsi"/>
          <w:szCs w:val="20"/>
        </w:rPr>
        <w:t>lower limit of 2,4</w:t>
      </w:r>
      <w:r w:rsidR="00936E07" w:rsidRPr="005F4560">
        <w:rPr>
          <w:rFonts w:cstheme="minorHAnsi"/>
          <w:szCs w:val="20"/>
        </w:rPr>
        <w:t>4</w:t>
      </w:r>
      <w:r w:rsidR="00F31D58" w:rsidRPr="005F4560">
        <w:rPr>
          <w:rFonts w:cstheme="minorHAnsi"/>
          <w:szCs w:val="20"/>
        </w:rPr>
        <w:t xml:space="preserve">7 </w:t>
      </w:r>
      <w:r w:rsidR="006155BD" w:rsidRPr="005F4560">
        <w:rPr>
          <w:rFonts w:cstheme="minorHAnsi"/>
          <w:szCs w:val="20"/>
        </w:rPr>
        <w:t>procedures</w:t>
      </w:r>
      <w:r w:rsidR="00F31D58" w:rsidRPr="005F4560">
        <w:rPr>
          <w:rFonts w:cstheme="minorHAnsi"/>
          <w:szCs w:val="20"/>
        </w:rPr>
        <w:t xml:space="preserve"> </w:t>
      </w:r>
      <w:r w:rsidR="00C844F3" w:rsidRPr="005F4560">
        <w:rPr>
          <w:rFonts w:cstheme="minorHAnsi"/>
          <w:szCs w:val="20"/>
        </w:rPr>
        <w:t>(</w:t>
      </w:r>
      <w:r w:rsidR="00E324AF" w:rsidRPr="005F4560">
        <w:rPr>
          <w:rFonts w:cstheme="minorHAnsi"/>
          <w:szCs w:val="20"/>
        </w:rPr>
        <w:t xml:space="preserve">with </w:t>
      </w:r>
      <w:r w:rsidR="00F31D58" w:rsidRPr="005F4560">
        <w:rPr>
          <w:rFonts w:cstheme="minorHAnsi"/>
          <w:szCs w:val="20"/>
        </w:rPr>
        <w:t xml:space="preserve">an upper limit </w:t>
      </w:r>
      <w:r w:rsidR="00E324AF" w:rsidRPr="005F4560">
        <w:rPr>
          <w:rFonts w:cstheme="minorHAnsi"/>
          <w:szCs w:val="20"/>
        </w:rPr>
        <w:t xml:space="preserve">estimate </w:t>
      </w:r>
      <w:r w:rsidR="00F31D58" w:rsidRPr="005F4560">
        <w:rPr>
          <w:rFonts w:cstheme="minorHAnsi"/>
          <w:szCs w:val="20"/>
        </w:rPr>
        <w:t xml:space="preserve">of </w:t>
      </w:r>
      <w:r w:rsidR="000D28EE" w:rsidRPr="005F4560">
        <w:rPr>
          <w:rFonts w:cstheme="minorHAnsi"/>
          <w:szCs w:val="20"/>
        </w:rPr>
        <w:t>4,</w:t>
      </w:r>
      <w:r w:rsidR="00936E07" w:rsidRPr="005F4560">
        <w:rPr>
          <w:rFonts w:cstheme="minorHAnsi"/>
          <w:szCs w:val="20"/>
        </w:rPr>
        <w:t>093</w:t>
      </w:r>
      <w:r w:rsidR="00C844F3" w:rsidRPr="005F4560">
        <w:rPr>
          <w:rFonts w:cstheme="minorHAnsi"/>
          <w:szCs w:val="20"/>
        </w:rPr>
        <w:t>)</w:t>
      </w:r>
      <w:r w:rsidR="00F31D58" w:rsidRPr="005F4560">
        <w:rPr>
          <w:rFonts w:cstheme="minorHAnsi"/>
          <w:szCs w:val="20"/>
        </w:rPr>
        <w:t xml:space="preserve"> in the first year </w:t>
      </w:r>
      <w:r w:rsidR="00C844F3" w:rsidRPr="005F4560">
        <w:rPr>
          <w:rFonts w:cstheme="minorHAnsi"/>
          <w:szCs w:val="20"/>
        </w:rPr>
        <w:t xml:space="preserve">following </w:t>
      </w:r>
      <w:r w:rsidR="00E324AF" w:rsidRPr="005F4560">
        <w:rPr>
          <w:rFonts w:cstheme="minorHAnsi"/>
          <w:szCs w:val="20"/>
        </w:rPr>
        <w:t>MBS funding</w:t>
      </w:r>
      <w:r w:rsidR="001C2048" w:rsidRPr="005F4560">
        <w:rPr>
          <w:rFonts w:cstheme="minorHAnsi"/>
          <w:szCs w:val="20"/>
        </w:rPr>
        <w:t>.</w:t>
      </w:r>
      <w:r w:rsidR="000D28EE" w:rsidRPr="005F4560">
        <w:rPr>
          <w:rFonts w:cstheme="minorHAnsi"/>
          <w:szCs w:val="20"/>
        </w:rPr>
        <w:t xml:space="preserve"> </w:t>
      </w:r>
      <w:r w:rsidR="00C844F3" w:rsidRPr="005F4560">
        <w:rPr>
          <w:rFonts w:cstheme="minorHAnsi"/>
          <w:szCs w:val="20"/>
        </w:rPr>
        <w:t xml:space="preserve"> This compares to the 1,000 currently performed annual </w:t>
      </w:r>
      <w:r w:rsidR="00FC1E23" w:rsidRPr="005F4560">
        <w:rPr>
          <w:rFonts w:cstheme="minorHAnsi"/>
          <w:szCs w:val="20"/>
        </w:rPr>
        <w:t>IGB</w:t>
      </w:r>
      <w:r w:rsidR="00C844F3" w:rsidRPr="005F4560">
        <w:rPr>
          <w:rFonts w:cstheme="minorHAnsi"/>
          <w:szCs w:val="20"/>
        </w:rPr>
        <w:t xml:space="preserve"> </w:t>
      </w:r>
      <w:r w:rsidR="006155BD" w:rsidRPr="005F4560">
        <w:rPr>
          <w:rFonts w:cstheme="minorHAnsi"/>
          <w:szCs w:val="20"/>
        </w:rPr>
        <w:t>procedures</w:t>
      </w:r>
      <w:r w:rsidR="00C844F3" w:rsidRPr="005F4560">
        <w:rPr>
          <w:rFonts w:cstheme="minorHAnsi"/>
          <w:szCs w:val="20"/>
        </w:rPr>
        <w:t xml:space="preserve"> (with an indication limited to patients with a BMI≥27 in a private setting only).</w:t>
      </w:r>
    </w:p>
    <w:p w14:paraId="275B28C9" w14:textId="3980011D" w:rsidR="00BC2013" w:rsidRPr="005F4560" w:rsidRDefault="00E324AF" w:rsidP="00BC2013">
      <w:pPr>
        <w:autoSpaceDE w:val="0"/>
        <w:autoSpaceDN w:val="0"/>
        <w:adjustRightInd w:val="0"/>
        <w:spacing w:before="0" w:after="0"/>
        <w:ind w:left="360"/>
        <w:jc w:val="both"/>
        <w:rPr>
          <w:rFonts w:cstheme="minorHAnsi"/>
          <w:szCs w:val="20"/>
        </w:rPr>
      </w:pPr>
      <w:r w:rsidRPr="005F4560">
        <w:rPr>
          <w:rFonts w:cstheme="minorHAnsi"/>
          <w:szCs w:val="20"/>
        </w:rPr>
        <w:t>S</w:t>
      </w:r>
      <w:r w:rsidR="00BC2013" w:rsidRPr="005F4560">
        <w:rPr>
          <w:rFonts w:cstheme="minorHAnsi"/>
          <w:szCs w:val="20"/>
        </w:rPr>
        <w:t xml:space="preserve">pecifically, patients currently undergoing surgery have a mean BMI of 44.1, as reported by the </w:t>
      </w:r>
      <w:hyperlink r:id="rId149" w:history="1">
        <w:r w:rsidR="00BC2013" w:rsidRPr="005F4560">
          <w:rPr>
            <w:rStyle w:val="Hyperlink"/>
            <w:rFonts w:cstheme="minorHAnsi"/>
            <w:color w:val="auto"/>
            <w:szCs w:val="20"/>
          </w:rPr>
          <w:t>Bariatric Surgery Registry</w:t>
        </w:r>
      </w:hyperlink>
      <w:r w:rsidR="00BC2013" w:rsidRPr="005F4560">
        <w:rPr>
          <w:rFonts w:cstheme="minorHAnsi"/>
          <w:szCs w:val="20"/>
        </w:rPr>
        <w:t xml:space="preserve">.  The distribution for those classified as class 1 (BMI ≥30&lt;35 Kg/m2) is provided below in </w:t>
      </w:r>
      <w:r w:rsidR="00BC2013" w:rsidRPr="005F4560">
        <w:rPr>
          <w:rFonts w:cstheme="minorHAnsi"/>
          <w:szCs w:val="20"/>
        </w:rPr>
        <w:fldChar w:fldCharType="begin"/>
      </w:r>
      <w:r w:rsidR="00BC2013" w:rsidRPr="005F4560">
        <w:rPr>
          <w:rFonts w:cstheme="minorHAnsi"/>
          <w:szCs w:val="20"/>
        </w:rPr>
        <w:instrText xml:space="preserve"> REF _Ref487891783 \h  \* MERGEFORMAT </w:instrText>
      </w:r>
      <w:r w:rsidR="00BC2013" w:rsidRPr="005F4560">
        <w:rPr>
          <w:rFonts w:cstheme="minorHAnsi"/>
          <w:szCs w:val="20"/>
        </w:rPr>
      </w:r>
      <w:r w:rsidR="00BC2013" w:rsidRPr="005F4560">
        <w:rPr>
          <w:rFonts w:cstheme="minorHAnsi"/>
          <w:szCs w:val="20"/>
        </w:rPr>
        <w:fldChar w:fldCharType="separate"/>
      </w:r>
      <w:r w:rsidR="00BC2013" w:rsidRPr="005F4560">
        <w:rPr>
          <w:rFonts w:cstheme="minorHAnsi"/>
          <w:szCs w:val="20"/>
        </w:rPr>
        <w:t>Figure 4</w:t>
      </w:r>
      <w:r w:rsidR="00BC2013" w:rsidRPr="005F4560">
        <w:rPr>
          <w:rFonts w:cstheme="minorHAnsi"/>
          <w:szCs w:val="20"/>
        </w:rPr>
        <w:fldChar w:fldCharType="end"/>
      </w:r>
      <w:r w:rsidR="00BC2013" w:rsidRPr="005F4560">
        <w:rPr>
          <w:rFonts w:cstheme="minorHAnsi"/>
          <w:szCs w:val="20"/>
        </w:rPr>
        <w:t xml:space="preserve"> and t</w:t>
      </w:r>
      <w:r w:rsidRPr="005F4560">
        <w:rPr>
          <w:rFonts w:cstheme="minorHAnsi"/>
          <w:szCs w:val="20"/>
        </w:rPr>
        <w:t>h</w:t>
      </w:r>
      <w:r w:rsidR="00BC2013" w:rsidRPr="005F4560">
        <w:rPr>
          <w:rFonts w:cstheme="minorHAnsi"/>
          <w:szCs w:val="20"/>
        </w:rPr>
        <w:t xml:space="preserve">is informs the 14.7% utilised in </w:t>
      </w:r>
      <w:r w:rsidR="00BC2013" w:rsidRPr="005F4560">
        <w:rPr>
          <w:rFonts w:cstheme="minorHAnsi"/>
          <w:szCs w:val="20"/>
        </w:rPr>
        <w:fldChar w:fldCharType="begin"/>
      </w:r>
      <w:r w:rsidR="00BC2013" w:rsidRPr="005F4560">
        <w:rPr>
          <w:rFonts w:cstheme="minorHAnsi"/>
          <w:szCs w:val="20"/>
        </w:rPr>
        <w:instrText xml:space="preserve"> REF _Ref496963426 \h  \* MERGEFORMAT </w:instrText>
      </w:r>
      <w:r w:rsidR="00BC2013" w:rsidRPr="005F4560">
        <w:rPr>
          <w:rFonts w:cstheme="minorHAnsi"/>
          <w:szCs w:val="20"/>
        </w:rPr>
      </w:r>
      <w:r w:rsidR="00BC2013" w:rsidRPr="005F4560">
        <w:rPr>
          <w:rFonts w:cstheme="minorHAnsi"/>
          <w:szCs w:val="20"/>
        </w:rPr>
        <w:fldChar w:fldCharType="separate"/>
      </w:r>
      <w:r w:rsidR="00BC2013" w:rsidRPr="005F4560">
        <w:rPr>
          <w:rFonts w:cstheme="minorHAnsi"/>
          <w:szCs w:val="20"/>
        </w:rPr>
        <w:t>Table 1</w:t>
      </w:r>
      <w:r w:rsidR="00BC2013" w:rsidRPr="005F4560">
        <w:rPr>
          <w:rFonts w:cstheme="minorHAnsi"/>
          <w:szCs w:val="20"/>
        </w:rPr>
        <w:fldChar w:fldCharType="end"/>
      </w:r>
      <w:r w:rsidR="00BC2013" w:rsidRPr="005F4560">
        <w:rPr>
          <w:rFonts w:cstheme="minorHAnsi"/>
          <w:szCs w:val="20"/>
        </w:rPr>
        <w:t xml:space="preserve"> below.  This is therefore a modest proportion of patients who will be eligible </w:t>
      </w:r>
      <w:r w:rsidRPr="005F4560">
        <w:rPr>
          <w:rFonts w:cstheme="minorHAnsi"/>
          <w:szCs w:val="20"/>
        </w:rPr>
        <w:t xml:space="preserve">in </w:t>
      </w:r>
      <w:r w:rsidR="00BC2013" w:rsidRPr="005F4560">
        <w:rPr>
          <w:rFonts w:cstheme="minorHAnsi"/>
          <w:szCs w:val="20"/>
        </w:rPr>
        <w:t>the “BMI ≥30&lt;35 Kg/m</w:t>
      </w:r>
      <w:r w:rsidR="00BC2013" w:rsidRPr="005F4560">
        <w:rPr>
          <w:rFonts w:cstheme="minorHAnsi"/>
          <w:szCs w:val="20"/>
          <w:vertAlign w:val="superscript"/>
        </w:rPr>
        <w:t xml:space="preserve">2 </w:t>
      </w:r>
      <w:r w:rsidR="00BC2013" w:rsidRPr="005F4560">
        <w:rPr>
          <w:rFonts w:cstheme="minorHAnsi"/>
          <w:szCs w:val="20"/>
        </w:rPr>
        <w:t xml:space="preserve">with a co-morbidity and uncontrolled diabetes” cohort.  </w:t>
      </w:r>
    </w:p>
    <w:p w14:paraId="2423459C" w14:textId="3031ECE0" w:rsidR="00AC6208" w:rsidRPr="005F4560" w:rsidRDefault="00AC6208" w:rsidP="00BC2013">
      <w:pPr>
        <w:autoSpaceDE w:val="0"/>
        <w:autoSpaceDN w:val="0"/>
        <w:adjustRightInd w:val="0"/>
        <w:spacing w:before="0" w:after="0"/>
        <w:ind w:left="360"/>
        <w:jc w:val="both"/>
        <w:rPr>
          <w:rFonts w:cstheme="minorHAnsi"/>
          <w:szCs w:val="20"/>
        </w:rPr>
      </w:pPr>
      <w:r w:rsidRPr="005F4560">
        <w:rPr>
          <w:rFonts w:cstheme="minorHAnsi"/>
          <w:szCs w:val="20"/>
        </w:rPr>
        <w:t xml:space="preserve">Some more data regarding the distribution of patients currently undergoing bariatric surgery is provided in </w:t>
      </w:r>
      <w:r w:rsidRPr="005F4560">
        <w:rPr>
          <w:rFonts w:cstheme="minorHAnsi"/>
          <w:szCs w:val="20"/>
        </w:rPr>
        <w:fldChar w:fldCharType="begin"/>
      </w:r>
      <w:r w:rsidRPr="005F4560">
        <w:rPr>
          <w:rFonts w:cstheme="minorHAnsi"/>
          <w:szCs w:val="20"/>
        </w:rPr>
        <w:instrText xml:space="preserve"> REF _Ref496971392 \h </w:instrText>
      </w:r>
      <w:r w:rsidRPr="005F4560">
        <w:rPr>
          <w:rFonts w:cstheme="minorHAnsi"/>
          <w:szCs w:val="20"/>
        </w:rPr>
      </w:r>
      <w:r w:rsidRPr="005F4560">
        <w:rPr>
          <w:rFonts w:cstheme="minorHAnsi"/>
          <w:szCs w:val="20"/>
        </w:rPr>
        <w:fldChar w:fldCharType="separate"/>
      </w:r>
      <w:r w:rsidRPr="005F4560">
        <w:t xml:space="preserve">Figure </w:t>
      </w:r>
      <w:r w:rsidRPr="005F4560">
        <w:rPr>
          <w:noProof/>
        </w:rPr>
        <w:t>5</w:t>
      </w:r>
      <w:r w:rsidRPr="005F4560">
        <w:rPr>
          <w:rFonts w:cstheme="minorHAnsi"/>
          <w:szCs w:val="20"/>
        </w:rPr>
        <w:fldChar w:fldCharType="end"/>
      </w:r>
      <w:r w:rsidRPr="005F4560">
        <w:rPr>
          <w:rFonts w:cstheme="minorHAnsi"/>
          <w:szCs w:val="20"/>
        </w:rPr>
        <w:t>.</w:t>
      </w:r>
    </w:p>
    <w:p w14:paraId="45A4CA50" w14:textId="5BEA08A8" w:rsidR="00BC2013" w:rsidRPr="005F4560" w:rsidRDefault="00BC2013" w:rsidP="00BC2013">
      <w:pPr>
        <w:autoSpaceDE w:val="0"/>
        <w:autoSpaceDN w:val="0"/>
        <w:adjustRightInd w:val="0"/>
        <w:spacing w:before="0" w:after="0"/>
        <w:jc w:val="both"/>
        <w:rPr>
          <w:rFonts w:ascii="Arial" w:hAnsi="Arial" w:cs="Arial"/>
          <w:sz w:val="22"/>
        </w:rPr>
      </w:pPr>
    </w:p>
    <w:p w14:paraId="5DF22904" w14:textId="778CB16A" w:rsidR="00BC2013" w:rsidRPr="005F4560" w:rsidRDefault="00BC2013" w:rsidP="00BC2013">
      <w:pPr>
        <w:pStyle w:val="Caption"/>
        <w:keepNext/>
        <w:ind w:left="426"/>
        <w:rPr>
          <w:rFonts w:cstheme="minorHAnsi"/>
          <w:color w:val="auto"/>
        </w:rPr>
      </w:pPr>
      <w:bookmarkStart w:id="14" w:name="_Ref496971392"/>
      <w:r w:rsidRPr="005F4560">
        <w:rPr>
          <w:color w:val="auto"/>
        </w:rPr>
        <w:t xml:space="preserve">Figure </w:t>
      </w:r>
      <w:r w:rsidR="00D368CA" w:rsidRPr="005F4560">
        <w:rPr>
          <w:color w:val="auto"/>
        </w:rPr>
        <w:fldChar w:fldCharType="begin"/>
      </w:r>
      <w:r w:rsidR="00D368CA" w:rsidRPr="005F4560">
        <w:rPr>
          <w:color w:val="auto"/>
        </w:rPr>
        <w:instrText xml:space="preserve"> SEQ Figure \* ARABIC </w:instrText>
      </w:r>
      <w:r w:rsidR="00D368CA" w:rsidRPr="005F4560">
        <w:rPr>
          <w:color w:val="auto"/>
        </w:rPr>
        <w:fldChar w:fldCharType="separate"/>
      </w:r>
      <w:r w:rsidR="00181EC3" w:rsidRPr="005F4560">
        <w:rPr>
          <w:noProof/>
          <w:color w:val="auto"/>
        </w:rPr>
        <w:t>5</w:t>
      </w:r>
      <w:r w:rsidR="00D368CA" w:rsidRPr="005F4560">
        <w:rPr>
          <w:noProof/>
          <w:color w:val="auto"/>
        </w:rPr>
        <w:fldChar w:fldCharType="end"/>
      </w:r>
      <w:bookmarkEnd w:id="14"/>
      <w:r w:rsidRPr="005F4560">
        <w:rPr>
          <w:color w:val="auto"/>
        </w:rPr>
        <w:t xml:space="preserve">: Initial BMI classification for primary patients Feb 2012-30June </w:t>
      </w:r>
      <w:r w:rsidRPr="005F4560">
        <w:rPr>
          <w:rFonts w:cstheme="minorHAnsi"/>
          <w:color w:val="auto"/>
        </w:rPr>
        <w:t>2016 (</w:t>
      </w:r>
      <w:hyperlink r:id="rId150" w:history="1">
        <w:r w:rsidRPr="005F4560">
          <w:rPr>
            <w:rStyle w:val="Hyperlink"/>
            <w:rFonts w:cstheme="minorHAnsi"/>
            <w:color w:val="auto"/>
          </w:rPr>
          <w:t>Bariatric Surgery Registry</w:t>
        </w:r>
      </w:hyperlink>
      <w:r w:rsidRPr="005F4560">
        <w:rPr>
          <w:rFonts w:cstheme="minorHAnsi"/>
          <w:color w:val="auto"/>
        </w:rPr>
        <w:t>)</w:t>
      </w:r>
    </w:p>
    <w:p w14:paraId="2E1C6302" w14:textId="3076DBF4" w:rsidR="00BC2013" w:rsidRPr="005F4560" w:rsidRDefault="00BC2013" w:rsidP="00BC2013">
      <w:pPr>
        <w:autoSpaceDE w:val="0"/>
        <w:autoSpaceDN w:val="0"/>
        <w:adjustRightInd w:val="0"/>
        <w:spacing w:before="0" w:after="0"/>
        <w:ind w:left="426"/>
        <w:jc w:val="both"/>
        <w:rPr>
          <w:rFonts w:ascii="Arial" w:hAnsi="Arial" w:cs="Arial"/>
          <w:sz w:val="22"/>
        </w:rPr>
      </w:pPr>
      <w:r w:rsidRPr="0068046B">
        <w:rPr>
          <w:noProof/>
          <w:highlight w:val="yellow"/>
          <w:lang w:eastAsia="en-AU"/>
        </w:rPr>
        <w:drawing>
          <wp:inline distT="0" distB="0" distL="0" distR="0" wp14:anchorId="5D8A260F" wp14:editId="6503AD7B">
            <wp:extent cx="5731510" cy="2176780"/>
            <wp:effectExtent l="0" t="0" r="2540" b="0"/>
            <wp:docPr id="6" name="Picture 6" descr="the gender percentages for each category of obesity." title="Initial BMI Classification for Primary Patients Feb 2012- Ju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5731510" cy="2176780"/>
                    </a:xfrm>
                    <a:prstGeom prst="rect">
                      <a:avLst/>
                    </a:prstGeom>
                  </pic:spPr>
                </pic:pic>
              </a:graphicData>
            </a:graphic>
          </wp:inline>
        </w:drawing>
      </w:r>
    </w:p>
    <w:p w14:paraId="120F146D" w14:textId="4546DB7C" w:rsidR="00BC2013" w:rsidRPr="005F4560" w:rsidRDefault="0068046B" w:rsidP="0068046B">
      <w:pPr>
        <w:tabs>
          <w:tab w:val="left" w:pos="1139"/>
        </w:tabs>
        <w:autoSpaceDE w:val="0"/>
        <w:autoSpaceDN w:val="0"/>
        <w:adjustRightInd w:val="0"/>
        <w:spacing w:before="0" w:after="0"/>
        <w:jc w:val="both"/>
        <w:rPr>
          <w:rFonts w:cstheme="minorHAnsi"/>
          <w:szCs w:val="20"/>
        </w:rPr>
      </w:pPr>
      <w:r>
        <w:rPr>
          <w:rFonts w:cstheme="minorHAnsi"/>
          <w:szCs w:val="20"/>
        </w:rPr>
        <w:tab/>
        <w:t>*The target population for the proposed medical service falls into the Obese: Class 1 category</w:t>
      </w:r>
    </w:p>
    <w:p w14:paraId="51419BEB" w14:textId="4C682A99" w:rsidR="00514D98" w:rsidRPr="005F4560" w:rsidRDefault="004B3C85" w:rsidP="002632A8">
      <w:pPr>
        <w:pStyle w:val="Caption"/>
        <w:ind w:firstLine="426"/>
        <w:rPr>
          <w:color w:val="auto"/>
        </w:rPr>
      </w:pPr>
      <w:bookmarkStart w:id="15" w:name="_Ref496963426"/>
      <w:r w:rsidRPr="005F4560">
        <w:rPr>
          <w:color w:val="auto"/>
        </w:rPr>
        <w:t xml:space="preserve">Table </w:t>
      </w:r>
      <w:r w:rsidR="00D368CA" w:rsidRPr="005F4560">
        <w:rPr>
          <w:color w:val="auto"/>
        </w:rPr>
        <w:fldChar w:fldCharType="begin"/>
      </w:r>
      <w:r w:rsidR="00D368CA" w:rsidRPr="005F4560">
        <w:rPr>
          <w:color w:val="auto"/>
        </w:rPr>
        <w:instrText xml:space="preserve"> SEQ Table \* ARABIC </w:instrText>
      </w:r>
      <w:r w:rsidR="00D368CA" w:rsidRPr="005F4560">
        <w:rPr>
          <w:color w:val="auto"/>
        </w:rPr>
        <w:fldChar w:fldCharType="separate"/>
      </w:r>
      <w:r w:rsidRPr="005F4560">
        <w:rPr>
          <w:color w:val="auto"/>
        </w:rPr>
        <w:t>1</w:t>
      </w:r>
      <w:r w:rsidR="00D368CA" w:rsidRPr="005F4560">
        <w:rPr>
          <w:color w:val="auto"/>
        </w:rPr>
        <w:fldChar w:fldCharType="end"/>
      </w:r>
      <w:bookmarkEnd w:id="15"/>
      <w:r w:rsidRPr="005F4560">
        <w:rPr>
          <w:color w:val="auto"/>
        </w:rPr>
        <w:t xml:space="preserve">: Estimated eligible patient numbers for the requested </w:t>
      </w:r>
      <w:r w:rsidR="006155BD" w:rsidRPr="005F4560">
        <w:rPr>
          <w:color w:val="auto"/>
        </w:rPr>
        <w:t>procedures</w:t>
      </w:r>
    </w:p>
    <w:tbl>
      <w:tblPr>
        <w:tblStyle w:val="TableGrid"/>
        <w:tblW w:w="8783" w:type="dxa"/>
        <w:tblInd w:w="426" w:type="dxa"/>
        <w:tblLook w:val="04A0" w:firstRow="1" w:lastRow="0" w:firstColumn="1" w:lastColumn="0" w:noHBand="0" w:noVBand="1"/>
        <w:tblCaption w:val="Estimated Eligible Patient Numbers for the Requested Medical Service"/>
        <w:tblDescription w:val="Estimated Eligible Patient Numbers for the Requested Medical Service&#10;Australian Population- 24,700,000&#10;Population aged between 18-64- 15,190,500&#10;Proportion of Patients that have a BMI ≥30&lt;35 kg/m2- 2,278,575&#10;Proportion of Patients that have diabetes and BMI ≥30&lt;35 kg/m2- 334,950&#10;Australians with uncontrolled diabetes- 157,426&#10;Proportion of those that could be eligible that are estimated to undertake an IGB procedures &#10;≥30&lt;35 kg/m2 with uncontrolled diabetes:&#10; Lower Limit Estimate- 2,447&#10; Upper Limit Estimate- 4,093&#10;"/>
      </w:tblPr>
      <w:tblGrid>
        <w:gridCol w:w="3258"/>
        <w:gridCol w:w="1299"/>
        <w:gridCol w:w="1684"/>
        <w:gridCol w:w="2542"/>
      </w:tblGrid>
      <w:tr w:rsidR="000D28EE" w:rsidRPr="005F4560" w14:paraId="1C8E4391" w14:textId="43996648" w:rsidTr="00F15073">
        <w:trPr>
          <w:cantSplit/>
          <w:tblHeader/>
        </w:trPr>
        <w:tc>
          <w:tcPr>
            <w:tcW w:w="3258" w:type="dxa"/>
            <w:shd w:val="clear" w:color="auto" w:fill="D9D9D9" w:themeFill="background1" w:themeFillShade="D9"/>
          </w:tcPr>
          <w:p w14:paraId="5D8AD54E" w14:textId="77777777" w:rsidR="000D28EE" w:rsidRPr="005F4560" w:rsidRDefault="000D28EE" w:rsidP="00FB630C">
            <w:pPr>
              <w:spacing w:before="40" w:after="40"/>
              <w:rPr>
                <w:rFonts w:cstheme="minorHAnsi"/>
                <w:szCs w:val="20"/>
              </w:rPr>
            </w:pPr>
          </w:p>
        </w:tc>
        <w:tc>
          <w:tcPr>
            <w:tcW w:w="1299" w:type="dxa"/>
            <w:shd w:val="clear" w:color="auto" w:fill="D9D9D9" w:themeFill="background1" w:themeFillShade="D9"/>
          </w:tcPr>
          <w:p w14:paraId="770EC8BC" w14:textId="5550ABF4" w:rsidR="000D28EE" w:rsidRPr="005F4560" w:rsidRDefault="000D28EE" w:rsidP="00975A24">
            <w:pPr>
              <w:spacing w:before="40" w:after="40"/>
              <w:rPr>
                <w:rFonts w:cstheme="minorHAnsi"/>
                <w:szCs w:val="20"/>
              </w:rPr>
            </w:pPr>
            <w:r w:rsidRPr="005F4560">
              <w:rPr>
                <w:rFonts w:cstheme="minorHAnsi"/>
                <w:szCs w:val="20"/>
              </w:rPr>
              <w:t xml:space="preserve">% of Population </w:t>
            </w:r>
          </w:p>
        </w:tc>
        <w:tc>
          <w:tcPr>
            <w:tcW w:w="1684" w:type="dxa"/>
            <w:shd w:val="clear" w:color="auto" w:fill="D9D9D9" w:themeFill="background1" w:themeFillShade="D9"/>
          </w:tcPr>
          <w:p w14:paraId="32F9B793" w14:textId="5C592D1C" w:rsidR="000D28EE" w:rsidRPr="005F4560" w:rsidRDefault="000D28EE" w:rsidP="00975A24">
            <w:pPr>
              <w:spacing w:before="40" w:after="40"/>
              <w:rPr>
                <w:rFonts w:cstheme="minorHAnsi"/>
                <w:szCs w:val="20"/>
              </w:rPr>
            </w:pPr>
            <w:r w:rsidRPr="005F4560">
              <w:rPr>
                <w:rFonts w:cstheme="minorHAnsi"/>
                <w:szCs w:val="20"/>
              </w:rPr>
              <w:t xml:space="preserve">Number of Potential Patients </w:t>
            </w:r>
          </w:p>
        </w:tc>
        <w:tc>
          <w:tcPr>
            <w:tcW w:w="2542" w:type="dxa"/>
            <w:shd w:val="clear" w:color="auto" w:fill="D9D9D9" w:themeFill="background1" w:themeFillShade="D9"/>
          </w:tcPr>
          <w:p w14:paraId="6EF5A182" w14:textId="72F54C1E" w:rsidR="000D28EE" w:rsidRPr="005F4560" w:rsidRDefault="000D28EE" w:rsidP="00FB630C">
            <w:pPr>
              <w:spacing w:before="40" w:after="40"/>
              <w:rPr>
                <w:rFonts w:cstheme="minorHAnsi"/>
                <w:szCs w:val="20"/>
              </w:rPr>
            </w:pPr>
            <w:r w:rsidRPr="005F4560">
              <w:rPr>
                <w:rFonts w:cstheme="minorHAnsi"/>
                <w:szCs w:val="20"/>
              </w:rPr>
              <w:t>Source of Data</w:t>
            </w:r>
          </w:p>
        </w:tc>
      </w:tr>
      <w:tr w:rsidR="000D28EE" w:rsidRPr="005F4560" w14:paraId="3517F1FF" w14:textId="47A6C0B7" w:rsidTr="00F15073">
        <w:trPr>
          <w:cantSplit/>
        </w:trPr>
        <w:tc>
          <w:tcPr>
            <w:tcW w:w="3258" w:type="dxa"/>
          </w:tcPr>
          <w:p w14:paraId="18C2D26B" w14:textId="77777777"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Australian Population</w:t>
            </w:r>
          </w:p>
        </w:tc>
        <w:tc>
          <w:tcPr>
            <w:tcW w:w="1299" w:type="dxa"/>
          </w:tcPr>
          <w:p w14:paraId="050F03F4" w14:textId="77777777" w:rsidR="000D28EE" w:rsidRPr="005F4560" w:rsidRDefault="000D28EE" w:rsidP="00FB630C">
            <w:pPr>
              <w:spacing w:before="40" w:after="40"/>
              <w:rPr>
                <w:rFonts w:cstheme="minorHAnsi"/>
                <w:szCs w:val="20"/>
                <w:shd w:val="clear" w:color="auto" w:fill="FFFFFF"/>
              </w:rPr>
            </w:pPr>
          </w:p>
        </w:tc>
        <w:tc>
          <w:tcPr>
            <w:tcW w:w="1684" w:type="dxa"/>
          </w:tcPr>
          <w:p w14:paraId="2C175A25" w14:textId="77777777"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24,700,000</w:t>
            </w:r>
          </w:p>
        </w:tc>
        <w:tc>
          <w:tcPr>
            <w:tcW w:w="2542" w:type="dxa"/>
          </w:tcPr>
          <w:p w14:paraId="633BF77B" w14:textId="0E9B0716" w:rsidR="000D28EE" w:rsidRPr="005F4560" w:rsidRDefault="00C844F3" w:rsidP="00FB630C">
            <w:pPr>
              <w:spacing w:before="40" w:after="40"/>
              <w:rPr>
                <w:rFonts w:cstheme="minorHAnsi"/>
                <w:szCs w:val="20"/>
              </w:rPr>
            </w:pPr>
            <w:r w:rsidRPr="005F4560">
              <w:rPr>
                <w:rFonts w:cstheme="minorHAnsi"/>
                <w:szCs w:val="20"/>
              </w:rPr>
              <w:t>ABS – population clock</w:t>
            </w:r>
          </w:p>
        </w:tc>
      </w:tr>
      <w:tr w:rsidR="000D28EE" w:rsidRPr="005F4560" w14:paraId="0E87621A" w14:textId="2BD9630E" w:rsidTr="00F15073">
        <w:trPr>
          <w:cantSplit/>
        </w:trPr>
        <w:tc>
          <w:tcPr>
            <w:tcW w:w="3258" w:type="dxa"/>
          </w:tcPr>
          <w:p w14:paraId="72AB8C3D" w14:textId="7CF3915D"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 xml:space="preserve">Population aged between 18-64: </w:t>
            </w:r>
          </w:p>
        </w:tc>
        <w:tc>
          <w:tcPr>
            <w:tcW w:w="1299" w:type="dxa"/>
          </w:tcPr>
          <w:p w14:paraId="3A3000BD" w14:textId="271CA3A8" w:rsidR="000D28EE" w:rsidRPr="005F4560" w:rsidRDefault="00E93B7B" w:rsidP="00FB630C">
            <w:pPr>
              <w:spacing w:before="40" w:after="40"/>
              <w:rPr>
                <w:rFonts w:cstheme="minorHAnsi"/>
                <w:szCs w:val="20"/>
                <w:shd w:val="clear" w:color="auto" w:fill="FFFFFF"/>
              </w:rPr>
            </w:pPr>
            <w:r w:rsidRPr="005F4560">
              <w:rPr>
                <w:rFonts w:cstheme="minorHAnsi"/>
                <w:szCs w:val="20"/>
                <w:shd w:val="clear" w:color="auto" w:fill="FFFFFF"/>
              </w:rPr>
              <w:t>61.5%</w:t>
            </w:r>
          </w:p>
        </w:tc>
        <w:tc>
          <w:tcPr>
            <w:tcW w:w="1684" w:type="dxa"/>
          </w:tcPr>
          <w:p w14:paraId="5E9920CF" w14:textId="77777777"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15,190,500</w:t>
            </w:r>
          </w:p>
        </w:tc>
        <w:tc>
          <w:tcPr>
            <w:tcW w:w="2542" w:type="dxa"/>
          </w:tcPr>
          <w:p w14:paraId="4DB9E295" w14:textId="088AE699" w:rsidR="000D28EE" w:rsidRPr="005F4560" w:rsidRDefault="00C844F3" w:rsidP="00FB630C">
            <w:pPr>
              <w:spacing w:before="40" w:after="40"/>
              <w:rPr>
                <w:rFonts w:cstheme="minorHAnsi"/>
                <w:szCs w:val="20"/>
              </w:rPr>
            </w:pPr>
            <w:r w:rsidRPr="005F4560">
              <w:rPr>
                <w:rFonts w:cstheme="minorHAnsi"/>
                <w:szCs w:val="20"/>
              </w:rPr>
              <w:t>ABS - 3235.0</w:t>
            </w:r>
          </w:p>
        </w:tc>
      </w:tr>
      <w:tr w:rsidR="000D28EE" w:rsidRPr="005F4560" w14:paraId="6B141276" w14:textId="40B0416F" w:rsidTr="00F15073">
        <w:trPr>
          <w:cantSplit/>
        </w:trPr>
        <w:tc>
          <w:tcPr>
            <w:tcW w:w="3258" w:type="dxa"/>
          </w:tcPr>
          <w:p w14:paraId="7ACB48A6" w14:textId="711C382B"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 xml:space="preserve">Proportion of Patients that have a BMI </w:t>
            </w:r>
            <w:r w:rsidR="00B74D17" w:rsidRPr="005F4560">
              <w:rPr>
                <w:rFonts w:cstheme="minorHAnsi"/>
                <w:szCs w:val="20"/>
                <w:shd w:val="clear" w:color="auto" w:fill="FFFFFF"/>
              </w:rPr>
              <w:t>≥</w:t>
            </w:r>
            <w:r w:rsidRPr="005F4560">
              <w:rPr>
                <w:rFonts w:cstheme="minorHAnsi"/>
                <w:szCs w:val="20"/>
                <w:shd w:val="clear" w:color="auto" w:fill="FFFFFF"/>
              </w:rPr>
              <w:t>30</w:t>
            </w:r>
            <w:r w:rsidR="00B74D17" w:rsidRPr="005F4560">
              <w:rPr>
                <w:rFonts w:cstheme="minorHAnsi"/>
                <w:szCs w:val="20"/>
                <w:shd w:val="clear" w:color="auto" w:fill="FFFFFF"/>
              </w:rPr>
              <w:t>&lt;35</w:t>
            </w:r>
            <w:r w:rsidRPr="005F4560">
              <w:rPr>
                <w:rFonts w:cstheme="minorHAnsi"/>
                <w:szCs w:val="20"/>
                <w:shd w:val="clear" w:color="auto" w:fill="FFFFFF"/>
              </w:rPr>
              <w:t xml:space="preserve"> kg/m</w:t>
            </w:r>
            <w:r w:rsidRPr="005F4560">
              <w:rPr>
                <w:rFonts w:cstheme="minorHAnsi"/>
                <w:szCs w:val="20"/>
                <w:shd w:val="clear" w:color="auto" w:fill="FFFFFF"/>
                <w:vertAlign w:val="superscript"/>
              </w:rPr>
              <w:t>2</w:t>
            </w:r>
          </w:p>
        </w:tc>
        <w:tc>
          <w:tcPr>
            <w:tcW w:w="1299" w:type="dxa"/>
          </w:tcPr>
          <w:p w14:paraId="63AEF3E6" w14:textId="45B91F54"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15%</w:t>
            </w:r>
          </w:p>
        </w:tc>
        <w:tc>
          <w:tcPr>
            <w:tcW w:w="1684" w:type="dxa"/>
          </w:tcPr>
          <w:p w14:paraId="49CFB876" w14:textId="03629AD0"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2,278,575</w:t>
            </w:r>
          </w:p>
        </w:tc>
        <w:tc>
          <w:tcPr>
            <w:tcW w:w="2542" w:type="dxa"/>
          </w:tcPr>
          <w:p w14:paraId="44CB11E5" w14:textId="67678579" w:rsidR="000D28EE" w:rsidRPr="005F4560" w:rsidRDefault="009878BB" w:rsidP="00FB630C">
            <w:pPr>
              <w:spacing w:before="40" w:after="40"/>
              <w:rPr>
                <w:rFonts w:cstheme="minorHAnsi"/>
                <w:szCs w:val="20"/>
              </w:rPr>
            </w:pPr>
            <w:hyperlink r:id="rId152" w:history="1">
              <w:r w:rsidR="000D28EE" w:rsidRPr="005F4560">
                <w:rPr>
                  <w:rStyle w:val="Hyperlink"/>
                  <w:rFonts w:cstheme="minorHAnsi"/>
                  <w:color w:val="auto"/>
                  <w:szCs w:val="20"/>
                </w:rPr>
                <w:t>ABS 4338.0</w:t>
              </w:r>
            </w:hyperlink>
            <w:r w:rsidR="00B74D17" w:rsidRPr="005F4560">
              <w:rPr>
                <w:rFonts w:cstheme="minorHAnsi"/>
                <w:szCs w:val="20"/>
              </w:rPr>
              <w:t xml:space="preserve"> and </w:t>
            </w:r>
            <w:r w:rsidR="00B74D17" w:rsidRPr="005F4560">
              <w:rPr>
                <w:rFonts w:cstheme="minorHAnsi"/>
                <w:szCs w:val="20"/>
              </w:rPr>
              <w:fldChar w:fldCharType="begin"/>
            </w:r>
            <w:r w:rsidR="00B74D17" w:rsidRPr="005F4560">
              <w:rPr>
                <w:rFonts w:cstheme="minorHAnsi"/>
                <w:szCs w:val="20"/>
              </w:rPr>
              <w:instrText xml:space="preserve"> REF _Ref487891783 \h </w:instrText>
            </w:r>
            <w:r w:rsidR="004624D2" w:rsidRPr="005F4560">
              <w:rPr>
                <w:rFonts w:cstheme="minorHAnsi"/>
                <w:szCs w:val="20"/>
              </w:rPr>
              <w:instrText xml:space="preserve"> \* MERGEFORMAT </w:instrText>
            </w:r>
            <w:r w:rsidR="00B74D17" w:rsidRPr="005F4560">
              <w:rPr>
                <w:rFonts w:cstheme="minorHAnsi"/>
                <w:szCs w:val="20"/>
              </w:rPr>
            </w:r>
            <w:r w:rsidR="00B74D17" w:rsidRPr="005F4560">
              <w:rPr>
                <w:rFonts w:cstheme="minorHAnsi"/>
                <w:szCs w:val="20"/>
              </w:rPr>
              <w:fldChar w:fldCharType="separate"/>
            </w:r>
            <w:r w:rsidR="00B74D17" w:rsidRPr="005F4560">
              <w:t xml:space="preserve">Figure </w:t>
            </w:r>
            <w:r w:rsidR="00B74D17" w:rsidRPr="005F4560">
              <w:rPr>
                <w:noProof/>
              </w:rPr>
              <w:t>1</w:t>
            </w:r>
            <w:r w:rsidR="00B74D17" w:rsidRPr="005F4560">
              <w:rPr>
                <w:rFonts w:cstheme="minorHAnsi"/>
                <w:szCs w:val="20"/>
              </w:rPr>
              <w:fldChar w:fldCharType="end"/>
            </w:r>
          </w:p>
        </w:tc>
      </w:tr>
      <w:tr w:rsidR="000D28EE" w:rsidRPr="005F4560" w14:paraId="5513074D" w14:textId="77777777" w:rsidTr="00F15073">
        <w:trPr>
          <w:cantSplit/>
        </w:trPr>
        <w:tc>
          <w:tcPr>
            <w:tcW w:w="3258" w:type="dxa"/>
          </w:tcPr>
          <w:p w14:paraId="5E26A729" w14:textId="71A772D6"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 xml:space="preserve">Proportion of Patients that have diabetes and BMI </w:t>
            </w:r>
            <w:r w:rsidR="00B74D17" w:rsidRPr="005F4560">
              <w:rPr>
                <w:rFonts w:cstheme="minorHAnsi"/>
                <w:szCs w:val="20"/>
                <w:shd w:val="clear" w:color="auto" w:fill="FFFFFF"/>
              </w:rPr>
              <w:t>≥30&lt;35 kg/m</w:t>
            </w:r>
            <w:r w:rsidR="00B74D17" w:rsidRPr="005F4560">
              <w:rPr>
                <w:rFonts w:cstheme="minorHAnsi"/>
                <w:szCs w:val="20"/>
                <w:shd w:val="clear" w:color="auto" w:fill="FFFFFF"/>
                <w:vertAlign w:val="superscript"/>
              </w:rPr>
              <w:t>2</w:t>
            </w:r>
          </w:p>
        </w:tc>
        <w:tc>
          <w:tcPr>
            <w:tcW w:w="1299" w:type="dxa"/>
          </w:tcPr>
          <w:p w14:paraId="0BE7AB63" w14:textId="010377FC"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14.7%</w:t>
            </w:r>
          </w:p>
        </w:tc>
        <w:tc>
          <w:tcPr>
            <w:tcW w:w="1684" w:type="dxa"/>
          </w:tcPr>
          <w:p w14:paraId="51A6A01F" w14:textId="0D564A87" w:rsidR="000D28EE" w:rsidRPr="005F4560" w:rsidRDefault="00E93B7B" w:rsidP="00FB630C">
            <w:pPr>
              <w:spacing w:before="40" w:after="40"/>
              <w:rPr>
                <w:rFonts w:cstheme="minorHAnsi"/>
                <w:szCs w:val="20"/>
                <w:shd w:val="clear" w:color="auto" w:fill="FFFFFF"/>
              </w:rPr>
            </w:pPr>
            <w:r w:rsidRPr="005F4560">
              <w:rPr>
                <w:rFonts w:cstheme="minorHAnsi"/>
                <w:szCs w:val="20"/>
                <w:shd w:val="clear" w:color="auto" w:fill="FFFFFF"/>
              </w:rPr>
              <w:t>334,950</w:t>
            </w:r>
          </w:p>
        </w:tc>
        <w:tc>
          <w:tcPr>
            <w:tcW w:w="2542" w:type="dxa"/>
          </w:tcPr>
          <w:p w14:paraId="0CD150BC" w14:textId="1C7D2176" w:rsidR="000D28EE" w:rsidRPr="005F4560" w:rsidRDefault="009878BB" w:rsidP="00FB630C">
            <w:pPr>
              <w:spacing w:before="40" w:after="40"/>
              <w:rPr>
                <w:rFonts w:cstheme="minorHAnsi"/>
                <w:szCs w:val="20"/>
                <w:shd w:val="clear" w:color="auto" w:fill="FFFFFF"/>
              </w:rPr>
            </w:pPr>
            <w:hyperlink r:id="rId153" w:history="1">
              <w:r w:rsidR="000D28EE" w:rsidRPr="005F4560">
                <w:rPr>
                  <w:rStyle w:val="Hyperlink"/>
                  <w:rFonts w:cstheme="minorHAnsi"/>
                  <w:color w:val="auto"/>
                  <w:szCs w:val="20"/>
                  <w:shd w:val="clear" w:color="auto" w:fill="FFFFFF"/>
                </w:rPr>
                <w:t>Bariatric Surgery Registry</w:t>
              </w:r>
            </w:hyperlink>
          </w:p>
        </w:tc>
      </w:tr>
      <w:tr w:rsidR="000D28EE" w:rsidRPr="005F4560" w14:paraId="33AE712B" w14:textId="4F8125C0" w:rsidTr="00F15073">
        <w:trPr>
          <w:cantSplit/>
        </w:trPr>
        <w:tc>
          <w:tcPr>
            <w:tcW w:w="3258" w:type="dxa"/>
          </w:tcPr>
          <w:p w14:paraId="45443B97" w14:textId="07F6CF45"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 xml:space="preserve">Australians with uncontrolled diabetes </w:t>
            </w:r>
          </w:p>
        </w:tc>
        <w:tc>
          <w:tcPr>
            <w:tcW w:w="1299" w:type="dxa"/>
          </w:tcPr>
          <w:p w14:paraId="65AED9CF" w14:textId="0D94D0CA" w:rsidR="000D28EE" w:rsidRPr="005F4560" w:rsidRDefault="000D28EE" w:rsidP="00FB630C">
            <w:pPr>
              <w:spacing w:before="40" w:after="40"/>
              <w:rPr>
                <w:rFonts w:cstheme="minorHAnsi"/>
                <w:szCs w:val="20"/>
                <w:shd w:val="clear" w:color="auto" w:fill="FFFFFF"/>
              </w:rPr>
            </w:pPr>
            <w:r w:rsidRPr="005F4560">
              <w:rPr>
                <w:rFonts w:cstheme="minorHAnsi"/>
                <w:szCs w:val="20"/>
                <w:shd w:val="clear" w:color="auto" w:fill="FFFFFF"/>
              </w:rPr>
              <w:t>47%</w:t>
            </w:r>
          </w:p>
        </w:tc>
        <w:tc>
          <w:tcPr>
            <w:tcW w:w="1684" w:type="dxa"/>
          </w:tcPr>
          <w:p w14:paraId="7FE6BEC0" w14:textId="11CBE3EE" w:rsidR="000D28EE" w:rsidRPr="005F4560" w:rsidRDefault="00E93B7B" w:rsidP="00FB630C">
            <w:pPr>
              <w:spacing w:before="40" w:after="40"/>
              <w:rPr>
                <w:rFonts w:cstheme="minorHAnsi"/>
                <w:szCs w:val="20"/>
                <w:shd w:val="clear" w:color="auto" w:fill="FFFFFF"/>
              </w:rPr>
            </w:pPr>
            <w:r w:rsidRPr="005F4560">
              <w:rPr>
                <w:rFonts w:cstheme="minorHAnsi"/>
                <w:szCs w:val="20"/>
                <w:shd w:val="clear" w:color="auto" w:fill="FFFFFF"/>
              </w:rPr>
              <w:t>157,426</w:t>
            </w:r>
          </w:p>
        </w:tc>
        <w:tc>
          <w:tcPr>
            <w:tcW w:w="2542" w:type="dxa"/>
          </w:tcPr>
          <w:p w14:paraId="28922532" w14:textId="5FD0002A" w:rsidR="000D28EE" w:rsidRPr="005F4560" w:rsidRDefault="000D28EE" w:rsidP="00FB630C">
            <w:pPr>
              <w:spacing w:before="40" w:after="40"/>
              <w:rPr>
                <w:rFonts w:cstheme="minorHAnsi"/>
                <w:szCs w:val="20"/>
              </w:rPr>
            </w:pPr>
            <w:r w:rsidRPr="005F4560">
              <w:rPr>
                <w:rFonts w:cstheme="minorHAnsi"/>
                <w:szCs w:val="20"/>
                <w:shd w:val="clear" w:color="auto" w:fill="FFFFFF"/>
              </w:rPr>
              <w:t>(</w:t>
            </w:r>
            <w:hyperlink r:id="rId154" w:history="1">
              <w:r w:rsidRPr="005F4560">
                <w:rPr>
                  <w:rStyle w:val="Hyperlink"/>
                  <w:rFonts w:cstheme="minorHAnsi"/>
                  <w:color w:val="auto"/>
                  <w:szCs w:val="20"/>
                  <w:shd w:val="clear" w:color="auto" w:fill="FFFFFF"/>
                </w:rPr>
                <w:t>Diabetes Australia</w:t>
              </w:r>
            </w:hyperlink>
            <w:r w:rsidRPr="005F4560">
              <w:rPr>
                <w:rFonts w:cstheme="minorHAnsi"/>
                <w:szCs w:val="20"/>
                <w:shd w:val="clear" w:color="auto" w:fill="FFFFFF"/>
              </w:rPr>
              <w:t>)</w:t>
            </w:r>
          </w:p>
        </w:tc>
      </w:tr>
      <w:tr w:rsidR="00043105" w:rsidRPr="005F4560" w14:paraId="208E102F" w14:textId="77777777" w:rsidTr="00F15073">
        <w:trPr>
          <w:cantSplit/>
        </w:trPr>
        <w:tc>
          <w:tcPr>
            <w:tcW w:w="3258" w:type="dxa"/>
          </w:tcPr>
          <w:p w14:paraId="75DB1FD1" w14:textId="65DCCC33" w:rsidR="00043105" w:rsidRPr="005F4560" w:rsidRDefault="00F15073" w:rsidP="00043105">
            <w:pPr>
              <w:spacing w:before="40" w:after="40"/>
              <w:rPr>
                <w:rFonts w:cstheme="minorHAnsi"/>
                <w:szCs w:val="20"/>
                <w:shd w:val="clear" w:color="auto" w:fill="FFFFFF"/>
              </w:rPr>
            </w:pPr>
            <w:r>
              <w:rPr>
                <w:rFonts w:cstheme="minorHAnsi"/>
                <w:szCs w:val="20"/>
                <w:shd w:val="clear" w:color="auto" w:fill="FFFFFF"/>
              </w:rPr>
              <w:lastRenderedPageBreak/>
              <w:t xml:space="preserve">If you need </w:t>
            </w:r>
            <w:r w:rsidR="00043105" w:rsidRPr="005F4560">
              <w:rPr>
                <w:rFonts w:cstheme="minorHAnsi"/>
                <w:szCs w:val="20"/>
                <w:shd w:val="clear" w:color="auto" w:fill="FFFFFF"/>
              </w:rPr>
              <w:t xml:space="preserve">Proportion of those that could be eligible that are estimated to undertake an IGB procedures </w:t>
            </w:r>
          </w:p>
          <w:p w14:paraId="0D6247C4" w14:textId="726086AA" w:rsidR="00043105" w:rsidRPr="005F4560" w:rsidRDefault="00043105" w:rsidP="00043105">
            <w:pPr>
              <w:spacing w:before="40" w:after="40"/>
              <w:rPr>
                <w:rFonts w:cstheme="minorHAnsi"/>
                <w:szCs w:val="20"/>
                <w:shd w:val="clear" w:color="auto" w:fill="FFFFFF"/>
              </w:rPr>
            </w:pPr>
            <w:r w:rsidRPr="005F4560">
              <w:rPr>
                <w:rFonts w:cstheme="minorHAnsi"/>
                <w:szCs w:val="20"/>
                <w:shd w:val="clear" w:color="auto" w:fill="FFFFFF"/>
              </w:rPr>
              <w:t>≥30&lt;35 kg/m</w:t>
            </w:r>
            <w:r w:rsidRPr="005F4560">
              <w:rPr>
                <w:rFonts w:cstheme="minorHAnsi"/>
                <w:szCs w:val="20"/>
                <w:shd w:val="clear" w:color="auto" w:fill="FFFFFF"/>
                <w:vertAlign w:val="superscript"/>
              </w:rPr>
              <w:t xml:space="preserve">2 </w:t>
            </w:r>
            <w:r w:rsidRPr="005F4560">
              <w:rPr>
                <w:rFonts w:cstheme="minorHAnsi"/>
                <w:szCs w:val="20"/>
                <w:shd w:val="clear" w:color="auto" w:fill="FFFFFF"/>
              </w:rPr>
              <w:t xml:space="preserve">with uncontrolled diabetes: </w:t>
            </w:r>
            <w:r w:rsidRPr="005F4560">
              <w:rPr>
                <w:rFonts w:cstheme="minorHAnsi"/>
                <w:b/>
                <w:szCs w:val="20"/>
                <w:shd w:val="clear" w:color="auto" w:fill="FFFFFF"/>
              </w:rPr>
              <w:t>Lower Limit Estimate</w:t>
            </w:r>
          </w:p>
        </w:tc>
        <w:tc>
          <w:tcPr>
            <w:tcW w:w="1299" w:type="dxa"/>
            <w:vAlign w:val="bottom"/>
          </w:tcPr>
          <w:p w14:paraId="0E67D7D6" w14:textId="7C1B1DC4" w:rsidR="00043105" w:rsidRPr="005F4560" w:rsidRDefault="00043105" w:rsidP="00043105">
            <w:pPr>
              <w:spacing w:before="40" w:after="40"/>
              <w:rPr>
                <w:rFonts w:cstheme="minorHAnsi"/>
                <w:szCs w:val="20"/>
                <w:shd w:val="clear" w:color="auto" w:fill="FFFFFF"/>
              </w:rPr>
            </w:pPr>
            <w:r w:rsidRPr="005F4560">
              <w:rPr>
                <w:rFonts w:cstheme="minorHAnsi"/>
                <w:szCs w:val="20"/>
                <w:shd w:val="clear" w:color="auto" w:fill="FFFFFF"/>
              </w:rPr>
              <w:t>1.6%</w:t>
            </w:r>
          </w:p>
        </w:tc>
        <w:tc>
          <w:tcPr>
            <w:tcW w:w="1684" w:type="dxa"/>
            <w:vAlign w:val="bottom"/>
          </w:tcPr>
          <w:p w14:paraId="40CFF7F8" w14:textId="3751EBB4" w:rsidR="00043105" w:rsidRPr="005F4560" w:rsidRDefault="00043105" w:rsidP="00043105">
            <w:pPr>
              <w:spacing w:before="40" w:after="40"/>
              <w:rPr>
                <w:rFonts w:cstheme="minorHAnsi"/>
                <w:szCs w:val="20"/>
                <w:shd w:val="clear" w:color="auto" w:fill="FFFFFF"/>
              </w:rPr>
            </w:pPr>
            <w:r w:rsidRPr="005F4560">
              <w:rPr>
                <w:rFonts w:cstheme="minorHAnsi"/>
                <w:szCs w:val="20"/>
                <w:shd w:val="clear" w:color="auto" w:fill="FFFFFF"/>
              </w:rPr>
              <w:t>2,447</w:t>
            </w:r>
          </w:p>
        </w:tc>
        <w:tc>
          <w:tcPr>
            <w:tcW w:w="2542" w:type="dxa"/>
          </w:tcPr>
          <w:p w14:paraId="0568CD06" w14:textId="44A25774" w:rsidR="00043105" w:rsidRPr="00043105" w:rsidRDefault="00043105" w:rsidP="00043105">
            <w:pPr>
              <w:spacing w:before="40" w:after="40"/>
              <w:rPr>
                <w:rFonts w:cstheme="minorHAnsi"/>
                <w:szCs w:val="20"/>
                <w:shd w:val="clear" w:color="auto" w:fill="FFFFFF"/>
              </w:rPr>
            </w:pPr>
            <w:r>
              <w:rPr>
                <w:rFonts w:cstheme="minorHAnsi"/>
                <w:szCs w:val="20"/>
                <w:shd w:val="clear" w:color="auto" w:fill="FFFFFF"/>
              </w:rPr>
              <w:t xml:space="preserve">In 2011-13 </w:t>
            </w:r>
            <w:r>
              <w:rPr>
                <w:rFonts w:cstheme="minorHAnsi"/>
                <w:szCs w:val="20"/>
                <w:u w:val="single"/>
                <w:shd w:val="clear" w:color="auto" w:fill="FFFFFF"/>
              </w:rPr>
              <w:t>Sharman et al, 2017</w:t>
            </w:r>
            <w:r>
              <w:rPr>
                <w:rFonts w:cstheme="minorHAnsi"/>
                <w:szCs w:val="20"/>
                <w:shd w:val="clear" w:color="auto" w:fill="FFFFFF"/>
              </w:rPr>
              <w:t xml:space="preserve"> estimated that there were 882,441 patients eligible for bariatric surgery (aged 18-65)</w:t>
            </w:r>
          </w:p>
        </w:tc>
      </w:tr>
      <w:tr w:rsidR="00043105" w:rsidRPr="005F4560" w14:paraId="36635DAC" w14:textId="77777777" w:rsidTr="00F15073">
        <w:trPr>
          <w:cantSplit/>
        </w:trPr>
        <w:tc>
          <w:tcPr>
            <w:tcW w:w="3258" w:type="dxa"/>
          </w:tcPr>
          <w:p w14:paraId="42768B41" w14:textId="61DE360D" w:rsidR="00043105" w:rsidRPr="005F4560" w:rsidRDefault="0068046B" w:rsidP="0068046B">
            <w:pPr>
              <w:spacing w:before="40" w:after="40"/>
              <w:jc w:val="center"/>
              <w:rPr>
                <w:rFonts w:cstheme="minorHAnsi"/>
                <w:szCs w:val="20"/>
                <w:shd w:val="clear" w:color="auto" w:fill="FFFFFF"/>
              </w:rPr>
            </w:pPr>
            <w:r>
              <w:rPr>
                <w:rFonts w:cstheme="minorHAnsi"/>
                <w:szCs w:val="20"/>
                <w:shd w:val="clear" w:color="auto" w:fill="FFFFFF"/>
              </w:rPr>
              <w:t xml:space="preserve">   </w:t>
            </w:r>
            <w:r w:rsidR="00043105" w:rsidRPr="005F4560">
              <w:rPr>
                <w:rFonts w:cstheme="minorHAnsi"/>
                <w:b/>
                <w:szCs w:val="20"/>
                <w:shd w:val="clear" w:color="auto" w:fill="FFFFFF"/>
              </w:rPr>
              <w:t>Upper Limit Estimate</w:t>
            </w:r>
          </w:p>
        </w:tc>
        <w:tc>
          <w:tcPr>
            <w:tcW w:w="1299" w:type="dxa"/>
          </w:tcPr>
          <w:p w14:paraId="58C91135" w14:textId="11DDA9E9" w:rsidR="00043105" w:rsidRPr="005F4560" w:rsidRDefault="00043105" w:rsidP="00043105">
            <w:pPr>
              <w:spacing w:before="40" w:after="40"/>
              <w:rPr>
                <w:rFonts w:cstheme="minorHAnsi"/>
                <w:szCs w:val="20"/>
                <w:shd w:val="clear" w:color="auto" w:fill="FFFFFF"/>
              </w:rPr>
            </w:pPr>
            <w:r w:rsidRPr="005F4560">
              <w:rPr>
                <w:rFonts w:cstheme="minorHAnsi"/>
                <w:szCs w:val="20"/>
                <w:shd w:val="clear" w:color="auto" w:fill="FFFFFF"/>
              </w:rPr>
              <w:t>2.6%</w:t>
            </w:r>
          </w:p>
        </w:tc>
        <w:tc>
          <w:tcPr>
            <w:tcW w:w="1684" w:type="dxa"/>
          </w:tcPr>
          <w:p w14:paraId="34A5FADE" w14:textId="7FCC1B8B" w:rsidR="00043105" w:rsidRPr="005F4560" w:rsidRDefault="00043105" w:rsidP="00043105">
            <w:pPr>
              <w:spacing w:before="40" w:after="40"/>
              <w:rPr>
                <w:rFonts w:cstheme="minorHAnsi"/>
                <w:szCs w:val="20"/>
                <w:shd w:val="clear" w:color="auto" w:fill="FFFFFF"/>
              </w:rPr>
            </w:pPr>
            <w:r w:rsidRPr="005F4560">
              <w:rPr>
                <w:rFonts w:cstheme="minorHAnsi"/>
                <w:szCs w:val="20"/>
                <w:shd w:val="clear" w:color="auto" w:fill="FFFFFF"/>
              </w:rPr>
              <w:t>4,093</w:t>
            </w:r>
          </w:p>
        </w:tc>
        <w:tc>
          <w:tcPr>
            <w:tcW w:w="2542" w:type="dxa"/>
          </w:tcPr>
          <w:p w14:paraId="5E95DD9B" w14:textId="58863EF2" w:rsidR="00043105" w:rsidRPr="00043105" w:rsidRDefault="00043105" w:rsidP="00043105">
            <w:pPr>
              <w:spacing w:before="40" w:after="40"/>
              <w:rPr>
                <w:rFonts w:cstheme="minorHAnsi"/>
                <w:szCs w:val="20"/>
                <w:shd w:val="clear" w:color="auto" w:fill="FFFFFF"/>
              </w:rPr>
            </w:pPr>
            <w:r>
              <w:rPr>
                <w:rFonts w:cstheme="minorHAnsi"/>
                <w:szCs w:val="20"/>
                <w:shd w:val="clear" w:color="auto" w:fill="FFFFFF"/>
              </w:rPr>
              <w:t>In 2011-12, there were 13,718 procedures for weight loss (</w:t>
            </w:r>
            <w:r>
              <w:rPr>
                <w:rFonts w:cstheme="minorHAnsi"/>
                <w:szCs w:val="20"/>
                <w:u w:val="single"/>
                <w:shd w:val="clear" w:color="auto" w:fill="FFFFFF"/>
              </w:rPr>
              <w:t>The Conversation</w:t>
            </w:r>
            <w:r>
              <w:rPr>
                <w:rFonts w:cstheme="minorHAnsi"/>
                <w:szCs w:val="20"/>
                <w:shd w:val="clear" w:color="auto" w:fill="FFFFFF"/>
              </w:rPr>
              <w:t>)</w:t>
            </w:r>
          </w:p>
        </w:tc>
      </w:tr>
    </w:tbl>
    <w:p w14:paraId="0781CC8C" w14:textId="77777777" w:rsidR="00BC2013" w:rsidRPr="005F4560" w:rsidRDefault="00BC2013" w:rsidP="000E0500">
      <w:pPr>
        <w:autoSpaceDE w:val="0"/>
        <w:autoSpaceDN w:val="0"/>
        <w:adjustRightInd w:val="0"/>
        <w:spacing w:before="0" w:after="0"/>
        <w:jc w:val="both"/>
        <w:rPr>
          <w:rFonts w:cstheme="minorHAnsi"/>
          <w:szCs w:val="20"/>
        </w:rPr>
      </w:pPr>
    </w:p>
    <w:p w14:paraId="370AF07D" w14:textId="63D5E5C2" w:rsidR="00FB630C" w:rsidRPr="005F4560" w:rsidRDefault="000E0500" w:rsidP="00B220C9">
      <w:pPr>
        <w:autoSpaceDE w:val="0"/>
        <w:autoSpaceDN w:val="0"/>
        <w:adjustRightInd w:val="0"/>
        <w:spacing w:before="0" w:after="0"/>
        <w:ind w:left="284"/>
        <w:jc w:val="both"/>
        <w:rPr>
          <w:rFonts w:cstheme="minorHAnsi"/>
          <w:szCs w:val="20"/>
        </w:rPr>
      </w:pPr>
      <w:r w:rsidRPr="005F4560">
        <w:rPr>
          <w:rFonts w:cstheme="minorHAnsi"/>
          <w:szCs w:val="20"/>
        </w:rPr>
        <w:t xml:space="preserve">From the </w:t>
      </w:r>
      <w:hyperlink r:id="rId155" w:history="1">
        <w:r w:rsidRPr="005F4560">
          <w:rPr>
            <w:rStyle w:val="Hyperlink"/>
            <w:rFonts w:cstheme="minorHAnsi"/>
            <w:color w:val="auto"/>
            <w:szCs w:val="20"/>
          </w:rPr>
          <w:t>2008 MSAC</w:t>
        </w:r>
      </w:hyperlink>
      <w:r w:rsidRPr="005F4560">
        <w:rPr>
          <w:rFonts w:cstheme="minorHAnsi"/>
          <w:szCs w:val="20"/>
        </w:rPr>
        <w:t xml:space="preserve"> submission for </w:t>
      </w:r>
      <w:r w:rsidR="0099598B" w:rsidRPr="005F4560">
        <w:rPr>
          <w:rFonts w:cstheme="minorHAnsi"/>
          <w:szCs w:val="20"/>
        </w:rPr>
        <w:t>IGBs</w:t>
      </w:r>
      <w:r w:rsidRPr="005F4560">
        <w:rPr>
          <w:rFonts w:cstheme="minorHAnsi"/>
          <w:szCs w:val="20"/>
        </w:rPr>
        <w:t xml:space="preserve"> it was determined that an appropriate estimate of the number of patients who could potentially receive IGBs </w:t>
      </w:r>
      <w:r w:rsidR="004624D2" w:rsidRPr="005F4560">
        <w:rPr>
          <w:rFonts w:cstheme="minorHAnsi"/>
          <w:szCs w:val="20"/>
        </w:rPr>
        <w:t xml:space="preserve">(for people with BMI≥35) </w:t>
      </w:r>
      <w:r w:rsidRPr="005F4560">
        <w:rPr>
          <w:rFonts w:cstheme="minorHAnsi"/>
          <w:szCs w:val="20"/>
        </w:rPr>
        <w:t xml:space="preserve">would be those who fail to lose weight following conventional treatments but who are unsuitable for surgical treatment. </w:t>
      </w:r>
      <w:r w:rsidR="004624D2" w:rsidRPr="005F4560">
        <w:rPr>
          <w:rFonts w:cstheme="minorHAnsi"/>
          <w:szCs w:val="20"/>
        </w:rPr>
        <w:t xml:space="preserve"> </w:t>
      </w:r>
      <w:r w:rsidRPr="005F4560">
        <w:rPr>
          <w:rFonts w:cstheme="minorHAnsi"/>
          <w:szCs w:val="20"/>
        </w:rPr>
        <w:t>This estimate is based on the number of patients who under</w:t>
      </w:r>
      <w:r w:rsidR="00E93B7B" w:rsidRPr="005F4560">
        <w:rPr>
          <w:rFonts w:cstheme="minorHAnsi"/>
          <w:szCs w:val="20"/>
        </w:rPr>
        <w:t>went</w:t>
      </w:r>
      <w:r w:rsidRPr="005F4560">
        <w:rPr>
          <w:rFonts w:cstheme="minorHAnsi"/>
          <w:szCs w:val="20"/>
        </w:rPr>
        <w:t xml:space="preserve"> surgery for obesity</w:t>
      </w:r>
      <w:r w:rsidR="004624D2" w:rsidRPr="005F4560">
        <w:rPr>
          <w:rFonts w:cstheme="minorHAnsi"/>
          <w:szCs w:val="20"/>
        </w:rPr>
        <w:t>,</w:t>
      </w:r>
      <w:r w:rsidRPr="005F4560">
        <w:rPr>
          <w:rFonts w:cstheme="minorHAnsi"/>
          <w:szCs w:val="20"/>
        </w:rPr>
        <w:t xml:space="preserve"> and on an Australian study on the number of patients who </w:t>
      </w:r>
      <w:r w:rsidR="00E93B7B" w:rsidRPr="005F4560">
        <w:rPr>
          <w:rFonts w:cstheme="minorHAnsi"/>
          <w:szCs w:val="20"/>
        </w:rPr>
        <w:t>we</w:t>
      </w:r>
      <w:r w:rsidRPr="005F4560">
        <w:rPr>
          <w:rFonts w:cstheme="minorHAnsi"/>
          <w:szCs w:val="20"/>
        </w:rPr>
        <w:t xml:space="preserve">re screened for surgery but </w:t>
      </w:r>
      <w:r w:rsidR="00E93B7B" w:rsidRPr="005F4560">
        <w:rPr>
          <w:rFonts w:cstheme="minorHAnsi"/>
          <w:szCs w:val="20"/>
        </w:rPr>
        <w:t>we</w:t>
      </w:r>
      <w:r w:rsidRPr="005F4560">
        <w:rPr>
          <w:rFonts w:cstheme="minorHAnsi"/>
          <w:szCs w:val="20"/>
        </w:rPr>
        <w:t xml:space="preserve">re unsuitable </w:t>
      </w:r>
      <w:r w:rsidR="00E324AF" w:rsidRPr="005F4560">
        <w:rPr>
          <w:rFonts w:cstheme="minorHAnsi"/>
          <w:szCs w:val="20"/>
        </w:rPr>
        <w:t>(</w:t>
      </w:r>
      <w:r w:rsidRPr="005F4560">
        <w:rPr>
          <w:rFonts w:cstheme="minorHAnsi"/>
          <w:szCs w:val="20"/>
        </w:rPr>
        <w:t>for various reasons</w:t>
      </w:r>
      <w:r w:rsidR="00E324AF" w:rsidRPr="005F4560">
        <w:rPr>
          <w:rFonts w:cstheme="minorHAnsi"/>
          <w:szCs w:val="20"/>
        </w:rPr>
        <w:t>)</w:t>
      </w:r>
      <w:r w:rsidRPr="005F4560">
        <w:rPr>
          <w:rFonts w:cstheme="minorHAnsi"/>
          <w:szCs w:val="20"/>
        </w:rPr>
        <w:t xml:space="preserve">. </w:t>
      </w:r>
      <w:r w:rsidR="00E93B7B" w:rsidRPr="005F4560">
        <w:rPr>
          <w:rFonts w:cstheme="minorHAnsi"/>
          <w:szCs w:val="20"/>
        </w:rPr>
        <w:t xml:space="preserve"> </w:t>
      </w:r>
      <w:r w:rsidRPr="005F4560">
        <w:rPr>
          <w:rFonts w:cstheme="minorHAnsi"/>
          <w:szCs w:val="20"/>
        </w:rPr>
        <w:t xml:space="preserve">However, the rate of patients who initially refuse surgery </w:t>
      </w:r>
      <w:r w:rsidR="00936E07" w:rsidRPr="005F4560">
        <w:rPr>
          <w:rFonts w:cstheme="minorHAnsi"/>
          <w:szCs w:val="20"/>
        </w:rPr>
        <w:t xml:space="preserve">were estimated to </w:t>
      </w:r>
      <w:r w:rsidR="00733A07" w:rsidRPr="005F4560">
        <w:rPr>
          <w:rFonts w:cstheme="minorHAnsi"/>
          <w:szCs w:val="20"/>
        </w:rPr>
        <w:t>de</w:t>
      </w:r>
      <w:r w:rsidRPr="005F4560">
        <w:rPr>
          <w:rFonts w:cstheme="minorHAnsi"/>
          <w:szCs w:val="20"/>
        </w:rPr>
        <w:t xml:space="preserve">crease </w:t>
      </w:r>
      <w:r w:rsidR="00936E07" w:rsidRPr="005F4560">
        <w:rPr>
          <w:rFonts w:cstheme="minorHAnsi"/>
          <w:szCs w:val="20"/>
        </w:rPr>
        <w:t xml:space="preserve">once </w:t>
      </w:r>
      <w:r w:rsidRPr="005F4560">
        <w:rPr>
          <w:rFonts w:cstheme="minorHAnsi"/>
          <w:szCs w:val="20"/>
        </w:rPr>
        <w:t>IGBs bec</w:t>
      </w:r>
      <w:r w:rsidR="00936E07" w:rsidRPr="005F4560">
        <w:rPr>
          <w:rFonts w:cstheme="minorHAnsi"/>
          <w:szCs w:val="20"/>
        </w:rPr>
        <w:t>ame funded for that</w:t>
      </w:r>
      <w:r w:rsidRPr="005F4560">
        <w:rPr>
          <w:rFonts w:cstheme="minorHAnsi"/>
          <w:szCs w:val="20"/>
        </w:rPr>
        <w:t xml:space="preserve"> indication. </w:t>
      </w:r>
      <w:r w:rsidR="005C2002" w:rsidRPr="005F4560">
        <w:rPr>
          <w:rFonts w:cstheme="minorHAnsi"/>
          <w:szCs w:val="20"/>
        </w:rPr>
        <w:t xml:space="preserve"> </w:t>
      </w:r>
      <w:r w:rsidR="004624D2" w:rsidRPr="005F4560">
        <w:rPr>
          <w:rFonts w:cstheme="minorHAnsi"/>
          <w:szCs w:val="20"/>
        </w:rPr>
        <w:t>The 2008 MSAC submission estimated an upper limit of 8,000 IG</w:t>
      </w:r>
      <w:r w:rsidR="00FC1E23" w:rsidRPr="005F4560">
        <w:rPr>
          <w:rFonts w:cstheme="minorHAnsi"/>
          <w:szCs w:val="20"/>
        </w:rPr>
        <w:t>B</w:t>
      </w:r>
      <w:r w:rsidR="004624D2" w:rsidRPr="005F4560">
        <w:rPr>
          <w:rFonts w:cstheme="minorHAnsi"/>
          <w:szCs w:val="20"/>
        </w:rPr>
        <w:t xml:space="preserve"> treatments per year.  Given that the </w:t>
      </w:r>
      <w:r w:rsidR="00936E07" w:rsidRPr="005F4560">
        <w:rPr>
          <w:rFonts w:cstheme="minorHAnsi"/>
          <w:szCs w:val="20"/>
        </w:rPr>
        <w:t xml:space="preserve">proposed </w:t>
      </w:r>
      <w:r w:rsidR="004624D2" w:rsidRPr="005F4560">
        <w:rPr>
          <w:rFonts w:cstheme="minorHAnsi"/>
          <w:szCs w:val="20"/>
        </w:rPr>
        <w:t xml:space="preserve">population under consideration for this application is much smaller, the </w:t>
      </w:r>
      <w:r w:rsidRPr="005F4560">
        <w:rPr>
          <w:rFonts w:cstheme="minorHAnsi"/>
          <w:szCs w:val="20"/>
        </w:rPr>
        <w:t xml:space="preserve">upper estimate </w:t>
      </w:r>
      <w:r w:rsidR="004624D2" w:rsidRPr="005F4560">
        <w:rPr>
          <w:rFonts w:cstheme="minorHAnsi"/>
          <w:szCs w:val="20"/>
        </w:rPr>
        <w:t xml:space="preserve">of </w:t>
      </w:r>
      <w:r w:rsidR="000D28EE" w:rsidRPr="005F4560">
        <w:rPr>
          <w:rFonts w:cstheme="minorHAnsi"/>
          <w:szCs w:val="20"/>
        </w:rPr>
        <w:t>4,</w:t>
      </w:r>
      <w:r w:rsidR="00E93B7B" w:rsidRPr="005F4560">
        <w:rPr>
          <w:rFonts w:cstheme="minorHAnsi"/>
          <w:szCs w:val="20"/>
        </w:rPr>
        <w:t>093</w:t>
      </w:r>
      <w:r w:rsidRPr="005F4560">
        <w:rPr>
          <w:rFonts w:cstheme="minorHAnsi"/>
          <w:szCs w:val="20"/>
        </w:rPr>
        <w:t xml:space="preserve"> </w:t>
      </w:r>
      <w:r w:rsidR="00702689" w:rsidRPr="005F4560">
        <w:rPr>
          <w:rFonts w:cstheme="minorHAnsi"/>
          <w:szCs w:val="20"/>
        </w:rPr>
        <w:t>IGB procedures</w:t>
      </w:r>
      <w:r w:rsidRPr="005F4560">
        <w:rPr>
          <w:rFonts w:cstheme="minorHAnsi"/>
          <w:szCs w:val="20"/>
        </w:rPr>
        <w:t xml:space="preserve"> per year is therefore </w:t>
      </w:r>
      <w:r w:rsidR="00E93B7B" w:rsidRPr="005F4560">
        <w:rPr>
          <w:rFonts w:cstheme="minorHAnsi"/>
          <w:szCs w:val="20"/>
        </w:rPr>
        <w:t xml:space="preserve">considered </w:t>
      </w:r>
      <w:r w:rsidR="00E324AF" w:rsidRPr="005F4560">
        <w:rPr>
          <w:rFonts w:cstheme="minorHAnsi"/>
          <w:szCs w:val="20"/>
        </w:rPr>
        <w:t xml:space="preserve">conservatively </w:t>
      </w:r>
      <w:r w:rsidR="00E93B7B" w:rsidRPr="005F4560">
        <w:rPr>
          <w:rFonts w:cstheme="minorHAnsi"/>
          <w:szCs w:val="20"/>
        </w:rPr>
        <w:t>robust and is utilised</w:t>
      </w:r>
      <w:r w:rsidR="00B77A29" w:rsidRPr="005F4560">
        <w:rPr>
          <w:rFonts w:cstheme="minorHAnsi"/>
          <w:szCs w:val="20"/>
        </w:rPr>
        <w:t xml:space="preserve"> </w:t>
      </w:r>
      <w:r w:rsidR="00936E07" w:rsidRPr="005F4560">
        <w:rPr>
          <w:rFonts w:cstheme="minorHAnsi"/>
          <w:szCs w:val="20"/>
        </w:rPr>
        <w:t xml:space="preserve">accordingly </w:t>
      </w:r>
      <w:r w:rsidR="00B77A29" w:rsidRPr="005F4560">
        <w:rPr>
          <w:rFonts w:cstheme="minorHAnsi"/>
          <w:szCs w:val="20"/>
        </w:rPr>
        <w:t xml:space="preserve">(see </w:t>
      </w:r>
      <w:r w:rsidR="00B77A29" w:rsidRPr="005F4560">
        <w:rPr>
          <w:rFonts w:cstheme="minorHAnsi"/>
          <w:szCs w:val="20"/>
        </w:rPr>
        <w:fldChar w:fldCharType="begin"/>
      </w:r>
      <w:r w:rsidR="00B77A29" w:rsidRPr="005F4560">
        <w:rPr>
          <w:rFonts w:cstheme="minorHAnsi"/>
          <w:szCs w:val="20"/>
        </w:rPr>
        <w:instrText xml:space="preserve"> REF _Ref496963426 \h </w:instrText>
      </w:r>
      <w:r w:rsidR="00FC1E23" w:rsidRPr="005F4560">
        <w:rPr>
          <w:rFonts w:cstheme="minorHAnsi"/>
          <w:szCs w:val="20"/>
        </w:rPr>
        <w:instrText xml:space="preserve"> \* MERGEFORMAT </w:instrText>
      </w:r>
      <w:r w:rsidR="00B77A29" w:rsidRPr="005F4560">
        <w:rPr>
          <w:rFonts w:cstheme="minorHAnsi"/>
          <w:szCs w:val="20"/>
        </w:rPr>
      </w:r>
      <w:r w:rsidR="00B77A29" w:rsidRPr="005F4560">
        <w:rPr>
          <w:rFonts w:cstheme="minorHAnsi"/>
          <w:szCs w:val="20"/>
        </w:rPr>
        <w:fldChar w:fldCharType="separate"/>
      </w:r>
      <w:r w:rsidR="00B77A29" w:rsidRPr="005F4560">
        <w:t>Table 1</w:t>
      </w:r>
      <w:r w:rsidR="00B77A29" w:rsidRPr="005F4560">
        <w:rPr>
          <w:rFonts w:cstheme="minorHAnsi"/>
          <w:szCs w:val="20"/>
        </w:rPr>
        <w:fldChar w:fldCharType="end"/>
      </w:r>
      <w:r w:rsidR="00B77A29" w:rsidRPr="005F4560">
        <w:rPr>
          <w:rFonts w:cstheme="minorHAnsi"/>
          <w:szCs w:val="20"/>
        </w:rPr>
        <w:t>)</w:t>
      </w:r>
      <w:r w:rsidRPr="005F4560">
        <w:rPr>
          <w:rFonts w:cstheme="minorHAnsi"/>
          <w:szCs w:val="20"/>
        </w:rPr>
        <w:t xml:space="preserve">.  </w:t>
      </w:r>
    </w:p>
    <w:p w14:paraId="11438BC6" w14:textId="2479080D" w:rsidR="00B77A29" w:rsidRPr="005F4560" w:rsidRDefault="00A823D3" w:rsidP="00B220C9">
      <w:pPr>
        <w:autoSpaceDE w:val="0"/>
        <w:autoSpaceDN w:val="0"/>
        <w:adjustRightInd w:val="0"/>
        <w:spacing w:before="0" w:after="0"/>
        <w:ind w:left="284"/>
        <w:jc w:val="both"/>
        <w:rPr>
          <w:rFonts w:cstheme="minorHAnsi"/>
          <w:szCs w:val="20"/>
        </w:rPr>
      </w:pPr>
      <w:r w:rsidRPr="005F4560">
        <w:rPr>
          <w:rFonts w:cstheme="minorHAnsi"/>
          <w:szCs w:val="20"/>
        </w:rPr>
        <w:t>From above</w:t>
      </w:r>
      <w:r w:rsidR="00BC2013" w:rsidRPr="005F4560">
        <w:rPr>
          <w:rFonts w:cstheme="minorHAnsi"/>
          <w:szCs w:val="20"/>
        </w:rPr>
        <w:t>,</w:t>
      </w:r>
      <w:r w:rsidRPr="005F4560">
        <w:rPr>
          <w:rFonts w:cstheme="minorHAnsi"/>
          <w:szCs w:val="20"/>
        </w:rPr>
        <w:t xml:space="preserve"> it is estimates that between 2,447 and 4,093 </w:t>
      </w:r>
      <w:r w:rsidR="005C6ADF" w:rsidRPr="005F4560">
        <w:rPr>
          <w:rFonts w:cstheme="minorHAnsi"/>
          <w:szCs w:val="20"/>
        </w:rPr>
        <w:t>IGB</w:t>
      </w:r>
      <w:r w:rsidR="00B77A29" w:rsidRPr="005F4560">
        <w:rPr>
          <w:rFonts w:cstheme="minorHAnsi"/>
          <w:szCs w:val="20"/>
        </w:rPr>
        <w:t xml:space="preserve"> </w:t>
      </w:r>
      <w:r w:rsidR="006155BD" w:rsidRPr="005F4560">
        <w:rPr>
          <w:rFonts w:cstheme="minorHAnsi"/>
          <w:szCs w:val="20"/>
        </w:rPr>
        <w:t>procedures</w:t>
      </w:r>
      <w:r w:rsidR="00733A07" w:rsidRPr="005F4560">
        <w:rPr>
          <w:rFonts w:cstheme="minorHAnsi"/>
          <w:szCs w:val="20"/>
        </w:rPr>
        <w:t xml:space="preserve"> </w:t>
      </w:r>
      <w:r w:rsidR="00B77A29" w:rsidRPr="005F4560">
        <w:rPr>
          <w:rFonts w:cstheme="minorHAnsi"/>
          <w:szCs w:val="20"/>
        </w:rPr>
        <w:t>are</w:t>
      </w:r>
      <w:r w:rsidR="00733A07" w:rsidRPr="005F4560">
        <w:rPr>
          <w:rFonts w:cstheme="minorHAnsi"/>
          <w:szCs w:val="20"/>
        </w:rPr>
        <w:t xml:space="preserve"> </w:t>
      </w:r>
      <w:r w:rsidR="00B77A29" w:rsidRPr="005F4560">
        <w:rPr>
          <w:rFonts w:cstheme="minorHAnsi"/>
          <w:szCs w:val="20"/>
        </w:rPr>
        <w:t xml:space="preserve">likely </w:t>
      </w:r>
      <w:r w:rsidR="00BC2013" w:rsidRPr="005F4560">
        <w:rPr>
          <w:rFonts w:cstheme="minorHAnsi"/>
          <w:szCs w:val="20"/>
        </w:rPr>
        <w:t xml:space="preserve">based on a </w:t>
      </w:r>
      <w:r w:rsidR="00057331" w:rsidRPr="005F4560">
        <w:rPr>
          <w:rFonts w:cstheme="minorHAnsi"/>
          <w:szCs w:val="20"/>
        </w:rPr>
        <w:t xml:space="preserve">willingness to </w:t>
      </w:r>
      <w:r w:rsidR="005D6EE1" w:rsidRPr="005F4560">
        <w:rPr>
          <w:rFonts w:cstheme="minorHAnsi"/>
          <w:szCs w:val="20"/>
        </w:rPr>
        <w:t xml:space="preserve">undergo this procedure similar </w:t>
      </w:r>
      <w:r w:rsidR="00057331" w:rsidRPr="005F4560">
        <w:rPr>
          <w:rFonts w:cstheme="minorHAnsi"/>
          <w:szCs w:val="20"/>
        </w:rPr>
        <w:t>to that of bariatric surgery</w:t>
      </w:r>
      <w:r w:rsidR="00B77A29" w:rsidRPr="005F4560">
        <w:rPr>
          <w:rFonts w:cstheme="minorHAnsi"/>
          <w:szCs w:val="20"/>
        </w:rPr>
        <w:t xml:space="preserve">. </w:t>
      </w:r>
    </w:p>
    <w:p w14:paraId="5DC26520" w14:textId="77777777" w:rsidR="00B77A29" w:rsidRPr="005F4560" w:rsidRDefault="00B77A29" w:rsidP="00B77A29">
      <w:pPr>
        <w:autoSpaceDE w:val="0"/>
        <w:autoSpaceDN w:val="0"/>
        <w:adjustRightInd w:val="0"/>
        <w:spacing w:before="0" w:after="0"/>
        <w:jc w:val="both"/>
      </w:pPr>
    </w:p>
    <w:p w14:paraId="74258FA2" w14:textId="77777777" w:rsidR="00974D50" w:rsidRPr="005F4560" w:rsidRDefault="005A58BA" w:rsidP="00B77A29">
      <w:pPr>
        <w:pStyle w:val="Heading2"/>
      </w:pPr>
      <w:r w:rsidRPr="005F4560">
        <w:t>Estimate the anticipated upt</w:t>
      </w:r>
      <w:r w:rsidR="000E47E7" w:rsidRPr="005F4560">
        <w:t>a</w:t>
      </w:r>
      <w:r w:rsidR="001B171D" w:rsidRPr="005F4560">
        <w:t>k</w:t>
      </w:r>
      <w:r w:rsidR="000E47E7" w:rsidRPr="005F4560">
        <w:t>e of the proposed medical service over the next three years</w:t>
      </w:r>
      <w:r w:rsidR="001B171D" w:rsidRPr="005F4560">
        <w:t xml:space="preserve"> factoring in any constraints in the health system in meeting the needs of the proposed population (suc</w:t>
      </w:r>
      <w:r w:rsidRPr="005F4560">
        <w:t>h as supply and demand factors)</w:t>
      </w:r>
      <w:r w:rsidR="001B171D" w:rsidRPr="005F4560">
        <w:t xml:space="preserve"> as well as </w:t>
      </w:r>
      <w:r w:rsidR="009C03FB" w:rsidRPr="005F4560">
        <w:t>provide commentary on</w:t>
      </w:r>
      <w:r w:rsidR="001B171D" w:rsidRPr="005F4560">
        <w:t xml:space="preserve"> risk of ‘leakage’ to populations not targeted by the service</w:t>
      </w:r>
      <w:r w:rsidR="00AE1188" w:rsidRPr="005F4560">
        <w:t>:</w:t>
      </w:r>
    </w:p>
    <w:p w14:paraId="4BFB66EA" w14:textId="37AE0083" w:rsidR="00057331" w:rsidRPr="005F4560" w:rsidRDefault="005C2002" w:rsidP="00B220C9">
      <w:pPr>
        <w:ind w:left="284"/>
        <w:jc w:val="both"/>
        <w:rPr>
          <w:rFonts w:cstheme="minorHAnsi"/>
          <w:szCs w:val="20"/>
        </w:rPr>
      </w:pPr>
      <w:r w:rsidRPr="005F4560">
        <w:rPr>
          <w:rFonts w:cstheme="minorHAnsi"/>
          <w:szCs w:val="20"/>
        </w:rPr>
        <w:t xml:space="preserve">By way of providing context to the anticipated uptake of </w:t>
      </w:r>
      <w:r w:rsidR="00A823D3" w:rsidRPr="005F4560">
        <w:rPr>
          <w:rFonts w:cstheme="minorHAnsi"/>
          <w:szCs w:val="20"/>
        </w:rPr>
        <w:t xml:space="preserve">the </w:t>
      </w:r>
      <w:r w:rsidR="00702689" w:rsidRPr="005F4560">
        <w:rPr>
          <w:rFonts w:cstheme="minorHAnsi"/>
          <w:szCs w:val="20"/>
        </w:rPr>
        <w:t>IGB</w:t>
      </w:r>
      <w:r w:rsidRPr="005F4560">
        <w:rPr>
          <w:rFonts w:cstheme="minorHAnsi"/>
          <w:szCs w:val="20"/>
        </w:rPr>
        <w:t xml:space="preserve"> technology, it is noted that currently around 1</w:t>
      </w:r>
      <w:r w:rsidR="00057331" w:rsidRPr="005F4560">
        <w:rPr>
          <w:rFonts w:cstheme="minorHAnsi"/>
          <w:szCs w:val="20"/>
        </w:rPr>
        <w:t>,</w:t>
      </w:r>
      <w:r w:rsidRPr="005F4560">
        <w:rPr>
          <w:rFonts w:cstheme="minorHAnsi"/>
          <w:szCs w:val="20"/>
        </w:rPr>
        <w:t xml:space="preserve">000 </w:t>
      </w:r>
      <w:r w:rsidR="00FC1E23" w:rsidRPr="005F4560">
        <w:rPr>
          <w:rFonts w:cstheme="minorHAnsi"/>
          <w:szCs w:val="20"/>
        </w:rPr>
        <w:t>IGB</w:t>
      </w:r>
      <w:r w:rsidRPr="005F4560">
        <w:rPr>
          <w:rFonts w:cstheme="minorHAnsi"/>
          <w:szCs w:val="20"/>
        </w:rPr>
        <w:t xml:space="preserve"> </w:t>
      </w:r>
      <w:r w:rsidR="0099598B" w:rsidRPr="005F4560">
        <w:rPr>
          <w:rFonts w:cstheme="minorHAnsi"/>
          <w:szCs w:val="20"/>
        </w:rPr>
        <w:t>procedures</w:t>
      </w:r>
      <w:r w:rsidRPr="005F4560">
        <w:rPr>
          <w:rFonts w:cstheme="minorHAnsi"/>
          <w:szCs w:val="20"/>
        </w:rPr>
        <w:t xml:space="preserve"> are performed annually in Australia.  With the proposed MBS funding, the cost to patients would decrease (at least for those meeting the eligibility criteria</w:t>
      </w:r>
      <w:r w:rsidR="00894C85" w:rsidRPr="005F4560">
        <w:rPr>
          <w:rFonts w:cstheme="minorHAnsi"/>
          <w:szCs w:val="20"/>
        </w:rPr>
        <w:t xml:space="preserve">).  </w:t>
      </w:r>
      <w:r w:rsidR="00702C58" w:rsidRPr="005F4560">
        <w:rPr>
          <w:rFonts w:cstheme="minorHAnsi"/>
          <w:szCs w:val="20"/>
        </w:rPr>
        <w:t>Conservatively</w:t>
      </w:r>
      <w:r w:rsidR="00894C85" w:rsidRPr="005F4560">
        <w:rPr>
          <w:rFonts w:cstheme="minorHAnsi"/>
          <w:szCs w:val="20"/>
        </w:rPr>
        <w:t>, a</w:t>
      </w:r>
      <w:r w:rsidR="00FD0376" w:rsidRPr="005F4560">
        <w:rPr>
          <w:rFonts w:cstheme="minorHAnsi"/>
          <w:szCs w:val="20"/>
        </w:rPr>
        <w:t xml:space="preserve"> substantive increase </w:t>
      </w:r>
      <w:r w:rsidR="00894C85" w:rsidRPr="005F4560">
        <w:rPr>
          <w:rFonts w:cstheme="minorHAnsi"/>
          <w:szCs w:val="20"/>
        </w:rPr>
        <w:t xml:space="preserve">of the current </w:t>
      </w:r>
      <w:r w:rsidR="006155BD" w:rsidRPr="005F4560">
        <w:rPr>
          <w:rFonts w:cstheme="minorHAnsi"/>
          <w:szCs w:val="20"/>
        </w:rPr>
        <w:t>procedure</w:t>
      </w:r>
      <w:r w:rsidR="00894C85" w:rsidRPr="005F4560">
        <w:rPr>
          <w:rFonts w:cstheme="minorHAnsi"/>
          <w:szCs w:val="20"/>
        </w:rPr>
        <w:t xml:space="preserve"> rate in the first</w:t>
      </w:r>
      <w:r w:rsidR="00057331" w:rsidRPr="005F4560">
        <w:rPr>
          <w:rFonts w:cstheme="minorHAnsi"/>
          <w:szCs w:val="20"/>
        </w:rPr>
        <w:t xml:space="preserve"> year to 2,447; and</w:t>
      </w:r>
      <w:r w:rsidR="00894C85" w:rsidRPr="005F4560">
        <w:rPr>
          <w:rFonts w:cstheme="minorHAnsi"/>
          <w:szCs w:val="20"/>
        </w:rPr>
        <w:t xml:space="preserve"> </w:t>
      </w:r>
      <w:r w:rsidR="00702689" w:rsidRPr="005F4560">
        <w:rPr>
          <w:rFonts w:cstheme="minorHAnsi"/>
          <w:szCs w:val="20"/>
        </w:rPr>
        <w:t>assuming a 20% increase per annum would be 2</w:t>
      </w:r>
      <w:r w:rsidR="00894C85" w:rsidRPr="005F4560">
        <w:rPr>
          <w:rFonts w:cstheme="minorHAnsi"/>
          <w:szCs w:val="20"/>
        </w:rPr>
        <w:t>,</w:t>
      </w:r>
      <w:r w:rsidR="00702689" w:rsidRPr="005F4560">
        <w:rPr>
          <w:rFonts w:cstheme="minorHAnsi"/>
          <w:szCs w:val="20"/>
        </w:rPr>
        <w:t>997</w:t>
      </w:r>
      <w:r w:rsidR="00894C85" w:rsidRPr="005F4560">
        <w:rPr>
          <w:rFonts w:cstheme="minorHAnsi"/>
          <w:szCs w:val="20"/>
        </w:rPr>
        <w:t xml:space="preserve"> and </w:t>
      </w:r>
      <w:r w:rsidR="00702689" w:rsidRPr="005F4560">
        <w:rPr>
          <w:rFonts w:cstheme="minorHAnsi"/>
          <w:szCs w:val="20"/>
        </w:rPr>
        <w:t>3</w:t>
      </w:r>
      <w:r w:rsidR="00894C85" w:rsidRPr="005F4560">
        <w:rPr>
          <w:rFonts w:cstheme="minorHAnsi"/>
          <w:szCs w:val="20"/>
        </w:rPr>
        <w:t>,</w:t>
      </w:r>
      <w:r w:rsidR="00702689" w:rsidRPr="005F4560">
        <w:rPr>
          <w:rFonts w:cstheme="minorHAnsi"/>
          <w:szCs w:val="20"/>
        </w:rPr>
        <w:t>745</w:t>
      </w:r>
      <w:r w:rsidR="00894C85" w:rsidRPr="005F4560">
        <w:rPr>
          <w:rFonts w:cstheme="minorHAnsi"/>
          <w:szCs w:val="20"/>
        </w:rPr>
        <w:t xml:space="preserve"> in the years thereafter is likely to represent the anticipated </w:t>
      </w:r>
      <w:r w:rsidR="00057331" w:rsidRPr="005F4560">
        <w:rPr>
          <w:rFonts w:cstheme="minorHAnsi"/>
          <w:szCs w:val="20"/>
        </w:rPr>
        <w:t>lower estimated demand with the upper estimated demand range of 4,093 in the first year; 5,01</w:t>
      </w:r>
      <w:r w:rsidR="00702689" w:rsidRPr="005F4560">
        <w:rPr>
          <w:rFonts w:cstheme="minorHAnsi"/>
          <w:szCs w:val="20"/>
        </w:rPr>
        <w:t>2</w:t>
      </w:r>
      <w:r w:rsidR="00057331" w:rsidRPr="005F4560">
        <w:rPr>
          <w:rFonts w:cstheme="minorHAnsi"/>
          <w:szCs w:val="20"/>
        </w:rPr>
        <w:t xml:space="preserve"> and 6,</w:t>
      </w:r>
      <w:r w:rsidR="00702689" w:rsidRPr="005F4560">
        <w:rPr>
          <w:rFonts w:cstheme="minorHAnsi"/>
          <w:szCs w:val="20"/>
        </w:rPr>
        <w:t>014</w:t>
      </w:r>
      <w:r w:rsidR="00057331" w:rsidRPr="005F4560">
        <w:rPr>
          <w:rFonts w:cstheme="minorHAnsi"/>
          <w:szCs w:val="20"/>
        </w:rPr>
        <w:t xml:space="preserve"> in subsequent years</w:t>
      </w:r>
      <w:r w:rsidR="00E324AF" w:rsidRPr="005F4560">
        <w:rPr>
          <w:rFonts w:cstheme="minorHAnsi"/>
          <w:szCs w:val="20"/>
        </w:rPr>
        <w:t xml:space="preserve"> (assuming comparable growth rates)</w:t>
      </w:r>
      <w:r w:rsidR="00057331" w:rsidRPr="005F4560">
        <w:rPr>
          <w:rFonts w:cstheme="minorHAnsi"/>
          <w:szCs w:val="20"/>
        </w:rPr>
        <w:t xml:space="preserve">.  </w:t>
      </w:r>
    </w:p>
    <w:p w14:paraId="2F452BFC" w14:textId="1984F701" w:rsidR="005C2002" w:rsidRPr="005F4560" w:rsidRDefault="00894C85" w:rsidP="00B220C9">
      <w:pPr>
        <w:ind w:left="284"/>
        <w:jc w:val="both"/>
        <w:rPr>
          <w:rFonts w:cstheme="minorHAnsi"/>
          <w:szCs w:val="20"/>
        </w:rPr>
      </w:pPr>
      <w:r w:rsidRPr="005F4560">
        <w:rPr>
          <w:rFonts w:cstheme="minorHAnsi"/>
          <w:szCs w:val="20"/>
        </w:rPr>
        <w:t xml:space="preserve">From a supply perspective, the manufacturer of </w:t>
      </w:r>
      <w:proofErr w:type="spellStart"/>
      <w:r w:rsidR="00DC685F">
        <w:rPr>
          <w:rFonts w:cstheme="minorHAnsi"/>
          <w:szCs w:val="20"/>
        </w:rPr>
        <w:t>Orbera</w:t>
      </w:r>
      <w:proofErr w:type="spellEnd"/>
      <w:r w:rsidR="00DC685F">
        <w:rPr>
          <w:rFonts w:cstheme="minorHAnsi"/>
          <w:szCs w:val="20"/>
        </w:rPr>
        <w:t>™</w:t>
      </w:r>
      <w:r w:rsidRPr="005F4560">
        <w:rPr>
          <w:rFonts w:cstheme="minorHAnsi"/>
          <w:szCs w:val="20"/>
        </w:rPr>
        <w:t xml:space="preserve"> is able to provide sufficient </w:t>
      </w:r>
      <w:r w:rsidR="00ED6E47" w:rsidRPr="005F4560">
        <w:rPr>
          <w:rFonts w:cstheme="minorHAnsi"/>
          <w:szCs w:val="20"/>
        </w:rPr>
        <w:t xml:space="preserve">quantities and the required surgical training can be provided to an adequate number of surgeons to perform the </w:t>
      </w:r>
      <w:r w:rsidR="006155BD" w:rsidRPr="005F4560">
        <w:rPr>
          <w:rFonts w:cstheme="minorHAnsi"/>
          <w:szCs w:val="20"/>
        </w:rPr>
        <w:t>IGB</w:t>
      </w:r>
      <w:r w:rsidR="00ED6E47" w:rsidRPr="005F4560">
        <w:rPr>
          <w:rFonts w:cstheme="minorHAnsi"/>
          <w:szCs w:val="20"/>
        </w:rPr>
        <w:t xml:space="preserve"> insertion to meet such a level of </w:t>
      </w:r>
      <w:r w:rsidR="00AB6CAB" w:rsidRPr="005F4560">
        <w:rPr>
          <w:rFonts w:cstheme="minorHAnsi"/>
          <w:szCs w:val="20"/>
        </w:rPr>
        <w:t xml:space="preserve">expected </w:t>
      </w:r>
      <w:r w:rsidR="00ED6E47" w:rsidRPr="005F4560">
        <w:rPr>
          <w:rFonts w:cstheme="minorHAnsi"/>
          <w:szCs w:val="20"/>
        </w:rPr>
        <w:t>demand.  With an estimated 2</w:t>
      </w:r>
      <w:r w:rsidR="00A21437" w:rsidRPr="005F4560">
        <w:rPr>
          <w:rFonts w:cstheme="minorHAnsi"/>
          <w:szCs w:val="20"/>
        </w:rPr>
        <w:t>5</w:t>
      </w:r>
      <w:r w:rsidR="00ED6E47" w:rsidRPr="005F4560">
        <w:rPr>
          <w:rFonts w:cstheme="minorHAnsi"/>
          <w:szCs w:val="20"/>
        </w:rPr>
        <w:t xml:space="preserve"> </w:t>
      </w:r>
      <w:r w:rsidR="00FC1E23" w:rsidRPr="005F4560">
        <w:rPr>
          <w:rFonts w:cstheme="minorHAnsi"/>
          <w:szCs w:val="20"/>
        </w:rPr>
        <w:t>physicians currently perform</w:t>
      </w:r>
      <w:r w:rsidR="00A21437" w:rsidRPr="005F4560">
        <w:rPr>
          <w:rFonts w:cstheme="minorHAnsi"/>
          <w:szCs w:val="20"/>
        </w:rPr>
        <w:t>ing</w:t>
      </w:r>
      <w:r w:rsidR="00FC1E23" w:rsidRPr="005F4560">
        <w:rPr>
          <w:rFonts w:cstheme="minorHAnsi"/>
          <w:szCs w:val="20"/>
        </w:rPr>
        <w:t xml:space="preserve"> </w:t>
      </w:r>
      <w:r w:rsidR="0099598B" w:rsidRPr="005F4560">
        <w:rPr>
          <w:rFonts w:cstheme="minorHAnsi"/>
          <w:szCs w:val="20"/>
        </w:rPr>
        <w:t>the IGB</w:t>
      </w:r>
      <w:r w:rsidR="00FC1E23" w:rsidRPr="005F4560">
        <w:rPr>
          <w:rFonts w:cstheme="minorHAnsi"/>
          <w:szCs w:val="20"/>
        </w:rPr>
        <w:t xml:space="preserve"> p</w:t>
      </w:r>
      <w:r w:rsidR="00ED6E47" w:rsidRPr="005F4560">
        <w:rPr>
          <w:rFonts w:cstheme="minorHAnsi"/>
          <w:szCs w:val="20"/>
        </w:rPr>
        <w:t>rocedure</w:t>
      </w:r>
      <w:r w:rsidR="00FC1E23" w:rsidRPr="005F4560">
        <w:rPr>
          <w:rFonts w:cstheme="minorHAnsi"/>
          <w:szCs w:val="20"/>
        </w:rPr>
        <w:t>s</w:t>
      </w:r>
      <w:r w:rsidR="00ED6E47" w:rsidRPr="005F4560">
        <w:rPr>
          <w:rFonts w:cstheme="minorHAnsi"/>
          <w:szCs w:val="20"/>
        </w:rPr>
        <w:t xml:space="preserve"> across Australia</w:t>
      </w:r>
      <w:r w:rsidR="0099598B" w:rsidRPr="005F4560">
        <w:rPr>
          <w:rFonts w:cstheme="minorHAnsi"/>
          <w:szCs w:val="20"/>
        </w:rPr>
        <w:t xml:space="preserve"> (of which it is estimated that </w:t>
      </w:r>
      <w:r w:rsidR="008849F6" w:rsidRPr="005F4560">
        <w:rPr>
          <w:rFonts w:cstheme="minorHAnsi"/>
          <w:szCs w:val="20"/>
        </w:rPr>
        <w:t>5</w:t>
      </w:r>
      <w:r w:rsidR="0099598B" w:rsidRPr="005F4560">
        <w:rPr>
          <w:rFonts w:cstheme="minorHAnsi"/>
          <w:szCs w:val="20"/>
        </w:rPr>
        <w:t>0% of</w:t>
      </w:r>
      <w:r w:rsidR="00681E28" w:rsidRPr="005F4560">
        <w:rPr>
          <w:rFonts w:cstheme="minorHAnsi"/>
          <w:szCs w:val="20"/>
        </w:rPr>
        <w:t xml:space="preserve"> IGBs placed would be the</w:t>
      </w:r>
      <w:r w:rsidR="0099598B" w:rsidRPr="005F4560">
        <w:rPr>
          <w:rFonts w:cstheme="minorHAnsi"/>
          <w:szCs w:val="20"/>
        </w:rPr>
        <w:t xml:space="preserve"> </w:t>
      </w:r>
      <w:proofErr w:type="spellStart"/>
      <w:r w:rsidR="00DC685F">
        <w:rPr>
          <w:rFonts w:cstheme="minorHAnsi"/>
          <w:szCs w:val="20"/>
        </w:rPr>
        <w:t>Orbera</w:t>
      </w:r>
      <w:proofErr w:type="spellEnd"/>
      <w:r w:rsidR="00DC685F">
        <w:rPr>
          <w:rFonts w:cstheme="minorHAnsi"/>
          <w:szCs w:val="20"/>
        </w:rPr>
        <w:t>™</w:t>
      </w:r>
      <w:r w:rsidR="00681E28" w:rsidRPr="005F4560">
        <w:rPr>
          <w:rFonts w:cstheme="minorHAnsi"/>
          <w:szCs w:val="20"/>
        </w:rPr>
        <w:t xml:space="preserve"> system)</w:t>
      </w:r>
      <w:r w:rsidR="0099598B" w:rsidRPr="005F4560">
        <w:rPr>
          <w:rFonts w:cstheme="minorHAnsi"/>
          <w:szCs w:val="20"/>
        </w:rPr>
        <w:t xml:space="preserve">, </w:t>
      </w:r>
      <w:r w:rsidR="00ED6E47" w:rsidRPr="005F4560">
        <w:rPr>
          <w:rFonts w:cstheme="minorHAnsi"/>
          <w:szCs w:val="20"/>
        </w:rPr>
        <w:t xml:space="preserve">the year 3 estimate of </w:t>
      </w:r>
      <w:r w:rsidR="0099598B" w:rsidRPr="005F4560">
        <w:rPr>
          <w:rFonts w:cstheme="minorHAnsi"/>
          <w:szCs w:val="20"/>
        </w:rPr>
        <w:t>3,745 procedures</w:t>
      </w:r>
      <w:r w:rsidR="00ED6E47" w:rsidRPr="005F4560">
        <w:rPr>
          <w:rFonts w:cstheme="minorHAnsi"/>
          <w:szCs w:val="20"/>
        </w:rPr>
        <w:t xml:space="preserve"> amounts to</w:t>
      </w:r>
      <w:r w:rsidR="005C2002" w:rsidRPr="005F4560">
        <w:rPr>
          <w:rFonts w:cstheme="minorHAnsi"/>
          <w:szCs w:val="20"/>
        </w:rPr>
        <w:t xml:space="preserve"> </w:t>
      </w:r>
      <w:r w:rsidR="0099598B" w:rsidRPr="005F4560">
        <w:rPr>
          <w:rFonts w:cstheme="minorHAnsi"/>
          <w:szCs w:val="20"/>
        </w:rPr>
        <w:t>150</w:t>
      </w:r>
      <w:r w:rsidR="00702C58" w:rsidRPr="005F4560">
        <w:rPr>
          <w:rFonts w:cstheme="minorHAnsi"/>
          <w:szCs w:val="20"/>
        </w:rPr>
        <w:t xml:space="preserve"> insertions annually per surgeon (with a further </w:t>
      </w:r>
      <w:r w:rsidR="0099598B" w:rsidRPr="005F4560">
        <w:rPr>
          <w:rFonts w:cstheme="minorHAnsi"/>
          <w:szCs w:val="20"/>
        </w:rPr>
        <w:t>150</w:t>
      </w:r>
      <w:r w:rsidR="00702C58" w:rsidRPr="005F4560">
        <w:rPr>
          <w:rFonts w:cstheme="minorHAnsi"/>
          <w:szCs w:val="20"/>
        </w:rPr>
        <w:t xml:space="preserve"> removals).  This represents only one such insertion and removal per operating day </w:t>
      </w:r>
      <w:r w:rsidR="00AB6CAB" w:rsidRPr="005F4560">
        <w:rPr>
          <w:rFonts w:cstheme="minorHAnsi"/>
          <w:szCs w:val="20"/>
        </w:rPr>
        <w:t xml:space="preserve">per surgeon </w:t>
      </w:r>
      <w:r w:rsidR="00702C58" w:rsidRPr="005F4560">
        <w:rPr>
          <w:rFonts w:cstheme="minorHAnsi"/>
          <w:szCs w:val="20"/>
        </w:rPr>
        <w:t>and therefore</w:t>
      </w:r>
      <w:r w:rsidR="0099598B" w:rsidRPr="005F4560">
        <w:rPr>
          <w:rFonts w:cstheme="minorHAnsi"/>
          <w:szCs w:val="20"/>
        </w:rPr>
        <w:t>,</w:t>
      </w:r>
      <w:r w:rsidR="00702C58" w:rsidRPr="005F4560">
        <w:rPr>
          <w:rFonts w:cstheme="minorHAnsi"/>
          <w:szCs w:val="20"/>
        </w:rPr>
        <w:t xml:space="preserve"> the procedure is not expected to be supply constrained.</w:t>
      </w:r>
    </w:p>
    <w:p w14:paraId="446EFBA6" w14:textId="461EF10C" w:rsidR="005C2002" w:rsidRPr="005F4560" w:rsidRDefault="00AB6CAB" w:rsidP="00A21437">
      <w:pPr>
        <w:ind w:left="284"/>
        <w:jc w:val="both"/>
        <w:rPr>
          <w:rFonts w:cstheme="minorHAnsi"/>
          <w:szCs w:val="20"/>
        </w:rPr>
      </w:pPr>
      <w:r w:rsidRPr="005F4560">
        <w:rPr>
          <w:rFonts w:cstheme="minorHAnsi"/>
          <w:szCs w:val="20"/>
        </w:rPr>
        <w:t xml:space="preserve">In terms of leakage, there is potential for </w:t>
      </w:r>
      <w:r w:rsidR="0099598B" w:rsidRPr="005F4560">
        <w:rPr>
          <w:rFonts w:cstheme="minorHAnsi"/>
          <w:szCs w:val="20"/>
        </w:rPr>
        <w:t>IGBs</w:t>
      </w:r>
      <w:r w:rsidRPr="005F4560">
        <w:rPr>
          <w:rFonts w:cstheme="minorHAnsi"/>
          <w:szCs w:val="20"/>
        </w:rPr>
        <w:t xml:space="preserve"> to be used outside of the proposed population</w:t>
      </w:r>
      <w:r w:rsidR="00045815" w:rsidRPr="005F4560">
        <w:rPr>
          <w:rFonts w:cstheme="minorHAnsi"/>
          <w:szCs w:val="20"/>
        </w:rPr>
        <w:t>,</w:t>
      </w:r>
      <w:r w:rsidRPr="005F4560">
        <w:rPr>
          <w:rFonts w:cstheme="minorHAnsi"/>
          <w:szCs w:val="20"/>
        </w:rPr>
        <w:t xml:space="preserve"> but this risk is no more so than with gastric surgery or other similar procedures.  It is anticipated that </w:t>
      </w:r>
      <w:r w:rsidR="009B3BC2" w:rsidRPr="005F4560">
        <w:rPr>
          <w:rFonts w:cstheme="minorHAnsi"/>
          <w:szCs w:val="20"/>
        </w:rPr>
        <w:t>IGBs</w:t>
      </w:r>
      <w:r w:rsidRPr="005F4560">
        <w:rPr>
          <w:rFonts w:cstheme="minorHAnsi"/>
          <w:szCs w:val="20"/>
        </w:rPr>
        <w:t xml:space="preserve"> will result in a reduction in gastric surgery as the weight loss achieved may be sufficient for a portion of patients to avoid such surgery </w:t>
      </w:r>
      <w:r w:rsidR="00E324AF" w:rsidRPr="005F4560">
        <w:rPr>
          <w:rFonts w:cstheme="minorHAnsi"/>
          <w:szCs w:val="20"/>
        </w:rPr>
        <w:t xml:space="preserve">later in life </w:t>
      </w:r>
      <w:r w:rsidRPr="005F4560">
        <w:rPr>
          <w:rFonts w:cstheme="minorHAnsi"/>
          <w:szCs w:val="20"/>
        </w:rPr>
        <w:t>and to achieve permanent weight reduction through lifestyle modification.</w:t>
      </w:r>
      <w:r w:rsidR="009B3BC2" w:rsidRPr="005F4560">
        <w:rPr>
          <w:rFonts w:cstheme="minorHAnsi"/>
          <w:szCs w:val="20"/>
        </w:rPr>
        <w:t xml:space="preserve">  This </w:t>
      </w:r>
      <w:r w:rsidR="0075357C" w:rsidRPr="005F4560">
        <w:rPr>
          <w:rFonts w:cstheme="minorHAnsi"/>
          <w:szCs w:val="20"/>
        </w:rPr>
        <w:t xml:space="preserve">potentially </w:t>
      </w:r>
      <w:r w:rsidR="00EC4412" w:rsidRPr="005F4560">
        <w:rPr>
          <w:rFonts w:cstheme="minorHAnsi"/>
          <w:szCs w:val="20"/>
        </w:rPr>
        <w:t>translates into a</w:t>
      </w:r>
      <w:r w:rsidR="009B3BC2" w:rsidRPr="005F4560">
        <w:rPr>
          <w:rFonts w:cstheme="minorHAnsi"/>
          <w:szCs w:val="20"/>
        </w:rPr>
        <w:t xml:space="preserve"> saving to the Medicare budget.</w:t>
      </w:r>
    </w:p>
    <w:p w14:paraId="1B511290" w14:textId="77777777" w:rsidR="003433D1" w:rsidRPr="005F4560" w:rsidRDefault="003433D1">
      <w:pPr>
        <w:rPr>
          <w:b/>
          <w:sz w:val="32"/>
          <w:szCs w:val="32"/>
        </w:rPr>
      </w:pPr>
      <w:r w:rsidRPr="005F4560">
        <w:rPr>
          <w:b/>
          <w:sz w:val="32"/>
          <w:szCs w:val="32"/>
        </w:rPr>
        <w:br w:type="page"/>
      </w:r>
    </w:p>
    <w:p w14:paraId="1041DA1C" w14:textId="77777777" w:rsidR="00951933" w:rsidRPr="005F4560" w:rsidRDefault="001B5169" w:rsidP="00AE1188">
      <w:pPr>
        <w:pStyle w:val="Heading1"/>
        <w:rPr>
          <w:color w:val="auto"/>
        </w:rPr>
      </w:pPr>
      <w:r w:rsidRPr="005F4560">
        <w:rPr>
          <w:color w:val="auto"/>
        </w:rPr>
        <w:lastRenderedPageBreak/>
        <w:t>PART 8</w:t>
      </w:r>
      <w:r w:rsidR="00F93784" w:rsidRPr="005F4560">
        <w:rPr>
          <w:color w:val="auto"/>
        </w:rPr>
        <w:t xml:space="preserve"> – </w:t>
      </w:r>
      <w:r w:rsidR="005A58BA" w:rsidRPr="005F4560">
        <w:rPr>
          <w:color w:val="auto"/>
        </w:rPr>
        <w:t>COST</w:t>
      </w:r>
      <w:r w:rsidR="00951933" w:rsidRPr="005F4560">
        <w:rPr>
          <w:color w:val="auto"/>
        </w:rPr>
        <w:t xml:space="preserve"> INFORMATION</w:t>
      </w:r>
    </w:p>
    <w:p w14:paraId="495915B3" w14:textId="7B22C17E" w:rsidR="006A649A" w:rsidRPr="005F4560" w:rsidRDefault="006A649A" w:rsidP="001B5169">
      <w:pPr>
        <w:pStyle w:val="Heading2"/>
      </w:pPr>
      <w:r w:rsidRPr="005F4560">
        <w:t>Indicate the likely</w:t>
      </w:r>
      <w:r w:rsidR="005A58BA" w:rsidRPr="005F4560">
        <w:t xml:space="preserve"> </w:t>
      </w:r>
      <w:r w:rsidRPr="005F4560">
        <w:t xml:space="preserve">cost of </w:t>
      </w:r>
      <w:r w:rsidR="005A58BA" w:rsidRPr="005F4560">
        <w:t xml:space="preserve">providing the </w:t>
      </w:r>
      <w:r w:rsidRPr="005F4560">
        <w:t>proposed medical service.</w:t>
      </w:r>
      <w:r w:rsidR="005A5D30" w:rsidRPr="005F4560">
        <w:t xml:space="preserve"> Where possible</w:t>
      </w:r>
      <w:r w:rsidR="00802553" w:rsidRPr="005F4560">
        <w:t>,</w:t>
      </w:r>
      <w:r w:rsidR="005A5D30" w:rsidRPr="005F4560">
        <w:t xml:space="preserve"> please pro</w:t>
      </w:r>
      <w:r w:rsidR="00AE1188" w:rsidRPr="005F4560">
        <w:t>vide overall cost and breakdown:</w:t>
      </w:r>
    </w:p>
    <w:tbl>
      <w:tblPr>
        <w:tblStyle w:val="TableGrid"/>
        <w:tblW w:w="9346" w:type="dxa"/>
        <w:tblInd w:w="5" w:type="dxa"/>
        <w:tblLook w:val="04A0" w:firstRow="1" w:lastRow="0" w:firstColumn="1" w:lastColumn="0" w:noHBand="0" w:noVBand="1"/>
        <w:tblCaption w:val="Likely Cost of Providing Proposed Medical Service"/>
        <w:tblDescription w:val="Likely Cost of Providing Proposed Medical Service - Provides information on other aspects that accompany the proposed medical service"/>
      </w:tblPr>
      <w:tblGrid>
        <w:gridCol w:w="3818"/>
        <w:gridCol w:w="3685"/>
        <w:gridCol w:w="1843"/>
      </w:tblGrid>
      <w:tr w:rsidR="00BB4539" w:rsidRPr="005F4560" w14:paraId="2A9A41A7" w14:textId="77777777" w:rsidTr="00BB4539">
        <w:trPr>
          <w:tblHeader/>
        </w:trPr>
        <w:tc>
          <w:tcPr>
            <w:tcW w:w="3818" w:type="dxa"/>
          </w:tcPr>
          <w:p w14:paraId="6848DF24" w14:textId="77777777" w:rsidR="00BB4539" w:rsidRPr="005F4560" w:rsidRDefault="00BB4539" w:rsidP="00931DBE">
            <w:pPr>
              <w:spacing w:before="40" w:after="40"/>
              <w:jc w:val="center"/>
              <w:rPr>
                <w:rFonts w:cstheme="minorHAnsi"/>
                <w:b/>
                <w:szCs w:val="20"/>
              </w:rPr>
            </w:pPr>
            <w:r w:rsidRPr="005F4560">
              <w:rPr>
                <w:rFonts w:cstheme="minorHAnsi"/>
                <w:b/>
                <w:szCs w:val="20"/>
              </w:rPr>
              <w:t>ITEM</w:t>
            </w:r>
          </w:p>
        </w:tc>
        <w:tc>
          <w:tcPr>
            <w:tcW w:w="3685" w:type="dxa"/>
          </w:tcPr>
          <w:p w14:paraId="4EA55FE3" w14:textId="77777777" w:rsidR="00BB4539" w:rsidRPr="005F4560" w:rsidRDefault="00BB4539" w:rsidP="00931DBE">
            <w:pPr>
              <w:spacing w:before="40" w:after="40"/>
              <w:ind w:left="-1927" w:firstLine="1927"/>
              <w:jc w:val="center"/>
              <w:rPr>
                <w:rFonts w:cstheme="minorHAnsi"/>
                <w:b/>
                <w:szCs w:val="20"/>
              </w:rPr>
            </w:pPr>
            <w:r w:rsidRPr="005F4560">
              <w:rPr>
                <w:rFonts w:cstheme="minorHAnsi"/>
                <w:b/>
                <w:szCs w:val="20"/>
              </w:rPr>
              <w:t>COST</w:t>
            </w:r>
          </w:p>
        </w:tc>
        <w:tc>
          <w:tcPr>
            <w:tcW w:w="1843" w:type="dxa"/>
          </w:tcPr>
          <w:p w14:paraId="395C7250" w14:textId="77777777" w:rsidR="00BB4539" w:rsidRPr="005F4560" w:rsidRDefault="00BB4539" w:rsidP="00931DBE">
            <w:pPr>
              <w:spacing w:before="40" w:after="40"/>
              <w:ind w:left="-1927" w:firstLine="1927"/>
              <w:jc w:val="center"/>
              <w:rPr>
                <w:rFonts w:cstheme="minorHAnsi"/>
                <w:b/>
                <w:szCs w:val="20"/>
              </w:rPr>
            </w:pPr>
            <w:r w:rsidRPr="005F4560">
              <w:rPr>
                <w:rFonts w:cstheme="minorHAnsi"/>
                <w:b/>
                <w:szCs w:val="20"/>
              </w:rPr>
              <w:t>Source Estimate</w:t>
            </w:r>
          </w:p>
        </w:tc>
      </w:tr>
      <w:tr w:rsidR="00327CE4" w:rsidRPr="005F4560" w14:paraId="2FA13662" w14:textId="77777777" w:rsidTr="00327CE4">
        <w:tc>
          <w:tcPr>
            <w:tcW w:w="3818" w:type="dxa"/>
          </w:tcPr>
          <w:p w14:paraId="5CB39FFC" w14:textId="76AA3DB5" w:rsidR="00327CE4" w:rsidRPr="00931DBE" w:rsidRDefault="00931DBE" w:rsidP="00FD0376">
            <w:pPr>
              <w:spacing w:before="40" w:after="40"/>
              <w:rPr>
                <w:rFonts w:cstheme="minorHAnsi"/>
                <w:b/>
                <w:sz w:val="24"/>
                <w:szCs w:val="24"/>
              </w:rPr>
            </w:pPr>
            <w:bookmarkStart w:id="16" w:name="_Hlk488161978"/>
            <w:r w:rsidRPr="00931DBE">
              <w:rPr>
                <w:rFonts w:cstheme="minorHAnsi"/>
                <w:b/>
                <w:sz w:val="24"/>
                <w:szCs w:val="24"/>
              </w:rPr>
              <w:t>Insertion of Device</w:t>
            </w:r>
          </w:p>
        </w:tc>
        <w:tc>
          <w:tcPr>
            <w:tcW w:w="3685" w:type="dxa"/>
          </w:tcPr>
          <w:p w14:paraId="080932B1" w14:textId="1EF3A99E" w:rsidR="00327CE4" w:rsidRPr="005F4560" w:rsidRDefault="000936EC" w:rsidP="00FD0376">
            <w:pPr>
              <w:spacing w:before="40" w:after="40"/>
              <w:jc w:val="center"/>
              <w:rPr>
                <w:rFonts w:cstheme="minorHAnsi"/>
                <w:szCs w:val="20"/>
              </w:rPr>
            </w:pPr>
            <w:r>
              <w:rPr>
                <w:rFonts w:cstheme="minorHAnsi"/>
                <w:szCs w:val="20"/>
              </w:rPr>
              <w:t>-</w:t>
            </w:r>
          </w:p>
        </w:tc>
        <w:tc>
          <w:tcPr>
            <w:tcW w:w="1843" w:type="dxa"/>
          </w:tcPr>
          <w:p w14:paraId="63EA53E4" w14:textId="13DDCDF0" w:rsidR="00327CE4" w:rsidRPr="005F4560" w:rsidRDefault="000936EC" w:rsidP="00FD0376">
            <w:pPr>
              <w:spacing w:before="40" w:after="40"/>
              <w:jc w:val="center"/>
              <w:rPr>
                <w:rFonts w:cstheme="minorHAnsi"/>
                <w:szCs w:val="20"/>
              </w:rPr>
            </w:pPr>
            <w:r>
              <w:rPr>
                <w:rFonts w:cstheme="minorHAnsi"/>
                <w:szCs w:val="20"/>
              </w:rPr>
              <w:t>-</w:t>
            </w:r>
          </w:p>
        </w:tc>
      </w:tr>
      <w:tr w:rsidR="00931DBE" w:rsidRPr="005F4560" w14:paraId="673FA4F6" w14:textId="77777777" w:rsidTr="00327CE4">
        <w:tc>
          <w:tcPr>
            <w:tcW w:w="3818" w:type="dxa"/>
          </w:tcPr>
          <w:p w14:paraId="2033EDDC" w14:textId="1323731C" w:rsidR="00931DBE" w:rsidRPr="005F4560" w:rsidRDefault="00931DBE" w:rsidP="00931DBE">
            <w:pPr>
              <w:spacing w:before="40" w:after="40"/>
              <w:rPr>
                <w:rFonts w:cstheme="minorHAnsi"/>
                <w:b/>
                <w:szCs w:val="20"/>
              </w:rPr>
            </w:pPr>
            <w:r w:rsidRPr="005F4560">
              <w:rPr>
                <w:rFonts w:cstheme="minorHAnsi"/>
                <w:b/>
                <w:szCs w:val="20"/>
              </w:rPr>
              <w:t xml:space="preserve">Device: </w:t>
            </w:r>
            <w:proofErr w:type="spellStart"/>
            <w:r>
              <w:rPr>
                <w:rFonts w:cstheme="minorHAnsi"/>
                <w:b/>
                <w:szCs w:val="20"/>
              </w:rPr>
              <w:t>Orbera</w:t>
            </w:r>
            <w:proofErr w:type="spellEnd"/>
            <w:r>
              <w:rPr>
                <w:rFonts w:cstheme="minorHAnsi"/>
                <w:b/>
                <w:szCs w:val="20"/>
              </w:rPr>
              <w:t>™</w:t>
            </w:r>
          </w:p>
        </w:tc>
        <w:tc>
          <w:tcPr>
            <w:tcW w:w="3685" w:type="dxa"/>
          </w:tcPr>
          <w:p w14:paraId="0338E54C" w14:textId="486ED8E3" w:rsidR="00931DBE" w:rsidRPr="005F4560" w:rsidRDefault="003B4101" w:rsidP="00931DBE">
            <w:pPr>
              <w:spacing w:before="40" w:after="40"/>
              <w:jc w:val="center"/>
              <w:rPr>
                <w:rFonts w:cstheme="minorHAnsi"/>
                <w:szCs w:val="20"/>
              </w:rPr>
            </w:pPr>
            <w:r w:rsidRPr="003B4101">
              <w:rPr>
                <w:rFonts w:cstheme="minorHAnsi"/>
                <w:color w:val="FF0000"/>
                <w:szCs w:val="20"/>
              </w:rPr>
              <w:t>REDACTED</w:t>
            </w:r>
          </w:p>
        </w:tc>
        <w:tc>
          <w:tcPr>
            <w:tcW w:w="1843" w:type="dxa"/>
          </w:tcPr>
          <w:p w14:paraId="38C135F4" w14:textId="4D535758" w:rsidR="00931DBE" w:rsidRPr="005F4560" w:rsidRDefault="003B4101" w:rsidP="00931DBE">
            <w:pPr>
              <w:spacing w:before="40" w:after="40"/>
              <w:jc w:val="center"/>
              <w:rPr>
                <w:rFonts w:cstheme="minorHAnsi"/>
                <w:szCs w:val="20"/>
              </w:rPr>
            </w:pPr>
            <w:r w:rsidRPr="003B4101">
              <w:rPr>
                <w:rFonts w:cstheme="minorHAnsi"/>
                <w:color w:val="FF0000"/>
                <w:szCs w:val="20"/>
              </w:rPr>
              <w:t>REDACTED</w:t>
            </w:r>
          </w:p>
        </w:tc>
      </w:tr>
      <w:tr w:rsidR="00931DBE" w:rsidRPr="005F4560" w14:paraId="62331011" w14:textId="77777777" w:rsidTr="00327CE4">
        <w:tc>
          <w:tcPr>
            <w:tcW w:w="3818" w:type="dxa"/>
          </w:tcPr>
          <w:p w14:paraId="56B01E4C" w14:textId="77777777" w:rsidR="00931DBE" w:rsidRPr="005F4560" w:rsidRDefault="00931DBE" w:rsidP="00931DBE">
            <w:pPr>
              <w:spacing w:before="40" w:after="40"/>
              <w:rPr>
                <w:rFonts w:cstheme="minorHAnsi"/>
                <w:b/>
                <w:szCs w:val="20"/>
              </w:rPr>
            </w:pPr>
            <w:r w:rsidRPr="005F4560">
              <w:rPr>
                <w:rFonts w:cstheme="minorHAnsi"/>
                <w:b/>
                <w:szCs w:val="20"/>
              </w:rPr>
              <w:t>Medical Practitioner service</w:t>
            </w:r>
          </w:p>
        </w:tc>
        <w:tc>
          <w:tcPr>
            <w:tcW w:w="3685" w:type="dxa"/>
          </w:tcPr>
          <w:p w14:paraId="3D873B80" w14:textId="77777777" w:rsidR="00931DBE" w:rsidRPr="005F4560" w:rsidRDefault="00931DBE" w:rsidP="00931DBE">
            <w:pPr>
              <w:spacing w:before="40" w:after="40"/>
              <w:jc w:val="center"/>
              <w:rPr>
                <w:rFonts w:cstheme="minorHAnsi"/>
                <w:szCs w:val="20"/>
              </w:rPr>
            </w:pPr>
          </w:p>
        </w:tc>
        <w:tc>
          <w:tcPr>
            <w:tcW w:w="1843" w:type="dxa"/>
          </w:tcPr>
          <w:p w14:paraId="08027AF0" w14:textId="77777777" w:rsidR="00931DBE" w:rsidRPr="005F4560" w:rsidRDefault="00931DBE" w:rsidP="00931DBE">
            <w:pPr>
              <w:spacing w:before="40" w:after="40"/>
              <w:jc w:val="center"/>
              <w:rPr>
                <w:rFonts w:cstheme="minorHAnsi"/>
                <w:szCs w:val="20"/>
              </w:rPr>
            </w:pPr>
          </w:p>
        </w:tc>
      </w:tr>
      <w:tr w:rsidR="00931DBE" w:rsidRPr="005F4560" w14:paraId="5D214706" w14:textId="77777777" w:rsidTr="00327CE4">
        <w:tc>
          <w:tcPr>
            <w:tcW w:w="3818" w:type="dxa"/>
          </w:tcPr>
          <w:p w14:paraId="7A799207" w14:textId="21D4CB8E" w:rsidR="00931DBE" w:rsidRPr="005F4560" w:rsidRDefault="00931DBE" w:rsidP="00931DBE">
            <w:pPr>
              <w:spacing w:before="40" w:after="40"/>
              <w:rPr>
                <w:rFonts w:cstheme="minorHAnsi"/>
                <w:szCs w:val="20"/>
              </w:rPr>
            </w:pPr>
            <w:r w:rsidRPr="005F4560">
              <w:rPr>
                <w:rFonts w:cstheme="minorHAnsi"/>
                <w:szCs w:val="20"/>
              </w:rPr>
              <w:t>Pre-operative assessment for complex medical problems</w:t>
            </w:r>
          </w:p>
        </w:tc>
        <w:tc>
          <w:tcPr>
            <w:tcW w:w="3685" w:type="dxa"/>
          </w:tcPr>
          <w:p w14:paraId="24E41F70" w14:textId="77777777" w:rsidR="00931DBE" w:rsidRPr="005F4560" w:rsidRDefault="00931DBE" w:rsidP="00931DBE">
            <w:pPr>
              <w:spacing w:before="40" w:after="40"/>
              <w:jc w:val="center"/>
              <w:rPr>
                <w:rFonts w:cstheme="minorHAnsi"/>
                <w:szCs w:val="20"/>
              </w:rPr>
            </w:pPr>
            <w:r w:rsidRPr="005F4560">
              <w:rPr>
                <w:rFonts w:cstheme="minorHAnsi"/>
                <w:szCs w:val="20"/>
              </w:rPr>
              <w:t>$85.55</w:t>
            </w:r>
          </w:p>
        </w:tc>
        <w:tc>
          <w:tcPr>
            <w:tcW w:w="1843" w:type="dxa"/>
          </w:tcPr>
          <w:p w14:paraId="5E96E021" w14:textId="77777777" w:rsidR="00931DBE" w:rsidRPr="005F4560" w:rsidRDefault="00931DBE" w:rsidP="00931DBE">
            <w:pPr>
              <w:spacing w:before="40" w:after="40"/>
              <w:jc w:val="center"/>
              <w:rPr>
                <w:rFonts w:cstheme="minorHAnsi"/>
                <w:szCs w:val="20"/>
              </w:rPr>
            </w:pPr>
            <w:r w:rsidRPr="005F4560">
              <w:rPr>
                <w:rFonts w:cstheme="minorHAnsi"/>
                <w:szCs w:val="20"/>
              </w:rPr>
              <w:t>MBS 17615</w:t>
            </w:r>
            <w:r w:rsidRPr="005F4560">
              <w:rPr>
                <w:rFonts w:cstheme="minorHAnsi"/>
                <w:szCs w:val="20"/>
                <w:vertAlign w:val="superscript"/>
              </w:rPr>
              <w:t>#</w:t>
            </w:r>
          </w:p>
        </w:tc>
      </w:tr>
      <w:tr w:rsidR="00931DBE" w:rsidRPr="005F4560" w14:paraId="564156B4" w14:textId="77777777" w:rsidTr="00327CE4">
        <w:tc>
          <w:tcPr>
            <w:tcW w:w="3818" w:type="dxa"/>
          </w:tcPr>
          <w:p w14:paraId="7BCA9589" w14:textId="23A812E1" w:rsidR="00931DBE" w:rsidRPr="005F4560" w:rsidRDefault="00931DBE" w:rsidP="00931DBE">
            <w:pPr>
              <w:spacing w:before="40" w:after="40"/>
              <w:rPr>
                <w:rFonts w:cstheme="minorHAnsi"/>
                <w:szCs w:val="20"/>
              </w:rPr>
            </w:pPr>
            <w:r w:rsidRPr="005F4560">
              <w:rPr>
                <w:rFonts w:cstheme="minorHAnsi"/>
                <w:szCs w:val="20"/>
              </w:rPr>
              <w:t>Pre-anaesthesia consultation</w:t>
            </w:r>
          </w:p>
        </w:tc>
        <w:tc>
          <w:tcPr>
            <w:tcW w:w="3685" w:type="dxa"/>
          </w:tcPr>
          <w:p w14:paraId="25D7A3F4" w14:textId="6594BCCA" w:rsidR="00931DBE" w:rsidRPr="005F4560" w:rsidRDefault="00931DBE" w:rsidP="00931DBE">
            <w:pPr>
              <w:spacing w:before="40" w:after="40"/>
              <w:jc w:val="center"/>
              <w:rPr>
                <w:rFonts w:cstheme="minorHAnsi"/>
                <w:szCs w:val="20"/>
              </w:rPr>
            </w:pPr>
            <w:r w:rsidRPr="005F4560">
              <w:rPr>
                <w:rFonts w:cstheme="minorHAnsi"/>
                <w:szCs w:val="20"/>
              </w:rPr>
              <w:t>$43.00</w:t>
            </w:r>
          </w:p>
        </w:tc>
        <w:tc>
          <w:tcPr>
            <w:tcW w:w="1843" w:type="dxa"/>
          </w:tcPr>
          <w:p w14:paraId="5CB992CB" w14:textId="7F1D26D6" w:rsidR="00931DBE" w:rsidRPr="005F4560" w:rsidRDefault="00931DBE" w:rsidP="00931DBE">
            <w:pPr>
              <w:spacing w:before="40" w:after="40"/>
              <w:jc w:val="center"/>
              <w:rPr>
                <w:rFonts w:cstheme="minorHAnsi"/>
                <w:szCs w:val="20"/>
              </w:rPr>
            </w:pPr>
            <w:r w:rsidRPr="005F4560">
              <w:rPr>
                <w:rFonts w:cstheme="minorHAnsi"/>
                <w:szCs w:val="20"/>
              </w:rPr>
              <w:t>MBS 17610</w:t>
            </w:r>
            <w:r w:rsidRPr="005F4560">
              <w:rPr>
                <w:rFonts w:cstheme="minorHAnsi"/>
                <w:szCs w:val="20"/>
                <w:vertAlign w:val="superscript"/>
              </w:rPr>
              <w:t>#</w:t>
            </w:r>
          </w:p>
        </w:tc>
      </w:tr>
      <w:tr w:rsidR="00931DBE" w:rsidRPr="005F4560" w14:paraId="385A174F" w14:textId="77777777" w:rsidTr="00327CE4">
        <w:tc>
          <w:tcPr>
            <w:tcW w:w="3818" w:type="dxa"/>
          </w:tcPr>
          <w:p w14:paraId="273FA0A4" w14:textId="6A71E6BE" w:rsidR="00931DBE" w:rsidRPr="005F4560" w:rsidRDefault="00931DBE" w:rsidP="00931DBE">
            <w:pPr>
              <w:spacing w:before="40" w:after="40"/>
              <w:rPr>
                <w:rFonts w:cstheme="minorHAnsi"/>
                <w:szCs w:val="20"/>
              </w:rPr>
            </w:pPr>
            <w:r w:rsidRPr="005F4560">
              <w:rPr>
                <w:rFonts w:cstheme="minorHAnsi"/>
                <w:szCs w:val="20"/>
              </w:rPr>
              <w:t>Initiation of anaesthesia for upper gastrointestinal endoscopic procedures</w:t>
            </w:r>
          </w:p>
        </w:tc>
        <w:tc>
          <w:tcPr>
            <w:tcW w:w="3685" w:type="dxa"/>
          </w:tcPr>
          <w:p w14:paraId="4F027058" w14:textId="77777777" w:rsidR="00931DBE" w:rsidRPr="005F4560" w:rsidRDefault="00931DBE" w:rsidP="00931DBE">
            <w:pPr>
              <w:spacing w:before="40" w:after="40"/>
              <w:jc w:val="center"/>
              <w:rPr>
                <w:rFonts w:cstheme="minorHAnsi"/>
                <w:szCs w:val="20"/>
              </w:rPr>
            </w:pPr>
            <w:r w:rsidRPr="005F4560">
              <w:rPr>
                <w:rFonts w:cstheme="minorHAnsi"/>
                <w:szCs w:val="20"/>
              </w:rPr>
              <w:t>$99.00</w:t>
            </w:r>
          </w:p>
        </w:tc>
        <w:tc>
          <w:tcPr>
            <w:tcW w:w="1843" w:type="dxa"/>
          </w:tcPr>
          <w:p w14:paraId="2B9CC5B9" w14:textId="77777777" w:rsidR="00931DBE" w:rsidRPr="005F4560" w:rsidRDefault="00931DBE" w:rsidP="00931DBE">
            <w:pPr>
              <w:spacing w:before="40" w:after="40"/>
              <w:jc w:val="center"/>
              <w:rPr>
                <w:rFonts w:cstheme="minorHAnsi"/>
                <w:szCs w:val="20"/>
              </w:rPr>
            </w:pPr>
            <w:r w:rsidRPr="005F4560">
              <w:rPr>
                <w:rFonts w:cstheme="minorHAnsi"/>
                <w:szCs w:val="20"/>
              </w:rPr>
              <w:t>MBS 20740</w:t>
            </w:r>
            <w:r w:rsidRPr="005F4560">
              <w:rPr>
                <w:rFonts w:cstheme="minorHAnsi"/>
                <w:szCs w:val="20"/>
                <w:vertAlign w:val="superscript"/>
              </w:rPr>
              <w:t>#</w:t>
            </w:r>
          </w:p>
        </w:tc>
      </w:tr>
      <w:tr w:rsidR="00931DBE" w:rsidRPr="005F4560" w14:paraId="21CE2010" w14:textId="77777777" w:rsidTr="00327CE4">
        <w:tc>
          <w:tcPr>
            <w:tcW w:w="3818" w:type="dxa"/>
          </w:tcPr>
          <w:p w14:paraId="733D0804" w14:textId="473EE347" w:rsidR="00931DBE" w:rsidRPr="005F4560" w:rsidRDefault="00931DBE" w:rsidP="00931DBE">
            <w:pPr>
              <w:spacing w:before="40" w:after="40"/>
              <w:rPr>
                <w:rFonts w:cstheme="minorHAnsi"/>
                <w:szCs w:val="20"/>
              </w:rPr>
            </w:pPr>
            <w:r w:rsidRPr="005F4560">
              <w:rPr>
                <w:rFonts w:cstheme="minorHAnsi"/>
                <w:szCs w:val="20"/>
              </w:rPr>
              <w:t>Anaesthesia 41 to 45 minutes</w:t>
            </w:r>
          </w:p>
        </w:tc>
        <w:tc>
          <w:tcPr>
            <w:tcW w:w="3685" w:type="dxa"/>
          </w:tcPr>
          <w:p w14:paraId="076964E3" w14:textId="6D401F3F" w:rsidR="00931DBE" w:rsidRPr="005F4560" w:rsidRDefault="00931DBE" w:rsidP="00931DBE">
            <w:pPr>
              <w:spacing w:before="40" w:after="40"/>
              <w:jc w:val="center"/>
              <w:rPr>
                <w:rFonts w:cstheme="minorHAnsi"/>
                <w:szCs w:val="20"/>
              </w:rPr>
            </w:pPr>
            <w:r w:rsidRPr="005F4560">
              <w:rPr>
                <w:rFonts w:cstheme="minorHAnsi"/>
                <w:szCs w:val="20"/>
              </w:rPr>
              <w:t>$59.40</w:t>
            </w:r>
          </w:p>
        </w:tc>
        <w:tc>
          <w:tcPr>
            <w:tcW w:w="1843" w:type="dxa"/>
          </w:tcPr>
          <w:p w14:paraId="27206BA3" w14:textId="04F83A7C" w:rsidR="00931DBE" w:rsidRPr="005F4560" w:rsidRDefault="00931DBE" w:rsidP="00931DBE">
            <w:pPr>
              <w:spacing w:before="40" w:after="40"/>
              <w:jc w:val="center"/>
              <w:rPr>
                <w:rFonts w:cstheme="minorHAnsi"/>
                <w:szCs w:val="20"/>
              </w:rPr>
            </w:pPr>
            <w:r w:rsidRPr="005F4560">
              <w:rPr>
                <w:rFonts w:cstheme="minorHAnsi"/>
                <w:szCs w:val="20"/>
              </w:rPr>
              <w:t>MBS 23032</w:t>
            </w:r>
            <w:r w:rsidRPr="005F4560">
              <w:rPr>
                <w:rFonts w:cstheme="minorHAnsi"/>
                <w:szCs w:val="20"/>
                <w:vertAlign w:val="superscript"/>
              </w:rPr>
              <w:t>#</w:t>
            </w:r>
          </w:p>
        </w:tc>
      </w:tr>
      <w:tr w:rsidR="00931DBE" w:rsidRPr="005F4560" w14:paraId="3170947B" w14:textId="77777777" w:rsidTr="00EC2348">
        <w:tc>
          <w:tcPr>
            <w:tcW w:w="3818" w:type="dxa"/>
            <w:shd w:val="clear" w:color="auto" w:fill="D9D9D9" w:themeFill="background1" w:themeFillShade="D9"/>
          </w:tcPr>
          <w:p w14:paraId="7BB0C31A" w14:textId="21674263" w:rsidR="00931DBE" w:rsidRPr="005F4560" w:rsidRDefault="00931DBE" w:rsidP="00931DBE">
            <w:pPr>
              <w:spacing w:before="40" w:after="40"/>
              <w:rPr>
                <w:rFonts w:cstheme="minorHAnsi"/>
                <w:szCs w:val="20"/>
              </w:rPr>
            </w:pPr>
            <w:r w:rsidRPr="005F4560">
              <w:rPr>
                <w:rFonts w:cstheme="minorHAnsi"/>
                <w:szCs w:val="20"/>
              </w:rPr>
              <w:t>Placement of the intra-gastric balloon</w:t>
            </w:r>
          </w:p>
        </w:tc>
        <w:tc>
          <w:tcPr>
            <w:tcW w:w="3685" w:type="dxa"/>
            <w:shd w:val="clear" w:color="auto" w:fill="D9D9D9" w:themeFill="background1" w:themeFillShade="D9"/>
          </w:tcPr>
          <w:p w14:paraId="4739AC9D" w14:textId="751A6BEB" w:rsidR="00931DBE" w:rsidRPr="005F4560" w:rsidRDefault="00931DBE" w:rsidP="00931DBE">
            <w:pPr>
              <w:spacing w:before="40" w:after="40"/>
              <w:jc w:val="center"/>
              <w:rPr>
                <w:rFonts w:cstheme="minorHAnsi"/>
                <w:szCs w:val="20"/>
              </w:rPr>
            </w:pPr>
            <w:r w:rsidRPr="005F4560">
              <w:rPr>
                <w:rFonts w:cstheme="minorHAnsi"/>
                <w:szCs w:val="20"/>
              </w:rPr>
              <w:t>$350</w:t>
            </w:r>
          </w:p>
        </w:tc>
        <w:tc>
          <w:tcPr>
            <w:tcW w:w="1843" w:type="dxa"/>
            <w:shd w:val="clear" w:color="auto" w:fill="D9D9D9" w:themeFill="background1" w:themeFillShade="D9"/>
          </w:tcPr>
          <w:p w14:paraId="0A9FD9BB" w14:textId="77777777" w:rsidR="00931DBE" w:rsidRPr="005F4560" w:rsidRDefault="00931DBE" w:rsidP="00931DBE">
            <w:pPr>
              <w:spacing w:before="40" w:after="40"/>
              <w:jc w:val="center"/>
              <w:rPr>
                <w:rFonts w:cstheme="minorHAnsi"/>
                <w:szCs w:val="20"/>
              </w:rPr>
            </w:pPr>
            <w:r w:rsidRPr="005F4560">
              <w:rPr>
                <w:rFonts w:cstheme="minorHAnsi"/>
                <w:szCs w:val="20"/>
              </w:rPr>
              <w:t>New MBS item</w:t>
            </w:r>
          </w:p>
        </w:tc>
      </w:tr>
      <w:tr w:rsidR="00931DBE" w:rsidRPr="005F4560" w14:paraId="3908F663" w14:textId="77777777" w:rsidTr="00327CE4">
        <w:tc>
          <w:tcPr>
            <w:tcW w:w="3818" w:type="dxa"/>
          </w:tcPr>
          <w:p w14:paraId="46FCF957" w14:textId="0EFFF1B4" w:rsidR="00931DBE" w:rsidRPr="005F4560" w:rsidRDefault="00931DBE" w:rsidP="00931DBE">
            <w:pPr>
              <w:spacing w:before="40" w:after="40"/>
              <w:rPr>
                <w:rFonts w:cstheme="minorHAnsi"/>
                <w:b/>
                <w:szCs w:val="20"/>
              </w:rPr>
            </w:pPr>
            <w:r w:rsidRPr="005F4560">
              <w:rPr>
                <w:rFonts w:cstheme="minorHAnsi"/>
                <w:b/>
                <w:szCs w:val="20"/>
              </w:rPr>
              <w:t>Medical Facility Fees</w:t>
            </w:r>
          </w:p>
        </w:tc>
        <w:tc>
          <w:tcPr>
            <w:tcW w:w="3685" w:type="dxa"/>
          </w:tcPr>
          <w:p w14:paraId="71F66375" w14:textId="71AF217F" w:rsidR="00931DBE" w:rsidRPr="005F4560" w:rsidRDefault="000936EC" w:rsidP="00931DBE">
            <w:pPr>
              <w:spacing w:before="40" w:after="40"/>
              <w:jc w:val="center"/>
              <w:rPr>
                <w:rFonts w:cstheme="minorHAnsi"/>
                <w:szCs w:val="20"/>
              </w:rPr>
            </w:pPr>
            <w:r>
              <w:rPr>
                <w:rFonts w:cstheme="minorHAnsi"/>
                <w:szCs w:val="20"/>
              </w:rPr>
              <w:t>-</w:t>
            </w:r>
          </w:p>
        </w:tc>
        <w:tc>
          <w:tcPr>
            <w:tcW w:w="1843" w:type="dxa"/>
          </w:tcPr>
          <w:p w14:paraId="14526C14" w14:textId="0D17A055" w:rsidR="00931DBE" w:rsidRPr="005F4560" w:rsidRDefault="000936EC" w:rsidP="00931DBE">
            <w:pPr>
              <w:spacing w:before="40" w:after="40"/>
              <w:jc w:val="center"/>
              <w:rPr>
                <w:rFonts w:cstheme="minorHAnsi"/>
                <w:szCs w:val="20"/>
              </w:rPr>
            </w:pPr>
            <w:r>
              <w:rPr>
                <w:rFonts w:cstheme="minorHAnsi"/>
                <w:szCs w:val="20"/>
              </w:rPr>
              <w:t>-</w:t>
            </w:r>
          </w:p>
        </w:tc>
      </w:tr>
      <w:tr w:rsidR="00931DBE" w:rsidRPr="005F4560" w14:paraId="15DCEB2E" w14:textId="77777777" w:rsidTr="00327CE4">
        <w:tc>
          <w:tcPr>
            <w:tcW w:w="3818" w:type="dxa"/>
          </w:tcPr>
          <w:p w14:paraId="27E0F381" w14:textId="77777777" w:rsidR="00931DBE" w:rsidRPr="005F4560" w:rsidRDefault="00931DBE" w:rsidP="00931DBE">
            <w:pPr>
              <w:spacing w:before="40" w:after="40"/>
              <w:rPr>
                <w:rFonts w:cstheme="minorHAnsi"/>
                <w:szCs w:val="20"/>
              </w:rPr>
            </w:pPr>
            <w:r w:rsidRPr="005F4560">
              <w:rPr>
                <w:rFonts w:cstheme="minorHAnsi"/>
                <w:szCs w:val="20"/>
              </w:rPr>
              <w:t>Cost of day hospital facility</w:t>
            </w:r>
          </w:p>
          <w:p w14:paraId="7BEA76E6" w14:textId="77777777" w:rsidR="00931DBE" w:rsidRPr="005F4560" w:rsidRDefault="00931DBE" w:rsidP="00931DBE">
            <w:pPr>
              <w:spacing w:before="40" w:after="40"/>
              <w:rPr>
                <w:rFonts w:cstheme="minorHAnsi"/>
                <w:szCs w:val="20"/>
              </w:rPr>
            </w:pPr>
            <w:r w:rsidRPr="005F4560">
              <w:rPr>
                <w:rFonts w:cstheme="minorHAnsi"/>
                <w:szCs w:val="20"/>
              </w:rPr>
              <w:t>Operating room, special procedure suites and hotel costs</w:t>
            </w:r>
          </w:p>
        </w:tc>
        <w:tc>
          <w:tcPr>
            <w:tcW w:w="3685" w:type="dxa"/>
          </w:tcPr>
          <w:p w14:paraId="6CE049FE" w14:textId="22621E05" w:rsidR="00931DBE" w:rsidRPr="005F4560" w:rsidRDefault="00931DBE" w:rsidP="00931DBE">
            <w:pPr>
              <w:spacing w:before="40" w:after="40"/>
              <w:jc w:val="center"/>
              <w:rPr>
                <w:rFonts w:cstheme="minorHAnsi"/>
                <w:szCs w:val="20"/>
              </w:rPr>
            </w:pPr>
            <w:r w:rsidRPr="005F4560">
              <w:rPr>
                <w:rFonts w:cstheme="minorHAnsi"/>
                <w:szCs w:val="20"/>
              </w:rPr>
              <w:t>$1450- National average</w:t>
            </w:r>
          </w:p>
        </w:tc>
        <w:tc>
          <w:tcPr>
            <w:tcW w:w="1843" w:type="dxa"/>
          </w:tcPr>
          <w:p w14:paraId="73837999" w14:textId="0EAC60C1" w:rsidR="00931DBE" w:rsidRPr="005F4560" w:rsidRDefault="00931DBE" w:rsidP="00931DBE">
            <w:pPr>
              <w:spacing w:before="40" w:after="40"/>
              <w:jc w:val="center"/>
              <w:rPr>
                <w:rFonts w:cstheme="minorHAnsi"/>
                <w:szCs w:val="20"/>
              </w:rPr>
            </w:pPr>
            <w:r w:rsidRPr="005F4560">
              <w:rPr>
                <w:rFonts w:cstheme="minorHAnsi"/>
                <w:szCs w:val="20"/>
              </w:rPr>
              <w:t>DRG G47C:  Gastroscopy, Minor Complexity</w:t>
            </w:r>
            <w:r w:rsidRPr="005F4560" w:rsidDel="00F03181">
              <w:rPr>
                <w:rFonts w:cstheme="minorHAnsi"/>
                <w:szCs w:val="20"/>
              </w:rPr>
              <w:t xml:space="preserve"> </w:t>
            </w:r>
            <w:r w:rsidRPr="005F4560">
              <w:rPr>
                <w:rStyle w:val="FootnoteReference"/>
                <w:rFonts w:cstheme="minorHAnsi"/>
                <w:szCs w:val="20"/>
              </w:rPr>
              <w:footnoteReference w:id="5"/>
            </w:r>
          </w:p>
        </w:tc>
      </w:tr>
      <w:tr w:rsidR="00931DBE" w:rsidRPr="005F4560" w14:paraId="39C786A4" w14:textId="77777777" w:rsidTr="00327CE4">
        <w:tc>
          <w:tcPr>
            <w:tcW w:w="3818" w:type="dxa"/>
          </w:tcPr>
          <w:p w14:paraId="0BFF3221" w14:textId="38E51DCC" w:rsidR="00931DBE" w:rsidRPr="00931DBE" w:rsidRDefault="00931DBE" w:rsidP="00931DBE">
            <w:pPr>
              <w:spacing w:before="40" w:after="40"/>
              <w:rPr>
                <w:rFonts w:cstheme="minorHAnsi"/>
                <w:sz w:val="24"/>
                <w:szCs w:val="24"/>
              </w:rPr>
            </w:pPr>
            <w:r w:rsidRPr="00931DBE">
              <w:rPr>
                <w:rFonts w:cstheme="minorHAnsi"/>
                <w:b/>
                <w:sz w:val="24"/>
                <w:szCs w:val="24"/>
              </w:rPr>
              <w:t>Removal of Device</w:t>
            </w:r>
          </w:p>
        </w:tc>
        <w:tc>
          <w:tcPr>
            <w:tcW w:w="3685" w:type="dxa"/>
          </w:tcPr>
          <w:p w14:paraId="326481D9" w14:textId="6C77F396" w:rsidR="00931DBE" w:rsidRPr="005F4560" w:rsidRDefault="00931DBE" w:rsidP="00931DBE">
            <w:pPr>
              <w:spacing w:before="40" w:after="40"/>
              <w:jc w:val="center"/>
              <w:rPr>
                <w:rFonts w:cstheme="minorHAnsi"/>
                <w:szCs w:val="20"/>
              </w:rPr>
            </w:pPr>
          </w:p>
        </w:tc>
        <w:tc>
          <w:tcPr>
            <w:tcW w:w="1843" w:type="dxa"/>
          </w:tcPr>
          <w:p w14:paraId="54D63BF8" w14:textId="38E60C70" w:rsidR="00931DBE" w:rsidRPr="005F4560" w:rsidRDefault="00931DBE" w:rsidP="00931DBE">
            <w:pPr>
              <w:spacing w:before="40" w:after="40"/>
              <w:jc w:val="center"/>
              <w:rPr>
                <w:rFonts w:cstheme="minorHAnsi"/>
                <w:szCs w:val="20"/>
              </w:rPr>
            </w:pPr>
          </w:p>
        </w:tc>
      </w:tr>
      <w:tr w:rsidR="00931DBE" w:rsidRPr="005F4560" w14:paraId="18C0DBB1" w14:textId="77777777" w:rsidTr="00327CE4">
        <w:tc>
          <w:tcPr>
            <w:tcW w:w="3818" w:type="dxa"/>
          </w:tcPr>
          <w:p w14:paraId="18F8360E" w14:textId="59F739C7" w:rsidR="00931DBE" w:rsidRPr="005F4560" w:rsidRDefault="00014D07" w:rsidP="00014D07">
            <w:pPr>
              <w:spacing w:before="40" w:after="40"/>
              <w:rPr>
                <w:rFonts w:cstheme="minorHAnsi"/>
                <w:b/>
                <w:szCs w:val="20"/>
              </w:rPr>
            </w:pPr>
            <w:r>
              <w:rPr>
                <w:rFonts w:cstheme="minorHAnsi"/>
                <w:b/>
                <w:szCs w:val="20"/>
              </w:rPr>
              <w:t>Extraction Tools</w:t>
            </w:r>
            <w:r w:rsidR="00931DBE" w:rsidRPr="005F4560">
              <w:rPr>
                <w:rFonts w:cstheme="minorHAnsi"/>
                <w:b/>
                <w:szCs w:val="20"/>
              </w:rPr>
              <w:t xml:space="preserve"> </w:t>
            </w:r>
          </w:p>
        </w:tc>
        <w:tc>
          <w:tcPr>
            <w:tcW w:w="3685" w:type="dxa"/>
          </w:tcPr>
          <w:p w14:paraId="053E72F5" w14:textId="766DD8B5" w:rsidR="00931DBE" w:rsidRPr="005F4560" w:rsidRDefault="003B4101" w:rsidP="00931DBE">
            <w:pPr>
              <w:spacing w:before="40" w:after="40"/>
              <w:jc w:val="center"/>
              <w:rPr>
                <w:rFonts w:cstheme="minorHAnsi"/>
                <w:szCs w:val="20"/>
              </w:rPr>
            </w:pPr>
            <w:r w:rsidRPr="003B4101">
              <w:rPr>
                <w:rFonts w:cstheme="minorHAnsi"/>
                <w:color w:val="FF0000"/>
                <w:szCs w:val="20"/>
              </w:rPr>
              <w:t>REDACTED</w:t>
            </w:r>
          </w:p>
        </w:tc>
        <w:tc>
          <w:tcPr>
            <w:tcW w:w="1843" w:type="dxa"/>
          </w:tcPr>
          <w:p w14:paraId="47CCD980" w14:textId="271BA619" w:rsidR="00931DBE" w:rsidRPr="005F4560" w:rsidRDefault="003B4101" w:rsidP="00931DBE">
            <w:pPr>
              <w:spacing w:before="40" w:after="40"/>
              <w:jc w:val="center"/>
              <w:rPr>
                <w:rFonts w:cstheme="minorHAnsi"/>
                <w:szCs w:val="20"/>
              </w:rPr>
            </w:pPr>
            <w:r w:rsidRPr="003B4101">
              <w:rPr>
                <w:rFonts w:cstheme="minorHAnsi"/>
                <w:color w:val="FF0000"/>
                <w:szCs w:val="20"/>
              </w:rPr>
              <w:t>REDACTED</w:t>
            </w:r>
          </w:p>
        </w:tc>
      </w:tr>
      <w:tr w:rsidR="00931DBE" w:rsidRPr="005F4560" w14:paraId="18048EDE" w14:textId="77777777" w:rsidTr="00E244B1">
        <w:tc>
          <w:tcPr>
            <w:tcW w:w="3818" w:type="dxa"/>
          </w:tcPr>
          <w:p w14:paraId="36850A7C" w14:textId="77777777" w:rsidR="00931DBE" w:rsidRPr="005F4560" w:rsidRDefault="00931DBE" w:rsidP="00931DBE">
            <w:pPr>
              <w:spacing w:before="40" w:after="40"/>
              <w:rPr>
                <w:rFonts w:cstheme="minorHAnsi"/>
                <w:szCs w:val="20"/>
              </w:rPr>
            </w:pPr>
            <w:r w:rsidRPr="005F4560">
              <w:rPr>
                <w:rFonts w:cstheme="minorHAnsi"/>
                <w:b/>
                <w:szCs w:val="20"/>
              </w:rPr>
              <w:t>Medical Practitioner service</w:t>
            </w:r>
          </w:p>
        </w:tc>
        <w:tc>
          <w:tcPr>
            <w:tcW w:w="3685" w:type="dxa"/>
          </w:tcPr>
          <w:p w14:paraId="28F006C6" w14:textId="77777777" w:rsidR="00931DBE" w:rsidRPr="005F4560" w:rsidRDefault="00931DBE" w:rsidP="00931DBE">
            <w:pPr>
              <w:spacing w:before="40" w:after="40"/>
              <w:jc w:val="center"/>
              <w:rPr>
                <w:rFonts w:cstheme="minorHAnsi"/>
                <w:szCs w:val="20"/>
              </w:rPr>
            </w:pPr>
          </w:p>
        </w:tc>
        <w:tc>
          <w:tcPr>
            <w:tcW w:w="1843" w:type="dxa"/>
          </w:tcPr>
          <w:p w14:paraId="1B409799" w14:textId="77777777" w:rsidR="00931DBE" w:rsidRPr="005F4560" w:rsidRDefault="00931DBE" w:rsidP="00931DBE">
            <w:pPr>
              <w:spacing w:before="40" w:after="40"/>
              <w:jc w:val="center"/>
              <w:rPr>
                <w:rFonts w:cstheme="minorHAnsi"/>
                <w:szCs w:val="20"/>
              </w:rPr>
            </w:pPr>
          </w:p>
        </w:tc>
      </w:tr>
      <w:tr w:rsidR="00931DBE" w:rsidRPr="005F4560" w14:paraId="0585E4C9" w14:textId="77777777" w:rsidTr="00E244B1">
        <w:tc>
          <w:tcPr>
            <w:tcW w:w="3818" w:type="dxa"/>
          </w:tcPr>
          <w:p w14:paraId="7A2BDA34" w14:textId="559E890D" w:rsidR="00931DBE" w:rsidRPr="005F4560" w:rsidRDefault="00931DBE" w:rsidP="00931DBE">
            <w:pPr>
              <w:spacing w:before="40" w:after="40"/>
              <w:rPr>
                <w:rFonts w:cstheme="minorHAnsi"/>
                <w:szCs w:val="20"/>
              </w:rPr>
            </w:pPr>
            <w:r w:rsidRPr="005F4560">
              <w:rPr>
                <w:rFonts w:cstheme="minorHAnsi"/>
                <w:szCs w:val="20"/>
              </w:rPr>
              <w:t>Pre-operative assessment for complex medical problems</w:t>
            </w:r>
          </w:p>
        </w:tc>
        <w:tc>
          <w:tcPr>
            <w:tcW w:w="3685" w:type="dxa"/>
          </w:tcPr>
          <w:p w14:paraId="7F5F02C9" w14:textId="77777777" w:rsidR="00931DBE" w:rsidRPr="005F4560" w:rsidRDefault="00931DBE" w:rsidP="00931DBE">
            <w:pPr>
              <w:spacing w:before="40" w:after="40"/>
              <w:ind w:right="-108"/>
              <w:jc w:val="center"/>
              <w:rPr>
                <w:rFonts w:cstheme="minorHAnsi"/>
                <w:szCs w:val="20"/>
              </w:rPr>
            </w:pPr>
            <w:r w:rsidRPr="005F4560">
              <w:rPr>
                <w:rFonts w:cstheme="minorHAnsi"/>
                <w:szCs w:val="20"/>
              </w:rPr>
              <w:t>$85.55</w:t>
            </w:r>
          </w:p>
        </w:tc>
        <w:tc>
          <w:tcPr>
            <w:tcW w:w="1843" w:type="dxa"/>
          </w:tcPr>
          <w:p w14:paraId="7AFAE090" w14:textId="77777777" w:rsidR="00931DBE" w:rsidRPr="005F4560" w:rsidRDefault="00931DBE" w:rsidP="00931DBE">
            <w:pPr>
              <w:spacing w:before="40" w:after="40"/>
              <w:ind w:right="-108"/>
              <w:jc w:val="center"/>
              <w:rPr>
                <w:rFonts w:cstheme="minorHAnsi"/>
                <w:szCs w:val="20"/>
              </w:rPr>
            </w:pPr>
            <w:r w:rsidRPr="005F4560">
              <w:rPr>
                <w:rFonts w:cstheme="minorHAnsi"/>
                <w:szCs w:val="20"/>
              </w:rPr>
              <w:t>MBS 17615</w:t>
            </w:r>
            <w:r w:rsidRPr="005F4560">
              <w:rPr>
                <w:rFonts w:cstheme="minorHAnsi"/>
                <w:szCs w:val="20"/>
                <w:vertAlign w:val="superscript"/>
              </w:rPr>
              <w:t>#</w:t>
            </w:r>
          </w:p>
        </w:tc>
      </w:tr>
      <w:tr w:rsidR="00931DBE" w:rsidRPr="005F4560" w14:paraId="3266383A" w14:textId="77777777" w:rsidTr="00327CE4">
        <w:tc>
          <w:tcPr>
            <w:tcW w:w="3818" w:type="dxa"/>
          </w:tcPr>
          <w:p w14:paraId="1E42FF59" w14:textId="189A95CB" w:rsidR="00931DBE" w:rsidRPr="005F4560" w:rsidRDefault="00931DBE" w:rsidP="00931DBE">
            <w:pPr>
              <w:spacing w:before="40" w:after="40"/>
              <w:rPr>
                <w:rFonts w:cstheme="minorHAnsi"/>
                <w:szCs w:val="20"/>
              </w:rPr>
            </w:pPr>
            <w:r w:rsidRPr="005F4560">
              <w:rPr>
                <w:rFonts w:cstheme="minorHAnsi"/>
                <w:szCs w:val="20"/>
              </w:rPr>
              <w:t>Initiation of anaesthesia for upper gastrointestinal endoscopic procedures</w:t>
            </w:r>
          </w:p>
        </w:tc>
        <w:tc>
          <w:tcPr>
            <w:tcW w:w="3685" w:type="dxa"/>
          </w:tcPr>
          <w:p w14:paraId="0B4AC17E" w14:textId="77777777" w:rsidR="00931DBE" w:rsidRPr="005F4560" w:rsidRDefault="00931DBE" w:rsidP="00931DBE">
            <w:pPr>
              <w:spacing w:before="40" w:after="40"/>
              <w:jc w:val="center"/>
              <w:rPr>
                <w:rFonts w:cstheme="minorHAnsi"/>
                <w:szCs w:val="20"/>
              </w:rPr>
            </w:pPr>
            <w:r w:rsidRPr="005F4560">
              <w:rPr>
                <w:rFonts w:cstheme="minorHAnsi"/>
                <w:szCs w:val="20"/>
              </w:rPr>
              <w:t>$99.00</w:t>
            </w:r>
          </w:p>
        </w:tc>
        <w:tc>
          <w:tcPr>
            <w:tcW w:w="1843" w:type="dxa"/>
          </w:tcPr>
          <w:p w14:paraId="4DEDAF2D" w14:textId="77777777" w:rsidR="00931DBE" w:rsidRPr="005F4560" w:rsidRDefault="00931DBE" w:rsidP="00931DBE">
            <w:pPr>
              <w:spacing w:before="40" w:after="40"/>
              <w:jc w:val="center"/>
              <w:rPr>
                <w:rFonts w:cstheme="minorHAnsi"/>
                <w:szCs w:val="20"/>
              </w:rPr>
            </w:pPr>
            <w:r w:rsidRPr="005F4560">
              <w:rPr>
                <w:rFonts w:cstheme="minorHAnsi"/>
                <w:szCs w:val="20"/>
              </w:rPr>
              <w:t>MBS 20740</w:t>
            </w:r>
            <w:r w:rsidRPr="005F4560">
              <w:rPr>
                <w:rFonts w:cstheme="minorHAnsi"/>
                <w:szCs w:val="20"/>
                <w:vertAlign w:val="superscript"/>
              </w:rPr>
              <w:t>#</w:t>
            </w:r>
          </w:p>
        </w:tc>
      </w:tr>
      <w:tr w:rsidR="00931DBE" w:rsidRPr="005F4560" w14:paraId="4DD069E7" w14:textId="77777777" w:rsidTr="00327CE4">
        <w:tc>
          <w:tcPr>
            <w:tcW w:w="3818" w:type="dxa"/>
          </w:tcPr>
          <w:p w14:paraId="1687CB9C" w14:textId="69E06778" w:rsidR="00931DBE" w:rsidRPr="005F4560" w:rsidRDefault="00931DBE" w:rsidP="00931DBE">
            <w:pPr>
              <w:spacing w:before="40" w:after="40"/>
              <w:rPr>
                <w:rFonts w:cstheme="minorHAnsi"/>
                <w:szCs w:val="20"/>
              </w:rPr>
            </w:pPr>
            <w:r w:rsidRPr="005F4560">
              <w:rPr>
                <w:rFonts w:cstheme="minorHAnsi"/>
                <w:szCs w:val="20"/>
              </w:rPr>
              <w:t>Anaesthesia 31 to 35 minutes</w:t>
            </w:r>
          </w:p>
        </w:tc>
        <w:tc>
          <w:tcPr>
            <w:tcW w:w="3685" w:type="dxa"/>
          </w:tcPr>
          <w:p w14:paraId="729ADE89" w14:textId="2AA9F501" w:rsidR="00931DBE" w:rsidRPr="005F4560" w:rsidRDefault="00931DBE" w:rsidP="00931DBE">
            <w:pPr>
              <w:spacing w:before="40" w:after="40"/>
              <w:jc w:val="center"/>
              <w:rPr>
                <w:rFonts w:cstheme="minorHAnsi"/>
                <w:szCs w:val="20"/>
              </w:rPr>
            </w:pPr>
            <w:r w:rsidRPr="005F4560">
              <w:rPr>
                <w:rFonts w:cstheme="minorHAnsi"/>
                <w:szCs w:val="20"/>
              </w:rPr>
              <w:t>$59.40</w:t>
            </w:r>
          </w:p>
        </w:tc>
        <w:tc>
          <w:tcPr>
            <w:tcW w:w="1843" w:type="dxa"/>
          </w:tcPr>
          <w:p w14:paraId="6070433D" w14:textId="2C43AB5C" w:rsidR="00931DBE" w:rsidRPr="005F4560" w:rsidRDefault="00931DBE" w:rsidP="00931DBE">
            <w:pPr>
              <w:spacing w:before="40" w:after="40"/>
              <w:jc w:val="center"/>
              <w:rPr>
                <w:rFonts w:cstheme="minorHAnsi"/>
                <w:szCs w:val="20"/>
              </w:rPr>
            </w:pPr>
            <w:r w:rsidRPr="005F4560">
              <w:rPr>
                <w:rFonts w:cstheme="minorHAnsi"/>
                <w:szCs w:val="20"/>
              </w:rPr>
              <w:t>MBS 23031</w:t>
            </w:r>
            <w:r w:rsidRPr="005F4560">
              <w:rPr>
                <w:rFonts w:cstheme="minorHAnsi"/>
                <w:szCs w:val="20"/>
                <w:vertAlign w:val="superscript"/>
              </w:rPr>
              <w:t>#</w:t>
            </w:r>
            <w:r w:rsidRPr="005F4560">
              <w:rPr>
                <w:rFonts w:cstheme="minorHAnsi"/>
                <w:szCs w:val="20"/>
              </w:rPr>
              <w:t xml:space="preserve"> (potentially 23023)</w:t>
            </w:r>
          </w:p>
        </w:tc>
      </w:tr>
      <w:tr w:rsidR="00931DBE" w:rsidRPr="005F4560" w14:paraId="52E76BA6" w14:textId="77777777" w:rsidTr="00EC2348">
        <w:tc>
          <w:tcPr>
            <w:tcW w:w="3818" w:type="dxa"/>
            <w:shd w:val="clear" w:color="auto" w:fill="D9D9D9" w:themeFill="background1" w:themeFillShade="D9"/>
          </w:tcPr>
          <w:p w14:paraId="4F7BAE97" w14:textId="38474678" w:rsidR="00931DBE" w:rsidRPr="005F4560" w:rsidRDefault="00931DBE" w:rsidP="00931DBE">
            <w:pPr>
              <w:spacing w:before="40" w:after="40"/>
              <w:rPr>
                <w:rFonts w:cstheme="minorHAnsi"/>
                <w:szCs w:val="20"/>
              </w:rPr>
            </w:pPr>
            <w:r w:rsidRPr="005F4560">
              <w:rPr>
                <w:rFonts w:cstheme="minorHAnsi"/>
                <w:szCs w:val="20"/>
              </w:rPr>
              <w:t>Removal of the intra-gastric balloon</w:t>
            </w:r>
          </w:p>
        </w:tc>
        <w:tc>
          <w:tcPr>
            <w:tcW w:w="3685" w:type="dxa"/>
            <w:shd w:val="clear" w:color="auto" w:fill="D9D9D9" w:themeFill="background1" w:themeFillShade="D9"/>
          </w:tcPr>
          <w:p w14:paraId="56E5B15E" w14:textId="4C9825F0" w:rsidR="00931DBE" w:rsidRPr="005F4560" w:rsidRDefault="00931DBE" w:rsidP="00931DBE">
            <w:pPr>
              <w:spacing w:before="40" w:after="40"/>
              <w:jc w:val="center"/>
              <w:rPr>
                <w:rFonts w:cstheme="minorHAnsi"/>
                <w:szCs w:val="20"/>
              </w:rPr>
            </w:pPr>
            <w:r w:rsidRPr="005F4560">
              <w:rPr>
                <w:rFonts w:cstheme="minorHAnsi"/>
                <w:szCs w:val="20"/>
              </w:rPr>
              <w:t>$250</w:t>
            </w:r>
          </w:p>
        </w:tc>
        <w:tc>
          <w:tcPr>
            <w:tcW w:w="1843" w:type="dxa"/>
            <w:shd w:val="clear" w:color="auto" w:fill="D9D9D9" w:themeFill="background1" w:themeFillShade="D9"/>
          </w:tcPr>
          <w:p w14:paraId="44D24D2C" w14:textId="120E4B01" w:rsidR="00931DBE" w:rsidRPr="005F4560" w:rsidRDefault="00931DBE" w:rsidP="00931DBE">
            <w:pPr>
              <w:spacing w:before="40" w:after="40"/>
              <w:jc w:val="center"/>
              <w:rPr>
                <w:rFonts w:cstheme="minorHAnsi"/>
                <w:szCs w:val="20"/>
              </w:rPr>
            </w:pPr>
            <w:r w:rsidRPr="005F4560">
              <w:rPr>
                <w:rFonts w:cstheme="minorHAnsi"/>
                <w:szCs w:val="20"/>
              </w:rPr>
              <w:t>New MBS item</w:t>
            </w:r>
          </w:p>
        </w:tc>
      </w:tr>
      <w:tr w:rsidR="00931DBE" w:rsidRPr="005F4560" w14:paraId="4006AB05" w14:textId="77777777" w:rsidTr="00327CE4">
        <w:tc>
          <w:tcPr>
            <w:tcW w:w="3818" w:type="dxa"/>
          </w:tcPr>
          <w:p w14:paraId="131990E8" w14:textId="77777777" w:rsidR="00931DBE" w:rsidRPr="005F4560" w:rsidRDefault="00931DBE" w:rsidP="00931DBE">
            <w:pPr>
              <w:spacing w:before="40" w:after="40"/>
              <w:rPr>
                <w:rFonts w:cstheme="minorHAnsi"/>
                <w:szCs w:val="20"/>
              </w:rPr>
            </w:pPr>
            <w:r w:rsidRPr="005F4560">
              <w:rPr>
                <w:rFonts w:cstheme="minorHAnsi"/>
                <w:b/>
                <w:szCs w:val="20"/>
              </w:rPr>
              <w:t>Accommodation Fees</w:t>
            </w:r>
          </w:p>
        </w:tc>
        <w:tc>
          <w:tcPr>
            <w:tcW w:w="3685" w:type="dxa"/>
          </w:tcPr>
          <w:p w14:paraId="56D8C057" w14:textId="2233451B" w:rsidR="00931DBE" w:rsidRPr="005F4560" w:rsidRDefault="000936EC" w:rsidP="00931DBE">
            <w:pPr>
              <w:spacing w:before="40" w:after="40"/>
              <w:jc w:val="center"/>
              <w:rPr>
                <w:rFonts w:cstheme="minorHAnsi"/>
                <w:szCs w:val="20"/>
              </w:rPr>
            </w:pPr>
            <w:r>
              <w:rPr>
                <w:rFonts w:cstheme="minorHAnsi"/>
                <w:szCs w:val="20"/>
              </w:rPr>
              <w:t>-</w:t>
            </w:r>
          </w:p>
        </w:tc>
        <w:tc>
          <w:tcPr>
            <w:tcW w:w="1843" w:type="dxa"/>
          </w:tcPr>
          <w:p w14:paraId="54579BF3" w14:textId="6B191B43" w:rsidR="00931DBE" w:rsidRPr="005F4560" w:rsidRDefault="000936EC" w:rsidP="00931DBE">
            <w:pPr>
              <w:spacing w:before="40" w:after="40"/>
              <w:jc w:val="center"/>
              <w:rPr>
                <w:rFonts w:cstheme="minorHAnsi"/>
                <w:szCs w:val="20"/>
              </w:rPr>
            </w:pPr>
            <w:r>
              <w:rPr>
                <w:rFonts w:cstheme="minorHAnsi"/>
                <w:szCs w:val="20"/>
              </w:rPr>
              <w:t>-</w:t>
            </w:r>
          </w:p>
        </w:tc>
      </w:tr>
      <w:tr w:rsidR="00931DBE" w:rsidRPr="005F4560" w14:paraId="4B4D8F15" w14:textId="77777777" w:rsidTr="00327CE4">
        <w:tc>
          <w:tcPr>
            <w:tcW w:w="3818" w:type="dxa"/>
          </w:tcPr>
          <w:p w14:paraId="5ADBAE50" w14:textId="77777777" w:rsidR="00931DBE" w:rsidRPr="005F4560" w:rsidRDefault="00931DBE" w:rsidP="00931DBE">
            <w:pPr>
              <w:spacing w:before="40" w:after="40"/>
              <w:rPr>
                <w:rFonts w:cstheme="minorHAnsi"/>
                <w:szCs w:val="20"/>
              </w:rPr>
            </w:pPr>
            <w:r w:rsidRPr="005F4560">
              <w:rPr>
                <w:rFonts w:cstheme="minorHAnsi"/>
                <w:szCs w:val="20"/>
              </w:rPr>
              <w:t>Cost of day hospital facility</w:t>
            </w:r>
          </w:p>
          <w:p w14:paraId="38BB288D" w14:textId="77777777" w:rsidR="00931DBE" w:rsidRPr="005F4560" w:rsidRDefault="00931DBE" w:rsidP="00931DBE">
            <w:pPr>
              <w:spacing w:before="40" w:after="40"/>
              <w:rPr>
                <w:rFonts w:cstheme="minorHAnsi"/>
                <w:b/>
                <w:szCs w:val="20"/>
              </w:rPr>
            </w:pPr>
            <w:r w:rsidRPr="005F4560">
              <w:rPr>
                <w:rFonts w:cstheme="minorHAnsi"/>
                <w:szCs w:val="20"/>
              </w:rPr>
              <w:t>Operating room, special procedure suites and hotel costs</w:t>
            </w:r>
          </w:p>
        </w:tc>
        <w:tc>
          <w:tcPr>
            <w:tcW w:w="3685" w:type="dxa"/>
          </w:tcPr>
          <w:p w14:paraId="7F0F7BDD" w14:textId="4ED821B5" w:rsidR="00931DBE" w:rsidRPr="005F4560" w:rsidRDefault="00931DBE" w:rsidP="00931DBE">
            <w:pPr>
              <w:spacing w:before="40" w:after="40"/>
              <w:jc w:val="center"/>
              <w:rPr>
                <w:rFonts w:cstheme="minorHAnsi"/>
                <w:szCs w:val="20"/>
              </w:rPr>
            </w:pPr>
            <w:r w:rsidRPr="005F4560">
              <w:rPr>
                <w:rFonts w:cstheme="minorHAnsi"/>
                <w:szCs w:val="20"/>
              </w:rPr>
              <w:t>$1450 - National average</w:t>
            </w:r>
          </w:p>
        </w:tc>
        <w:tc>
          <w:tcPr>
            <w:tcW w:w="1843" w:type="dxa"/>
          </w:tcPr>
          <w:p w14:paraId="100FDAE7" w14:textId="5B8A75A5" w:rsidR="00931DBE" w:rsidRPr="005F4560" w:rsidRDefault="00931DBE" w:rsidP="00931DBE">
            <w:pPr>
              <w:spacing w:before="40" w:after="40"/>
              <w:jc w:val="center"/>
              <w:rPr>
                <w:rFonts w:cstheme="minorHAnsi"/>
                <w:szCs w:val="20"/>
              </w:rPr>
            </w:pPr>
            <w:r w:rsidRPr="005F4560">
              <w:rPr>
                <w:rFonts w:cstheme="minorHAnsi"/>
                <w:szCs w:val="20"/>
              </w:rPr>
              <w:t xml:space="preserve">DRG G47C:  Gastroscopy Minor Complexity </w:t>
            </w:r>
          </w:p>
        </w:tc>
      </w:tr>
    </w:tbl>
    <w:bookmarkEnd w:id="16"/>
    <w:p w14:paraId="00D9F4CF" w14:textId="19A1335D" w:rsidR="006952C9" w:rsidRPr="005F4560" w:rsidRDefault="006952C9" w:rsidP="006952C9">
      <w:r w:rsidRPr="005F4560">
        <w:t xml:space="preserve"># Medicare Benefits Schedule Book </w:t>
      </w:r>
      <w:r w:rsidR="00086065" w:rsidRPr="005F4560">
        <w:t xml:space="preserve">- </w:t>
      </w:r>
      <w:r w:rsidRPr="005F4560">
        <w:t>1</w:t>
      </w:r>
      <w:r w:rsidRPr="005F4560">
        <w:rPr>
          <w:vertAlign w:val="superscript"/>
        </w:rPr>
        <w:t>st</w:t>
      </w:r>
      <w:r w:rsidRPr="005F4560">
        <w:t xml:space="preserve"> </w:t>
      </w:r>
      <w:r w:rsidR="0016466C" w:rsidRPr="005F4560">
        <w:t>Nov 2017</w:t>
      </w:r>
    </w:p>
    <w:p w14:paraId="54D6A52C" w14:textId="4AC639ED" w:rsidR="006952C9" w:rsidRDefault="006952C9" w:rsidP="00C32477">
      <w:r w:rsidRPr="005F4560">
        <w:t>* National Efficient Price Determination 2016-17</w:t>
      </w:r>
    </w:p>
    <w:p w14:paraId="31A92585" w14:textId="77777777" w:rsidR="0068046B" w:rsidRPr="0068046B" w:rsidRDefault="0068046B" w:rsidP="00C32477"/>
    <w:p w14:paraId="3B9CC43E" w14:textId="77777777" w:rsidR="000936EC" w:rsidRDefault="000936EC">
      <w:pPr>
        <w:spacing w:before="0" w:after="200" w:line="276" w:lineRule="auto"/>
        <w:rPr>
          <w:b/>
          <w:szCs w:val="20"/>
        </w:rPr>
      </w:pPr>
      <w:r>
        <w:br w:type="page"/>
      </w:r>
    </w:p>
    <w:p w14:paraId="498B5945" w14:textId="6A1B7D24" w:rsidR="00951933" w:rsidRPr="005F4560" w:rsidRDefault="00951933" w:rsidP="00530204">
      <w:pPr>
        <w:pStyle w:val="Heading2"/>
      </w:pPr>
      <w:r w:rsidRPr="005F4560">
        <w:lastRenderedPageBreak/>
        <w:t>Specify how long the proposed medical ser</w:t>
      </w:r>
      <w:r w:rsidR="00AE1188" w:rsidRPr="005F4560">
        <w:t>vice typically takes to perform:</w:t>
      </w:r>
    </w:p>
    <w:p w14:paraId="1BF90465" w14:textId="4E72874C" w:rsidR="00760ADE" w:rsidRPr="005F4560" w:rsidRDefault="00760ADE" w:rsidP="00AE1188">
      <w:pPr>
        <w:ind w:left="426"/>
      </w:pPr>
      <w:r w:rsidRPr="005F4560">
        <w:t xml:space="preserve">Based on discussions with trained </w:t>
      </w:r>
      <w:r w:rsidR="00796748" w:rsidRPr="005F4560">
        <w:t>physicians the following timing and costs in question 54 were derived:</w:t>
      </w:r>
    </w:p>
    <w:p w14:paraId="4C4F5BE6" w14:textId="1D6A8EE7" w:rsidR="00045815" w:rsidRPr="005F4560" w:rsidRDefault="00657851" w:rsidP="00AE1188">
      <w:pPr>
        <w:ind w:left="426"/>
      </w:pPr>
      <w:r w:rsidRPr="005F4560">
        <w:t xml:space="preserve">Placement of </w:t>
      </w:r>
      <w:proofErr w:type="spellStart"/>
      <w:r w:rsidRPr="005F4560">
        <w:t>In</w:t>
      </w:r>
      <w:r w:rsidR="00107D07" w:rsidRPr="005F4560">
        <w:t>tragastric</w:t>
      </w:r>
      <w:proofErr w:type="spellEnd"/>
      <w:r w:rsidR="00107D07" w:rsidRPr="005F4560">
        <w:t xml:space="preserve"> Balloon</w:t>
      </w:r>
      <w:r w:rsidR="00045815" w:rsidRPr="005F4560">
        <w:t>:</w:t>
      </w:r>
    </w:p>
    <w:p w14:paraId="517E483F" w14:textId="370EFE38" w:rsidR="00045815" w:rsidRPr="005F4560" w:rsidRDefault="00045815" w:rsidP="00045815">
      <w:pPr>
        <w:pStyle w:val="ListParagraph"/>
        <w:numPr>
          <w:ilvl w:val="0"/>
          <w:numId w:val="47"/>
        </w:numPr>
      </w:pPr>
      <w:r w:rsidRPr="005F4560">
        <w:t>Time to prepare for the service (pre-service time): 10 minutes</w:t>
      </w:r>
    </w:p>
    <w:p w14:paraId="665EE758" w14:textId="21718E5C" w:rsidR="00045815" w:rsidRPr="005F4560" w:rsidRDefault="00045815" w:rsidP="00045815">
      <w:pPr>
        <w:pStyle w:val="ListParagraph"/>
        <w:numPr>
          <w:ilvl w:val="0"/>
          <w:numId w:val="47"/>
        </w:numPr>
      </w:pPr>
      <w:r w:rsidRPr="005F4560">
        <w:t xml:space="preserve">Time taken to perform the ‘actual’ service (intra-service time):  </w:t>
      </w:r>
      <w:r w:rsidR="006E68E9" w:rsidRPr="005F4560">
        <w:t>2</w:t>
      </w:r>
      <w:r w:rsidRPr="005F4560">
        <w:t>0 minutes</w:t>
      </w:r>
    </w:p>
    <w:p w14:paraId="6908FAC1" w14:textId="426AD399" w:rsidR="00045815" w:rsidRPr="005F4560" w:rsidRDefault="00045815" w:rsidP="00045815">
      <w:pPr>
        <w:pStyle w:val="ListParagraph"/>
        <w:numPr>
          <w:ilvl w:val="0"/>
          <w:numId w:val="47"/>
        </w:numPr>
      </w:pPr>
      <w:r w:rsidRPr="005F4560">
        <w:t>Time taken post service (after care time): 10 minutes</w:t>
      </w:r>
    </w:p>
    <w:p w14:paraId="17445FAA" w14:textId="104148B4" w:rsidR="00045815" w:rsidRPr="005F4560" w:rsidRDefault="00045815" w:rsidP="00045815">
      <w:pPr>
        <w:ind w:left="786"/>
      </w:pPr>
      <w:r w:rsidRPr="005F4560">
        <w:t xml:space="preserve">Total time required: </w:t>
      </w:r>
      <w:r w:rsidR="00EC2348" w:rsidRPr="005F4560">
        <w:rPr>
          <w:b/>
        </w:rPr>
        <w:t>40</w:t>
      </w:r>
      <w:r w:rsidRPr="005F4560">
        <w:rPr>
          <w:b/>
        </w:rPr>
        <w:t xml:space="preserve"> minutes</w:t>
      </w:r>
      <w:r w:rsidRPr="005F4560">
        <w:t>.</w:t>
      </w:r>
    </w:p>
    <w:p w14:paraId="01EC8AC8" w14:textId="59EDB2A6" w:rsidR="00951933" w:rsidRPr="005F4560" w:rsidRDefault="00657851" w:rsidP="00AE1188">
      <w:pPr>
        <w:ind w:left="426"/>
      </w:pPr>
      <w:r w:rsidRPr="005F4560">
        <w:t>Rem</w:t>
      </w:r>
      <w:r w:rsidR="00107D07" w:rsidRPr="005F4560">
        <w:t xml:space="preserve">oval of </w:t>
      </w:r>
      <w:proofErr w:type="spellStart"/>
      <w:r w:rsidR="00107D07" w:rsidRPr="005F4560">
        <w:t>Intragastric</w:t>
      </w:r>
      <w:proofErr w:type="spellEnd"/>
      <w:r w:rsidR="00107D07" w:rsidRPr="005F4560">
        <w:t xml:space="preserve"> Balloon</w:t>
      </w:r>
      <w:r w:rsidR="00045815" w:rsidRPr="005F4560">
        <w:t>:</w:t>
      </w:r>
    </w:p>
    <w:p w14:paraId="1031C953" w14:textId="77777777" w:rsidR="00045815" w:rsidRPr="005F4560" w:rsidRDefault="00045815" w:rsidP="00045815">
      <w:pPr>
        <w:pStyle w:val="ListParagraph"/>
        <w:numPr>
          <w:ilvl w:val="0"/>
          <w:numId w:val="47"/>
        </w:numPr>
      </w:pPr>
      <w:r w:rsidRPr="005F4560">
        <w:t>Time to prepare for the service (pre-service time): 10 minutes</w:t>
      </w:r>
    </w:p>
    <w:p w14:paraId="6105416D" w14:textId="2C9D3620" w:rsidR="00045815" w:rsidRPr="005F4560" w:rsidRDefault="00045815" w:rsidP="00045815">
      <w:pPr>
        <w:pStyle w:val="ListParagraph"/>
        <w:numPr>
          <w:ilvl w:val="0"/>
          <w:numId w:val="47"/>
        </w:numPr>
      </w:pPr>
      <w:r w:rsidRPr="005F4560">
        <w:t xml:space="preserve">Time taken to perform the ‘actual’ service (intra-service time):  </w:t>
      </w:r>
      <w:r w:rsidR="006E68E9" w:rsidRPr="005F4560">
        <w:t>15</w:t>
      </w:r>
      <w:r w:rsidRPr="005F4560">
        <w:t xml:space="preserve"> minutes</w:t>
      </w:r>
    </w:p>
    <w:p w14:paraId="21ABEF5B" w14:textId="77777777" w:rsidR="00045815" w:rsidRPr="005F4560" w:rsidRDefault="00045815" w:rsidP="00045815">
      <w:pPr>
        <w:pStyle w:val="ListParagraph"/>
        <w:numPr>
          <w:ilvl w:val="0"/>
          <w:numId w:val="47"/>
        </w:numPr>
      </w:pPr>
      <w:r w:rsidRPr="005F4560">
        <w:t>Time taken post service (after care time): 10 minutes</w:t>
      </w:r>
    </w:p>
    <w:p w14:paraId="5C0A3A18" w14:textId="2A9AD57A" w:rsidR="00045815" w:rsidRPr="005F4560" w:rsidRDefault="00045815" w:rsidP="00045815">
      <w:pPr>
        <w:ind w:left="786"/>
      </w:pPr>
      <w:r w:rsidRPr="005F4560">
        <w:t xml:space="preserve">Total time required: </w:t>
      </w:r>
      <w:r w:rsidR="00EC2348" w:rsidRPr="005F4560">
        <w:rPr>
          <w:b/>
        </w:rPr>
        <w:t>35</w:t>
      </w:r>
      <w:r w:rsidRPr="005F4560">
        <w:rPr>
          <w:b/>
        </w:rPr>
        <w:t xml:space="preserve"> minutes</w:t>
      </w:r>
      <w:r w:rsidRPr="005F4560">
        <w:t>.</w:t>
      </w:r>
    </w:p>
    <w:p w14:paraId="675EDAEC" w14:textId="77777777" w:rsidR="00707D4D" w:rsidRPr="005F4560" w:rsidRDefault="0054192F" w:rsidP="00530204">
      <w:pPr>
        <w:pStyle w:val="Heading2"/>
      </w:pPr>
      <w:r w:rsidRPr="005F4560">
        <w:t>If public funding is sought through the MBS, please draft a proposed MBS item descriptor to define the population and medical service usage characteristics that would define eligibility for MBS funding.</w:t>
      </w:r>
    </w:p>
    <w:p w14:paraId="7F972062" w14:textId="77777777"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Category 3 –  Therapeutic Procedures</w:t>
      </w:r>
    </w:p>
    <w:p w14:paraId="63C24623" w14:textId="77777777"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 xml:space="preserve">Proposed item descriptor: </w:t>
      </w:r>
    </w:p>
    <w:p w14:paraId="238E562F" w14:textId="0D06AD74" w:rsidR="00C37AE7" w:rsidRPr="005F4560" w:rsidRDefault="009D0E2F" w:rsidP="00C37AE7">
      <w:pPr>
        <w:pBdr>
          <w:top w:val="single" w:sz="4" w:space="1" w:color="auto"/>
          <w:left w:val="single" w:sz="4" w:space="4" w:color="auto"/>
          <w:bottom w:val="single" w:sz="4" w:space="1" w:color="auto"/>
          <w:right w:val="single" w:sz="4" w:space="4" w:color="auto"/>
        </w:pBdr>
        <w:rPr>
          <w:noProof/>
        </w:rPr>
      </w:pPr>
      <w:r w:rsidRPr="005F4560">
        <w:rPr>
          <w:noProof/>
        </w:rPr>
        <w:t xml:space="preserve">Placement of </w:t>
      </w:r>
      <w:r w:rsidR="004D08ED" w:rsidRPr="005F4560">
        <w:rPr>
          <w:noProof/>
        </w:rPr>
        <w:t>IGB</w:t>
      </w:r>
      <w:r w:rsidRPr="005F4560">
        <w:rPr>
          <w:noProof/>
        </w:rPr>
        <w:t xml:space="preserve">, </w:t>
      </w:r>
      <w:r w:rsidR="00C37AE7" w:rsidRPr="005F4560">
        <w:rPr>
          <w:noProof/>
        </w:rPr>
        <w:t xml:space="preserve">taking 30 minutes or less, for a patient </w:t>
      </w:r>
      <w:r w:rsidRPr="005F4560">
        <w:rPr>
          <w:noProof/>
        </w:rPr>
        <w:t xml:space="preserve">with obesity </w:t>
      </w:r>
      <w:r w:rsidR="00C37AE7" w:rsidRPr="005F4560">
        <w:rPr>
          <w:noProof/>
        </w:rPr>
        <w:t xml:space="preserve">and </w:t>
      </w:r>
      <w:r w:rsidRPr="005F4560">
        <w:rPr>
          <w:noProof/>
        </w:rPr>
        <w:t>comorbiditie</w:t>
      </w:r>
      <w:r w:rsidR="00107D07" w:rsidRPr="005F4560">
        <w:rPr>
          <w:noProof/>
        </w:rPr>
        <w:t>s</w:t>
      </w:r>
      <w:r w:rsidRPr="005F4560">
        <w:rPr>
          <w:noProof/>
        </w:rPr>
        <w:t xml:space="preserve"> (BMI</w:t>
      </w:r>
      <w:r w:rsidRPr="005F4560">
        <w:rPr>
          <w:noProof/>
        </w:rPr>
        <w:sym w:font="Symbol" w:char="F0B3"/>
      </w:r>
      <w:r w:rsidRPr="005F4560">
        <w:rPr>
          <w:noProof/>
        </w:rPr>
        <w:t xml:space="preserve"> 30</w:t>
      </w:r>
      <w:r w:rsidR="00CE73CD" w:rsidRPr="005F4560">
        <w:rPr>
          <w:noProof/>
        </w:rPr>
        <w:t>&lt;35</w:t>
      </w:r>
      <w:r w:rsidRPr="005F4560">
        <w:rPr>
          <w:noProof/>
        </w:rPr>
        <w:t xml:space="preserve"> kg/m</w:t>
      </w:r>
      <w:r w:rsidRPr="005F4560">
        <w:rPr>
          <w:noProof/>
          <w:vertAlign w:val="superscript"/>
        </w:rPr>
        <w:t>2</w:t>
      </w:r>
      <w:r w:rsidRPr="005F4560">
        <w:rPr>
          <w:noProof/>
        </w:rPr>
        <w:t>)</w:t>
      </w:r>
      <w:r w:rsidR="00C37AE7" w:rsidRPr="005F4560">
        <w:rPr>
          <w:noProof/>
        </w:rPr>
        <w:t xml:space="preserve"> (Anaes.) (Assist.)</w:t>
      </w:r>
    </w:p>
    <w:p w14:paraId="1D8CAF77" w14:textId="77777777"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Can be delivered as a stand alone procedure.</w:t>
      </w:r>
    </w:p>
    <w:p w14:paraId="39342440" w14:textId="77777777"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Multiple services Rule</w:t>
      </w:r>
    </w:p>
    <w:p w14:paraId="08991687" w14:textId="77C371E2"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 xml:space="preserve">(See para </w:t>
      </w:r>
      <w:hyperlink r:id="rId156" w:history="1">
        <w:r w:rsidRPr="005F4560">
          <w:rPr>
            <w:noProof/>
          </w:rPr>
          <w:t>T8.</w:t>
        </w:r>
        <w:r w:rsidR="00C37AE7" w:rsidRPr="005F4560">
          <w:rPr>
            <w:noProof/>
          </w:rPr>
          <w:t>29</w:t>
        </w:r>
      </w:hyperlink>
      <w:r w:rsidRPr="005F4560">
        <w:rPr>
          <w:noProof/>
        </w:rPr>
        <w:t xml:space="preserve"> of explanatory notes to this Category)</w:t>
      </w:r>
    </w:p>
    <w:p w14:paraId="7401E53F" w14:textId="77777777" w:rsidR="009D0E2F" w:rsidRPr="005F4560" w:rsidRDefault="009D0E2F" w:rsidP="009D0E2F">
      <w:pPr>
        <w:pBdr>
          <w:top w:val="single" w:sz="4" w:space="1" w:color="auto"/>
          <w:left w:val="single" w:sz="4" w:space="4" w:color="auto"/>
          <w:bottom w:val="single" w:sz="4" w:space="1" w:color="auto"/>
          <w:right w:val="single" w:sz="4" w:space="4" w:color="auto"/>
        </w:pBdr>
        <w:rPr>
          <w:rFonts w:ascii="Helvetica" w:hAnsi="Helvetica" w:cs="Helvetica"/>
          <w:szCs w:val="20"/>
          <w:shd w:val="clear" w:color="auto" w:fill="FBFBFB"/>
        </w:rPr>
      </w:pPr>
    </w:p>
    <w:p w14:paraId="07C4A889" w14:textId="7DFFB5BA"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Fee: $</w:t>
      </w:r>
      <w:r w:rsidR="00A21437" w:rsidRPr="005F4560">
        <w:rPr>
          <w:noProof/>
        </w:rPr>
        <w:t>350</w:t>
      </w:r>
    </w:p>
    <w:p w14:paraId="1E8252FC" w14:textId="0267A740" w:rsidR="009D0E2F" w:rsidRPr="005F4560" w:rsidRDefault="009D0E2F" w:rsidP="009D0E2F"/>
    <w:p w14:paraId="08B63E67" w14:textId="77777777"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Category 3 –  Therapeutic Procedures</w:t>
      </w:r>
    </w:p>
    <w:p w14:paraId="5284B961" w14:textId="77777777"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 xml:space="preserve">Proposed item descriptor: </w:t>
      </w:r>
    </w:p>
    <w:p w14:paraId="14BFBCA1" w14:textId="66B880A7" w:rsidR="00C37AE7" w:rsidRPr="005F4560" w:rsidRDefault="004D08ED" w:rsidP="00C37AE7">
      <w:pPr>
        <w:pBdr>
          <w:top w:val="single" w:sz="4" w:space="1" w:color="auto"/>
          <w:left w:val="single" w:sz="4" w:space="4" w:color="auto"/>
          <w:bottom w:val="single" w:sz="4" w:space="1" w:color="auto"/>
          <w:right w:val="single" w:sz="4" w:space="4" w:color="auto"/>
        </w:pBdr>
        <w:rPr>
          <w:noProof/>
        </w:rPr>
      </w:pPr>
      <w:bookmarkStart w:id="17" w:name="_Hlk488074308"/>
      <w:r w:rsidRPr="005F4560">
        <w:rPr>
          <w:noProof/>
        </w:rPr>
        <w:t>IGB</w:t>
      </w:r>
      <w:r w:rsidR="009D0E2F" w:rsidRPr="005F4560">
        <w:rPr>
          <w:noProof/>
        </w:rPr>
        <w:t xml:space="preserve"> removal </w:t>
      </w:r>
      <w:r w:rsidR="00C37AE7" w:rsidRPr="005F4560">
        <w:rPr>
          <w:noProof/>
        </w:rPr>
        <w:t>to which item XXXX</w:t>
      </w:r>
      <w:r w:rsidR="0020720D">
        <w:rPr>
          <w:noProof/>
        </w:rPr>
        <w:t>*</w:t>
      </w:r>
      <w:r w:rsidR="00C37AE7" w:rsidRPr="005F4560">
        <w:rPr>
          <w:noProof/>
        </w:rPr>
        <w:t xml:space="preserve"> applies (Anaes.) (Assist.)</w:t>
      </w:r>
    </w:p>
    <w:bookmarkEnd w:id="17"/>
    <w:p w14:paraId="5D0B5CAE" w14:textId="77777777"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Multiple services Rule</w:t>
      </w:r>
    </w:p>
    <w:p w14:paraId="56BBFC6D" w14:textId="17CEC824"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 xml:space="preserve">(See para </w:t>
      </w:r>
      <w:hyperlink r:id="rId157" w:history="1">
        <w:r w:rsidRPr="005F4560">
          <w:rPr>
            <w:noProof/>
          </w:rPr>
          <w:t>T8.30</w:t>
        </w:r>
      </w:hyperlink>
      <w:r w:rsidRPr="005F4560">
        <w:rPr>
          <w:noProof/>
        </w:rPr>
        <w:t xml:space="preserve"> of explanatory notes to this Category)</w:t>
      </w:r>
    </w:p>
    <w:p w14:paraId="72E0C3EC" w14:textId="77777777" w:rsidR="00A21437" w:rsidRPr="005F4560" w:rsidRDefault="00A21437" w:rsidP="009D0E2F">
      <w:pPr>
        <w:pBdr>
          <w:top w:val="single" w:sz="4" w:space="1" w:color="auto"/>
          <w:left w:val="single" w:sz="4" w:space="4" w:color="auto"/>
          <w:bottom w:val="single" w:sz="4" w:space="1" w:color="auto"/>
          <w:right w:val="single" w:sz="4" w:space="4" w:color="auto"/>
        </w:pBdr>
        <w:rPr>
          <w:noProof/>
        </w:rPr>
      </w:pPr>
    </w:p>
    <w:p w14:paraId="04CFB898" w14:textId="781B27DF" w:rsidR="009D0E2F" w:rsidRPr="005F4560" w:rsidRDefault="009D0E2F" w:rsidP="009D0E2F">
      <w:pPr>
        <w:pBdr>
          <w:top w:val="single" w:sz="4" w:space="1" w:color="auto"/>
          <w:left w:val="single" w:sz="4" w:space="4" w:color="auto"/>
          <w:bottom w:val="single" w:sz="4" w:space="1" w:color="auto"/>
          <w:right w:val="single" w:sz="4" w:space="4" w:color="auto"/>
        </w:pBdr>
        <w:rPr>
          <w:noProof/>
        </w:rPr>
      </w:pPr>
      <w:r w:rsidRPr="005F4560">
        <w:rPr>
          <w:noProof/>
        </w:rPr>
        <w:t>Fee: $</w:t>
      </w:r>
      <w:r w:rsidR="00EC2348" w:rsidRPr="005F4560">
        <w:rPr>
          <w:noProof/>
        </w:rPr>
        <w:t>250</w:t>
      </w:r>
    </w:p>
    <w:p w14:paraId="6FDB540E" w14:textId="4BD63032" w:rsidR="00A21437" w:rsidRPr="005F4560" w:rsidRDefault="0020720D" w:rsidP="0068046B">
      <w:r>
        <w:t>*</w:t>
      </w:r>
      <w:r w:rsidRPr="005F4560">
        <w:t xml:space="preserve">Relating to the above </w:t>
      </w:r>
      <w:r>
        <w:t>procedure, for placement of IGB</w:t>
      </w:r>
      <w:proofErr w:type="gramStart"/>
      <w:r>
        <w:t xml:space="preserve">, </w:t>
      </w:r>
      <w:r w:rsidRPr="005F4560">
        <w:t xml:space="preserve"> </w:t>
      </w:r>
      <w:r>
        <w:t>as</w:t>
      </w:r>
      <w:proofErr w:type="gramEnd"/>
      <w:r>
        <w:t xml:space="preserve"> the second service would be performed only after the completion of the first.</w:t>
      </w:r>
      <w:r w:rsidR="0068046B" w:rsidRPr="005F4560">
        <w:t xml:space="preserve"> </w:t>
      </w:r>
    </w:p>
    <w:p w14:paraId="091556B2" w14:textId="77777777" w:rsidR="00F15073" w:rsidRDefault="00F15073">
      <w:pPr>
        <w:spacing w:before="0" w:after="200" w:line="276" w:lineRule="auto"/>
      </w:pPr>
      <w:r>
        <w:br w:type="page"/>
      </w:r>
    </w:p>
    <w:p w14:paraId="246CAFF8" w14:textId="0B24426F" w:rsidR="006952C9" w:rsidRPr="005F4560" w:rsidRDefault="006952C9" w:rsidP="006952C9">
      <w:r w:rsidRPr="005F4560">
        <w:lastRenderedPageBreak/>
        <w:t>MBS Extracts as references</w:t>
      </w:r>
      <w:r w:rsidR="00760ADE" w:rsidRPr="005F4560">
        <w:t xml:space="preserve"> for similar procedures:</w:t>
      </w:r>
    </w:p>
    <w:p w14:paraId="78A77D14" w14:textId="77777777" w:rsidR="006952C9" w:rsidRPr="005F4560" w:rsidRDefault="006952C9" w:rsidP="006952C9"/>
    <w:tbl>
      <w:tblPr>
        <w:tblStyle w:val="TableGrid"/>
        <w:tblW w:w="0" w:type="auto"/>
        <w:tblLook w:val="04A0" w:firstRow="1" w:lastRow="0" w:firstColumn="1" w:lastColumn="0" w:noHBand="0" w:noVBand="1"/>
        <w:tblCaption w:val="MBS Extracts as References for Similar Procedures"/>
        <w:tblDescription w:val="MBS Extracts as References for Similar Procedures-Contains MBS codes for similar procedures."/>
      </w:tblPr>
      <w:tblGrid>
        <w:gridCol w:w="1180"/>
        <w:gridCol w:w="7836"/>
      </w:tblGrid>
      <w:tr w:rsidR="007F721C" w:rsidRPr="005F4560" w14:paraId="4885B02F" w14:textId="77777777" w:rsidTr="00BB4539">
        <w:trPr>
          <w:tblHeader/>
        </w:trPr>
        <w:tc>
          <w:tcPr>
            <w:tcW w:w="1242" w:type="dxa"/>
            <w:shd w:val="clear" w:color="auto" w:fill="D9D9D9" w:themeFill="background1" w:themeFillShade="D9"/>
          </w:tcPr>
          <w:p w14:paraId="4C766D1D" w14:textId="77777777" w:rsidR="006952C9" w:rsidRPr="005F4560" w:rsidRDefault="006952C9" w:rsidP="006952C9">
            <w:pPr>
              <w:tabs>
                <w:tab w:val="left" w:pos="2127"/>
              </w:tabs>
              <w:ind w:right="-108"/>
              <w:jc w:val="center"/>
              <w:rPr>
                <w:b/>
              </w:rPr>
            </w:pPr>
            <w:r w:rsidRPr="005F4560">
              <w:rPr>
                <w:b/>
              </w:rPr>
              <w:t>MBS Code</w:t>
            </w:r>
          </w:p>
        </w:tc>
        <w:tc>
          <w:tcPr>
            <w:tcW w:w="8647" w:type="dxa"/>
            <w:shd w:val="clear" w:color="auto" w:fill="D9D9D9" w:themeFill="background1" w:themeFillShade="D9"/>
          </w:tcPr>
          <w:p w14:paraId="7644CD52" w14:textId="77777777" w:rsidR="006952C9" w:rsidRPr="005F4560" w:rsidRDefault="006952C9" w:rsidP="006952C9">
            <w:pPr>
              <w:ind w:hanging="108"/>
              <w:jc w:val="center"/>
              <w:rPr>
                <w:b/>
              </w:rPr>
            </w:pPr>
            <w:r w:rsidRPr="005F4560">
              <w:rPr>
                <w:b/>
              </w:rPr>
              <w:t>Description</w:t>
            </w:r>
          </w:p>
        </w:tc>
      </w:tr>
      <w:tr w:rsidR="007F721C" w:rsidRPr="005F4560" w14:paraId="46C468A3" w14:textId="77777777" w:rsidTr="006952C9">
        <w:tc>
          <w:tcPr>
            <w:tcW w:w="1242" w:type="dxa"/>
          </w:tcPr>
          <w:p w14:paraId="4BC4DC68" w14:textId="77777777" w:rsidR="006952C9" w:rsidRPr="005F4560" w:rsidRDefault="006952C9" w:rsidP="00A63291">
            <w:pPr>
              <w:tabs>
                <w:tab w:val="left" w:pos="2127"/>
              </w:tabs>
              <w:ind w:right="-108"/>
              <w:jc w:val="center"/>
            </w:pPr>
            <w:r w:rsidRPr="005F4560">
              <w:t>13506</w:t>
            </w:r>
          </w:p>
        </w:tc>
        <w:tc>
          <w:tcPr>
            <w:tcW w:w="8647" w:type="dxa"/>
          </w:tcPr>
          <w:p w14:paraId="5A4859BF" w14:textId="77777777" w:rsidR="006952C9" w:rsidRPr="005F4560" w:rsidRDefault="006952C9" w:rsidP="00A63291">
            <w:r w:rsidRPr="005F4560">
              <w:t xml:space="preserve">GASTRO-OESOPHAGEAL balloon intubation, for control of bleeding from gastric oesophageal varices </w:t>
            </w:r>
          </w:p>
          <w:p w14:paraId="24A7D7AB" w14:textId="77777777" w:rsidR="006952C9" w:rsidRPr="005F4560" w:rsidRDefault="006952C9" w:rsidP="00A63291">
            <w:r w:rsidRPr="005F4560">
              <w:t xml:space="preserve">(See para T8.2 of explanatory notes to this Category) </w:t>
            </w:r>
          </w:p>
          <w:p w14:paraId="56098872" w14:textId="77777777" w:rsidR="006952C9" w:rsidRPr="005F4560" w:rsidRDefault="006952C9" w:rsidP="00A63291">
            <w:r w:rsidRPr="005F4560">
              <w:t xml:space="preserve">Fee: $184.50 Benefit: 75% = $138.40 85% = $156.85 </w:t>
            </w:r>
          </w:p>
        </w:tc>
      </w:tr>
      <w:tr w:rsidR="007F721C" w:rsidRPr="005F4560" w14:paraId="6B55845D" w14:textId="77777777" w:rsidTr="006952C9">
        <w:tc>
          <w:tcPr>
            <w:tcW w:w="1242" w:type="dxa"/>
            <w:vAlign w:val="center"/>
          </w:tcPr>
          <w:p w14:paraId="77EF0C47" w14:textId="77777777" w:rsidR="006952C9" w:rsidRPr="005F4560" w:rsidRDefault="006952C9" w:rsidP="006952C9">
            <w:pPr>
              <w:tabs>
                <w:tab w:val="left" w:pos="2127"/>
              </w:tabs>
              <w:ind w:right="-108"/>
              <w:jc w:val="center"/>
            </w:pPr>
            <w:r w:rsidRPr="005F4560">
              <w:t>30294</w:t>
            </w:r>
          </w:p>
        </w:tc>
        <w:tc>
          <w:tcPr>
            <w:tcW w:w="8647" w:type="dxa"/>
          </w:tcPr>
          <w:p w14:paraId="28B7028B" w14:textId="77777777" w:rsidR="006952C9" w:rsidRPr="005F4560" w:rsidRDefault="006952C9" w:rsidP="00A63291">
            <w:r w:rsidRPr="005F4560">
              <w:t>ENDOSCOPIC DILATATION OF COLORECTAL STRICTURES including colonoscopy (</w:t>
            </w:r>
            <w:proofErr w:type="spellStart"/>
            <w:r w:rsidR="00C51822" w:rsidRPr="005F4560">
              <w:t>Anaes</w:t>
            </w:r>
            <w:proofErr w:type="spellEnd"/>
            <w:r w:rsidRPr="005F4560">
              <w:t xml:space="preserve">.) </w:t>
            </w:r>
          </w:p>
          <w:p w14:paraId="0FE966FD" w14:textId="77777777" w:rsidR="006952C9" w:rsidRPr="005F4560" w:rsidRDefault="006952C9" w:rsidP="00A63291">
            <w:r w:rsidRPr="005F4560">
              <w:t xml:space="preserve">(See para T8.17 of explanatory notes to this Category) </w:t>
            </w:r>
          </w:p>
          <w:p w14:paraId="0820BF3F" w14:textId="77777777" w:rsidR="006952C9" w:rsidRPr="005F4560" w:rsidRDefault="006952C9" w:rsidP="00A63291">
            <w:r w:rsidRPr="005F4560">
              <w:t xml:space="preserve">Fee: $551.85 Benefit: 75% = $413.90 </w:t>
            </w:r>
          </w:p>
        </w:tc>
      </w:tr>
      <w:tr w:rsidR="007F721C" w:rsidRPr="005F4560" w14:paraId="502969A5" w14:textId="77777777" w:rsidTr="006952C9">
        <w:tc>
          <w:tcPr>
            <w:tcW w:w="1242" w:type="dxa"/>
            <w:vAlign w:val="center"/>
          </w:tcPr>
          <w:p w14:paraId="4AC3D1A1" w14:textId="77777777" w:rsidR="006952C9" w:rsidRPr="005F4560" w:rsidRDefault="006952C9" w:rsidP="006952C9">
            <w:pPr>
              <w:autoSpaceDE w:val="0"/>
              <w:autoSpaceDN w:val="0"/>
              <w:adjustRightInd w:val="0"/>
              <w:spacing w:line="300" w:lineRule="atLeast"/>
              <w:jc w:val="center"/>
              <w:rPr>
                <w:rFonts w:ascii="Times" w:hAnsi="Times" w:cs="Times"/>
              </w:rPr>
            </w:pPr>
            <w:r w:rsidRPr="005F4560">
              <w:rPr>
                <w:rFonts w:ascii="Times New Roman" w:hAnsi="Times New Roman" w:cs="Times New Roman"/>
              </w:rPr>
              <w:t>30475</w:t>
            </w:r>
          </w:p>
        </w:tc>
        <w:tc>
          <w:tcPr>
            <w:tcW w:w="8647" w:type="dxa"/>
          </w:tcPr>
          <w:p w14:paraId="554DF26A" w14:textId="77777777" w:rsidR="006952C9" w:rsidRPr="005F4560" w:rsidRDefault="006952C9" w:rsidP="006952C9">
            <w:r w:rsidRPr="005F4560">
              <w:t>ENDOSCOPY with balloon dilatation of gastric or gastroduodenal stricture (</w:t>
            </w:r>
            <w:proofErr w:type="spellStart"/>
            <w:r w:rsidR="00C51822" w:rsidRPr="005F4560">
              <w:t>Aneas</w:t>
            </w:r>
            <w:proofErr w:type="spellEnd"/>
            <w:r w:rsidRPr="005F4560">
              <w:t xml:space="preserve">.) (See para T8.17 of explanatory notes to this Category) </w:t>
            </w:r>
          </w:p>
          <w:p w14:paraId="2A59C00D" w14:textId="77777777" w:rsidR="006952C9" w:rsidRPr="005F4560" w:rsidRDefault="006952C9" w:rsidP="006952C9">
            <w:r w:rsidRPr="005F4560">
              <w:t xml:space="preserve">Fee: $320.25 Benefit: 75% = $240.20 85% = $272.25 </w:t>
            </w:r>
          </w:p>
        </w:tc>
      </w:tr>
      <w:tr w:rsidR="007F721C" w:rsidRPr="005F4560" w14:paraId="66C70BFD" w14:textId="77777777" w:rsidTr="006952C9">
        <w:tc>
          <w:tcPr>
            <w:tcW w:w="1242" w:type="dxa"/>
            <w:vAlign w:val="center"/>
          </w:tcPr>
          <w:p w14:paraId="5FC6BE40" w14:textId="77777777" w:rsidR="006952C9" w:rsidRPr="005F4560" w:rsidRDefault="006952C9" w:rsidP="006952C9">
            <w:pPr>
              <w:autoSpaceDE w:val="0"/>
              <w:autoSpaceDN w:val="0"/>
              <w:adjustRightInd w:val="0"/>
              <w:spacing w:line="300" w:lineRule="atLeast"/>
              <w:jc w:val="center"/>
              <w:rPr>
                <w:rFonts w:ascii="Times New Roman" w:hAnsi="Times New Roman" w:cs="Times New Roman"/>
              </w:rPr>
            </w:pPr>
            <w:r w:rsidRPr="005F4560">
              <w:rPr>
                <w:rFonts w:ascii="Times New Roman" w:hAnsi="Times New Roman" w:cs="Times New Roman"/>
              </w:rPr>
              <w:t>30473</w:t>
            </w:r>
          </w:p>
        </w:tc>
        <w:tc>
          <w:tcPr>
            <w:tcW w:w="8647" w:type="dxa"/>
          </w:tcPr>
          <w:p w14:paraId="667D78E3" w14:textId="77777777" w:rsidR="006952C9" w:rsidRPr="005F4560" w:rsidRDefault="006952C9" w:rsidP="006952C9">
            <w:r w:rsidRPr="005F4560">
              <w:t>OESOPHAGOSCOPY (not being a service to which item 41816 or 41822 applies), GASTROSCOPY, DUODENOSCOPY or PANENDOSCOPY (1 or more such procedures), with or without biopsy, not being a service associated with a service to which item 30476 or 30478 applies (</w:t>
            </w:r>
            <w:r w:rsidR="00C51822" w:rsidRPr="005F4560">
              <w:t>Anais</w:t>
            </w:r>
            <w:r w:rsidRPr="005F4560">
              <w:t xml:space="preserve">.) (See para T8.17 of explanatory notes to this Category) </w:t>
            </w:r>
          </w:p>
          <w:p w14:paraId="1305F650" w14:textId="21C0312F" w:rsidR="006952C9" w:rsidRPr="005F4560" w:rsidRDefault="006952C9" w:rsidP="006952C9">
            <w:r w:rsidRPr="005F4560">
              <w:t xml:space="preserve">Fee: $177.10 Benefit: 75% = $132.85 85% = $150.55 </w:t>
            </w:r>
          </w:p>
        </w:tc>
      </w:tr>
      <w:tr w:rsidR="00C40B03" w:rsidRPr="005F4560" w14:paraId="5D0B4798" w14:textId="77777777" w:rsidTr="006952C9">
        <w:tc>
          <w:tcPr>
            <w:tcW w:w="1242" w:type="dxa"/>
            <w:vAlign w:val="center"/>
          </w:tcPr>
          <w:p w14:paraId="1D3C60D9" w14:textId="7A7FBA95" w:rsidR="00C40B03" w:rsidRPr="005F4560" w:rsidRDefault="00C40B03" w:rsidP="006952C9">
            <w:pPr>
              <w:autoSpaceDE w:val="0"/>
              <w:autoSpaceDN w:val="0"/>
              <w:adjustRightInd w:val="0"/>
              <w:spacing w:line="300" w:lineRule="atLeast"/>
              <w:jc w:val="center"/>
              <w:rPr>
                <w:rFonts w:ascii="Times New Roman" w:hAnsi="Times New Roman" w:cs="Times New Roman"/>
              </w:rPr>
            </w:pPr>
            <w:r w:rsidRPr="005F4560">
              <w:rPr>
                <w:rFonts w:ascii="Times New Roman" w:hAnsi="Times New Roman" w:cs="Times New Roman"/>
              </w:rPr>
              <w:t>30478</w:t>
            </w:r>
          </w:p>
        </w:tc>
        <w:tc>
          <w:tcPr>
            <w:tcW w:w="8647" w:type="dxa"/>
          </w:tcPr>
          <w:p w14:paraId="271B089C" w14:textId="77777777" w:rsidR="00C40B03" w:rsidRPr="005F4560" w:rsidRDefault="00C40B03" w:rsidP="00C40B03">
            <w:pPr>
              <w:pStyle w:val="NormalWeb"/>
              <w:shd w:val="clear" w:color="auto" w:fill="FBFBFB"/>
              <w:spacing w:before="0" w:beforeAutospacing="0" w:after="240" w:afterAutospacing="0" w:line="300" w:lineRule="atLeast"/>
              <w:rPr>
                <w:rFonts w:asciiTheme="minorHAnsi" w:eastAsiaTheme="minorHAnsi" w:hAnsiTheme="minorHAnsi" w:cstheme="minorBidi"/>
                <w:sz w:val="20"/>
                <w:szCs w:val="22"/>
                <w:lang w:eastAsia="en-US"/>
              </w:rPr>
            </w:pPr>
            <w:r w:rsidRPr="005F4560">
              <w:rPr>
                <w:rFonts w:asciiTheme="minorHAnsi" w:eastAsiaTheme="minorHAnsi" w:hAnsiTheme="minorHAnsi" w:cstheme="minorBidi"/>
                <w:sz w:val="20"/>
                <w:szCs w:val="22"/>
                <w:lang w:eastAsia="en-US"/>
              </w:rPr>
              <w:t xml:space="preserve">ESOPHAGOSCOPY (not being a service to which item 41816, 41822 or 41825 applies), gastroscopy, duodenoscopy or </w:t>
            </w:r>
            <w:proofErr w:type="spellStart"/>
            <w:r w:rsidRPr="005F4560">
              <w:rPr>
                <w:rFonts w:asciiTheme="minorHAnsi" w:eastAsiaTheme="minorHAnsi" w:hAnsiTheme="minorHAnsi" w:cstheme="minorBidi"/>
                <w:sz w:val="20"/>
                <w:szCs w:val="22"/>
                <w:lang w:eastAsia="en-US"/>
              </w:rPr>
              <w:t>panendoscopy</w:t>
            </w:r>
            <w:proofErr w:type="spellEnd"/>
            <w:r w:rsidRPr="005F4560">
              <w:rPr>
                <w:rFonts w:asciiTheme="minorHAnsi" w:eastAsiaTheme="minorHAnsi" w:hAnsiTheme="minorHAnsi" w:cstheme="minorBidi"/>
                <w:sz w:val="20"/>
                <w:szCs w:val="22"/>
                <w:lang w:eastAsia="en-US"/>
              </w:rPr>
              <w:t xml:space="preserve"> (1 or more such procedures), with 1 or more of the following endoscopic procedures - polypectomy, removal of foreign body, diathermy, heater probe or laser coagulation, or </w:t>
            </w:r>
            <w:proofErr w:type="spellStart"/>
            <w:r w:rsidRPr="005F4560">
              <w:rPr>
                <w:rFonts w:asciiTheme="minorHAnsi" w:eastAsiaTheme="minorHAnsi" w:hAnsiTheme="minorHAnsi" w:cstheme="minorBidi"/>
                <w:sz w:val="20"/>
                <w:szCs w:val="22"/>
                <w:lang w:eastAsia="en-US"/>
              </w:rPr>
              <w:t>sclerosing</w:t>
            </w:r>
            <w:proofErr w:type="spellEnd"/>
            <w:r w:rsidRPr="005F4560">
              <w:rPr>
                <w:rFonts w:asciiTheme="minorHAnsi" w:eastAsiaTheme="minorHAnsi" w:hAnsiTheme="minorHAnsi" w:cstheme="minorBidi"/>
                <w:sz w:val="20"/>
                <w:szCs w:val="22"/>
                <w:lang w:eastAsia="en-US"/>
              </w:rPr>
              <w:t xml:space="preserve"> injection of bleeding upper gastrointestinal lesions, not being a service associated with a service to which item 30473 or 30476 applies</w:t>
            </w:r>
          </w:p>
          <w:p w14:paraId="532605F6" w14:textId="77777777" w:rsidR="00C40B03" w:rsidRPr="005F4560" w:rsidRDefault="009878BB" w:rsidP="00C40B03">
            <w:pPr>
              <w:pStyle w:val="NormalWeb"/>
              <w:shd w:val="clear" w:color="auto" w:fill="FBFBFB"/>
              <w:spacing w:before="0" w:beforeAutospacing="0" w:after="240" w:afterAutospacing="0" w:line="300" w:lineRule="atLeast"/>
              <w:rPr>
                <w:rFonts w:asciiTheme="minorHAnsi" w:eastAsiaTheme="minorHAnsi" w:hAnsiTheme="minorHAnsi" w:cstheme="minorBidi"/>
                <w:sz w:val="20"/>
                <w:szCs w:val="22"/>
                <w:lang w:eastAsia="en-US"/>
              </w:rPr>
            </w:pPr>
            <w:hyperlink r:id="rId158" w:history="1">
              <w:r w:rsidR="00C40B03" w:rsidRPr="005F4560">
                <w:rPr>
                  <w:rFonts w:asciiTheme="minorHAnsi" w:eastAsiaTheme="minorHAnsi" w:hAnsiTheme="minorHAnsi" w:cstheme="minorBidi"/>
                  <w:sz w:val="20"/>
                  <w:szCs w:val="22"/>
                  <w:lang w:eastAsia="en-US"/>
                </w:rPr>
                <w:t>Multiple Services Rule</w:t>
              </w:r>
            </w:hyperlink>
          </w:p>
          <w:p w14:paraId="74BF9E88" w14:textId="53A57F3B" w:rsidR="00C40B03" w:rsidRPr="005F4560" w:rsidRDefault="00C40B03" w:rsidP="00C40B03">
            <w:r w:rsidRPr="005F4560">
              <w:t>(</w:t>
            </w:r>
            <w:proofErr w:type="spellStart"/>
            <w:r w:rsidRPr="005F4560">
              <w:t>Anaes</w:t>
            </w:r>
            <w:proofErr w:type="spellEnd"/>
            <w:r w:rsidRPr="005F4560">
              <w:t>.)</w:t>
            </w:r>
          </w:p>
          <w:p w14:paraId="7631C462" w14:textId="46D834F8" w:rsidR="00C40B03" w:rsidRPr="005F4560" w:rsidRDefault="00C40B03" w:rsidP="00C40B03">
            <w:pPr>
              <w:pStyle w:val="NormalWeb"/>
              <w:shd w:val="clear" w:color="auto" w:fill="FBFBFB"/>
              <w:spacing w:before="240" w:beforeAutospacing="0" w:after="240" w:afterAutospacing="0" w:line="300" w:lineRule="atLeast"/>
              <w:rPr>
                <w:rFonts w:asciiTheme="minorHAnsi" w:eastAsiaTheme="minorHAnsi" w:hAnsiTheme="minorHAnsi" w:cstheme="minorBidi"/>
                <w:sz w:val="20"/>
                <w:szCs w:val="22"/>
                <w:lang w:eastAsia="en-US"/>
              </w:rPr>
            </w:pPr>
            <w:r w:rsidRPr="005F4560">
              <w:rPr>
                <w:rFonts w:asciiTheme="minorHAnsi" w:eastAsiaTheme="minorHAnsi" w:hAnsiTheme="minorHAnsi" w:cstheme="minorBidi"/>
                <w:sz w:val="20"/>
                <w:szCs w:val="22"/>
                <w:lang w:eastAsia="en-US"/>
              </w:rPr>
              <w:t>Fee:</w:t>
            </w:r>
            <w:r w:rsidR="00C32477" w:rsidRPr="005F4560">
              <w:rPr>
                <w:rFonts w:asciiTheme="minorHAnsi" w:eastAsiaTheme="minorHAnsi" w:hAnsiTheme="minorHAnsi" w:cstheme="minorBidi"/>
                <w:sz w:val="20"/>
                <w:szCs w:val="22"/>
                <w:lang w:eastAsia="en-US"/>
              </w:rPr>
              <w:t xml:space="preserve"> </w:t>
            </w:r>
            <w:r w:rsidRPr="005F4560">
              <w:rPr>
                <w:rFonts w:asciiTheme="minorHAnsi" w:eastAsiaTheme="minorHAnsi" w:hAnsiTheme="minorHAnsi" w:cstheme="minorBidi"/>
                <w:sz w:val="20"/>
                <w:szCs w:val="22"/>
                <w:lang w:eastAsia="en-US"/>
              </w:rPr>
              <w:t>$245.55</w:t>
            </w:r>
            <w:r w:rsidR="00C32477" w:rsidRPr="005F4560">
              <w:rPr>
                <w:rFonts w:asciiTheme="minorHAnsi" w:eastAsiaTheme="minorHAnsi" w:hAnsiTheme="minorHAnsi" w:cstheme="minorBidi"/>
                <w:sz w:val="20"/>
                <w:szCs w:val="22"/>
                <w:lang w:eastAsia="en-US"/>
              </w:rPr>
              <w:t xml:space="preserve"> </w:t>
            </w:r>
            <w:r w:rsidRPr="005F4560">
              <w:rPr>
                <w:rFonts w:asciiTheme="minorHAnsi" w:eastAsiaTheme="minorHAnsi" w:hAnsiTheme="minorHAnsi" w:cstheme="minorBidi"/>
                <w:sz w:val="20"/>
                <w:szCs w:val="22"/>
                <w:lang w:eastAsia="en-US"/>
              </w:rPr>
              <w:t>Benefit:</w:t>
            </w:r>
            <w:r w:rsidR="00C32477" w:rsidRPr="005F4560">
              <w:rPr>
                <w:rFonts w:asciiTheme="minorHAnsi" w:eastAsiaTheme="minorHAnsi" w:hAnsiTheme="minorHAnsi" w:cstheme="minorBidi"/>
                <w:sz w:val="20"/>
                <w:szCs w:val="22"/>
                <w:lang w:eastAsia="en-US"/>
              </w:rPr>
              <w:t xml:space="preserve"> </w:t>
            </w:r>
            <w:r w:rsidRPr="005F4560">
              <w:rPr>
                <w:rFonts w:asciiTheme="minorHAnsi" w:eastAsiaTheme="minorHAnsi" w:hAnsiTheme="minorHAnsi" w:cstheme="minorBidi"/>
                <w:sz w:val="20"/>
                <w:szCs w:val="22"/>
                <w:lang w:eastAsia="en-US"/>
              </w:rPr>
              <w:t>75% = $184.20 85% = $208.75</w:t>
            </w:r>
          </w:p>
          <w:p w14:paraId="305C3934" w14:textId="5F9B2CA8" w:rsidR="00C40B03" w:rsidRPr="005F4560" w:rsidRDefault="00C40B03" w:rsidP="00C40B03">
            <w:pPr>
              <w:pStyle w:val="NormalWeb"/>
              <w:shd w:val="clear" w:color="auto" w:fill="FBFBFB"/>
              <w:spacing w:before="0" w:beforeAutospacing="0" w:after="240" w:afterAutospacing="0" w:line="300" w:lineRule="atLeast"/>
            </w:pPr>
            <w:r w:rsidRPr="005F4560">
              <w:rPr>
                <w:rFonts w:asciiTheme="minorHAnsi" w:eastAsiaTheme="minorHAnsi" w:hAnsiTheme="minorHAnsi" w:cstheme="minorBidi"/>
                <w:sz w:val="20"/>
                <w:szCs w:val="22"/>
                <w:lang w:eastAsia="en-US"/>
              </w:rPr>
              <w:t>(See para</w:t>
            </w:r>
            <w:r w:rsidR="00C32477" w:rsidRPr="005F4560">
              <w:rPr>
                <w:rFonts w:asciiTheme="minorHAnsi" w:eastAsiaTheme="minorHAnsi" w:hAnsiTheme="minorHAnsi" w:cstheme="minorBidi"/>
                <w:sz w:val="20"/>
                <w:szCs w:val="22"/>
                <w:lang w:eastAsia="en-US"/>
              </w:rPr>
              <w:t xml:space="preserve"> </w:t>
            </w:r>
            <w:hyperlink r:id="rId159" w:history="1">
              <w:r w:rsidRPr="005F4560">
                <w:rPr>
                  <w:rFonts w:asciiTheme="minorHAnsi" w:eastAsiaTheme="minorHAnsi" w:hAnsiTheme="minorHAnsi" w:cstheme="minorBidi"/>
                  <w:sz w:val="20"/>
                  <w:szCs w:val="22"/>
                  <w:lang w:eastAsia="en-US"/>
                </w:rPr>
                <w:t>TN.8.17</w:t>
              </w:r>
            </w:hyperlink>
            <w:r w:rsidR="00C32477" w:rsidRPr="005F4560">
              <w:rPr>
                <w:rFonts w:asciiTheme="minorHAnsi" w:eastAsiaTheme="minorHAnsi" w:hAnsiTheme="minorHAnsi" w:cstheme="minorBidi"/>
                <w:sz w:val="20"/>
                <w:szCs w:val="22"/>
                <w:lang w:eastAsia="en-US"/>
              </w:rPr>
              <w:t xml:space="preserve"> </w:t>
            </w:r>
            <w:r w:rsidRPr="005F4560">
              <w:rPr>
                <w:rFonts w:asciiTheme="minorHAnsi" w:eastAsiaTheme="minorHAnsi" w:hAnsiTheme="minorHAnsi" w:cstheme="minorBidi"/>
                <w:sz w:val="20"/>
                <w:szCs w:val="22"/>
                <w:lang w:eastAsia="en-US"/>
              </w:rPr>
              <w:t>of explanatory notes to this Category)</w:t>
            </w:r>
          </w:p>
        </w:tc>
      </w:tr>
      <w:tr w:rsidR="007F721C" w:rsidRPr="005F4560" w14:paraId="6ECF49D5" w14:textId="77777777" w:rsidTr="006952C9">
        <w:tc>
          <w:tcPr>
            <w:tcW w:w="1242" w:type="dxa"/>
            <w:vAlign w:val="center"/>
          </w:tcPr>
          <w:p w14:paraId="7D23DA33" w14:textId="77777777" w:rsidR="006952C9" w:rsidRPr="005F4560" w:rsidRDefault="006952C9" w:rsidP="006952C9">
            <w:pPr>
              <w:jc w:val="center"/>
            </w:pPr>
            <w:r w:rsidRPr="005F4560">
              <w:t>30485</w:t>
            </w:r>
          </w:p>
        </w:tc>
        <w:tc>
          <w:tcPr>
            <w:tcW w:w="8647" w:type="dxa"/>
          </w:tcPr>
          <w:p w14:paraId="6376C8F1" w14:textId="77777777" w:rsidR="006952C9" w:rsidRPr="005F4560" w:rsidRDefault="006952C9" w:rsidP="006952C9">
            <w:r w:rsidRPr="005F4560">
              <w:t>ENDOSCOPIC SPHINCTEROTOMY with or without extraction of stones from common bile duct (</w:t>
            </w:r>
            <w:proofErr w:type="spellStart"/>
            <w:r w:rsidR="00C51822" w:rsidRPr="005F4560">
              <w:t>Aneas</w:t>
            </w:r>
            <w:proofErr w:type="spellEnd"/>
            <w:r w:rsidRPr="005F4560">
              <w:t xml:space="preserve">.) </w:t>
            </w:r>
          </w:p>
          <w:p w14:paraId="5F07AD7A" w14:textId="77777777" w:rsidR="006952C9" w:rsidRPr="005F4560" w:rsidRDefault="006952C9" w:rsidP="006952C9">
            <w:r w:rsidRPr="005F4560">
              <w:t xml:space="preserve">(See para T8.17 of explanatory notes to this Category) </w:t>
            </w:r>
          </w:p>
          <w:p w14:paraId="4496F8B0" w14:textId="77777777" w:rsidR="006952C9" w:rsidRPr="005F4560" w:rsidRDefault="006952C9" w:rsidP="006952C9">
            <w:r w:rsidRPr="005F4560">
              <w:t xml:space="preserve">Fee: $563.30 Benefit: 75% = $422.50 85% = $483 </w:t>
            </w:r>
          </w:p>
        </w:tc>
      </w:tr>
      <w:tr w:rsidR="007F721C" w:rsidRPr="005F4560" w14:paraId="55431A27" w14:textId="77777777" w:rsidTr="006952C9">
        <w:tc>
          <w:tcPr>
            <w:tcW w:w="1242" w:type="dxa"/>
            <w:vAlign w:val="center"/>
          </w:tcPr>
          <w:p w14:paraId="21505EAD" w14:textId="77777777" w:rsidR="006952C9" w:rsidRPr="005F4560" w:rsidRDefault="006952C9" w:rsidP="006952C9">
            <w:pPr>
              <w:jc w:val="center"/>
            </w:pPr>
            <w:r w:rsidRPr="005F4560">
              <w:t>30491</w:t>
            </w:r>
          </w:p>
        </w:tc>
        <w:tc>
          <w:tcPr>
            <w:tcW w:w="8647" w:type="dxa"/>
          </w:tcPr>
          <w:p w14:paraId="234CD4B6" w14:textId="77777777" w:rsidR="006952C9" w:rsidRPr="005F4560" w:rsidRDefault="006952C9" w:rsidP="006952C9">
            <w:r w:rsidRPr="005F4560">
              <w:t>BILE DUCT, ENDOSCOPIC STENTING OF (including endoscopy and dilatation) (</w:t>
            </w:r>
            <w:proofErr w:type="spellStart"/>
            <w:r w:rsidRPr="005F4560">
              <w:t>Anaes</w:t>
            </w:r>
            <w:proofErr w:type="spellEnd"/>
            <w:r w:rsidRPr="005F4560">
              <w:t xml:space="preserve">.) </w:t>
            </w:r>
          </w:p>
          <w:p w14:paraId="558916FE" w14:textId="77777777" w:rsidR="006952C9" w:rsidRPr="005F4560" w:rsidRDefault="006952C9" w:rsidP="006952C9">
            <w:r w:rsidRPr="005F4560">
              <w:t xml:space="preserve">(See para T8.17 of explanatory notes to this Category) </w:t>
            </w:r>
          </w:p>
          <w:p w14:paraId="0743F60E" w14:textId="77777777" w:rsidR="006952C9" w:rsidRPr="005F4560" w:rsidRDefault="006952C9" w:rsidP="006952C9">
            <w:r w:rsidRPr="005F4560">
              <w:t xml:space="preserve">Fee: $555.35 Benefit: 75% = $416.55 85% = $475.85 </w:t>
            </w:r>
          </w:p>
        </w:tc>
      </w:tr>
      <w:tr w:rsidR="007F721C" w:rsidRPr="005F4560" w14:paraId="2E30DFCF" w14:textId="77777777" w:rsidTr="006952C9">
        <w:tc>
          <w:tcPr>
            <w:tcW w:w="1242" w:type="dxa"/>
            <w:vAlign w:val="center"/>
          </w:tcPr>
          <w:p w14:paraId="0A4F244F" w14:textId="77777777" w:rsidR="006952C9" w:rsidRPr="005F4560" w:rsidRDefault="006952C9" w:rsidP="006952C9">
            <w:pPr>
              <w:jc w:val="center"/>
            </w:pPr>
            <w:r w:rsidRPr="005F4560">
              <w:lastRenderedPageBreak/>
              <w:t>30494</w:t>
            </w:r>
          </w:p>
        </w:tc>
        <w:tc>
          <w:tcPr>
            <w:tcW w:w="8647" w:type="dxa"/>
          </w:tcPr>
          <w:p w14:paraId="1930B1E2" w14:textId="3FDA7F0B" w:rsidR="006952C9" w:rsidRPr="005F4560" w:rsidRDefault="00C40B03" w:rsidP="006952C9">
            <w:r w:rsidRPr="005F4560">
              <w:t>ENDO</w:t>
            </w:r>
            <w:r w:rsidR="006952C9" w:rsidRPr="005F4560">
              <w:t>SCOPIC BILIARY DILATATION (</w:t>
            </w:r>
            <w:proofErr w:type="spellStart"/>
            <w:r w:rsidR="006952C9" w:rsidRPr="005F4560">
              <w:t>Anaes</w:t>
            </w:r>
            <w:proofErr w:type="spellEnd"/>
            <w:r w:rsidR="006952C9" w:rsidRPr="005F4560">
              <w:t xml:space="preserve">.) </w:t>
            </w:r>
          </w:p>
          <w:p w14:paraId="7C24F401" w14:textId="77777777" w:rsidR="006952C9" w:rsidRPr="005F4560" w:rsidRDefault="006952C9" w:rsidP="006952C9">
            <w:r w:rsidRPr="005F4560">
              <w:t xml:space="preserve">(See para T8.17 of explanatory notes to this Category) </w:t>
            </w:r>
          </w:p>
          <w:p w14:paraId="30B1C074" w14:textId="77777777" w:rsidR="006952C9" w:rsidRPr="005F4560" w:rsidRDefault="006952C9" w:rsidP="006952C9">
            <w:r w:rsidRPr="005F4560">
              <w:t xml:space="preserve">Fee: $420.50 Benefit: 75% = $315.40 </w:t>
            </w:r>
          </w:p>
        </w:tc>
      </w:tr>
      <w:tr w:rsidR="007F721C" w:rsidRPr="005F4560" w14:paraId="1DC97344" w14:textId="77777777" w:rsidTr="006952C9">
        <w:tc>
          <w:tcPr>
            <w:tcW w:w="1242" w:type="dxa"/>
            <w:vAlign w:val="center"/>
          </w:tcPr>
          <w:p w14:paraId="2406CE7C" w14:textId="77777777" w:rsidR="006952C9" w:rsidRPr="005F4560" w:rsidRDefault="006952C9" w:rsidP="006952C9">
            <w:pPr>
              <w:jc w:val="center"/>
            </w:pPr>
            <w:r w:rsidRPr="005F4560">
              <w:t>31456</w:t>
            </w:r>
          </w:p>
        </w:tc>
        <w:tc>
          <w:tcPr>
            <w:tcW w:w="8647" w:type="dxa"/>
          </w:tcPr>
          <w:p w14:paraId="342C2D0F" w14:textId="77777777" w:rsidR="006952C9" w:rsidRPr="005F4560" w:rsidRDefault="006952C9" w:rsidP="006952C9">
            <w:r w:rsidRPr="005F4560">
              <w:t xml:space="preserve">GASTROSCOPY and insertion of nasogastric or </w:t>
            </w:r>
            <w:proofErr w:type="spellStart"/>
            <w:r w:rsidRPr="005F4560">
              <w:t>nasoenteral</w:t>
            </w:r>
            <w:proofErr w:type="spellEnd"/>
            <w:r w:rsidRPr="005F4560">
              <w:t xml:space="preserve"> feeding tube, where blind insertion of the feeding tube has failed or is inappropriate due to the patient's medical condition (</w:t>
            </w:r>
            <w:proofErr w:type="spellStart"/>
            <w:r w:rsidRPr="005F4560">
              <w:t>Anaes</w:t>
            </w:r>
            <w:proofErr w:type="spellEnd"/>
            <w:r w:rsidRPr="005F4560">
              <w:t xml:space="preserve">.) Fee: $245.55 Benefit: 75% = $184.2 </w:t>
            </w:r>
          </w:p>
        </w:tc>
      </w:tr>
      <w:tr w:rsidR="007F721C" w:rsidRPr="005F4560" w14:paraId="224459AF" w14:textId="77777777" w:rsidTr="006952C9">
        <w:tc>
          <w:tcPr>
            <w:tcW w:w="1242" w:type="dxa"/>
            <w:vAlign w:val="center"/>
          </w:tcPr>
          <w:p w14:paraId="5457B0DF" w14:textId="77777777" w:rsidR="006952C9" w:rsidRPr="005F4560" w:rsidRDefault="006952C9" w:rsidP="006952C9">
            <w:pPr>
              <w:jc w:val="center"/>
            </w:pPr>
            <w:r w:rsidRPr="005F4560">
              <w:t>41819</w:t>
            </w:r>
          </w:p>
        </w:tc>
        <w:tc>
          <w:tcPr>
            <w:tcW w:w="8647" w:type="dxa"/>
          </w:tcPr>
          <w:p w14:paraId="43294B8E" w14:textId="77777777" w:rsidR="006952C9" w:rsidRPr="005F4560" w:rsidRDefault="006952C9" w:rsidP="006952C9">
            <w:r w:rsidRPr="005F4560">
              <w:t xml:space="preserve">DILATATION OF STRICTURE OF UPPER GASTRO-INTESTINAL TRACT using </w:t>
            </w:r>
            <w:proofErr w:type="spellStart"/>
            <w:r w:rsidRPr="005F4560">
              <w:t>bougie</w:t>
            </w:r>
            <w:proofErr w:type="spellEnd"/>
            <w:r w:rsidRPr="005F4560">
              <w:t xml:space="preserve"> or balloon over </w:t>
            </w:r>
            <w:proofErr w:type="spellStart"/>
            <w:r w:rsidRPr="005F4560">
              <w:t>endoscopically</w:t>
            </w:r>
            <w:proofErr w:type="spellEnd"/>
            <w:r w:rsidRPr="005F4560">
              <w:t xml:space="preserve"> inserted guidewire, including endoscopy with flexible or rigid endoscope (</w:t>
            </w:r>
            <w:proofErr w:type="spellStart"/>
            <w:r w:rsidRPr="005F4560">
              <w:t>Anaes</w:t>
            </w:r>
            <w:proofErr w:type="spellEnd"/>
            <w:r w:rsidRPr="005F4560">
              <w:t xml:space="preserve">.) Fee: $348.95 Benefit: 75% = $261.75 85% = $296.65 </w:t>
            </w:r>
          </w:p>
        </w:tc>
      </w:tr>
      <w:tr w:rsidR="00A64FDD" w:rsidRPr="005F4560" w14:paraId="59DB137B" w14:textId="77777777" w:rsidTr="006952C9">
        <w:tc>
          <w:tcPr>
            <w:tcW w:w="1242" w:type="dxa"/>
            <w:vAlign w:val="center"/>
          </w:tcPr>
          <w:p w14:paraId="333152E9" w14:textId="77777777" w:rsidR="006952C9" w:rsidRPr="005F4560" w:rsidRDefault="006952C9" w:rsidP="006952C9">
            <w:pPr>
              <w:jc w:val="center"/>
            </w:pPr>
            <w:r w:rsidRPr="005F4560">
              <w:t>41831</w:t>
            </w:r>
          </w:p>
        </w:tc>
        <w:tc>
          <w:tcPr>
            <w:tcW w:w="8647" w:type="dxa"/>
          </w:tcPr>
          <w:p w14:paraId="0646814D" w14:textId="77777777" w:rsidR="006952C9" w:rsidRPr="005F4560" w:rsidRDefault="006952C9" w:rsidP="006952C9">
            <w:r w:rsidRPr="005F4560">
              <w:t>OESOPHAGUS, endoscopic pneumatic dilatation of (</w:t>
            </w:r>
            <w:proofErr w:type="spellStart"/>
            <w:r w:rsidRPr="005F4560">
              <w:t>Anaes</w:t>
            </w:r>
            <w:proofErr w:type="spellEnd"/>
            <w:r w:rsidRPr="005F4560">
              <w:t xml:space="preserve">.) (Assist.) Fee: $357.00 Benefit: 75% = $267.75 85% = $303.45 </w:t>
            </w:r>
          </w:p>
        </w:tc>
      </w:tr>
    </w:tbl>
    <w:p w14:paraId="44872B7A" w14:textId="77777777" w:rsidR="00F40146" w:rsidRPr="005F4560" w:rsidRDefault="00F40146" w:rsidP="004A0BF4">
      <w:pPr>
        <w:pStyle w:val="Heading2"/>
        <w:numPr>
          <w:ilvl w:val="0"/>
          <w:numId w:val="0"/>
        </w:numPr>
        <w:ind w:left="360"/>
      </w:pPr>
    </w:p>
    <w:p w14:paraId="12A6375E" w14:textId="77777777" w:rsidR="00F40146" w:rsidRPr="005F4560" w:rsidRDefault="00F40146">
      <w:pPr>
        <w:spacing w:before="0" w:after="200" w:line="276" w:lineRule="auto"/>
        <w:rPr>
          <w:b/>
          <w:szCs w:val="20"/>
        </w:rPr>
      </w:pPr>
      <w:r w:rsidRPr="005F4560">
        <w:br w:type="page"/>
      </w:r>
    </w:p>
    <w:p w14:paraId="109BC057" w14:textId="77777777" w:rsidR="00E058F2" w:rsidRPr="005F4560" w:rsidRDefault="001B5169" w:rsidP="00AE1188">
      <w:pPr>
        <w:pStyle w:val="Heading1"/>
        <w:rPr>
          <w:color w:val="auto"/>
        </w:rPr>
      </w:pPr>
      <w:r w:rsidRPr="005F4560">
        <w:rPr>
          <w:color w:val="auto"/>
        </w:rPr>
        <w:lastRenderedPageBreak/>
        <w:t>PART 9</w:t>
      </w:r>
      <w:r w:rsidR="00F93784" w:rsidRPr="005F4560">
        <w:rPr>
          <w:color w:val="auto"/>
        </w:rPr>
        <w:t xml:space="preserve"> – </w:t>
      </w:r>
      <w:r w:rsidR="00E058F2" w:rsidRPr="005F4560">
        <w:rPr>
          <w:color w:val="auto"/>
        </w:rPr>
        <w:t>FEEDBACK</w:t>
      </w:r>
    </w:p>
    <w:p w14:paraId="422E74FD" w14:textId="77777777" w:rsidR="00E058F2" w:rsidRPr="005F4560" w:rsidRDefault="00E058F2" w:rsidP="00E058F2">
      <w:pPr>
        <w:rPr>
          <w:szCs w:val="20"/>
        </w:rPr>
      </w:pPr>
      <w:r w:rsidRPr="005F4560">
        <w:rPr>
          <w:szCs w:val="20"/>
        </w:rPr>
        <w:t>The Department</w:t>
      </w:r>
      <w:r w:rsidR="005A58BA" w:rsidRPr="005F4560">
        <w:rPr>
          <w:szCs w:val="20"/>
        </w:rPr>
        <w:t xml:space="preserve"> is interested in your feedback.</w:t>
      </w:r>
    </w:p>
    <w:p w14:paraId="0B4AEE45" w14:textId="77777777" w:rsidR="00E058F2" w:rsidRPr="005F4560" w:rsidRDefault="00E058F2" w:rsidP="001B5169">
      <w:pPr>
        <w:pStyle w:val="Heading2"/>
      </w:pPr>
      <w:r w:rsidRPr="005F4560">
        <w:t>How long did it take to complete the Application Form?</w:t>
      </w:r>
    </w:p>
    <w:p w14:paraId="54A3972B" w14:textId="5F14DFCA" w:rsidR="00E058F2" w:rsidRPr="005F4560" w:rsidRDefault="00A63291" w:rsidP="00603D04">
      <w:pPr>
        <w:ind w:left="426"/>
      </w:pPr>
      <w:r w:rsidRPr="005F4560">
        <w:t>Approximately 120 hours (including research and preparation).</w:t>
      </w:r>
    </w:p>
    <w:p w14:paraId="22EB3F1D" w14:textId="77777777" w:rsidR="001845D9" w:rsidRPr="005F4560" w:rsidRDefault="001B5169" w:rsidP="00530204">
      <w:pPr>
        <w:pStyle w:val="Heading2"/>
      </w:pPr>
      <w:r w:rsidRPr="005F4560">
        <w:t xml:space="preserve">(a) </w:t>
      </w:r>
      <w:r w:rsidR="001845D9" w:rsidRPr="005F4560">
        <w:t xml:space="preserve">Was the Application Form </w:t>
      </w:r>
      <w:r w:rsidR="0081650F" w:rsidRPr="005F4560">
        <w:t>clear and easy to complete?</w:t>
      </w:r>
    </w:p>
    <w:p w14:paraId="35E103FE" w14:textId="77777777" w:rsidR="00603D04" w:rsidRPr="005F4560" w:rsidRDefault="00F65F07" w:rsidP="00603D04">
      <w:pPr>
        <w:spacing w:before="0" w:after="0"/>
        <w:ind w:left="426"/>
        <w:rPr>
          <w:szCs w:val="20"/>
        </w:rPr>
      </w:pPr>
      <w:r w:rsidRPr="005F4560">
        <w:rPr>
          <w:szCs w:val="20"/>
        </w:rPr>
        <w:fldChar w:fldCharType="begin">
          <w:ffData>
            <w:name w:val=""/>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603D04" w:rsidRPr="005F4560">
        <w:rPr>
          <w:szCs w:val="20"/>
        </w:rPr>
        <w:t xml:space="preserve"> Yes</w:t>
      </w:r>
      <w:r w:rsidR="00603D04" w:rsidRPr="005F4560">
        <w:rPr>
          <w:szCs w:val="20"/>
        </w:rPr>
        <w:tab/>
      </w:r>
    </w:p>
    <w:p w14:paraId="1462F38E" w14:textId="5797B31C" w:rsidR="00603D04" w:rsidRPr="005F4560" w:rsidRDefault="00603D04" w:rsidP="00603D04">
      <w:pPr>
        <w:spacing w:before="0" w:after="0"/>
        <w:ind w:left="426"/>
        <w:rPr>
          <w:szCs w:val="20"/>
        </w:rPr>
      </w:pPr>
      <w:r w:rsidRPr="005F4560">
        <w:rPr>
          <w:szCs w:val="20"/>
        </w:rPr>
        <w:fldChar w:fldCharType="begin">
          <w:ffData>
            <w:name w:val=""/>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No</w:t>
      </w:r>
    </w:p>
    <w:p w14:paraId="33263E9E" w14:textId="77777777" w:rsidR="003D6DE1" w:rsidRPr="005F4560" w:rsidRDefault="00603D04" w:rsidP="00560B5A">
      <w:pPr>
        <w:pStyle w:val="Heading2"/>
        <w:numPr>
          <w:ilvl w:val="0"/>
          <w:numId w:val="9"/>
        </w:numPr>
      </w:pPr>
      <w:r w:rsidRPr="005F4560">
        <w:t>If no, provide areas of concern:</w:t>
      </w:r>
    </w:p>
    <w:p w14:paraId="22295BF9" w14:textId="77777777" w:rsidR="00E324AF" w:rsidRPr="005F4560" w:rsidRDefault="00E324AF" w:rsidP="00F40146"/>
    <w:p w14:paraId="06ED3478" w14:textId="6F02C3D3" w:rsidR="00E058F2" w:rsidRPr="005F4560" w:rsidRDefault="00E324AF" w:rsidP="00530204">
      <w:pPr>
        <w:pStyle w:val="Heading2"/>
      </w:pPr>
      <w:r w:rsidRPr="005F4560" w:rsidDel="00E324AF">
        <w:t xml:space="preserve"> </w:t>
      </w:r>
      <w:r w:rsidR="001B5169" w:rsidRPr="005F4560">
        <w:t xml:space="preserve">(a) </w:t>
      </w:r>
      <w:r w:rsidR="00E058F2" w:rsidRPr="005F4560">
        <w:t>Are the associated Guidelines to the Application Form useful?</w:t>
      </w:r>
    </w:p>
    <w:p w14:paraId="55029C96" w14:textId="77777777" w:rsidR="00603D04" w:rsidRPr="005F4560" w:rsidRDefault="00F65F07" w:rsidP="00603D04">
      <w:pPr>
        <w:spacing w:before="0" w:after="0"/>
        <w:ind w:left="426"/>
        <w:rPr>
          <w:szCs w:val="20"/>
        </w:rPr>
      </w:pPr>
      <w:r w:rsidRPr="005F4560">
        <w:rPr>
          <w:szCs w:val="20"/>
        </w:rPr>
        <w:fldChar w:fldCharType="begin">
          <w:ffData>
            <w:name w:val=""/>
            <w:enabled/>
            <w:calcOnExit w:val="0"/>
            <w:checkBox>
              <w:sizeAuto/>
              <w:default w:val="1"/>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00603D04" w:rsidRPr="005F4560">
        <w:rPr>
          <w:szCs w:val="20"/>
        </w:rPr>
        <w:t xml:space="preserve"> Yes</w:t>
      </w:r>
      <w:r w:rsidR="00603D04" w:rsidRPr="005F4560">
        <w:rPr>
          <w:szCs w:val="20"/>
        </w:rPr>
        <w:tab/>
      </w:r>
    </w:p>
    <w:p w14:paraId="603DFAC9" w14:textId="77777777" w:rsidR="00603D04" w:rsidRPr="005F4560" w:rsidRDefault="00603D04" w:rsidP="00603D04">
      <w:pPr>
        <w:spacing w:before="0" w:after="0"/>
        <w:ind w:left="426"/>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No</w:t>
      </w:r>
    </w:p>
    <w:p w14:paraId="44CAD81F" w14:textId="77777777" w:rsidR="003D6DE1" w:rsidRDefault="003D6DE1" w:rsidP="00560B5A">
      <w:pPr>
        <w:pStyle w:val="Heading2"/>
        <w:numPr>
          <w:ilvl w:val="0"/>
          <w:numId w:val="10"/>
        </w:numPr>
      </w:pPr>
      <w:r w:rsidRPr="005F4560">
        <w:t>If no, what areas did you find not to be useful?</w:t>
      </w:r>
    </w:p>
    <w:p w14:paraId="3DCA52F8" w14:textId="77777777" w:rsidR="0020720D" w:rsidRPr="0020720D" w:rsidRDefault="0020720D" w:rsidP="0020720D"/>
    <w:p w14:paraId="75A57641" w14:textId="5FB29C58" w:rsidR="00E058F2" w:rsidRPr="005F4560" w:rsidRDefault="00E324AF" w:rsidP="00530204">
      <w:pPr>
        <w:pStyle w:val="Heading2"/>
      </w:pPr>
      <w:r w:rsidRPr="005F4560" w:rsidDel="00E324AF">
        <w:t xml:space="preserve"> </w:t>
      </w:r>
      <w:r w:rsidR="001B5169" w:rsidRPr="005F4560">
        <w:t xml:space="preserve">(a) </w:t>
      </w:r>
      <w:r w:rsidR="00E058F2" w:rsidRPr="005F4560">
        <w:t>Is there any information that the Department should consider in the future</w:t>
      </w:r>
      <w:r w:rsidR="00CF2DFA" w:rsidRPr="005F4560">
        <w:t xml:space="preserve"> relating to the questions within the Application Form</w:t>
      </w:r>
      <w:r w:rsidR="00E058F2" w:rsidRPr="005F4560">
        <w:t xml:space="preserve"> that is not contained in the Application Form?</w:t>
      </w:r>
    </w:p>
    <w:p w14:paraId="67B685C9" w14:textId="77777777" w:rsidR="00603D04" w:rsidRPr="005F4560" w:rsidRDefault="00603D04" w:rsidP="00603D04">
      <w:pPr>
        <w:spacing w:before="0" w:after="0"/>
        <w:ind w:left="426"/>
        <w:rPr>
          <w:szCs w:val="20"/>
        </w:rPr>
      </w:pPr>
      <w:r w:rsidRPr="005F4560">
        <w:rPr>
          <w:szCs w:val="20"/>
        </w:rPr>
        <w:fldChar w:fldCharType="begin">
          <w:ffData>
            <w:name w:val="Check1"/>
            <w:enabled/>
            <w:calcOnExit w:val="0"/>
            <w:checkBox>
              <w:sizeAuto/>
              <w:default w:val="0"/>
            </w:checkBox>
          </w:ffData>
        </w:fldChar>
      </w:r>
      <w:r w:rsidRPr="005F4560">
        <w:rPr>
          <w:szCs w:val="20"/>
        </w:rPr>
        <w:instrText xml:space="preserve"> FORMCHECKBOX </w:instrText>
      </w:r>
      <w:r w:rsidR="009878BB">
        <w:rPr>
          <w:szCs w:val="20"/>
        </w:rPr>
      </w:r>
      <w:r w:rsidR="009878BB">
        <w:rPr>
          <w:szCs w:val="20"/>
        </w:rPr>
        <w:fldChar w:fldCharType="separate"/>
      </w:r>
      <w:r w:rsidRPr="005F4560">
        <w:rPr>
          <w:szCs w:val="20"/>
        </w:rPr>
        <w:fldChar w:fldCharType="end"/>
      </w:r>
      <w:r w:rsidRPr="005F4560">
        <w:rPr>
          <w:szCs w:val="20"/>
        </w:rPr>
        <w:t xml:space="preserve"> Yes</w:t>
      </w:r>
      <w:r w:rsidRPr="005F4560">
        <w:rPr>
          <w:szCs w:val="20"/>
        </w:rPr>
        <w:tab/>
      </w:r>
    </w:p>
    <w:p w14:paraId="603758B1" w14:textId="625C8EC9" w:rsidR="00603D04" w:rsidRPr="005F4560" w:rsidRDefault="0020720D"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78BB">
        <w:rPr>
          <w:szCs w:val="20"/>
        </w:rPr>
      </w:r>
      <w:r w:rsidR="009878BB">
        <w:rPr>
          <w:szCs w:val="20"/>
        </w:rPr>
        <w:fldChar w:fldCharType="separate"/>
      </w:r>
      <w:r>
        <w:rPr>
          <w:szCs w:val="20"/>
        </w:rPr>
        <w:fldChar w:fldCharType="end"/>
      </w:r>
      <w:r w:rsidR="00603D04" w:rsidRPr="005F4560">
        <w:rPr>
          <w:szCs w:val="20"/>
        </w:rPr>
        <w:t xml:space="preserve"> No</w:t>
      </w:r>
    </w:p>
    <w:p w14:paraId="465274FD" w14:textId="77777777" w:rsidR="001845D9" w:rsidRPr="005F4560" w:rsidRDefault="001845D9" w:rsidP="00560B5A">
      <w:pPr>
        <w:pStyle w:val="Heading2"/>
        <w:numPr>
          <w:ilvl w:val="0"/>
          <w:numId w:val="11"/>
        </w:numPr>
      </w:pPr>
      <w:r w:rsidRPr="005F4560">
        <w:t xml:space="preserve">If yes, please </w:t>
      </w:r>
      <w:proofErr w:type="gramStart"/>
      <w:r w:rsidRPr="005F4560">
        <w:t>advise</w:t>
      </w:r>
      <w:proofErr w:type="gramEnd"/>
      <w:r w:rsidRPr="005F4560">
        <w:t>:</w:t>
      </w:r>
    </w:p>
    <w:p w14:paraId="645EDCF5" w14:textId="6224C5C4" w:rsidR="00451840" w:rsidRPr="005F4560" w:rsidRDefault="00451840" w:rsidP="00603D04">
      <w:pPr>
        <w:ind w:left="426"/>
        <w:rPr>
          <w:szCs w:val="20"/>
        </w:rPr>
      </w:pPr>
    </w:p>
    <w:sectPr w:rsidR="00451840" w:rsidRPr="005F456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E214" w14:textId="77777777" w:rsidR="009878BB" w:rsidRDefault="009878BB" w:rsidP="00CF2DFA">
      <w:pPr>
        <w:spacing w:after="0"/>
      </w:pPr>
      <w:r>
        <w:separator/>
      </w:r>
    </w:p>
  </w:endnote>
  <w:endnote w:type="continuationSeparator" w:id="0">
    <w:p w14:paraId="053A62BB" w14:textId="77777777" w:rsidR="009878BB" w:rsidRDefault="009878BB" w:rsidP="00CF2DFA">
      <w:pPr>
        <w:spacing w:after="0"/>
      </w:pPr>
      <w:r>
        <w:continuationSeparator/>
      </w:r>
    </w:p>
  </w:endnote>
  <w:endnote w:type="continuationNotice" w:id="1">
    <w:p w14:paraId="5746D80C" w14:textId="77777777" w:rsidR="009878BB" w:rsidRDefault="009878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dvHNe-LCd">
    <w:altName w:val="Calibri"/>
    <w:panose1 w:val="00000000000000000000"/>
    <w:charset w:val="00"/>
    <w:family w:val="swiss"/>
    <w:notTrueType/>
    <w:pitch w:val="default"/>
    <w:sig w:usb0="00000003" w:usb1="00000000" w:usb2="00000000" w:usb3="00000000" w:csb0="00000001" w:csb1="00000000"/>
  </w:font>
  <w:font w:name="AdvP80675">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OT8eb9eec2.B">
    <w:altName w:val="Calibri"/>
    <w:panose1 w:val="00000000000000000000"/>
    <w:charset w:val="00"/>
    <w:family w:val="swiss"/>
    <w:notTrueType/>
    <w:pitch w:val="default"/>
    <w:sig w:usb0="00000003" w:usb1="00000000" w:usb2="00000000" w:usb3="00000000" w:csb0="00000001" w:csb1="00000000"/>
  </w:font>
  <w:font w:name="AdvOT87508ede.BI">
    <w:altName w:val="Calibri"/>
    <w:panose1 w:val="00000000000000000000"/>
    <w:charset w:val="00"/>
    <w:family w:val="swiss"/>
    <w:notTrueType/>
    <w:pitch w:val="default"/>
    <w:sig w:usb0="00000003" w:usb1="00000000" w:usb2="00000000" w:usb3="00000000" w:csb0="00000001" w:csb1="00000000"/>
  </w:font>
  <w:font w:name="AdvPSA88B">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84508932"/>
      <w:docPartObj>
        <w:docPartGallery w:val="Page Numbers (Bottom of Page)"/>
        <w:docPartUnique/>
      </w:docPartObj>
    </w:sdtPr>
    <w:sdtEndPr>
      <w:rPr>
        <w:rFonts w:cstheme="minorHAnsi"/>
        <w:color w:val="808080" w:themeColor="background1" w:themeShade="80"/>
        <w:spacing w:val="60"/>
      </w:rPr>
    </w:sdtEndPr>
    <w:sdtContent>
      <w:p w14:paraId="7DD01FA0" w14:textId="07151CF9" w:rsidR="009878BB" w:rsidRDefault="009878BB" w:rsidP="00C26D85">
        <w:pPr>
          <w:pStyle w:val="KMC16-Text"/>
          <w:spacing w:line="240" w:lineRule="auto"/>
          <w:jc w:val="center"/>
          <w:rPr>
            <w:rFonts w:cstheme="minorHAnsi"/>
            <w:color w:val="808080" w:themeColor="background1" w:themeShade="80"/>
            <w:spacing w:val="60"/>
            <w:sz w:val="18"/>
            <w:szCs w:val="18"/>
          </w:rPr>
        </w:pPr>
        <w:r w:rsidRPr="00C26D85">
          <w:rPr>
            <w:rFonts w:cstheme="minorHAnsi"/>
            <w:color w:val="808080" w:themeColor="background1" w:themeShade="80"/>
            <w:spacing w:val="60"/>
            <w:sz w:val="18"/>
            <w:szCs w:val="18"/>
          </w:rPr>
          <w:t>1515 -</w:t>
        </w:r>
        <w:r>
          <w:rPr>
            <w:sz w:val="18"/>
            <w:szCs w:val="18"/>
          </w:rPr>
          <w:t xml:space="preserve"> </w:t>
        </w:r>
        <w:r w:rsidRPr="005C264C">
          <w:rPr>
            <w:rFonts w:cstheme="minorHAnsi"/>
            <w:color w:val="808080" w:themeColor="background1" w:themeShade="80"/>
            <w:spacing w:val="60"/>
            <w:sz w:val="18"/>
            <w:szCs w:val="18"/>
          </w:rPr>
          <w:t>Endoscopic placement and removal of an intra-gastric balloon (IGB) for the management of overweight and obesity, in a high-risk patient group who have failed first line treatments</w:t>
        </w:r>
      </w:p>
    </w:sdtContent>
  </w:sdt>
  <w:p w14:paraId="65901BD3" w14:textId="7E493D70" w:rsidR="009878BB" w:rsidRDefault="009878BB" w:rsidP="005C264C">
    <w:pPr>
      <w:pStyle w:val="KMC16-Text"/>
      <w:spacing w:line="240" w:lineRule="auto"/>
      <w:jc w:val="right"/>
      <w:rPr>
        <w:rFonts w:cstheme="minorHAnsi"/>
        <w:color w:val="808080" w:themeColor="background1" w:themeShade="80"/>
        <w:spacing w:val="60"/>
        <w:sz w:val="18"/>
        <w:szCs w:val="18"/>
      </w:rPr>
    </w:pPr>
    <w:r w:rsidRPr="00B21AE6">
      <w:rPr>
        <w:rFonts w:cstheme="minorHAnsi"/>
        <w:sz w:val="18"/>
        <w:szCs w:val="18"/>
      </w:rPr>
      <w:fldChar w:fldCharType="begin"/>
    </w:r>
    <w:r w:rsidRPr="00B21AE6">
      <w:rPr>
        <w:rFonts w:cstheme="minorHAnsi"/>
        <w:sz w:val="18"/>
        <w:szCs w:val="18"/>
      </w:rPr>
      <w:instrText xml:space="preserve"> PAGE   \* MERGEFORMAT </w:instrText>
    </w:r>
    <w:r w:rsidRPr="00B21AE6">
      <w:rPr>
        <w:rFonts w:cstheme="minorHAnsi"/>
        <w:sz w:val="18"/>
        <w:szCs w:val="18"/>
      </w:rPr>
      <w:fldChar w:fldCharType="separate"/>
    </w:r>
    <w:r w:rsidR="004D20EA" w:rsidRPr="004D20EA">
      <w:rPr>
        <w:rFonts w:cstheme="minorHAnsi"/>
        <w:b/>
        <w:bCs/>
        <w:noProof/>
        <w:sz w:val="18"/>
        <w:szCs w:val="18"/>
      </w:rPr>
      <w:t>20</w:t>
    </w:r>
    <w:r w:rsidRPr="00B21AE6">
      <w:rPr>
        <w:rFonts w:cstheme="minorHAnsi"/>
        <w:b/>
        <w:bCs/>
        <w:noProof/>
        <w:sz w:val="18"/>
        <w:szCs w:val="18"/>
      </w:rPr>
      <w:fldChar w:fldCharType="end"/>
    </w:r>
    <w:r w:rsidRPr="00B21AE6">
      <w:rPr>
        <w:rFonts w:cstheme="minorHAnsi"/>
        <w:b/>
        <w:bCs/>
        <w:sz w:val="18"/>
        <w:szCs w:val="18"/>
      </w:rPr>
      <w:t xml:space="preserve"> | </w:t>
    </w:r>
    <w:r>
      <w:rPr>
        <w:rFonts w:cstheme="minorHAnsi"/>
        <w:color w:val="808080" w:themeColor="background1" w:themeShade="80"/>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91FF" w14:textId="77777777" w:rsidR="009878BB" w:rsidRDefault="009878BB" w:rsidP="00CF2DFA">
      <w:pPr>
        <w:spacing w:after="0"/>
      </w:pPr>
      <w:r>
        <w:separator/>
      </w:r>
    </w:p>
  </w:footnote>
  <w:footnote w:type="continuationSeparator" w:id="0">
    <w:p w14:paraId="0D26CA4B" w14:textId="77777777" w:rsidR="009878BB" w:rsidRDefault="009878BB" w:rsidP="00CF2DFA">
      <w:pPr>
        <w:spacing w:after="0"/>
      </w:pPr>
      <w:r>
        <w:continuationSeparator/>
      </w:r>
    </w:p>
  </w:footnote>
  <w:footnote w:type="continuationNotice" w:id="1">
    <w:p w14:paraId="2FC615B6" w14:textId="77777777" w:rsidR="009878BB" w:rsidRDefault="009878BB">
      <w:pPr>
        <w:spacing w:before="0" w:after="0"/>
      </w:pPr>
    </w:p>
  </w:footnote>
  <w:footnote w:id="2">
    <w:p w14:paraId="1B2685E2" w14:textId="3059E13C" w:rsidR="009878BB" w:rsidRDefault="009878BB">
      <w:pPr>
        <w:pStyle w:val="FootnoteText"/>
      </w:pPr>
      <w:r>
        <w:rPr>
          <w:rStyle w:val="FootnoteReference"/>
        </w:rPr>
        <w:footnoteRef/>
      </w:r>
      <w:r>
        <w:t xml:space="preserve"> </w:t>
      </w:r>
      <w:hyperlink r:id="rId1" w:tooltip="AIHW" w:history="1">
        <w:r w:rsidRPr="0066184D">
          <w:rPr>
            <w:rStyle w:val="Hyperlink"/>
          </w:rPr>
          <w:t>http://www.aihw.gov.au/WorkArea/DownloadAsset.aspx?id=60129549614</w:t>
        </w:r>
      </w:hyperlink>
      <w:r>
        <w:t xml:space="preserve"> </w:t>
      </w:r>
    </w:p>
  </w:footnote>
  <w:footnote w:id="3">
    <w:p w14:paraId="786DEEA3" w14:textId="3DDA171C" w:rsidR="009878BB" w:rsidRDefault="009878BB" w:rsidP="00C91DC2">
      <w:pPr>
        <w:pStyle w:val="FootnoteText"/>
      </w:pPr>
      <w:r>
        <w:rPr>
          <w:rStyle w:val="FootnoteReference"/>
        </w:rPr>
        <w:footnoteRef/>
      </w:r>
      <w:r>
        <w:t xml:space="preserve"> </w:t>
      </w:r>
      <w:hyperlink r:id="rId2" w:tooltip="Mayo Clinic" w:history="1">
        <w:r w:rsidRPr="002754D9">
          <w:rPr>
            <w:rStyle w:val="Hyperlink"/>
          </w:rPr>
          <w:t>http://www.mayoclinic.org/medical-professionals/clinical-updates/endocrinology/intragastric-balloon-a-re-emerging-approach-for-obesity</w:t>
        </w:r>
      </w:hyperlink>
      <w:r>
        <w:t xml:space="preserve"> (accessed July 2017)</w:t>
      </w:r>
    </w:p>
  </w:footnote>
  <w:footnote w:id="4">
    <w:p w14:paraId="61BB1129" w14:textId="1CACB64C" w:rsidR="009878BB" w:rsidRDefault="009878BB">
      <w:pPr>
        <w:pStyle w:val="FootnoteText"/>
      </w:pPr>
      <w:r>
        <w:rPr>
          <w:rStyle w:val="FootnoteReference"/>
        </w:rPr>
        <w:footnoteRef/>
      </w:r>
      <w:r>
        <w:t xml:space="preserve"> See note TN.8.29 of the MBS schedule.</w:t>
      </w:r>
    </w:p>
  </w:footnote>
  <w:footnote w:id="5">
    <w:p w14:paraId="0160F4A6" w14:textId="4A284144" w:rsidR="009878BB" w:rsidRDefault="009878BB">
      <w:pPr>
        <w:pStyle w:val="FootnoteText"/>
      </w:pPr>
      <w:r>
        <w:rPr>
          <w:rStyle w:val="FootnoteReference"/>
        </w:rPr>
        <w:footnoteRef/>
      </w:r>
      <w:r>
        <w:t xml:space="preserve"> </w:t>
      </w:r>
      <w:r w:rsidRPr="00FD0376">
        <w:rPr>
          <w:sz w:val="18"/>
          <w:szCs w:val="18"/>
        </w:rPr>
        <w:t>$4,682 National Efficient Price Determination 2017-18 DRG cost weight 0.3097.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9057A"/>
    <w:multiLevelType w:val="hybridMultilevel"/>
    <w:tmpl w:val="8E3AD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04DCE30E"/>
    <w:lvl w:ilvl="0" w:tplc="79565306">
      <w:start w:val="2"/>
      <w:numFmt w:val="lowerLetter"/>
      <w:lvlText w:val="(%1)"/>
      <w:lvlJc w:val="left"/>
      <w:pPr>
        <w:ind w:left="720" w:hanging="360"/>
      </w:pPr>
      <w:rPr>
        <w:rFonts w:hint="default"/>
      </w:rPr>
    </w:lvl>
    <w:lvl w:ilvl="1" w:tplc="1BCCC74E">
      <w:start w:val="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9B0102"/>
    <w:multiLevelType w:val="hybridMultilevel"/>
    <w:tmpl w:val="B00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13CF0"/>
    <w:multiLevelType w:val="hybridMultilevel"/>
    <w:tmpl w:val="28E08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5C708AB"/>
    <w:multiLevelType w:val="hybridMultilevel"/>
    <w:tmpl w:val="757EF08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A9F4199"/>
    <w:multiLevelType w:val="hybridMultilevel"/>
    <w:tmpl w:val="9C4EDA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2CB6745B"/>
    <w:multiLevelType w:val="hybridMultilevel"/>
    <w:tmpl w:val="4670C6F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17522CE"/>
    <w:multiLevelType w:val="hybridMultilevel"/>
    <w:tmpl w:val="372CF932"/>
    <w:lvl w:ilvl="0" w:tplc="0C09000F">
      <w:start w:val="1"/>
      <w:numFmt w:val="decimal"/>
      <w:lvlText w:val="%1."/>
      <w:lvlJc w:val="left"/>
      <w:pPr>
        <w:ind w:left="720" w:hanging="360"/>
      </w:pPr>
      <w:rPr>
        <w:rFonts w:hint="default"/>
      </w:rPr>
    </w:lvl>
    <w:lvl w:ilvl="1" w:tplc="81260E4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41267B"/>
    <w:multiLevelType w:val="hybridMultilevel"/>
    <w:tmpl w:val="257C4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EC28FF"/>
    <w:multiLevelType w:val="multilevel"/>
    <w:tmpl w:val="E0747D72"/>
    <w:lvl w:ilvl="0">
      <w:start w:val="1"/>
      <w:numFmt w:val="upperLetter"/>
      <w:lvlText w:val="%1."/>
      <w:lvlJc w:val="left"/>
      <w:pPr>
        <w:tabs>
          <w:tab w:val="num" w:pos="709"/>
        </w:tabs>
        <w:ind w:left="709" w:hanging="709"/>
      </w:pPr>
      <w:rPr>
        <w:rFonts w:hint="default"/>
      </w:rPr>
    </w:lvl>
    <w:lvl w:ilvl="1">
      <w:start w:val="1"/>
      <w:numFmt w:val="upperLetter"/>
      <w:lvlText w:val="%2."/>
      <w:lvlJc w:val="left"/>
      <w:pPr>
        <w:tabs>
          <w:tab w:val="num" w:pos="709"/>
        </w:tabs>
        <w:ind w:left="709" w:hanging="709"/>
      </w:pPr>
      <w:rPr>
        <w:rFonts w:hint="default"/>
      </w:rPr>
    </w:lvl>
    <w:lvl w:ilvl="2">
      <w:start w:val="1"/>
      <w:numFmt w:val="decimal"/>
      <w:lvlText w:val="%2.%3"/>
      <w:lvlJc w:val="left"/>
      <w:pPr>
        <w:tabs>
          <w:tab w:val="num" w:pos="851"/>
        </w:tabs>
        <w:ind w:left="851" w:hanging="709"/>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60"/>
        </w:tabs>
        <w:ind w:left="1560" w:hanging="709"/>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18"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494F27A0"/>
    <w:multiLevelType w:val="hybridMultilevel"/>
    <w:tmpl w:val="BAF003AE"/>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0"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20719CA"/>
    <w:multiLevelType w:val="multilevel"/>
    <w:tmpl w:val="AC54B2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A231F7"/>
    <w:multiLevelType w:val="hybridMultilevel"/>
    <w:tmpl w:val="C72EA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D30372"/>
    <w:multiLevelType w:val="multilevel"/>
    <w:tmpl w:val="A3940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80F61E5"/>
    <w:multiLevelType w:val="hybridMultilevel"/>
    <w:tmpl w:val="8FE487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30"/>
  </w:num>
  <w:num w:numId="3">
    <w:abstractNumId w:val="1"/>
  </w:num>
  <w:num w:numId="4">
    <w:abstractNumId w:val="25"/>
  </w:num>
  <w:num w:numId="5">
    <w:abstractNumId w:val="4"/>
  </w:num>
  <w:num w:numId="6">
    <w:abstractNumId w:val="22"/>
  </w:num>
  <w:num w:numId="7">
    <w:abstractNumId w:val="29"/>
  </w:num>
  <w:num w:numId="8">
    <w:abstractNumId w:val="3"/>
  </w:num>
  <w:num w:numId="9">
    <w:abstractNumId w:val="24"/>
  </w:num>
  <w:num w:numId="10">
    <w:abstractNumId w:val="7"/>
  </w:num>
  <w:num w:numId="11">
    <w:abstractNumId w:val="23"/>
  </w:num>
  <w:num w:numId="12">
    <w:abstractNumId w:val="6"/>
  </w:num>
  <w:num w:numId="13">
    <w:abstractNumId w:val="18"/>
  </w:num>
  <w:num w:numId="14">
    <w:abstractNumId w:val="0"/>
  </w:num>
  <w:num w:numId="15">
    <w:abstractNumId w:val="5"/>
  </w:num>
  <w:num w:numId="16">
    <w:abstractNumId w:val="19"/>
  </w:num>
  <w:num w:numId="17">
    <w:abstractNumId w:val="10"/>
  </w:num>
  <w:num w:numId="18">
    <w:abstractNumId w:val="2"/>
  </w:num>
  <w:num w:numId="19">
    <w:abstractNumId w:val="17"/>
    <w:lvlOverride w:ilvl="0">
      <w:lvl w:ilvl="0">
        <w:start w:val="1"/>
        <w:numFmt w:val="upperLetter"/>
        <w:lvlText w:val="%1."/>
        <w:lvlJc w:val="left"/>
        <w:pPr>
          <w:tabs>
            <w:tab w:val="num" w:pos="709"/>
          </w:tabs>
          <w:ind w:left="709" w:hanging="709"/>
        </w:pPr>
        <w:rPr>
          <w:rFonts w:hint="default"/>
        </w:rPr>
      </w:lvl>
    </w:lvlOverride>
    <w:lvlOverride w:ilvl="1">
      <w:lvl w:ilvl="1">
        <w:start w:val="1"/>
        <w:numFmt w:val="upperLetter"/>
        <w:lvlText w:val="%2."/>
        <w:lvlJc w:val="left"/>
        <w:pPr>
          <w:tabs>
            <w:tab w:val="num" w:pos="709"/>
          </w:tabs>
          <w:ind w:left="709" w:hanging="709"/>
        </w:pPr>
        <w:rPr>
          <w:rFonts w:hint="default"/>
        </w:rPr>
      </w:lvl>
    </w:lvlOverride>
    <w:lvlOverride w:ilvl="2">
      <w:lvl w:ilvl="2">
        <w:start w:val="1"/>
        <w:numFmt w:val="decimal"/>
        <w:lvlText w:val="%2.%3"/>
        <w:lvlJc w:val="left"/>
        <w:pPr>
          <w:tabs>
            <w:tab w:val="num" w:pos="851"/>
          </w:tabs>
          <w:ind w:left="851"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2.%3.%4"/>
        <w:lvlJc w:val="left"/>
        <w:pPr>
          <w:tabs>
            <w:tab w:val="num" w:pos="2411"/>
          </w:tabs>
          <w:ind w:left="2411" w:hanging="709"/>
        </w:pPr>
        <w:rPr>
          <w:rFonts w:hint="default"/>
        </w:rPr>
      </w:lvl>
    </w:lvlOverride>
    <w:lvlOverride w:ilvl="4">
      <w:lvl w:ilvl="4">
        <w:start w:val="1"/>
        <w:numFmt w:val="decimal"/>
        <w:lvlText w:val="%1.%2.%3.%4.%5"/>
        <w:lvlJc w:val="left"/>
        <w:pPr>
          <w:tabs>
            <w:tab w:val="num" w:pos="-180"/>
          </w:tabs>
          <w:ind w:left="-180" w:firstLine="0"/>
        </w:pPr>
        <w:rPr>
          <w:rFonts w:hint="default"/>
        </w:rPr>
      </w:lvl>
    </w:lvlOverride>
    <w:lvlOverride w:ilvl="5">
      <w:lvl w:ilvl="5">
        <w:start w:val="1"/>
        <w:numFmt w:val="decimal"/>
        <w:lvlText w:val="%1.%2.%3.%4.%5.%6"/>
        <w:lvlJc w:val="left"/>
        <w:pPr>
          <w:tabs>
            <w:tab w:val="num" w:pos="972"/>
          </w:tabs>
          <w:ind w:left="972" w:hanging="1152"/>
        </w:pPr>
        <w:rPr>
          <w:rFonts w:hint="default"/>
        </w:rPr>
      </w:lvl>
    </w:lvlOverride>
    <w:lvlOverride w:ilvl="6">
      <w:lvl w:ilvl="6">
        <w:start w:val="1"/>
        <w:numFmt w:val="decimal"/>
        <w:lvlText w:val="%1.%2.%3.%4.%5.%6.%7"/>
        <w:lvlJc w:val="left"/>
        <w:pPr>
          <w:tabs>
            <w:tab w:val="num" w:pos="1116"/>
          </w:tabs>
          <w:ind w:left="1116" w:hanging="1296"/>
        </w:pPr>
        <w:rPr>
          <w:rFonts w:hint="default"/>
        </w:rPr>
      </w:lvl>
    </w:lvlOverride>
    <w:lvlOverride w:ilvl="7">
      <w:lvl w:ilvl="7">
        <w:start w:val="1"/>
        <w:numFmt w:val="decimal"/>
        <w:lvlText w:val="%1.%2.%3.%4.%5.%6.%7.%8"/>
        <w:lvlJc w:val="left"/>
        <w:pPr>
          <w:tabs>
            <w:tab w:val="num" w:pos="1260"/>
          </w:tabs>
          <w:ind w:left="1260" w:hanging="1440"/>
        </w:pPr>
        <w:rPr>
          <w:rFonts w:hint="default"/>
        </w:rPr>
      </w:lvl>
    </w:lvlOverride>
    <w:lvlOverride w:ilvl="8">
      <w:lvl w:ilvl="8">
        <w:start w:val="1"/>
        <w:numFmt w:val="decimal"/>
        <w:lvlText w:val="%1.%2.%3.%4.%5.%6.%7.%8.%9"/>
        <w:lvlJc w:val="left"/>
        <w:pPr>
          <w:tabs>
            <w:tab w:val="num" w:pos="1404"/>
          </w:tabs>
          <w:ind w:left="1404" w:hanging="1584"/>
        </w:pPr>
        <w:rPr>
          <w:rFonts w:hint="default"/>
        </w:rPr>
      </w:lvl>
    </w:lvlOverride>
  </w:num>
  <w:num w:numId="20">
    <w:abstractNumId w:val="9"/>
  </w:num>
  <w:num w:numId="21">
    <w:abstractNumId w:val="16"/>
  </w:num>
  <w:num w:numId="22">
    <w:abstractNumId w:val="13"/>
  </w:num>
  <w:num w:numId="23">
    <w:abstractNumId w:val="26"/>
  </w:num>
  <w:num w:numId="24">
    <w:abstractNumId w:val="12"/>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5"/>
  </w:num>
  <w:num w:numId="46">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4"/>
  </w:num>
  <w:num w:numId="49">
    <w:abstractNumId w:val="8"/>
  </w:num>
  <w:num w:numId="5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797E"/>
    <w:rsid w:val="00007C48"/>
    <w:rsid w:val="000110DC"/>
    <w:rsid w:val="000119D2"/>
    <w:rsid w:val="00014D07"/>
    <w:rsid w:val="00014E8A"/>
    <w:rsid w:val="000158AA"/>
    <w:rsid w:val="000159B9"/>
    <w:rsid w:val="00016B6E"/>
    <w:rsid w:val="00017C51"/>
    <w:rsid w:val="00021E46"/>
    <w:rsid w:val="00023E21"/>
    <w:rsid w:val="00025043"/>
    <w:rsid w:val="00025ABC"/>
    <w:rsid w:val="00026412"/>
    <w:rsid w:val="00027035"/>
    <w:rsid w:val="00027B44"/>
    <w:rsid w:val="00031072"/>
    <w:rsid w:val="0003191D"/>
    <w:rsid w:val="000319A8"/>
    <w:rsid w:val="00031F6F"/>
    <w:rsid w:val="0003252F"/>
    <w:rsid w:val="00033654"/>
    <w:rsid w:val="000346AA"/>
    <w:rsid w:val="00034D6E"/>
    <w:rsid w:val="00036B3F"/>
    <w:rsid w:val="000403F2"/>
    <w:rsid w:val="00043105"/>
    <w:rsid w:val="00045815"/>
    <w:rsid w:val="000466D2"/>
    <w:rsid w:val="00046ABD"/>
    <w:rsid w:val="00047356"/>
    <w:rsid w:val="0005089D"/>
    <w:rsid w:val="000525BC"/>
    <w:rsid w:val="00052FB8"/>
    <w:rsid w:val="00053967"/>
    <w:rsid w:val="00057331"/>
    <w:rsid w:val="00061DAE"/>
    <w:rsid w:val="00062622"/>
    <w:rsid w:val="00062F0B"/>
    <w:rsid w:val="00070B96"/>
    <w:rsid w:val="00071F7D"/>
    <w:rsid w:val="00073222"/>
    <w:rsid w:val="00074E1C"/>
    <w:rsid w:val="00075B12"/>
    <w:rsid w:val="000770BA"/>
    <w:rsid w:val="00081FEB"/>
    <w:rsid w:val="00083B00"/>
    <w:rsid w:val="00083B2B"/>
    <w:rsid w:val="00086065"/>
    <w:rsid w:val="00086C78"/>
    <w:rsid w:val="00092580"/>
    <w:rsid w:val="00092D9E"/>
    <w:rsid w:val="00093354"/>
    <w:rsid w:val="0009369D"/>
    <w:rsid w:val="000936EC"/>
    <w:rsid w:val="00093BB0"/>
    <w:rsid w:val="000955E7"/>
    <w:rsid w:val="000A0396"/>
    <w:rsid w:val="000A110D"/>
    <w:rsid w:val="000A478F"/>
    <w:rsid w:val="000A479B"/>
    <w:rsid w:val="000A5142"/>
    <w:rsid w:val="000A5756"/>
    <w:rsid w:val="000A5B32"/>
    <w:rsid w:val="000A74E3"/>
    <w:rsid w:val="000B1555"/>
    <w:rsid w:val="000B2ADF"/>
    <w:rsid w:val="000B3CD0"/>
    <w:rsid w:val="000B6043"/>
    <w:rsid w:val="000B6237"/>
    <w:rsid w:val="000C7D68"/>
    <w:rsid w:val="000D066E"/>
    <w:rsid w:val="000D0831"/>
    <w:rsid w:val="000D1EF1"/>
    <w:rsid w:val="000D28EE"/>
    <w:rsid w:val="000D3610"/>
    <w:rsid w:val="000D39F3"/>
    <w:rsid w:val="000D466A"/>
    <w:rsid w:val="000D74FE"/>
    <w:rsid w:val="000E0500"/>
    <w:rsid w:val="000E0C14"/>
    <w:rsid w:val="000E138F"/>
    <w:rsid w:val="000E47E7"/>
    <w:rsid w:val="000E4FE6"/>
    <w:rsid w:val="000E5439"/>
    <w:rsid w:val="000F0290"/>
    <w:rsid w:val="000F0678"/>
    <w:rsid w:val="000F3859"/>
    <w:rsid w:val="000F3D15"/>
    <w:rsid w:val="00101811"/>
    <w:rsid w:val="00101C20"/>
    <w:rsid w:val="00102686"/>
    <w:rsid w:val="00104DD1"/>
    <w:rsid w:val="00105AFE"/>
    <w:rsid w:val="00107D07"/>
    <w:rsid w:val="0011036E"/>
    <w:rsid w:val="00110CD8"/>
    <w:rsid w:val="0011100E"/>
    <w:rsid w:val="001130B0"/>
    <w:rsid w:val="0011369B"/>
    <w:rsid w:val="0011559A"/>
    <w:rsid w:val="001156C3"/>
    <w:rsid w:val="001164DE"/>
    <w:rsid w:val="0011742E"/>
    <w:rsid w:val="00120593"/>
    <w:rsid w:val="001214B5"/>
    <w:rsid w:val="0012273C"/>
    <w:rsid w:val="00123D10"/>
    <w:rsid w:val="00124356"/>
    <w:rsid w:val="00124B00"/>
    <w:rsid w:val="00126B33"/>
    <w:rsid w:val="0013585F"/>
    <w:rsid w:val="00135A59"/>
    <w:rsid w:val="00141998"/>
    <w:rsid w:val="00142B52"/>
    <w:rsid w:val="0014422F"/>
    <w:rsid w:val="001446A4"/>
    <w:rsid w:val="00144F58"/>
    <w:rsid w:val="00146B59"/>
    <w:rsid w:val="001507D0"/>
    <w:rsid w:val="0015259E"/>
    <w:rsid w:val="0015411A"/>
    <w:rsid w:val="00154B00"/>
    <w:rsid w:val="00157467"/>
    <w:rsid w:val="00162336"/>
    <w:rsid w:val="00163BCE"/>
    <w:rsid w:val="001644E9"/>
    <w:rsid w:val="0016466C"/>
    <w:rsid w:val="00170C7D"/>
    <w:rsid w:val="0017327D"/>
    <w:rsid w:val="0017342C"/>
    <w:rsid w:val="001816D5"/>
    <w:rsid w:val="00181EC3"/>
    <w:rsid w:val="001845D9"/>
    <w:rsid w:val="00185310"/>
    <w:rsid w:val="0018630F"/>
    <w:rsid w:val="001906CD"/>
    <w:rsid w:val="00191B99"/>
    <w:rsid w:val="00192AA7"/>
    <w:rsid w:val="001961AB"/>
    <w:rsid w:val="00197D29"/>
    <w:rsid w:val="001A02E3"/>
    <w:rsid w:val="001A1ADF"/>
    <w:rsid w:val="001A365C"/>
    <w:rsid w:val="001A52B7"/>
    <w:rsid w:val="001A59FB"/>
    <w:rsid w:val="001A6CCD"/>
    <w:rsid w:val="001A6D56"/>
    <w:rsid w:val="001B171D"/>
    <w:rsid w:val="001B1FD4"/>
    <w:rsid w:val="001B29A1"/>
    <w:rsid w:val="001B3AE6"/>
    <w:rsid w:val="001B5169"/>
    <w:rsid w:val="001B6164"/>
    <w:rsid w:val="001C1BB2"/>
    <w:rsid w:val="001C2048"/>
    <w:rsid w:val="001C2A05"/>
    <w:rsid w:val="001C5AFE"/>
    <w:rsid w:val="001C7AFA"/>
    <w:rsid w:val="001D1362"/>
    <w:rsid w:val="001D5706"/>
    <w:rsid w:val="001D77ED"/>
    <w:rsid w:val="001E1180"/>
    <w:rsid w:val="001E23EA"/>
    <w:rsid w:val="001E6919"/>
    <w:rsid w:val="001E6958"/>
    <w:rsid w:val="001F01B7"/>
    <w:rsid w:val="001F4336"/>
    <w:rsid w:val="001F4D90"/>
    <w:rsid w:val="002009CA"/>
    <w:rsid w:val="00201924"/>
    <w:rsid w:val="00201B11"/>
    <w:rsid w:val="002022CA"/>
    <w:rsid w:val="00202473"/>
    <w:rsid w:val="002025F3"/>
    <w:rsid w:val="002053F2"/>
    <w:rsid w:val="00206D63"/>
    <w:rsid w:val="0020720D"/>
    <w:rsid w:val="0021185D"/>
    <w:rsid w:val="00213948"/>
    <w:rsid w:val="0021610F"/>
    <w:rsid w:val="002239CA"/>
    <w:rsid w:val="002247FE"/>
    <w:rsid w:val="00224CED"/>
    <w:rsid w:val="00225077"/>
    <w:rsid w:val="00226777"/>
    <w:rsid w:val="0023032B"/>
    <w:rsid w:val="00231B96"/>
    <w:rsid w:val="00235BD1"/>
    <w:rsid w:val="00241382"/>
    <w:rsid w:val="00242221"/>
    <w:rsid w:val="00242B0E"/>
    <w:rsid w:val="002438BB"/>
    <w:rsid w:val="002462D6"/>
    <w:rsid w:val="00247DF0"/>
    <w:rsid w:val="00253F26"/>
    <w:rsid w:val="00254813"/>
    <w:rsid w:val="002550EE"/>
    <w:rsid w:val="00257FF2"/>
    <w:rsid w:val="00261A07"/>
    <w:rsid w:val="002632A8"/>
    <w:rsid w:val="00264C20"/>
    <w:rsid w:val="002650D8"/>
    <w:rsid w:val="00265822"/>
    <w:rsid w:val="00267FB5"/>
    <w:rsid w:val="0027105F"/>
    <w:rsid w:val="002711FB"/>
    <w:rsid w:val="0027226D"/>
    <w:rsid w:val="002727F5"/>
    <w:rsid w:val="00274D12"/>
    <w:rsid w:val="00275D11"/>
    <w:rsid w:val="00277ECD"/>
    <w:rsid w:val="00281A72"/>
    <w:rsid w:val="00282500"/>
    <w:rsid w:val="00283318"/>
    <w:rsid w:val="00285525"/>
    <w:rsid w:val="002877DD"/>
    <w:rsid w:val="00293957"/>
    <w:rsid w:val="00294A04"/>
    <w:rsid w:val="00294CD8"/>
    <w:rsid w:val="00294F8A"/>
    <w:rsid w:val="002A15DF"/>
    <w:rsid w:val="002A270B"/>
    <w:rsid w:val="002A40AE"/>
    <w:rsid w:val="002A50FD"/>
    <w:rsid w:val="002A59B5"/>
    <w:rsid w:val="002A6753"/>
    <w:rsid w:val="002B15A9"/>
    <w:rsid w:val="002B28D7"/>
    <w:rsid w:val="002B7EB6"/>
    <w:rsid w:val="002C0B61"/>
    <w:rsid w:val="002C15E6"/>
    <w:rsid w:val="002C247D"/>
    <w:rsid w:val="002C3345"/>
    <w:rsid w:val="002C4508"/>
    <w:rsid w:val="002C74E9"/>
    <w:rsid w:val="002D409A"/>
    <w:rsid w:val="002D7564"/>
    <w:rsid w:val="002E05AA"/>
    <w:rsid w:val="002E41AC"/>
    <w:rsid w:val="002E77FB"/>
    <w:rsid w:val="002F16A7"/>
    <w:rsid w:val="002F23D6"/>
    <w:rsid w:val="002F2A42"/>
    <w:rsid w:val="002F30E7"/>
    <w:rsid w:val="002F55EF"/>
    <w:rsid w:val="002F65B8"/>
    <w:rsid w:val="002F74F6"/>
    <w:rsid w:val="0030088B"/>
    <w:rsid w:val="00300EEB"/>
    <w:rsid w:val="003013A9"/>
    <w:rsid w:val="003020B5"/>
    <w:rsid w:val="003027BB"/>
    <w:rsid w:val="00305E16"/>
    <w:rsid w:val="00310A10"/>
    <w:rsid w:val="00316FBA"/>
    <w:rsid w:val="00322A38"/>
    <w:rsid w:val="00322B01"/>
    <w:rsid w:val="00323A5B"/>
    <w:rsid w:val="003267BC"/>
    <w:rsid w:val="00327CE4"/>
    <w:rsid w:val="00327D25"/>
    <w:rsid w:val="003319A7"/>
    <w:rsid w:val="00331E68"/>
    <w:rsid w:val="00332187"/>
    <w:rsid w:val="00334FE3"/>
    <w:rsid w:val="003421AE"/>
    <w:rsid w:val="003433D1"/>
    <w:rsid w:val="00344B24"/>
    <w:rsid w:val="003456B9"/>
    <w:rsid w:val="0035067D"/>
    <w:rsid w:val="00352047"/>
    <w:rsid w:val="0035303D"/>
    <w:rsid w:val="00353A16"/>
    <w:rsid w:val="003543EE"/>
    <w:rsid w:val="00354F9B"/>
    <w:rsid w:val="003573BD"/>
    <w:rsid w:val="0035763F"/>
    <w:rsid w:val="0035776D"/>
    <w:rsid w:val="00360E0F"/>
    <w:rsid w:val="00360F12"/>
    <w:rsid w:val="00364B50"/>
    <w:rsid w:val="00364FD9"/>
    <w:rsid w:val="00365C99"/>
    <w:rsid w:val="003672EE"/>
    <w:rsid w:val="00367C1B"/>
    <w:rsid w:val="00370419"/>
    <w:rsid w:val="003723E1"/>
    <w:rsid w:val="00376B61"/>
    <w:rsid w:val="00380A84"/>
    <w:rsid w:val="00381D8C"/>
    <w:rsid w:val="00382407"/>
    <w:rsid w:val="003827F0"/>
    <w:rsid w:val="00383007"/>
    <w:rsid w:val="00383410"/>
    <w:rsid w:val="00385253"/>
    <w:rsid w:val="00386A64"/>
    <w:rsid w:val="00386FA1"/>
    <w:rsid w:val="00390142"/>
    <w:rsid w:val="003923B5"/>
    <w:rsid w:val="00392F00"/>
    <w:rsid w:val="003937F0"/>
    <w:rsid w:val="00394A82"/>
    <w:rsid w:val="00395163"/>
    <w:rsid w:val="0039668B"/>
    <w:rsid w:val="00397377"/>
    <w:rsid w:val="003A1397"/>
    <w:rsid w:val="003A1F8A"/>
    <w:rsid w:val="003A22DE"/>
    <w:rsid w:val="003A276E"/>
    <w:rsid w:val="003A2860"/>
    <w:rsid w:val="003A318E"/>
    <w:rsid w:val="003A3C35"/>
    <w:rsid w:val="003A481D"/>
    <w:rsid w:val="003A50E5"/>
    <w:rsid w:val="003A68F9"/>
    <w:rsid w:val="003A7D30"/>
    <w:rsid w:val="003B06CC"/>
    <w:rsid w:val="003B0741"/>
    <w:rsid w:val="003B092B"/>
    <w:rsid w:val="003B3C5C"/>
    <w:rsid w:val="003B4101"/>
    <w:rsid w:val="003B5B59"/>
    <w:rsid w:val="003C0D3E"/>
    <w:rsid w:val="003C20C9"/>
    <w:rsid w:val="003C2673"/>
    <w:rsid w:val="003C2A37"/>
    <w:rsid w:val="003C47CA"/>
    <w:rsid w:val="003C5302"/>
    <w:rsid w:val="003D6DE1"/>
    <w:rsid w:val="003D795C"/>
    <w:rsid w:val="003D79B9"/>
    <w:rsid w:val="003D7FE1"/>
    <w:rsid w:val="003E09D7"/>
    <w:rsid w:val="003E30FB"/>
    <w:rsid w:val="003E4CCA"/>
    <w:rsid w:val="003E616F"/>
    <w:rsid w:val="003F014A"/>
    <w:rsid w:val="003F14C7"/>
    <w:rsid w:val="003F1750"/>
    <w:rsid w:val="003F2711"/>
    <w:rsid w:val="003F6C70"/>
    <w:rsid w:val="003F7CB9"/>
    <w:rsid w:val="003F7FD9"/>
    <w:rsid w:val="00403333"/>
    <w:rsid w:val="00403B57"/>
    <w:rsid w:val="00410F33"/>
    <w:rsid w:val="00411735"/>
    <w:rsid w:val="00422DBF"/>
    <w:rsid w:val="0043167A"/>
    <w:rsid w:val="0043271F"/>
    <w:rsid w:val="00434FFD"/>
    <w:rsid w:val="00435FC9"/>
    <w:rsid w:val="0043654D"/>
    <w:rsid w:val="00442482"/>
    <w:rsid w:val="00445A27"/>
    <w:rsid w:val="00451840"/>
    <w:rsid w:val="00452001"/>
    <w:rsid w:val="00453034"/>
    <w:rsid w:val="004554C3"/>
    <w:rsid w:val="00457DE6"/>
    <w:rsid w:val="00460883"/>
    <w:rsid w:val="00460C9A"/>
    <w:rsid w:val="00460F6C"/>
    <w:rsid w:val="00462135"/>
    <w:rsid w:val="004624D2"/>
    <w:rsid w:val="00464867"/>
    <w:rsid w:val="00464924"/>
    <w:rsid w:val="0046729C"/>
    <w:rsid w:val="004729F5"/>
    <w:rsid w:val="00473C6A"/>
    <w:rsid w:val="00475406"/>
    <w:rsid w:val="0047581D"/>
    <w:rsid w:val="004769B6"/>
    <w:rsid w:val="00480289"/>
    <w:rsid w:val="00480447"/>
    <w:rsid w:val="00481279"/>
    <w:rsid w:val="00482F11"/>
    <w:rsid w:val="00483368"/>
    <w:rsid w:val="00483B8F"/>
    <w:rsid w:val="00483E26"/>
    <w:rsid w:val="00484368"/>
    <w:rsid w:val="00490B47"/>
    <w:rsid w:val="004919CB"/>
    <w:rsid w:val="00493AB9"/>
    <w:rsid w:val="00494011"/>
    <w:rsid w:val="004949AC"/>
    <w:rsid w:val="00496050"/>
    <w:rsid w:val="004A0815"/>
    <w:rsid w:val="004A0BF4"/>
    <w:rsid w:val="004A263B"/>
    <w:rsid w:val="004A4E7C"/>
    <w:rsid w:val="004A6557"/>
    <w:rsid w:val="004A68EF"/>
    <w:rsid w:val="004B0D3D"/>
    <w:rsid w:val="004B2BD3"/>
    <w:rsid w:val="004B3C85"/>
    <w:rsid w:val="004B40C8"/>
    <w:rsid w:val="004B636F"/>
    <w:rsid w:val="004B64CC"/>
    <w:rsid w:val="004B68AE"/>
    <w:rsid w:val="004C0F95"/>
    <w:rsid w:val="004C35B0"/>
    <w:rsid w:val="004C378C"/>
    <w:rsid w:val="004C417A"/>
    <w:rsid w:val="004C49EF"/>
    <w:rsid w:val="004C4A19"/>
    <w:rsid w:val="004C5570"/>
    <w:rsid w:val="004C7F92"/>
    <w:rsid w:val="004D00C9"/>
    <w:rsid w:val="004D08ED"/>
    <w:rsid w:val="004D20EA"/>
    <w:rsid w:val="004E0D1C"/>
    <w:rsid w:val="004E16F5"/>
    <w:rsid w:val="004E3151"/>
    <w:rsid w:val="004E3CC7"/>
    <w:rsid w:val="004E5B69"/>
    <w:rsid w:val="004E6F32"/>
    <w:rsid w:val="004F2A87"/>
    <w:rsid w:val="004F4E27"/>
    <w:rsid w:val="004F5DF7"/>
    <w:rsid w:val="005036FC"/>
    <w:rsid w:val="0050517E"/>
    <w:rsid w:val="00505E28"/>
    <w:rsid w:val="005064FB"/>
    <w:rsid w:val="00507C56"/>
    <w:rsid w:val="005102EB"/>
    <w:rsid w:val="00513683"/>
    <w:rsid w:val="00513BD0"/>
    <w:rsid w:val="00514D98"/>
    <w:rsid w:val="00516E48"/>
    <w:rsid w:val="00520547"/>
    <w:rsid w:val="00520C87"/>
    <w:rsid w:val="00522879"/>
    <w:rsid w:val="0052344E"/>
    <w:rsid w:val="00526478"/>
    <w:rsid w:val="00530204"/>
    <w:rsid w:val="005304F5"/>
    <w:rsid w:val="00530E4F"/>
    <w:rsid w:val="005315C0"/>
    <w:rsid w:val="005324A6"/>
    <w:rsid w:val="00534702"/>
    <w:rsid w:val="00534C5F"/>
    <w:rsid w:val="00535301"/>
    <w:rsid w:val="00540257"/>
    <w:rsid w:val="0054140F"/>
    <w:rsid w:val="0054192F"/>
    <w:rsid w:val="00542192"/>
    <w:rsid w:val="0054405F"/>
    <w:rsid w:val="00544EB3"/>
    <w:rsid w:val="005453A1"/>
    <w:rsid w:val="0054594B"/>
    <w:rsid w:val="005465BD"/>
    <w:rsid w:val="00546911"/>
    <w:rsid w:val="0054749B"/>
    <w:rsid w:val="005509BE"/>
    <w:rsid w:val="00551CC6"/>
    <w:rsid w:val="0055252E"/>
    <w:rsid w:val="00555876"/>
    <w:rsid w:val="00555A31"/>
    <w:rsid w:val="00560541"/>
    <w:rsid w:val="00560B5A"/>
    <w:rsid w:val="005672D0"/>
    <w:rsid w:val="00572CEB"/>
    <w:rsid w:val="00576B94"/>
    <w:rsid w:val="005806B5"/>
    <w:rsid w:val="005834C9"/>
    <w:rsid w:val="00584F57"/>
    <w:rsid w:val="00590CEA"/>
    <w:rsid w:val="00593C1C"/>
    <w:rsid w:val="00596470"/>
    <w:rsid w:val="005A1500"/>
    <w:rsid w:val="005A1B39"/>
    <w:rsid w:val="005A58BA"/>
    <w:rsid w:val="005A5BBC"/>
    <w:rsid w:val="005A5D30"/>
    <w:rsid w:val="005A6AB9"/>
    <w:rsid w:val="005A75F7"/>
    <w:rsid w:val="005A7716"/>
    <w:rsid w:val="005A7E3E"/>
    <w:rsid w:val="005B0899"/>
    <w:rsid w:val="005B196C"/>
    <w:rsid w:val="005B4124"/>
    <w:rsid w:val="005C2002"/>
    <w:rsid w:val="005C21E9"/>
    <w:rsid w:val="005C264C"/>
    <w:rsid w:val="005C2A6E"/>
    <w:rsid w:val="005C333E"/>
    <w:rsid w:val="005C3AE7"/>
    <w:rsid w:val="005C6ADF"/>
    <w:rsid w:val="005C756F"/>
    <w:rsid w:val="005D0677"/>
    <w:rsid w:val="005D27B7"/>
    <w:rsid w:val="005D4058"/>
    <w:rsid w:val="005D48DB"/>
    <w:rsid w:val="005D52CF"/>
    <w:rsid w:val="005D6EE1"/>
    <w:rsid w:val="005E1C33"/>
    <w:rsid w:val="005E294C"/>
    <w:rsid w:val="005E2CE3"/>
    <w:rsid w:val="005E5F98"/>
    <w:rsid w:val="005E7114"/>
    <w:rsid w:val="005F3F07"/>
    <w:rsid w:val="005F4560"/>
    <w:rsid w:val="005F7E49"/>
    <w:rsid w:val="0060270D"/>
    <w:rsid w:val="00603D04"/>
    <w:rsid w:val="00605464"/>
    <w:rsid w:val="00606857"/>
    <w:rsid w:val="00610A04"/>
    <w:rsid w:val="00610E59"/>
    <w:rsid w:val="00613723"/>
    <w:rsid w:val="00614025"/>
    <w:rsid w:val="006155BD"/>
    <w:rsid w:val="0061596A"/>
    <w:rsid w:val="00615F42"/>
    <w:rsid w:val="00623F0E"/>
    <w:rsid w:val="006258C2"/>
    <w:rsid w:val="00625BF0"/>
    <w:rsid w:val="00626176"/>
    <w:rsid w:val="00626365"/>
    <w:rsid w:val="00630E22"/>
    <w:rsid w:val="00636023"/>
    <w:rsid w:val="00637BF0"/>
    <w:rsid w:val="0064088E"/>
    <w:rsid w:val="0064168C"/>
    <w:rsid w:val="006426FA"/>
    <w:rsid w:val="00645D59"/>
    <w:rsid w:val="006471CA"/>
    <w:rsid w:val="0065427D"/>
    <w:rsid w:val="00657851"/>
    <w:rsid w:val="00657B46"/>
    <w:rsid w:val="00662438"/>
    <w:rsid w:val="00663A09"/>
    <w:rsid w:val="00664C77"/>
    <w:rsid w:val="006657B6"/>
    <w:rsid w:val="00665A0A"/>
    <w:rsid w:val="00667C6D"/>
    <w:rsid w:val="00672B91"/>
    <w:rsid w:val="006751A9"/>
    <w:rsid w:val="006764EC"/>
    <w:rsid w:val="0068046B"/>
    <w:rsid w:val="00680E97"/>
    <w:rsid w:val="00681E28"/>
    <w:rsid w:val="00682237"/>
    <w:rsid w:val="006835FE"/>
    <w:rsid w:val="0068362A"/>
    <w:rsid w:val="00684102"/>
    <w:rsid w:val="006912A5"/>
    <w:rsid w:val="00693253"/>
    <w:rsid w:val="00693BFD"/>
    <w:rsid w:val="00695065"/>
    <w:rsid w:val="006952C9"/>
    <w:rsid w:val="00696600"/>
    <w:rsid w:val="006966DC"/>
    <w:rsid w:val="006A1038"/>
    <w:rsid w:val="006A3679"/>
    <w:rsid w:val="006A4515"/>
    <w:rsid w:val="006A649A"/>
    <w:rsid w:val="006A6A10"/>
    <w:rsid w:val="006A7E7C"/>
    <w:rsid w:val="006B1B49"/>
    <w:rsid w:val="006B5817"/>
    <w:rsid w:val="006B6390"/>
    <w:rsid w:val="006C0356"/>
    <w:rsid w:val="006C0843"/>
    <w:rsid w:val="006C23D4"/>
    <w:rsid w:val="006C74B1"/>
    <w:rsid w:val="006D2A13"/>
    <w:rsid w:val="006D353E"/>
    <w:rsid w:val="006E174A"/>
    <w:rsid w:val="006E3D10"/>
    <w:rsid w:val="006E4579"/>
    <w:rsid w:val="006E57AA"/>
    <w:rsid w:val="006E6408"/>
    <w:rsid w:val="006E68E9"/>
    <w:rsid w:val="006F20CF"/>
    <w:rsid w:val="006F305C"/>
    <w:rsid w:val="006F38ED"/>
    <w:rsid w:val="00702689"/>
    <w:rsid w:val="00702C58"/>
    <w:rsid w:val="00707D4D"/>
    <w:rsid w:val="00712571"/>
    <w:rsid w:val="0071293B"/>
    <w:rsid w:val="00714C8F"/>
    <w:rsid w:val="00714FC4"/>
    <w:rsid w:val="007222A4"/>
    <w:rsid w:val="00722B7A"/>
    <w:rsid w:val="00723503"/>
    <w:rsid w:val="00724AC7"/>
    <w:rsid w:val="00726A57"/>
    <w:rsid w:val="00730C04"/>
    <w:rsid w:val="00733A07"/>
    <w:rsid w:val="0073597B"/>
    <w:rsid w:val="00736380"/>
    <w:rsid w:val="0073755D"/>
    <w:rsid w:val="007378F6"/>
    <w:rsid w:val="007435A6"/>
    <w:rsid w:val="00743878"/>
    <w:rsid w:val="00744522"/>
    <w:rsid w:val="0074545D"/>
    <w:rsid w:val="00745655"/>
    <w:rsid w:val="00746EA8"/>
    <w:rsid w:val="0074747A"/>
    <w:rsid w:val="00747957"/>
    <w:rsid w:val="007522E3"/>
    <w:rsid w:val="0075335B"/>
    <w:rsid w:val="0075357C"/>
    <w:rsid w:val="00753C44"/>
    <w:rsid w:val="007540E9"/>
    <w:rsid w:val="00754383"/>
    <w:rsid w:val="00754E52"/>
    <w:rsid w:val="007564D1"/>
    <w:rsid w:val="00757232"/>
    <w:rsid w:val="00760679"/>
    <w:rsid w:val="00760ADE"/>
    <w:rsid w:val="00762CC7"/>
    <w:rsid w:val="00763628"/>
    <w:rsid w:val="00766682"/>
    <w:rsid w:val="00767E99"/>
    <w:rsid w:val="00772E62"/>
    <w:rsid w:val="00774024"/>
    <w:rsid w:val="007749A7"/>
    <w:rsid w:val="007765F8"/>
    <w:rsid w:val="0077789B"/>
    <w:rsid w:val="00780D29"/>
    <w:rsid w:val="00787231"/>
    <w:rsid w:val="00790E8C"/>
    <w:rsid w:val="00790F05"/>
    <w:rsid w:val="00791C8D"/>
    <w:rsid w:val="00794181"/>
    <w:rsid w:val="0079421F"/>
    <w:rsid w:val="007964D3"/>
    <w:rsid w:val="00796748"/>
    <w:rsid w:val="007A3ACF"/>
    <w:rsid w:val="007A487A"/>
    <w:rsid w:val="007A769F"/>
    <w:rsid w:val="007A7F6F"/>
    <w:rsid w:val="007B1E08"/>
    <w:rsid w:val="007B4C76"/>
    <w:rsid w:val="007C11E6"/>
    <w:rsid w:val="007C2260"/>
    <w:rsid w:val="007C540D"/>
    <w:rsid w:val="007D1E52"/>
    <w:rsid w:val="007D2358"/>
    <w:rsid w:val="007D367E"/>
    <w:rsid w:val="007D61C2"/>
    <w:rsid w:val="007E0989"/>
    <w:rsid w:val="007E39E4"/>
    <w:rsid w:val="007E5502"/>
    <w:rsid w:val="007E6FB3"/>
    <w:rsid w:val="007F21B4"/>
    <w:rsid w:val="007F721C"/>
    <w:rsid w:val="00802553"/>
    <w:rsid w:val="00803EAB"/>
    <w:rsid w:val="00804098"/>
    <w:rsid w:val="008046B5"/>
    <w:rsid w:val="008107B0"/>
    <w:rsid w:val="008127C0"/>
    <w:rsid w:val="00812EDD"/>
    <w:rsid w:val="008139C5"/>
    <w:rsid w:val="0081509E"/>
    <w:rsid w:val="00815AD1"/>
    <w:rsid w:val="0081650F"/>
    <w:rsid w:val="00817C92"/>
    <w:rsid w:val="00821054"/>
    <w:rsid w:val="00823133"/>
    <w:rsid w:val="008270F1"/>
    <w:rsid w:val="0083131D"/>
    <w:rsid w:val="008314DA"/>
    <w:rsid w:val="00832B31"/>
    <w:rsid w:val="00834165"/>
    <w:rsid w:val="00835EC4"/>
    <w:rsid w:val="008403E0"/>
    <w:rsid w:val="00840BFE"/>
    <w:rsid w:val="00840FF9"/>
    <w:rsid w:val="00841219"/>
    <w:rsid w:val="00844D3F"/>
    <w:rsid w:val="00845972"/>
    <w:rsid w:val="0084657B"/>
    <w:rsid w:val="008478F6"/>
    <w:rsid w:val="00850654"/>
    <w:rsid w:val="008513D5"/>
    <w:rsid w:val="0085388D"/>
    <w:rsid w:val="00855944"/>
    <w:rsid w:val="00855B43"/>
    <w:rsid w:val="00857651"/>
    <w:rsid w:val="00860B2D"/>
    <w:rsid w:val="00861866"/>
    <w:rsid w:val="00864A18"/>
    <w:rsid w:val="0087060E"/>
    <w:rsid w:val="00870833"/>
    <w:rsid w:val="008725BE"/>
    <w:rsid w:val="00872F7F"/>
    <w:rsid w:val="00874571"/>
    <w:rsid w:val="00876C9F"/>
    <w:rsid w:val="00876FA3"/>
    <w:rsid w:val="00881F93"/>
    <w:rsid w:val="00882CB5"/>
    <w:rsid w:val="00883257"/>
    <w:rsid w:val="00883641"/>
    <w:rsid w:val="008849F6"/>
    <w:rsid w:val="00884DE8"/>
    <w:rsid w:val="00884E69"/>
    <w:rsid w:val="00886855"/>
    <w:rsid w:val="0088764D"/>
    <w:rsid w:val="00890082"/>
    <w:rsid w:val="00890334"/>
    <w:rsid w:val="00891C4B"/>
    <w:rsid w:val="00892246"/>
    <w:rsid w:val="00893A77"/>
    <w:rsid w:val="008943BE"/>
    <w:rsid w:val="00894C85"/>
    <w:rsid w:val="008A48D2"/>
    <w:rsid w:val="008B2610"/>
    <w:rsid w:val="008B3C32"/>
    <w:rsid w:val="008B471D"/>
    <w:rsid w:val="008B49E4"/>
    <w:rsid w:val="008B5900"/>
    <w:rsid w:val="008B729C"/>
    <w:rsid w:val="008C3486"/>
    <w:rsid w:val="008C47B6"/>
    <w:rsid w:val="008C4A93"/>
    <w:rsid w:val="008C4C08"/>
    <w:rsid w:val="008C525F"/>
    <w:rsid w:val="008C6C2A"/>
    <w:rsid w:val="008C6E5D"/>
    <w:rsid w:val="008C7B43"/>
    <w:rsid w:val="008D0B06"/>
    <w:rsid w:val="008D42D1"/>
    <w:rsid w:val="008D7DA6"/>
    <w:rsid w:val="008E086C"/>
    <w:rsid w:val="008E0E49"/>
    <w:rsid w:val="008E11A4"/>
    <w:rsid w:val="008E1BD8"/>
    <w:rsid w:val="008E35FD"/>
    <w:rsid w:val="008E37E5"/>
    <w:rsid w:val="008E6227"/>
    <w:rsid w:val="008E65A4"/>
    <w:rsid w:val="008E71A2"/>
    <w:rsid w:val="008F632C"/>
    <w:rsid w:val="00900251"/>
    <w:rsid w:val="0090543D"/>
    <w:rsid w:val="009056C5"/>
    <w:rsid w:val="00905A23"/>
    <w:rsid w:val="00907D6E"/>
    <w:rsid w:val="00912296"/>
    <w:rsid w:val="00913516"/>
    <w:rsid w:val="009169FF"/>
    <w:rsid w:val="009202C5"/>
    <w:rsid w:val="00920D42"/>
    <w:rsid w:val="00921DA6"/>
    <w:rsid w:val="009262F2"/>
    <w:rsid w:val="00926623"/>
    <w:rsid w:val="009301C3"/>
    <w:rsid w:val="00931DBE"/>
    <w:rsid w:val="00932E2E"/>
    <w:rsid w:val="00932FDE"/>
    <w:rsid w:val="00936E07"/>
    <w:rsid w:val="00937791"/>
    <w:rsid w:val="00943B75"/>
    <w:rsid w:val="00943BEC"/>
    <w:rsid w:val="009444E7"/>
    <w:rsid w:val="00944F87"/>
    <w:rsid w:val="00947230"/>
    <w:rsid w:val="00951933"/>
    <w:rsid w:val="0095282E"/>
    <w:rsid w:val="00952C2F"/>
    <w:rsid w:val="00954343"/>
    <w:rsid w:val="00954681"/>
    <w:rsid w:val="00955271"/>
    <w:rsid w:val="00955A47"/>
    <w:rsid w:val="00956085"/>
    <w:rsid w:val="00957B6F"/>
    <w:rsid w:val="00960440"/>
    <w:rsid w:val="00962639"/>
    <w:rsid w:val="00963C9C"/>
    <w:rsid w:val="00965B6B"/>
    <w:rsid w:val="00965B94"/>
    <w:rsid w:val="00970AFA"/>
    <w:rsid w:val="00970F3A"/>
    <w:rsid w:val="00971EDB"/>
    <w:rsid w:val="00974D50"/>
    <w:rsid w:val="00975A24"/>
    <w:rsid w:val="009878BB"/>
    <w:rsid w:val="00987ABE"/>
    <w:rsid w:val="00991EE4"/>
    <w:rsid w:val="00992777"/>
    <w:rsid w:val="009939DC"/>
    <w:rsid w:val="00993B9C"/>
    <w:rsid w:val="0099598B"/>
    <w:rsid w:val="009961D3"/>
    <w:rsid w:val="009A181C"/>
    <w:rsid w:val="009A377C"/>
    <w:rsid w:val="009A484A"/>
    <w:rsid w:val="009A53E8"/>
    <w:rsid w:val="009A64A6"/>
    <w:rsid w:val="009B2349"/>
    <w:rsid w:val="009B3BC2"/>
    <w:rsid w:val="009B4D40"/>
    <w:rsid w:val="009B4E1E"/>
    <w:rsid w:val="009C03FB"/>
    <w:rsid w:val="009C1142"/>
    <w:rsid w:val="009C137F"/>
    <w:rsid w:val="009C23DD"/>
    <w:rsid w:val="009C4B4F"/>
    <w:rsid w:val="009C5DC4"/>
    <w:rsid w:val="009C6095"/>
    <w:rsid w:val="009C6E18"/>
    <w:rsid w:val="009C7361"/>
    <w:rsid w:val="009C7E0B"/>
    <w:rsid w:val="009D06B1"/>
    <w:rsid w:val="009D0A76"/>
    <w:rsid w:val="009D0E2F"/>
    <w:rsid w:val="009D3A0B"/>
    <w:rsid w:val="009D5251"/>
    <w:rsid w:val="009D6710"/>
    <w:rsid w:val="009E1C87"/>
    <w:rsid w:val="009F0C02"/>
    <w:rsid w:val="009F4208"/>
    <w:rsid w:val="009F5758"/>
    <w:rsid w:val="009F6AD1"/>
    <w:rsid w:val="00A0283F"/>
    <w:rsid w:val="00A039BC"/>
    <w:rsid w:val="00A04F4A"/>
    <w:rsid w:val="00A10477"/>
    <w:rsid w:val="00A1366F"/>
    <w:rsid w:val="00A147E8"/>
    <w:rsid w:val="00A16004"/>
    <w:rsid w:val="00A16573"/>
    <w:rsid w:val="00A207ED"/>
    <w:rsid w:val="00A21437"/>
    <w:rsid w:val="00A21AC4"/>
    <w:rsid w:val="00A26343"/>
    <w:rsid w:val="00A2662D"/>
    <w:rsid w:val="00A27878"/>
    <w:rsid w:val="00A339BE"/>
    <w:rsid w:val="00A37EEA"/>
    <w:rsid w:val="00A408B5"/>
    <w:rsid w:val="00A40E5C"/>
    <w:rsid w:val="00A436B5"/>
    <w:rsid w:val="00A50288"/>
    <w:rsid w:val="00A504BB"/>
    <w:rsid w:val="00A52115"/>
    <w:rsid w:val="00A529E2"/>
    <w:rsid w:val="00A53936"/>
    <w:rsid w:val="00A539F8"/>
    <w:rsid w:val="00A570C8"/>
    <w:rsid w:val="00A6161F"/>
    <w:rsid w:val="00A63291"/>
    <w:rsid w:val="00A6491A"/>
    <w:rsid w:val="00A64FDD"/>
    <w:rsid w:val="00A6594E"/>
    <w:rsid w:val="00A67CE2"/>
    <w:rsid w:val="00A67EFD"/>
    <w:rsid w:val="00A707F9"/>
    <w:rsid w:val="00A727B6"/>
    <w:rsid w:val="00A74626"/>
    <w:rsid w:val="00A777AD"/>
    <w:rsid w:val="00A81A37"/>
    <w:rsid w:val="00A81CC6"/>
    <w:rsid w:val="00A81CF9"/>
    <w:rsid w:val="00A823D3"/>
    <w:rsid w:val="00A83EC6"/>
    <w:rsid w:val="00A84163"/>
    <w:rsid w:val="00A86844"/>
    <w:rsid w:val="00A8732C"/>
    <w:rsid w:val="00A9062D"/>
    <w:rsid w:val="00A92CB0"/>
    <w:rsid w:val="00A93F58"/>
    <w:rsid w:val="00A96329"/>
    <w:rsid w:val="00A96D9C"/>
    <w:rsid w:val="00AA134B"/>
    <w:rsid w:val="00AA2CFE"/>
    <w:rsid w:val="00AA4147"/>
    <w:rsid w:val="00AA4969"/>
    <w:rsid w:val="00AA5FDA"/>
    <w:rsid w:val="00AA6291"/>
    <w:rsid w:val="00AA7A0B"/>
    <w:rsid w:val="00AB4128"/>
    <w:rsid w:val="00AB6CAB"/>
    <w:rsid w:val="00AC0C91"/>
    <w:rsid w:val="00AC6208"/>
    <w:rsid w:val="00AD0FEA"/>
    <w:rsid w:val="00AD37D4"/>
    <w:rsid w:val="00AD7986"/>
    <w:rsid w:val="00AE1188"/>
    <w:rsid w:val="00AE738C"/>
    <w:rsid w:val="00AE7558"/>
    <w:rsid w:val="00AF01CA"/>
    <w:rsid w:val="00AF1046"/>
    <w:rsid w:val="00AF11B4"/>
    <w:rsid w:val="00AF1C56"/>
    <w:rsid w:val="00AF2A29"/>
    <w:rsid w:val="00AF4466"/>
    <w:rsid w:val="00AF5D1E"/>
    <w:rsid w:val="00B03C28"/>
    <w:rsid w:val="00B040A9"/>
    <w:rsid w:val="00B050C5"/>
    <w:rsid w:val="00B05101"/>
    <w:rsid w:val="00B06369"/>
    <w:rsid w:val="00B1711E"/>
    <w:rsid w:val="00B17CBE"/>
    <w:rsid w:val="00B17E26"/>
    <w:rsid w:val="00B21AE6"/>
    <w:rsid w:val="00B220C9"/>
    <w:rsid w:val="00B22915"/>
    <w:rsid w:val="00B23139"/>
    <w:rsid w:val="00B231A4"/>
    <w:rsid w:val="00B25D20"/>
    <w:rsid w:val="00B27E3D"/>
    <w:rsid w:val="00B3115B"/>
    <w:rsid w:val="00B31C99"/>
    <w:rsid w:val="00B365F0"/>
    <w:rsid w:val="00B3708D"/>
    <w:rsid w:val="00B42ECC"/>
    <w:rsid w:val="00B44B0C"/>
    <w:rsid w:val="00B47061"/>
    <w:rsid w:val="00B5074C"/>
    <w:rsid w:val="00B5263D"/>
    <w:rsid w:val="00B52EBB"/>
    <w:rsid w:val="00B538EA"/>
    <w:rsid w:val="00B53BA6"/>
    <w:rsid w:val="00B5731D"/>
    <w:rsid w:val="00B6378B"/>
    <w:rsid w:val="00B63E3A"/>
    <w:rsid w:val="00B65DBA"/>
    <w:rsid w:val="00B660A1"/>
    <w:rsid w:val="00B71AA9"/>
    <w:rsid w:val="00B71C91"/>
    <w:rsid w:val="00B720E8"/>
    <w:rsid w:val="00B72670"/>
    <w:rsid w:val="00B7449B"/>
    <w:rsid w:val="00B74D17"/>
    <w:rsid w:val="00B75965"/>
    <w:rsid w:val="00B771AD"/>
    <w:rsid w:val="00B77A29"/>
    <w:rsid w:val="00B804FB"/>
    <w:rsid w:val="00B814CB"/>
    <w:rsid w:val="00B8323C"/>
    <w:rsid w:val="00B83825"/>
    <w:rsid w:val="00B85E74"/>
    <w:rsid w:val="00B869CF"/>
    <w:rsid w:val="00B90445"/>
    <w:rsid w:val="00B92310"/>
    <w:rsid w:val="00B93E7F"/>
    <w:rsid w:val="00B9447A"/>
    <w:rsid w:val="00BA0CF8"/>
    <w:rsid w:val="00BA1ADF"/>
    <w:rsid w:val="00BA51FC"/>
    <w:rsid w:val="00BB003A"/>
    <w:rsid w:val="00BB1234"/>
    <w:rsid w:val="00BB1978"/>
    <w:rsid w:val="00BB1E2D"/>
    <w:rsid w:val="00BB3358"/>
    <w:rsid w:val="00BB3382"/>
    <w:rsid w:val="00BB3643"/>
    <w:rsid w:val="00BB37FE"/>
    <w:rsid w:val="00BB4539"/>
    <w:rsid w:val="00BB7DB5"/>
    <w:rsid w:val="00BC0319"/>
    <w:rsid w:val="00BC2013"/>
    <w:rsid w:val="00BC31CB"/>
    <w:rsid w:val="00BC3DA0"/>
    <w:rsid w:val="00BC424B"/>
    <w:rsid w:val="00BC4610"/>
    <w:rsid w:val="00BD4AAF"/>
    <w:rsid w:val="00BD568D"/>
    <w:rsid w:val="00BD695D"/>
    <w:rsid w:val="00BE0FDE"/>
    <w:rsid w:val="00BF1897"/>
    <w:rsid w:val="00BF37B9"/>
    <w:rsid w:val="00BF4B6B"/>
    <w:rsid w:val="00BF6AC5"/>
    <w:rsid w:val="00C01121"/>
    <w:rsid w:val="00C030A5"/>
    <w:rsid w:val="00C0521C"/>
    <w:rsid w:val="00C05A45"/>
    <w:rsid w:val="00C0796F"/>
    <w:rsid w:val="00C10D10"/>
    <w:rsid w:val="00C11AD9"/>
    <w:rsid w:val="00C11B34"/>
    <w:rsid w:val="00C12C5C"/>
    <w:rsid w:val="00C12EB9"/>
    <w:rsid w:val="00C1642C"/>
    <w:rsid w:val="00C171FB"/>
    <w:rsid w:val="00C209C2"/>
    <w:rsid w:val="00C21B33"/>
    <w:rsid w:val="00C2267F"/>
    <w:rsid w:val="00C22AD8"/>
    <w:rsid w:val="00C24CDC"/>
    <w:rsid w:val="00C26D85"/>
    <w:rsid w:val="00C279CC"/>
    <w:rsid w:val="00C30AE0"/>
    <w:rsid w:val="00C31005"/>
    <w:rsid w:val="00C32477"/>
    <w:rsid w:val="00C3557E"/>
    <w:rsid w:val="00C3594B"/>
    <w:rsid w:val="00C368CD"/>
    <w:rsid w:val="00C3740B"/>
    <w:rsid w:val="00C37AE7"/>
    <w:rsid w:val="00C40B03"/>
    <w:rsid w:val="00C43102"/>
    <w:rsid w:val="00C46205"/>
    <w:rsid w:val="00C4696B"/>
    <w:rsid w:val="00C50513"/>
    <w:rsid w:val="00C51822"/>
    <w:rsid w:val="00C5434A"/>
    <w:rsid w:val="00C54503"/>
    <w:rsid w:val="00C564B6"/>
    <w:rsid w:val="00C6191D"/>
    <w:rsid w:val="00C63055"/>
    <w:rsid w:val="00C639CB"/>
    <w:rsid w:val="00C66678"/>
    <w:rsid w:val="00C67D03"/>
    <w:rsid w:val="00C71465"/>
    <w:rsid w:val="00C73B62"/>
    <w:rsid w:val="00C75619"/>
    <w:rsid w:val="00C776B1"/>
    <w:rsid w:val="00C80C18"/>
    <w:rsid w:val="00C811CF"/>
    <w:rsid w:val="00C815FE"/>
    <w:rsid w:val="00C844F3"/>
    <w:rsid w:val="00C847AE"/>
    <w:rsid w:val="00C87077"/>
    <w:rsid w:val="00C91DC2"/>
    <w:rsid w:val="00C94E69"/>
    <w:rsid w:val="00C962CE"/>
    <w:rsid w:val="00CA04C6"/>
    <w:rsid w:val="00CA26DD"/>
    <w:rsid w:val="00CA5F5A"/>
    <w:rsid w:val="00CA6D3F"/>
    <w:rsid w:val="00CA7F24"/>
    <w:rsid w:val="00CA7FD1"/>
    <w:rsid w:val="00CB11F6"/>
    <w:rsid w:val="00CB12EC"/>
    <w:rsid w:val="00CB1A10"/>
    <w:rsid w:val="00CB27E1"/>
    <w:rsid w:val="00CB301D"/>
    <w:rsid w:val="00CB4858"/>
    <w:rsid w:val="00CC09D7"/>
    <w:rsid w:val="00CC12B8"/>
    <w:rsid w:val="00CC2295"/>
    <w:rsid w:val="00CC39F1"/>
    <w:rsid w:val="00CC4409"/>
    <w:rsid w:val="00CC4B11"/>
    <w:rsid w:val="00CD0FA8"/>
    <w:rsid w:val="00CD22E3"/>
    <w:rsid w:val="00CD4E44"/>
    <w:rsid w:val="00CD5AE4"/>
    <w:rsid w:val="00CD73A6"/>
    <w:rsid w:val="00CD754D"/>
    <w:rsid w:val="00CD7A7D"/>
    <w:rsid w:val="00CD7E45"/>
    <w:rsid w:val="00CE0DBD"/>
    <w:rsid w:val="00CE2AAC"/>
    <w:rsid w:val="00CE73CD"/>
    <w:rsid w:val="00CF0A44"/>
    <w:rsid w:val="00CF2D8E"/>
    <w:rsid w:val="00CF2DFA"/>
    <w:rsid w:val="00CF5AD8"/>
    <w:rsid w:val="00CF5DD0"/>
    <w:rsid w:val="00D00122"/>
    <w:rsid w:val="00D01288"/>
    <w:rsid w:val="00D01D2A"/>
    <w:rsid w:val="00D05E76"/>
    <w:rsid w:val="00D07994"/>
    <w:rsid w:val="00D10B47"/>
    <w:rsid w:val="00D10E10"/>
    <w:rsid w:val="00D11EB1"/>
    <w:rsid w:val="00D14C65"/>
    <w:rsid w:val="00D17F17"/>
    <w:rsid w:val="00D23597"/>
    <w:rsid w:val="00D271E5"/>
    <w:rsid w:val="00D307DF"/>
    <w:rsid w:val="00D30BDC"/>
    <w:rsid w:val="00D3105E"/>
    <w:rsid w:val="00D315FF"/>
    <w:rsid w:val="00D3245F"/>
    <w:rsid w:val="00D368CA"/>
    <w:rsid w:val="00D42DB0"/>
    <w:rsid w:val="00D4485C"/>
    <w:rsid w:val="00D479E4"/>
    <w:rsid w:val="00D47C47"/>
    <w:rsid w:val="00D52571"/>
    <w:rsid w:val="00D52C2C"/>
    <w:rsid w:val="00D534E4"/>
    <w:rsid w:val="00D555AC"/>
    <w:rsid w:val="00D55697"/>
    <w:rsid w:val="00D575E1"/>
    <w:rsid w:val="00D57F88"/>
    <w:rsid w:val="00D63B08"/>
    <w:rsid w:val="00D7105C"/>
    <w:rsid w:val="00D73646"/>
    <w:rsid w:val="00D74181"/>
    <w:rsid w:val="00D777B4"/>
    <w:rsid w:val="00D77A90"/>
    <w:rsid w:val="00D82EC7"/>
    <w:rsid w:val="00D8360B"/>
    <w:rsid w:val="00D85676"/>
    <w:rsid w:val="00D86BD6"/>
    <w:rsid w:val="00D91C1F"/>
    <w:rsid w:val="00D9478F"/>
    <w:rsid w:val="00D95CB9"/>
    <w:rsid w:val="00D96241"/>
    <w:rsid w:val="00D96ADA"/>
    <w:rsid w:val="00D972D1"/>
    <w:rsid w:val="00D977E1"/>
    <w:rsid w:val="00DA018D"/>
    <w:rsid w:val="00DA1E1F"/>
    <w:rsid w:val="00DA2886"/>
    <w:rsid w:val="00DA4341"/>
    <w:rsid w:val="00DA529B"/>
    <w:rsid w:val="00DA5E50"/>
    <w:rsid w:val="00DA7D0C"/>
    <w:rsid w:val="00DB19E9"/>
    <w:rsid w:val="00DB2E3A"/>
    <w:rsid w:val="00DB311C"/>
    <w:rsid w:val="00DB3CDE"/>
    <w:rsid w:val="00DB432D"/>
    <w:rsid w:val="00DB519B"/>
    <w:rsid w:val="00DB7645"/>
    <w:rsid w:val="00DB7C47"/>
    <w:rsid w:val="00DC48B1"/>
    <w:rsid w:val="00DC5B0F"/>
    <w:rsid w:val="00DC685F"/>
    <w:rsid w:val="00DC6F34"/>
    <w:rsid w:val="00DC7694"/>
    <w:rsid w:val="00DC7FBE"/>
    <w:rsid w:val="00DD130E"/>
    <w:rsid w:val="00DD2CA1"/>
    <w:rsid w:val="00DD308E"/>
    <w:rsid w:val="00DD365B"/>
    <w:rsid w:val="00DD5C30"/>
    <w:rsid w:val="00DE0864"/>
    <w:rsid w:val="00DE413B"/>
    <w:rsid w:val="00DE4C3D"/>
    <w:rsid w:val="00DE5DAF"/>
    <w:rsid w:val="00DF0C51"/>
    <w:rsid w:val="00DF0D47"/>
    <w:rsid w:val="00DF1652"/>
    <w:rsid w:val="00DF3EEB"/>
    <w:rsid w:val="00DF4C7C"/>
    <w:rsid w:val="00DF6D37"/>
    <w:rsid w:val="00E00810"/>
    <w:rsid w:val="00E00F7A"/>
    <w:rsid w:val="00E03D74"/>
    <w:rsid w:val="00E04226"/>
    <w:rsid w:val="00E048ED"/>
    <w:rsid w:val="00E04FB3"/>
    <w:rsid w:val="00E058F2"/>
    <w:rsid w:val="00E05D9C"/>
    <w:rsid w:val="00E06102"/>
    <w:rsid w:val="00E12C45"/>
    <w:rsid w:val="00E14C3D"/>
    <w:rsid w:val="00E23E71"/>
    <w:rsid w:val="00E244B1"/>
    <w:rsid w:val="00E2611C"/>
    <w:rsid w:val="00E274B2"/>
    <w:rsid w:val="00E30110"/>
    <w:rsid w:val="00E30F19"/>
    <w:rsid w:val="00E324AF"/>
    <w:rsid w:val="00E33C4A"/>
    <w:rsid w:val="00E357B9"/>
    <w:rsid w:val="00E4321E"/>
    <w:rsid w:val="00E44B80"/>
    <w:rsid w:val="00E47623"/>
    <w:rsid w:val="00E51372"/>
    <w:rsid w:val="00E5293F"/>
    <w:rsid w:val="00E60529"/>
    <w:rsid w:val="00E619A5"/>
    <w:rsid w:val="00E62428"/>
    <w:rsid w:val="00E65849"/>
    <w:rsid w:val="00E70ABD"/>
    <w:rsid w:val="00E70D86"/>
    <w:rsid w:val="00E71DFE"/>
    <w:rsid w:val="00E73609"/>
    <w:rsid w:val="00E7526F"/>
    <w:rsid w:val="00E75334"/>
    <w:rsid w:val="00E7628E"/>
    <w:rsid w:val="00E80D1D"/>
    <w:rsid w:val="00E81C9D"/>
    <w:rsid w:val="00E82F54"/>
    <w:rsid w:val="00E8649B"/>
    <w:rsid w:val="00E871CD"/>
    <w:rsid w:val="00E90990"/>
    <w:rsid w:val="00E92CCD"/>
    <w:rsid w:val="00E9322A"/>
    <w:rsid w:val="00E93B7B"/>
    <w:rsid w:val="00E956E5"/>
    <w:rsid w:val="00E95D3D"/>
    <w:rsid w:val="00EA0E25"/>
    <w:rsid w:val="00EA0E60"/>
    <w:rsid w:val="00EA173C"/>
    <w:rsid w:val="00EA186F"/>
    <w:rsid w:val="00EA2904"/>
    <w:rsid w:val="00EA4918"/>
    <w:rsid w:val="00EA5234"/>
    <w:rsid w:val="00EA549A"/>
    <w:rsid w:val="00EA65BB"/>
    <w:rsid w:val="00EB0182"/>
    <w:rsid w:val="00EB5DDA"/>
    <w:rsid w:val="00EB6931"/>
    <w:rsid w:val="00EB7B14"/>
    <w:rsid w:val="00EC127A"/>
    <w:rsid w:val="00EC1FF9"/>
    <w:rsid w:val="00EC2348"/>
    <w:rsid w:val="00EC2737"/>
    <w:rsid w:val="00EC4412"/>
    <w:rsid w:val="00ED004D"/>
    <w:rsid w:val="00ED4F11"/>
    <w:rsid w:val="00ED4FDE"/>
    <w:rsid w:val="00ED6E47"/>
    <w:rsid w:val="00EE05F0"/>
    <w:rsid w:val="00EE200F"/>
    <w:rsid w:val="00EE2716"/>
    <w:rsid w:val="00EE49E2"/>
    <w:rsid w:val="00EE53C9"/>
    <w:rsid w:val="00EE6450"/>
    <w:rsid w:val="00EE677C"/>
    <w:rsid w:val="00EF037A"/>
    <w:rsid w:val="00EF05D1"/>
    <w:rsid w:val="00EF528D"/>
    <w:rsid w:val="00EF5705"/>
    <w:rsid w:val="00EF5775"/>
    <w:rsid w:val="00EF5A45"/>
    <w:rsid w:val="00F016E3"/>
    <w:rsid w:val="00F01C2C"/>
    <w:rsid w:val="00F03181"/>
    <w:rsid w:val="00F04E48"/>
    <w:rsid w:val="00F05003"/>
    <w:rsid w:val="00F10ED8"/>
    <w:rsid w:val="00F12DF4"/>
    <w:rsid w:val="00F15073"/>
    <w:rsid w:val="00F206F1"/>
    <w:rsid w:val="00F222BE"/>
    <w:rsid w:val="00F24179"/>
    <w:rsid w:val="00F25C59"/>
    <w:rsid w:val="00F301F1"/>
    <w:rsid w:val="00F30A25"/>
    <w:rsid w:val="00F30C22"/>
    <w:rsid w:val="00F31D58"/>
    <w:rsid w:val="00F33F1A"/>
    <w:rsid w:val="00F34AEC"/>
    <w:rsid w:val="00F36D7D"/>
    <w:rsid w:val="00F372CA"/>
    <w:rsid w:val="00F40146"/>
    <w:rsid w:val="00F417EE"/>
    <w:rsid w:val="00F53419"/>
    <w:rsid w:val="00F547F7"/>
    <w:rsid w:val="00F54CCF"/>
    <w:rsid w:val="00F61D7A"/>
    <w:rsid w:val="00F637B3"/>
    <w:rsid w:val="00F63A62"/>
    <w:rsid w:val="00F65F07"/>
    <w:rsid w:val="00F66882"/>
    <w:rsid w:val="00F66CF7"/>
    <w:rsid w:val="00F67BCB"/>
    <w:rsid w:val="00F70E73"/>
    <w:rsid w:val="00F72B5C"/>
    <w:rsid w:val="00F76A74"/>
    <w:rsid w:val="00F77C57"/>
    <w:rsid w:val="00F813C7"/>
    <w:rsid w:val="00F83566"/>
    <w:rsid w:val="00F83A9D"/>
    <w:rsid w:val="00F85C58"/>
    <w:rsid w:val="00F861A2"/>
    <w:rsid w:val="00F906B5"/>
    <w:rsid w:val="00F91E2C"/>
    <w:rsid w:val="00F9261C"/>
    <w:rsid w:val="00F93784"/>
    <w:rsid w:val="00F971CC"/>
    <w:rsid w:val="00FA0995"/>
    <w:rsid w:val="00FA2CAA"/>
    <w:rsid w:val="00FA3955"/>
    <w:rsid w:val="00FA3CFB"/>
    <w:rsid w:val="00FA3DA1"/>
    <w:rsid w:val="00FA5164"/>
    <w:rsid w:val="00FA6554"/>
    <w:rsid w:val="00FA7090"/>
    <w:rsid w:val="00FA7EC2"/>
    <w:rsid w:val="00FB11F7"/>
    <w:rsid w:val="00FB17A1"/>
    <w:rsid w:val="00FB47FC"/>
    <w:rsid w:val="00FB630C"/>
    <w:rsid w:val="00FB7C74"/>
    <w:rsid w:val="00FC1E23"/>
    <w:rsid w:val="00FC476D"/>
    <w:rsid w:val="00FC5EAC"/>
    <w:rsid w:val="00FD0376"/>
    <w:rsid w:val="00FD55D8"/>
    <w:rsid w:val="00FE16C1"/>
    <w:rsid w:val="00FE19FF"/>
    <w:rsid w:val="00FE2C47"/>
    <w:rsid w:val="00FE33A6"/>
    <w:rsid w:val="00FE412C"/>
    <w:rsid w:val="00FE5452"/>
    <w:rsid w:val="00FE5D85"/>
    <w:rsid w:val="00FE5E88"/>
    <w:rsid w:val="00FF1653"/>
    <w:rsid w:val="00FF1A00"/>
    <w:rsid w:val="00FF270B"/>
    <w:rsid w:val="00FF353C"/>
    <w:rsid w:val="00FF40E0"/>
    <w:rsid w:val="00FF59A8"/>
    <w:rsid w:val="00FF6062"/>
    <w:rsid w:val="00FF67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4F6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BB45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F037A"/>
    <w:pPr>
      <w:keepNext/>
      <w:keepLines/>
      <w:tabs>
        <w:tab w:val="num" w:pos="2411"/>
      </w:tabs>
      <w:spacing w:before="40" w:after="0"/>
      <w:ind w:left="2411" w:hanging="709"/>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autoRedefine/>
    <w:qFormat/>
    <w:rsid w:val="00BC0319"/>
    <w:pPr>
      <w:keepLines w:val="0"/>
      <w:tabs>
        <w:tab w:val="clear" w:pos="2411"/>
      </w:tabs>
      <w:spacing w:before="120" w:after="120" w:line="360" w:lineRule="auto"/>
      <w:ind w:left="720" w:firstLine="0"/>
      <w:jc w:val="both"/>
      <w:outlineLvl w:val="4"/>
    </w:pPr>
    <w:rPr>
      <w:rFonts w:ascii="Arial" w:eastAsia="Times New Roman" w:hAnsi="Arial" w:cs="Arial"/>
      <w:b/>
      <w:noProof/>
      <w:color w:val="auto"/>
      <w:kern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customStyle="1" w:styleId="KMC16-NumLists">
    <w:name w:val="KMC16 - Num Lists"/>
    <w:basedOn w:val="Normal"/>
    <w:qFormat/>
    <w:rsid w:val="00021E46"/>
    <w:pPr>
      <w:spacing w:line="276" w:lineRule="auto"/>
      <w:ind w:left="777" w:hanging="357"/>
      <w:contextualSpacing/>
      <w:jc w:val="both"/>
    </w:pPr>
    <w:rPr>
      <w:rFonts w:ascii="Arial" w:hAnsi="Arial"/>
      <w:color w:val="000000" w:themeColor="text1"/>
      <w:sz w:val="22"/>
    </w:rPr>
  </w:style>
  <w:style w:type="paragraph" w:customStyle="1" w:styleId="KMC16-Text">
    <w:name w:val="KMC16 - Text"/>
    <w:basedOn w:val="Normal"/>
    <w:link w:val="KMC16-TextChar"/>
    <w:qFormat/>
    <w:rsid w:val="00093BB0"/>
    <w:pPr>
      <w:spacing w:after="240" w:line="360" w:lineRule="auto"/>
      <w:jc w:val="both"/>
    </w:pPr>
    <w:rPr>
      <w:rFonts w:ascii="Arial" w:hAnsi="Arial"/>
      <w:color w:val="000000" w:themeColor="text1"/>
      <w:sz w:val="22"/>
    </w:rPr>
  </w:style>
  <w:style w:type="character" w:customStyle="1" w:styleId="KMC16-TextChar">
    <w:name w:val="KMC16 - Text Char"/>
    <w:basedOn w:val="DefaultParagraphFont"/>
    <w:link w:val="KMC16-Text"/>
    <w:rsid w:val="00093BB0"/>
    <w:rPr>
      <w:rFonts w:ascii="Arial" w:hAnsi="Arial"/>
      <w:color w:val="000000" w:themeColor="text1"/>
    </w:rPr>
  </w:style>
  <w:style w:type="paragraph" w:styleId="FootnoteText">
    <w:name w:val="footnote text"/>
    <w:basedOn w:val="Normal"/>
    <w:link w:val="FootnoteTextChar"/>
    <w:uiPriority w:val="99"/>
    <w:semiHidden/>
    <w:unhideWhenUsed/>
    <w:rsid w:val="004E6F32"/>
    <w:pPr>
      <w:spacing w:before="0" w:after="0"/>
    </w:pPr>
    <w:rPr>
      <w:szCs w:val="20"/>
    </w:rPr>
  </w:style>
  <w:style w:type="character" w:customStyle="1" w:styleId="FootnoteTextChar">
    <w:name w:val="Footnote Text Char"/>
    <w:basedOn w:val="DefaultParagraphFont"/>
    <w:link w:val="FootnoteText"/>
    <w:uiPriority w:val="99"/>
    <w:semiHidden/>
    <w:rsid w:val="004E6F32"/>
    <w:rPr>
      <w:sz w:val="20"/>
      <w:szCs w:val="20"/>
    </w:rPr>
  </w:style>
  <w:style w:type="character" w:styleId="FootnoteReference">
    <w:name w:val="footnote reference"/>
    <w:basedOn w:val="DefaultParagraphFont"/>
    <w:uiPriority w:val="99"/>
    <w:semiHidden/>
    <w:unhideWhenUsed/>
    <w:rsid w:val="004E6F32"/>
    <w:rPr>
      <w:vertAlign w:val="superscript"/>
    </w:rPr>
  </w:style>
  <w:style w:type="character" w:customStyle="1" w:styleId="UnresolvedMention1">
    <w:name w:val="Unresolved Mention1"/>
    <w:basedOn w:val="DefaultParagraphFont"/>
    <w:uiPriority w:val="99"/>
    <w:semiHidden/>
    <w:unhideWhenUsed/>
    <w:rsid w:val="004E6F32"/>
    <w:rPr>
      <w:color w:val="808080"/>
      <w:shd w:val="clear" w:color="auto" w:fill="E6E6E6"/>
    </w:rPr>
  </w:style>
  <w:style w:type="paragraph" w:customStyle="1" w:styleId="Default">
    <w:name w:val="Default"/>
    <w:rsid w:val="005136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IHWbodytext">
    <w:name w:val="AIHW body text"/>
    <w:link w:val="AIHWbodytextChar"/>
    <w:uiPriority w:val="99"/>
    <w:rsid w:val="00A777AD"/>
    <w:pPr>
      <w:spacing w:before="60" w:after="40" w:line="260" w:lineRule="atLeast"/>
    </w:pPr>
    <w:rPr>
      <w:rFonts w:ascii="Book Antiqua" w:eastAsia="Times New Roman" w:hAnsi="Book Antiqua" w:cs="Times New Roman"/>
      <w:color w:val="000000"/>
      <w:szCs w:val="20"/>
    </w:rPr>
  </w:style>
  <w:style w:type="paragraph" w:customStyle="1" w:styleId="Bullet1">
    <w:name w:val="Bullet 1"/>
    <w:basedOn w:val="AIHWbodytext"/>
    <w:uiPriority w:val="99"/>
    <w:rsid w:val="00A777AD"/>
    <w:pPr>
      <w:numPr>
        <w:numId w:val="15"/>
      </w:numPr>
      <w:tabs>
        <w:tab w:val="clear" w:pos="397"/>
      </w:tabs>
      <w:spacing w:before="40"/>
      <w:ind w:left="720" w:hanging="360"/>
    </w:pPr>
  </w:style>
  <w:style w:type="character" w:customStyle="1" w:styleId="AIHWbodytextChar">
    <w:name w:val="AIHW body text Char"/>
    <w:basedOn w:val="DefaultParagraphFont"/>
    <w:link w:val="AIHWbodytext"/>
    <w:uiPriority w:val="99"/>
    <w:locked/>
    <w:rsid w:val="00A777AD"/>
    <w:rPr>
      <w:rFonts w:ascii="Book Antiqua" w:eastAsia="Times New Roman" w:hAnsi="Book Antiqua" w:cs="Times New Roman"/>
      <w:color w:val="000000"/>
      <w:szCs w:val="20"/>
    </w:rPr>
  </w:style>
  <w:style w:type="character" w:styleId="FollowedHyperlink">
    <w:name w:val="FollowedHyperlink"/>
    <w:basedOn w:val="DefaultParagraphFont"/>
    <w:uiPriority w:val="99"/>
    <w:semiHidden/>
    <w:unhideWhenUsed/>
    <w:rsid w:val="00AF1C56"/>
    <w:rPr>
      <w:color w:val="800080" w:themeColor="followedHyperlink"/>
      <w:u w:val="single"/>
    </w:rPr>
  </w:style>
  <w:style w:type="character" w:customStyle="1" w:styleId="A5">
    <w:name w:val="A5"/>
    <w:uiPriority w:val="99"/>
    <w:rsid w:val="008C7B43"/>
    <w:rPr>
      <w:rFonts w:cs="Arial Unicode MS"/>
      <w:color w:val="000000"/>
      <w:sz w:val="7"/>
      <w:szCs w:val="7"/>
    </w:rPr>
  </w:style>
  <w:style w:type="paragraph" w:customStyle="1" w:styleId="Pa1">
    <w:name w:val="Pa1"/>
    <w:basedOn w:val="Default"/>
    <w:next w:val="Default"/>
    <w:uiPriority w:val="99"/>
    <w:rsid w:val="002009CA"/>
    <w:pPr>
      <w:spacing w:line="121" w:lineRule="atLeast"/>
    </w:pPr>
    <w:rPr>
      <w:rFonts w:ascii="Arial Unicode MS" w:hAnsi="Arial Unicode MS" w:cstheme="minorBidi"/>
      <w:color w:val="auto"/>
    </w:rPr>
  </w:style>
  <w:style w:type="character" w:customStyle="1" w:styleId="UnresolvedMention2">
    <w:name w:val="Unresolved Mention2"/>
    <w:basedOn w:val="DefaultParagraphFont"/>
    <w:uiPriority w:val="99"/>
    <w:rsid w:val="009A53E8"/>
    <w:rPr>
      <w:color w:val="808080"/>
      <w:shd w:val="clear" w:color="auto" w:fill="E6E6E6"/>
    </w:rPr>
  </w:style>
  <w:style w:type="paragraph" w:styleId="Caption">
    <w:name w:val="caption"/>
    <w:basedOn w:val="Normal"/>
    <w:next w:val="Normal"/>
    <w:uiPriority w:val="35"/>
    <w:unhideWhenUsed/>
    <w:qFormat/>
    <w:rsid w:val="00B74D17"/>
    <w:pPr>
      <w:spacing w:after="40"/>
    </w:pPr>
    <w:rPr>
      <w:i/>
      <w:iCs/>
      <w:color w:val="1F497D" w:themeColor="text2"/>
      <w:sz w:val="18"/>
      <w:szCs w:val="18"/>
    </w:rPr>
  </w:style>
  <w:style w:type="paragraph" w:customStyle="1" w:styleId="Pa6">
    <w:name w:val="Pa6"/>
    <w:basedOn w:val="Default"/>
    <w:next w:val="Default"/>
    <w:uiPriority w:val="99"/>
    <w:rsid w:val="00381D8C"/>
    <w:pPr>
      <w:spacing w:line="121" w:lineRule="atLeast"/>
    </w:pPr>
    <w:rPr>
      <w:rFonts w:ascii="Arial Unicode MS" w:eastAsia="Arial Unicode MS" w:hAnsiTheme="minorHAnsi" w:cs="Arial Unicode MS"/>
      <w:color w:val="auto"/>
    </w:rPr>
  </w:style>
  <w:style w:type="character" w:customStyle="1" w:styleId="hitinf">
    <w:name w:val="hit_inf"/>
    <w:basedOn w:val="DefaultParagraphFont"/>
    <w:rsid w:val="002A59B5"/>
  </w:style>
  <w:style w:type="character" w:customStyle="1" w:styleId="apple-converted-space">
    <w:name w:val="apple-converted-space"/>
    <w:basedOn w:val="DefaultParagraphFont"/>
    <w:rsid w:val="00F30A25"/>
  </w:style>
  <w:style w:type="paragraph" w:customStyle="1" w:styleId="KMC-BulletLists">
    <w:name w:val="KMC - Bullet Lists"/>
    <w:basedOn w:val="Normal"/>
    <w:semiHidden/>
    <w:qFormat/>
    <w:rsid w:val="00EF037A"/>
    <w:pPr>
      <w:keepNext/>
      <w:spacing w:line="276" w:lineRule="auto"/>
      <w:contextualSpacing/>
      <w:jc w:val="both"/>
    </w:pPr>
    <w:rPr>
      <w:rFonts w:ascii="Arial" w:hAnsi="Arial"/>
      <w:color w:val="000000" w:themeColor="text1"/>
      <w:sz w:val="22"/>
    </w:rPr>
  </w:style>
  <w:style w:type="character" w:customStyle="1" w:styleId="Heading4Char">
    <w:name w:val="Heading 4 Char"/>
    <w:basedOn w:val="DefaultParagraphFont"/>
    <w:link w:val="Heading4"/>
    <w:uiPriority w:val="9"/>
    <w:rsid w:val="00EF037A"/>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rsid w:val="00BC0319"/>
    <w:rPr>
      <w:rFonts w:ascii="Arial" w:eastAsia="Times New Roman" w:hAnsi="Arial" w:cs="Arial"/>
      <w:b/>
      <w:i/>
      <w:iCs/>
      <w:noProof/>
      <w:kern w:val="28"/>
      <w:sz w:val="20"/>
      <w:lang w:eastAsia="en-AU"/>
    </w:rPr>
  </w:style>
  <w:style w:type="character" w:customStyle="1" w:styleId="UnresolvedMention">
    <w:name w:val="Unresolved Mention"/>
    <w:basedOn w:val="DefaultParagraphFont"/>
    <w:uiPriority w:val="99"/>
    <w:semiHidden/>
    <w:unhideWhenUsed/>
    <w:rsid w:val="002D7564"/>
    <w:rPr>
      <w:color w:val="808080"/>
      <w:shd w:val="clear" w:color="auto" w:fill="E6E6E6"/>
    </w:rPr>
  </w:style>
  <w:style w:type="paragraph" w:styleId="NormalWeb">
    <w:name w:val="Normal (Web)"/>
    <w:basedOn w:val="Normal"/>
    <w:uiPriority w:val="99"/>
    <w:unhideWhenUsed/>
    <w:rsid w:val="00B804F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enderAddress">
    <w:name w:val="Sender Address"/>
    <w:basedOn w:val="Normal"/>
    <w:rsid w:val="00CC39F1"/>
    <w:pPr>
      <w:spacing w:before="0" w:after="0"/>
    </w:pPr>
    <w:rPr>
      <w:rFonts w:ascii="Times New Roman" w:eastAsia="Times New Roman" w:hAnsi="Times New Roman" w:cs="Times New Roman"/>
      <w:sz w:val="24"/>
      <w:szCs w:val="24"/>
      <w:lang w:val="en-US"/>
    </w:rPr>
  </w:style>
  <w:style w:type="paragraph" w:customStyle="1" w:styleId="RecipientAddress">
    <w:name w:val="Recipient Address"/>
    <w:basedOn w:val="Normal"/>
    <w:rsid w:val="00CC39F1"/>
    <w:pPr>
      <w:spacing w:before="0" w:after="0"/>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B453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4318">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13168315">
      <w:bodyDiv w:val="1"/>
      <w:marLeft w:val="0"/>
      <w:marRight w:val="0"/>
      <w:marTop w:val="0"/>
      <w:marBottom w:val="0"/>
      <w:divBdr>
        <w:top w:val="none" w:sz="0" w:space="0" w:color="auto"/>
        <w:left w:val="none" w:sz="0" w:space="0" w:color="auto"/>
        <w:bottom w:val="none" w:sz="0" w:space="0" w:color="auto"/>
        <w:right w:val="none" w:sz="0" w:space="0" w:color="auto"/>
      </w:divBdr>
    </w:div>
    <w:div w:id="699669557">
      <w:bodyDiv w:val="1"/>
      <w:marLeft w:val="0"/>
      <w:marRight w:val="0"/>
      <w:marTop w:val="0"/>
      <w:marBottom w:val="0"/>
      <w:divBdr>
        <w:top w:val="none" w:sz="0" w:space="0" w:color="auto"/>
        <w:left w:val="none" w:sz="0" w:space="0" w:color="auto"/>
        <w:bottom w:val="none" w:sz="0" w:space="0" w:color="auto"/>
        <w:right w:val="none" w:sz="0" w:space="0" w:color="auto"/>
      </w:divBdr>
    </w:div>
    <w:div w:id="735905987">
      <w:bodyDiv w:val="1"/>
      <w:marLeft w:val="0"/>
      <w:marRight w:val="0"/>
      <w:marTop w:val="0"/>
      <w:marBottom w:val="0"/>
      <w:divBdr>
        <w:top w:val="none" w:sz="0" w:space="0" w:color="auto"/>
        <w:left w:val="none" w:sz="0" w:space="0" w:color="auto"/>
        <w:bottom w:val="none" w:sz="0" w:space="0" w:color="auto"/>
        <w:right w:val="none" w:sz="0" w:space="0" w:color="auto"/>
      </w:divBdr>
    </w:div>
    <w:div w:id="1417361809">
      <w:bodyDiv w:val="1"/>
      <w:marLeft w:val="0"/>
      <w:marRight w:val="0"/>
      <w:marTop w:val="0"/>
      <w:marBottom w:val="0"/>
      <w:divBdr>
        <w:top w:val="none" w:sz="0" w:space="0" w:color="auto"/>
        <w:left w:val="none" w:sz="0" w:space="0" w:color="auto"/>
        <w:bottom w:val="none" w:sz="0" w:space="0" w:color="auto"/>
        <w:right w:val="none" w:sz="0" w:space="0" w:color="auto"/>
      </w:divBdr>
    </w:div>
    <w:div w:id="178010198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26232362" TargetMode="External"/><Relationship Id="rId117" Type="http://schemas.openxmlformats.org/officeDocument/2006/relationships/hyperlink" Target="http://www.aihw.gov.au/overweight-and-obesity/" TargetMode="External"/><Relationship Id="rId21" Type="http://schemas.openxmlformats.org/officeDocument/2006/relationships/hyperlink" Target="https://www.ncbi.nlm.nih.gov/pubmed/?cmd=HistorySearch&amp;querykey=14" TargetMode="External"/><Relationship Id="rId42" Type="http://schemas.openxmlformats.org/officeDocument/2006/relationships/hyperlink" Target="https://www.clinicaltrials.gov/ct2/show/NCT00355979?cond=Intragastric+Balloon&amp;draw=1&amp;rank=3" TargetMode="External"/><Relationship Id="rId47" Type="http://schemas.openxmlformats.org/officeDocument/2006/relationships/hyperlink" Target="https://www.nhmrc.gov.au/_files_nhmrc/publications/attachments/n57_obesity_guidelines_140630.pdf" TargetMode="External"/><Relationship Id="rId63" Type="http://schemas.openxmlformats.org/officeDocument/2006/relationships/hyperlink" Target="http://www.apjcn.org/update/pdf/2009/1/114-120/114.pdf" TargetMode="External"/><Relationship Id="rId68" Type="http://schemas.openxmlformats.org/officeDocument/2006/relationships/hyperlink" Target="https://www.ncbi.nlm.nih.gov/pubmed/20682679" TargetMode="External"/><Relationship Id="rId84" Type="http://schemas.openxmlformats.org/officeDocument/2006/relationships/hyperlink" Target="https://www.ncbi.nlm.nih.gov/pubmed/18212316" TargetMode="External"/><Relationship Id="rId89" Type="http://schemas.openxmlformats.org/officeDocument/2006/relationships/hyperlink" Target="https://www.ncbi.nlm.nih.gov/pubmed/19765497" TargetMode="External"/><Relationship Id="rId112" Type="http://schemas.openxmlformats.org/officeDocument/2006/relationships/hyperlink" Target="https://www.ncbi.nlm.nih.gov/pubmed/20145228" TargetMode="External"/><Relationship Id="rId133" Type="http://schemas.openxmlformats.org/officeDocument/2006/relationships/hyperlink" Target="http://trove.nla.gov.au/work/74339426?q&amp;versionId=87536443" TargetMode="External"/><Relationship Id="rId138" Type="http://schemas.openxmlformats.org/officeDocument/2006/relationships/hyperlink" Target="http://www.orberaweightlosssystem.com.au/support" TargetMode="External"/><Relationship Id="rId154" Type="http://schemas.openxmlformats.org/officeDocument/2006/relationships/hyperlink" Target="https://static.diabetesaustralia.com.au/s/fileassets/diabetes-australia/e7282521-472b-4313-b18e-be84c3d5d907.pdf" TargetMode="External"/><Relationship Id="rId159" Type="http://schemas.openxmlformats.org/officeDocument/2006/relationships/hyperlink" Target="http://www9.health.gov.au/mbs/fullDisplay.cfm?type=note&amp;qt=NoteID&amp;q=TN.8.17" TargetMode="External"/><Relationship Id="rId16" Type="http://schemas.openxmlformats.org/officeDocument/2006/relationships/hyperlink" Target="https://www.ncbi.nlm.nih.gov/pubmed/?cmd=HistorySearch&amp;querykey=7" TargetMode="External"/><Relationship Id="rId107" Type="http://schemas.openxmlformats.org/officeDocument/2006/relationships/hyperlink" Target="http://www.health.govt.nz/publication/clinical-guidelines-weight-management-new-zealand-adults" TargetMode="External"/><Relationship Id="rId11" Type="http://schemas.openxmlformats.org/officeDocument/2006/relationships/hyperlink" Target="http://www.abs.gov.au/ausstats/abs@.nsf/mf/4364.0.55.001" TargetMode="External"/><Relationship Id="rId32" Type="http://schemas.openxmlformats.org/officeDocument/2006/relationships/hyperlink" Target="https://www.ncbi.nlm.nih.gov/pubmed/18212316" TargetMode="External"/><Relationship Id="rId37" Type="http://schemas.openxmlformats.org/officeDocument/2006/relationships/hyperlink" Target="https://www.ncbi.nlm.nih.gov/pubmed/25105982" TargetMode="External"/><Relationship Id="rId53" Type="http://schemas.openxmlformats.org/officeDocument/2006/relationships/hyperlink" Target="https://www.ncbi.nlm.nih.gov/pubmed/20083615" TargetMode="External"/><Relationship Id="rId58" Type="http://schemas.openxmlformats.org/officeDocument/2006/relationships/hyperlink" Target="https://www.ncbi.nlm.nih.gov/pubmed/20083615" TargetMode="External"/><Relationship Id="rId74" Type="http://schemas.openxmlformats.org/officeDocument/2006/relationships/hyperlink" Target="https://www.ncbi.nlm.nih.gov/pubmed/19687258" TargetMode="External"/><Relationship Id="rId79" Type="http://schemas.openxmlformats.org/officeDocument/2006/relationships/hyperlink" Target="https://www.ncbi.nlm.nih.gov/pubmed/16855995" TargetMode="External"/><Relationship Id="rId102" Type="http://schemas.openxmlformats.org/officeDocument/2006/relationships/hyperlink" Target="http://www.nejm.org/doi/full/10.1056/NEJMoa1008234" TargetMode="External"/><Relationship Id="rId123" Type="http://schemas.openxmlformats.org/officeDocument/2006/relationships/hyperlink" Target="https://www.nhmrc.gov.au/_files_nhmrc/publications/attachments/n57b_obesity_guidelines_summary_guide_131219.pdf" TargetMode="External"/><Relationship Id="rId128" Type="http://schemas.openxmlformats.org/officeDocument/2006/relationships/hyperlink" Target="https://www.ncbi.nlm.nih.gov/pubmed/15479938" TargetMode="External"/><Relationship Id="rId144" Type="http://schemas.openxmlformats.org/officeDocument/2006/relationships/hyperlink" Target="http://www.aihw.gov.au/WorkArea/DownloadAsset.aspx?id=60129559649" TargetMode="External"/><Relationship Id="rId149" Type="http://schemas.openxmlformats.org/officeDocument/2006/relationships/hyperlink" Target="https://www.monash.edu/__data/assets/pdf_file/0009/1044594/Bariatric-Surgery-Registry-Annual-Report-2017.pdff" TargetMode="External"/><Relationship Id="rId5" Type="http://schemas.openxmlformats.org/officeDocument/2006/relationships/webSettings" Target="webSettings.xml"/><Relationship Id="rId90" Type="http://schemas.openxmlformats.org/officeDocument/2006/relationships/hyperlink" Target="https://www.ncbi.nlm.nih.gov/pubmed/19479072" TargetMode="External"/><Relationship Id="rId95" Type="http://schemas.openxmlformats.org/officeDocument/2006/relationships/hyperlink" Target="https://www.ncbi.nlm.nih.gov/pubmed/19786682" TargetMode="External"/><Relationship Id="rId160" Type="http://schemas.openxmlformats.org/officeDocument/2006/relationships/fontTable" Target="fontTable.xml"/><Relationship Id="rId22" Type="http://schemas.openxmlformats.org/officeDocument/2006/relationships/hyperlink" Target="http://www.balkanmedicalunion.com/en/current-issue/" TargetMode="External"/><Relationship Id="rId27" Type="http://schemas.openxmlformats.org/officeDocument/2006/relationships/hyperlink" Target="https://www.ncbi.nlm.nih.gov/pubmed/26968503" TargetMode="External"/><Relationship Id="rId43" Type="http://schemas.openxmlformats.org/officeDocument/2006/relationships/hyperlink" Target="https://www.clinicaltrials.gov/ct2/show/NCT02129296?cond=Intragastric+Balloon&amp;draw=1&amp;rank=7" TargetMode="External"/><Relationship Id="rId48" Type="http://schemas.openxmlformats.org/officeDocument/2006/relationships/hyperlink" Target="https://www.ncbi.nlm.nih.gov/pubmed/19704106" TargetMode="External"/><Relationship Id="rId64" Type="http://schemas.openxmlformats.org/officeDocument/2006/relationships/hyperlink" Target="https://www.ncbi.nlm.nih.gov/pubmed/18368998" TargetMode="External"/><Relationship Id="rId69" Type="http://schemas.openxmlformats.org/officeDocument/2006/relationships/hyperlink" Target="https://www.ncbi.nlm.nih.gov/pubmed/19272486" TargetMode="External"/><Relationship Id="rId113" Type="http://schemas.openxmlformats.org/officeDocument/2006/relationships/hyperlink" Target="https://www.ncbi.nlm.nih.gov/pubmed/19370590" TargetMode="External"/><Relationship Id="rId118" Type="http://schemas.openxmlformats.org/officeDocument/2006/relationships/hyperlink" Target="http://www.aihw.gov.au/cvd-diabetes-ckd/risk-factors/" TargetMode="External"/><Relationship Id="rId134" Type="http://schemas.openxmlformats.org/officeDocument/2006/relationships/image" Target="media/image3.png"/><Relationship Id="rId139" Type="http://schemas.openxmlformats.org/officeDocument/2006/relationships/hyperlink" Target="https://www.ncbi.nlm.nih.gov/pubmed/16197790" TargetMode="External"/><Relationship Id="rId80" Type="http://schemas.openxmlformats.org/officeDocument/2006/relationships/hyperlink" Target="https://www.ncbi.nlm.nih.gov/pubmed/20876408" TargetMode="External"/><Relationship Id="rId85" Type="http://schemas.openxmlformats.org/officeDocument/2006/relationships/hyperlink" Target="https://www.ncbi.nlm.nih.gov/pubmed/18368998" TargetMode="External"/><Relationship Id="rId150" Type="http://schemas.openxmlformats.org/officeDocument/2006/relationships/hyperlink" Target="https://www.monash.edu/__data/assets/pdf_file/0010/936280/bsr-4th-report-june-2016.pdf" TargetMode="External"/><Relationship Id="rId155" Type="http://schemas.openxmlformats.org/officeDocument/2006/relationships/hyperlink" Target="http://www.msac.gov.au/internet/msac/publishing.nsf/Content/2E8614C59CD3F84BCA25801000123B54/$File/1112-Assessment-Report.pdf" TargetMode="External"/><Relationship Id="rId12" Type="http://schemas.openxmlformats.org/officeDocument/2006/relationships/hyperlink" Target="https://www.medibank.com.au/client/documents/pdfs/obesity_report_2010.pdf" TargetMode="External"/><Relationship Id="rId17" Type="http://schemas.openxmlformats.org/officeDocument/2006/relationships/hyperlink" Target="https://www.ncbi.nlm.nih.gov/pubmed/?cmd=HistorySearch&amp;querykey=13" TargetMode="External"/><Relationship Id="rId33" Type="http://schemas.openxmlformats.org/officeDocument/2006/relationships/hyperlink" Target="http://jamanetwork.com/journals/jama/fullarticle/1693889" TargetMode="External"/><Relationship Id="rId38" Type="http://schemas.openxmlformats.org/officeDocument/2006/relationships/hyperlink" Target="https://www.ncbi.nlm.nih.gov/pubmed/19726018" TargetMode="External"/><Relationship Id="rId59" Type="http://schemas.openxmlformats.org/officeDocument/2006/relationships/hyperlink" Target="https://www.ncbi.nlm.nih.gov/pubmed/20080875" TargetMode="External"/><Relationship Id="rId103" Type="http://schemas.openxmlformats.org/officeDocument/2006/relationships/hyperlink" Target="https://www.ncbi.nlm.nih.gov/pubmed/20083615" TargetMode="External"/><Relationship Id="rId108" Type="http://schemas.openxmlformats.org/officeDocument/2006/relationships/hyperlink" Target="https://www.ncbi.nlm.nih.gov/pubmed/16002825" TargetMode="External"/><Relationship Id="rId124" Type="http://schemas.openxmlformats.org/officeDocument/2006/relationships/hyperlink" Target="https://diabetessociety.com.au/documents/ObesityManagementAlgorithm18.10.2016FINAL.pdf" TargetMode="External"/><Relationship Id="rId129" Type="http://schemas.openxmlformats.org/officeDocument/2006/relationships/hyperlink" Target="http://onlinelibrary.wiley.com/doi/10.1002/j.2055-2335.2013.tb00220.x/abstract" TargetMode="External"/><Relationship Id="rId20" Type="http://schemas.openxmlformats.org/officeDocument/2006/relationships/hyperlink" Target="https://www.ncbi.nlm.nih.gov/pubmed/20352524" TargetMode="External"/><Relationship Id="rId41" Type="http://schemas.openxmlformats.org/officeDocument/2006/relationships/hyperlink" Target="https://www.clinicaltrials.gov/ct2/show/NCT02880189?cond=Orbera&amp;rank=3" TargetMode="External"/><Relationship Id="rId54" Type="http://schemas.openxmlformats.org/officeDocument/2006/relationships/hyperlink" Target="https://www.ncbi.nlm.nih.gov/pubmed/19704106" TargetMode="External"/><Relationship Id="rId62" Type="http://schemas.openxmlformats.org/officeDocument/2006/relationships/hyperlink" Target="https://www.ncbi.nlm.nih.gov/pubmed/19479072" TargetMode="External"/><Relationship Id="rId70" Type="http://schemas.openxmlformats.org/officeDocument/2006/relationships/hyperlink" Target="https://www.ncbi.nlm.nih.gov/pubmed/18267998" TargetMode="External"/><Relationship Id="rId75" Type="http://schemas.openxmlformats.org/officeDocument/2006/relationships/hyperlink" Target="http://onlinelibrary.wiley.com/doi/10.1002/14651858.CD004097.pub4/pdf" TargetMode="External"/><Relationship Id="rId83" Type="http://schemas.openxmlformats.org/officeDocument/2006/relationships/hyperlink" Target="https://www.ncbi.nlm.nih.gov/pubmed/19329404" TargetMode="External"/><Relationship Id="rId88" Type="http://schemas.openxmlformats.org/officeDocument/2006/relationships/hyperlink" Target="https://www.ncbi.nlm.nih.gov/pubmed/17363746" TargetMode="External"/><Relationship Id="rId91" Type="http://schemas.openxmlformats.org/officeDocument/2006/relationships/hyperlink" Target="https://www.ncbi.nlm.nih.gov/pubmed/20876408" TargetMode="External"/><Relationship Id="rId96" Type="http://schemas.openxmlformats.org/officeDocument/2006/relationships/hyperlink" Target="https://www.ncbi.nlm.nih.gov/pubmed/19486716" TargetMode="External"/><Relationship Id="rId111" Type="http://schemas.openxmlformats.org/officeDocument/2006/relationships/hyperlink" Target="https://www.ncbi.nlm.nih.gov/pubmed/23760764" TargetMode="External"/><Relationship Id="rId132" Type="http://schemas.openxmlformats.org/officeDocument/2006/relationships/hyperlink" Target="http://newsroom.ucla.edu/releases/Dieting-Does-Not-Work-UCLA-Researchers-7832" TargetMode="External"/><Relationship Id="rId140" Type="http://schemas.openxmlformats.org/officeDocument/2006/relationships/hyperlink" Target="https://www.ncbi.nlm.nih.gov/pubmed/23224509" TargetMode="External"/><Relationship Id="rId145" Type="http://schemas.openxmlformats.org/officeDocument/2006/relationships/hyperlink" Target="https://www.ncbi.nlm.nih.gov/pubmed/28591547" TargetMode="External"/><Relationship Id="rId153" Type="http://schemas.openxmlformats.org/officeDocument/2006/relationships/hyperlink" Target="https://www.monash.edu/__data/assets/pdf_file/0009/1044594/Bariatric-Surgery-Registry-Annual-Report-2017.pdf"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28017964" TargetMode="External"/><Relationship Id="rId23" Type="http://schemas.openxmlformats.org/officeDocument/2006/relationships/hyperlink" Target="https://www.ncbi.nlm.nih.gov/pubmed/23832520" TargetMode="External"/><Relationship Id="rId28" Type="http://schemas.openxmlformats.org/officeDocument/2006/relationships/hyperlink" Target="https://www.ncbi.nlm.nih.gov/pubmed/28117361" TargetMode="External"/><Relationship Id="rId36" Type="http://schemas.openxmlformats.org/officeDocument/2006/relationships/hyperlink" Target="https://www.nhmrc.gov.au/guidelines-publications/n57" TargetMode="External"/><Relationship Id="rId49" Type="http://schemas.openxmlformats.org/officeDocument/2006/relationships/hyperlink" Target="https://www.ncbi.nlm.nih.gov/pubmed/17298711" TargetMode="External"/><Relationship Id="rId57" Type="http://schemas.openxmlformats.org/officeDocument/2006/relationships/hyperlink" Target="https://www.essa.org.au/wp-content/uploads/2015/06/Obesity_Cochrane-Review.pdf" TargetMode="External"/><Relationship Id="rId106" Type="http://schemas.openxmlformats.org/officeDocument/2006/relationships/hyperlink" Target="C://Users/Matt/Downloads/future_overweight_prevalence_report%20-%20PDF.pdf" TargetMode="External"/><Relationship Id="rId114" Type="http://schemas.openxmlformats.org/officeDocument/2006/relationships/hyperlink" Target="https://www.ncbi.nlm.nih.gov/pubmed/21865942" TargetMode="External"/><Relationship Id="rId119" Type="http://schemas.openxmlformats.org/officeDocument/2006/relationships/hyperlink" Target="https://www.ncbi.nlm.nih.gov/pubmed/16954156" TargetMode="External"/><Relationship Id="rId127" Type="http://schemas.openxmlformats.org/officeDocument/2006/relationships/hyperlink" Target="http://trove.nla.gov.au/work/74339426?q&amp;versionId=87536443" TargetMode="External"/><Relationship Id="rId10" Type="http://schemas.openxmlformats.org/officeDocument/2006/relationships/hyperlink" Target="http://www.thelancet.com/journals/lancet/article/PIIS0140-6736%2809%2960318-4/abstract" TargetMode="External"/><Relationship Id="rId31" Type="http://schemas.openxmlformats.org/officeDocument/2006/relationships/hyperlink" Target="https://www.ncbi.nlm.nih.gov/pubmed/26132586" TargetMode="External"/><Relationship Id="rId44" Type="http://schemas.openxmlformats.org/officeDocument/2006/relationships/hyperlink" Target="http://www.ossanz.com.au/surgery_gastric_ballooning.htm" TargetMode="External"/><Relationship Id="rId52" Type="http://schemas.openxmlformats.org/officeDocument/2006/relationships/hyperlink" Target="https://www.essa.org.au/wp-content/uploads/2015/06/Obesity_Cochrane-Review.pdf" TargetMode="External"/><Relationship Id="rId60" Type="http://schemas.openxmlformats.org/officeDocument/2006/relationships/hyperlink" Target="http://onlinelibrary.wiley.com/doi/10.1002/14651858.CD007654/abstract;jsessionid=3BD91C27E83B93C061AF1537850C8F25.f01t03" TargetMode="External"/><Relationship Id="rId65" Type="http://schemas.openxmlformats.org/officeDocument/2006/relationships/hyperlink" Target="https://www.ncbi.nlm.nih.gov/pubmed/19878986" TargetMode="External"/><Relationship Id="rId73" Type="http://schemas.openxmlformats.org/officeDocument/2006/relationships/hyperlink" Target="https://www.ncbi.nlm.nih.gov/pubmed/20333558" TargetMode="External"/><Relationship Id="rId78" Type="http://schemas.openxmlformats.org/officeDocument/2006/relationships/hyperlink" Target="https://www.ncbi.nlm.nih.gov/pubmed/17363746" TargetMode="External"/><Relationship Id="rId81" Type="http://schemas.openxmlformats.org/officeDocument/2006/relationships/hyperlink" Target="https://www.ncbi.nlm.nih.gov/pubmed/18267998" TargetMode="External"/><Relationship Id="rId86" Type="http://schemas.openxmlformats.org/officeDocument/2006/relationships/hyperlink" Target="https://www.ncbi.nlm.nih.gov/pubmed/18362248" TargetMode="External"/><Relationship Id="rId94" Type="http://schemas.openxmlformats.org/officeDocument/2006/relationships/hyperlink" Target="https://www.ncbi.nlm.nih.gov/pubmed/19808241" TargetMode="External"/><Relationship Id="rId99" Type="http://schemas.openxmlformats.org/officeDocument/2006/relationships/hyperlink" Target="https://www.ncbi.nlm.nih.gov/pmc/articles/PMC2923743/" TargetMode="External"/><Relationship Id="rId101" Type="http://schemas.openxmlformats.org/officeDocument/2006/relationships/hyperlink" Target="https://www.ncbi.nlm.nih.gov/pubmed/19726018" TargetMode="External"/><Relationship Id="rId122" Type="http://schemas.openxmlformats.org/officeDocument/2006/relationships/hyperlink" Target="https://www.baker.edu.au/Assets/Files/Baker%20IDI%20Ausdiab%20Report_interactive_FINAL.pdf" TargetMode="External"/><Relationship Id="rId130" Type="http://schemas.openxmlformats.org/officeDocument/2006/relationships/image" Target="media/image2.png"/><Relationship Id="rId135" Type="http://schemas.openxmlformats.org/officeDocument/2006/relationships/hyperlink" Target="https://www.nhmrc.gov.au/_files_nhmrc/publications/attachments/n57b_obesity_guidelines_summary_guide_131219.pdf" TargetMode="External"/><Relationship Id="rId143" Type="http://schemas.openxmlformats.org/officeDocument/2006/relationships/hyperlink" Target="https://www.ncbi.nlm.nih.gov/pubmed/23955521" TargetMode="External"/><Relationship Id="rId148" Type="http://schemas.openxmlformats.org/officeDocument/2006/relationships/hyperlink" Target="https://www.ncbi.nlm.nih.gov/pubmed/28591547" TargetMode="External"/><Relationship Id="rId151" Type="http://schemas.openxmlformats.org/officeDocument/2006/relationships/image" Target="media/image6.png"/><Relationship Id="rId156" Type="http://schemas.openxmlformats.org/officeDocument/2006/relationships/hyperlink" Target="http://www9.health.gov.au/mbs/fullDisplay.cfm?type=note&amp;qt=NoteID&amp;q=T8.30" TargetMode="External"/><Relationship Id="rId4" Type="http://schemas.openxmlformats.org/officeDocument/2006/relationships/settings" Target="settings.xml"/><Relationship Id="rId9" Type="http://schemas.openxmlformats.org/officeDocument/2006/relationships/hyperlink" Target="https://sydney.edu.au/medicine/research/units/boden/ANPHA%20Obesity%20Prevalence%20Trends.pdf" TargetMode="External"/><Relationship Id="rId13" Type="http://schemas.openxmlformats.org/officeDocument/2006/relationships/hyperlink" Target="https://www.pwc.com.au/pdf/weighing-the-cost-of-obesity-final.pdf" TargetMode="External"/><Relationship Id="rId18" Type="http://schemas.openxmlformats.org/officeDocument/2006/relationships/hyperlink" Target="http://www.ghrnet.org/index.php/joghr/article/view/457/342" TargetMode="External"/><Relationship Id="rId39" Type="http://schemas.openxmlformats.org/officeDocument/2006/relationships/hyperlink" Target="https://www.clinicaltrials.gov/ct2/show/NCT02828657?cord=Orbera&amp;rank=1" TargetMode="External"/><Relationship Id="rId109" Type="http://schemas.openxmlformats.org/officeDocument/2006/relationships/hyperlink" Target="https://www.ncbi.nlm.nih.gov/pubmed/18212316" TargetMode="External"/><Relationship Id="rId34" Type="http://schemas.openxmlformats.org/officeDocument/2006/relationships/hyperlink" Target="https://www.ncbi.nlm.nih.gov/pubmed/23439632" TargetMode="External"/><Relationship Id="rId50" Type="http://schemas.openxmlformats.org/officeDocument/2006/relationships/hyperlink" Target="https://www.ncbi.nlm.nih.gov/pubmed/18368998" TargetMode="External"/><Relationship Id="rId55" Type="http://schemas.openxmlformats.org/officeDocument/2006/relationships/hyperlink" Target="https://www.ncbi.nlm.nih.gov/pubmed/18368998" TargetMode="External"/><Relationship Id="rId76" Type="http://schemas.openxmlformats.org/officeDocument/2006/relationships/hyperlink" Target="https://www.ncbi.nlm.nih.gov/pubmed/15846698" TargetMode="External"/><Relationship Id="rId97" Type="http://schemas.openxmlformats.org/officeDocument/2006/relationships/hyperlink" Target="https://www.ncbi.nlm.nih.gov/pubmed/19011153" TargetMode="External"/><Relationship Id="rId104" Type="http://schemas.openxmlformats.org/officeDocument/2006/relationships/hyperlink" Target="http://www.thelancet.com/journals/lancet/article/PIIS0140-6736%2809%2960318-4/abstract" TargetMode="External"/><Relationship Id="rId120" Type="http://schemas.openxmlformats.org/officeDocument/2006/relationships/hyperlink" Target="http://www.aihw.gov.au/overweight-and-obesity/" TargetMode="External"/><Relationship Id="rId125" Type="http://schemas.openxmlformats.org/officeDocument/2006/relationships/hyperlink" Target="https://www.ncbi.nlm.nih.gov/pubmed/21606595" TargetMode="External"/><Relationship Id="rId141" Type="http://schemas.openxmlformats.org/officeDocument/2006/relationships/hyperlink" Target="https://www.ncbi.nlm.nih.gov/pubmed/17241940" TargetMode="External"/><Relationship Id="rId146" Type="http://schemas.openxmlformats.org/officeDocument/2006/relationships/hyperlink" Target="http://www.abs.gov.au/ausstats/abs@.nsf/Lookup/by%20Subject/4338.0~2011-13~Main%20Features~Overweight%20and%20obesity~10007" TargetMode="External"/><Relationship Id="rId7" Type="http://schemas.openxmlformats.org/officeDocument/2006/relationships/endnotes" Target="endnotes.xml"/><Relationship Id="rId71" Type="http://schemas.openxmlformats.org/officeDocument/2006/relationships/hyperlink" Target="https://www.ncbi.nlm.nih.gov/pubmed/18227359" TargetMode="External"/><Relationship Id="rId92" Type="http://schemas.openxmlformats.org/officeDocument/2006/relationships/hyperlink" Target="https://www.ncbi.nlm.nih.gov/pubmed/20083615" TargetMode="External"/><Relationship Id="rId2" Type="http://schemas.openxmlformats.org/officeDocument/2006/relationships/numbering" Target="numbering.xml"/><Relationship Id="rId29" Type="http://schemas.openxmlformats.org/officeDocument/2006/relationships/hyperlink" Target="https://www.ncbi.nlm.nih.gov/pubmed/21901285" TargetMode="External"/><Relationship Id="rId24" Type="http://schemas.openxmlformats.org/officeDocument/2006/relationships/hyperlink" Target="http://www.soard.org/article/S1550-7289(17)30962-0/fulltext" TargetMode="External"/><Relationship Id="rId40" Type="http://schemas.openxmlformats.org/officeDocument/2006/relationships/hyperlink" Target="https://www.clinicaltrials.gov/ct2/show/study/NCT01998243?cond=intragastric+balloon&amp;draw=1&amp;rank=5" TargetMode="External"/><Relationship Id="rId45" Type="http://schemas.openxmlformats.org/officeDocument/2006/relationships/hyperlink" Target="mailto:kenloi@me.com" TargetMode="External"/><Relationship Id="rId66" Type="http://schemas.openxmlformats.org/officeDocument/2006/relationships/hyperlink" Target="https://www.ncbi.nlm.nih.gov/pubmed/15846748" TargetMode="External"/><Relationship Id="rId87" Type="http://schemas.openxmlformats.org/officeDocument/2006/relationships/hyperlink" Target="https://www.ncbi.nlm.nih.gov/pubmed/15846748" TargetMode="External"/><Relationship Id="rId110" Type="http://schemas.openxmlformats.org/officeDocument/2006/relationships/hyperlink" Target="https://www.ncbi.nlm.nih.gov/pubmed/22990273" TargetMode="External"/><Relationship Id="rId115" Type="http://schemas.openxmlformats.org/officeDocument/2006/relationships/hyperlink" Target="https://www.baker.edu.au/Assets/Files/Baker%20IDI%20Ausdiab%20Report_interactive_FINAL.pdf" TargetMode="External"/><Relationship Id="rId131" Type="http://schemas.openxmlformats.org/officeDocument/2006/relationships/hyperlink" Target="https://www.aihw.gov.au/reports/overweight-obesity/ahs-2014-15-weight-loss-surgery/contents/table-of-contents" TargetMode="External"/><Relationship Id="rId136" Type="http://schemas.openxmlformats.org/officeDocument/2006/relationships/hyperlink" Target="https://www.aihw.gov.au/reports/overweight-obesity/ahs-2014-15-weight-loss-surgery/contents/table-of-contents" TargetMode="External"/><Relationship Id="rId157" Type="http://schemas.openxmlformats.org/officeDocument/2006/relationships/hyperlink" Target="http://www9.health.gov.au/mbs/fullDisplay.cfm?type=note&amp;qt=NoteID&amp;q=T8.30" TargetMode="External"/><Relationship Id="rId61" Type="http://schemas.openxmlformats.org/officeDocument/2006/relationships/hyperlink" Target="https://www.ncbi.nlm.nih.gov/pubmed/21245741" TargetMode="External"/><Relationship Id="rId82" Type="http://schemas.openxmlformats.org/officeDocument/2006/relationships/hyperlink" Target="https://www.ncbi.nlm.nih.gov/pubmed/18227359" TargetMode="External"/><Relationship Id="rId152" Type="http://schemas.openxmlformats.org/officeDocument/2006/relationships/hyperlink" Target="http://www.abs.gov.au/ausstats/abs@.nsf/Lookup/by%20Subject/4338.0~2011-13~Main%20Features~Overweight%20and%20obesity~10007" TargetMode="External"/><Relationship Id="rId19" Type="http://schemas.openxmlformats.org/officeDocument/2006/relationships/hyperlink" Target="https://www.ncbi.nlm.nih.gov/pubmed/15978160" TargetMode="External"/><Relationship Id="rId14" Type="http://schemas.openxmlformats.org/officeDocument/2006/relationships/footer" Target="footer1.xml"/><Relationship Id="rId30" Type="http://schemas.openxmlformats.org/officeDocument/2006/relationships/hyperlink" Target="https://www.ncbi.nlm.nih.gov/pubmed/26594600" TargetMode="External"/><Relationship Id="rId35" Type="http://schemas.openxmlformats.org/officeDocument/2006/relationships/hyperlink" Target="https://www.ncbi.nlm.nih.gov/pubmed/23706413" TargetMode="External"/><Relationship Id="rId56" Type="http://schemas.openxmlformats.org/officeDocument/2006/relationships/hyperlink" Target="https://www.ncbi.nlm.nih.gov/pubmed/15846748" TargetMode="External"/><Relationship Id="rId77" Type="http://schemas.openxmlformats.org/officeDocument/2006/relationships/hyperlink" Target="https://www.ncbi.nlm.nih.gov/pubmed/15674929" TargetMode="External"/><Relationship Id="rId100" Type="http://schemas.openxmlformats.org/officeDocument/2006/relationships/hyperlink" Target="https://www.ncbi.nlm.nih.gov/pubmed/19436015" TargetMode="External"/><Relationship Id="rId105" Type="http://schemas.openxmlformats.org/officeDocument/2006/relationships/hyperlink" Target="http://www.health.gov.au/internet/preventativehealth/publishing.nsf/Content/E233F8695823F16CCA2574DD00818E64/$File/obesity-jul09.pdf" TargetMode="External"/><Relationship Id="rId126" Type="http://schemas.openxmlformats.org/officeDocument/2006/relationships/hyperlink" Target="https://www.ncbi.nlm.nih.gov/pubmed/17904936" TargetMode="External"/><Relationship Id="rId147" Type="http://schemas.openxmlformats.org/officeDocument/2006/relationships/image" Target="media/image5.png"/><Relationship Id="rId8" Type="http://schemas.openxmlformats.org/officeDocument/2006/relationships/image" Target="media/image1.jpeg"/><Relationship Id="rId51" Type="http://schemas.openxmlformats.org/officeDocument/2006/relationships/hyperlink" Target="https://www.ncbi.nlm.nih.gov/pubmed/20692282" TargetMode="External"/><Relationship Id="rId72" Type="http://schemas.openxmlformats.org/officeDocument/2006/relationships/hyperlink" Target="https://www.ncbi.nlm.nih.gov/pubmed/18212316" TargetMode="External"/><Relationship Id="rId93" Type="http://schemas.openxmlformats.org/officeDocument/2006/relationships/hyperlink" Target="https://www.ncbi.nlm.nih.gov/pubmed/19945950" TargetMode="External"/><Relationship Id="rId98" Type="http://schemas.openxmlformats.org/officeDocument/2006/relationships/hyperlink" Target="https://www.ncbi.nlm.nih.gov/pubmed/17158841" TargetMode="External"/><Relationship Id="rId121" Type="http://schemas.openxmlformats.org/officeDocument/2006/relationships/hyperlink" Target="https://www.adea.com.au/wp-content/uploads/2013/08/ANDIAB-Final-Report-2011.pdf" TargetMode="External"/><Relationship Id="rId142" Type="http://schemas.openxmlformats.org/officeDocument/2006/relationships/hyperlink" Target="https://www.ncbi.nlm.nih.gov/pubmed/15946449" TargetMode="External"/><Relationship Id="rId3" Type="http://schemas.openxmlformats.org/officeDocument/2006/relationships/styles" Target="styles.xml"/><Relationship Id="rId25" Type="http://schemas.openxmlformats.org/officeDocument/2006/relationships/hyperlink" Target="http://www.giejournal.org/article/S0016-5107(15)01888-X/abstract" TargetMode="External"/><Relationship Id="rId46" Type="http://schemas.openxmlformats.org/officeDocument/2006/relationships/hyperlink" Target="https://www.ncbi.nlm.nih.gov/pubmed/25637887" TargetMode="External"/><Relationship Id="rId67" Type="http://schemas.openxmlformats.org/officeDocument/2006/relationships/hyperlink" Target="https://www.ncbi.nlm.nih.gov/pubmed/19479072" TargetMode="External"/><Relationship Id="rId116" Type="http://schemas.openxmlformats.org/officeDocument/2006/relationships/hyperlink" Target="http://www.aihw.gov.au/WorkArea/DownloadAsset.aspx?id=60129559649" TargetMode="External"/><Relationship Id="rId137" Type="http://schemas.openxmlformats.org/officeDocument/2006/relationships/image" Target="media/image4.emf"/><Relationship Id="rId158" Type="http://schemas.openxmlformats.org/officeDocument/2006/relationships/hyperlink" Target="http://www9.health.gov.au/mbs/search.cfm?q=TN.8.2&amp;Submit=&amp;sop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ayoclinic.org/medical-professionals/clinical-updates/endocrinology/intragastric-balloon-a-re-emerging-approach-for-obesity" TargetMode="External"/><Relationship Id="rId1" Type="http://schemas.openxmlformats.org/officeDocument/2006/relationships/hyperlink" Target="http://www.aihw.gov.au/WorkArea/DownloadAsset.aspx?id=60129549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F179-0D9B-42B9-820A-7D3462B9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15571</Words>
  <Characters>88758</Characters>
  <Application>Microsoft Office Word</Application>
  <DocSecurity>0</DocSecurity>
  <Lines>739</Lines>
  <Paragraphs>208</Paragraphs>
  <ScaleCrop>false</ScaleCrop>
  <Company/>
  <LinksUpToDate>false</LinksUpToDate>
  <CharactersWithSpaces>104121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1515-ApplicationForm-Redacted</dc:title>
  <dc:creator/>
  <cp:lastModifiedBy/>
  <cp:revision>1</cp:revision>
  <dcterms:created xsi:type="dcterms:W3CDTF">2019-03-14T00:24:00Z</dcterms:created>
  <dcterms:modified xsi:type="dcterms:W3CDTF">2019-03-14T00:26:00Z</dcterms:modified>
</cp:coreProperties>
</file>